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3"/>
        <w:jc w:val="center"/>
        <w:outlineLvl w:val="0"/>
        <w:rPr>
          <w:rFonts w:ascii="Times New Roman" w:hAnsi="Times New Roman"/>
          <w:b/>
          <w:snapToGrid w:val="0"/>
          <w:color w:val="000000"/>
          <w:sz w:val="30"/>
          <w:szCs w:val="30"/>
        </w:rPr>
      </w:pPr>
      <w:r>
        <w:rPr>
          <w:rFonts w:hint="eastAsia" w:ascii="Times New Roman" w:hAnsi="Times New Roman"/>
          <w:b/>
          <w:snapToGrid w:val="0"/>
          <w:color w:val="000000"/>
          <w:sz w:val="30"/>
          <w:szCs w:val="30"/>
        </w:rPr>
        <w:t>一、建设项目基本情况</w:t>
      </w: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009"/>
        <w:gridCol w:w="2753"/>
        <w:gridCol w:w="2101"/>
        <w:gridCol w:w="30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97" w:hRule="atLeast"/>
          <w:jc w:val="center"/>
        </w:trPr>
        <w:tc>
          <w:tcPr>
            <w:tcW w:w="1009"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建设项目名称</w:t>
            </w:r>
          </w:p>
        </w:tc>
        <w:tc>
          <w:tcPr>
            <w:tcW w:w="7866" w:type="dxa"/>
            <w:gridSpan w:val="3"/>
            <w:vAlign w:val="center"/>
          </w:tcPr>
          <w:p>
            <w:pPr>
              <w:adjustRightInd w:val="0"/>
              <w:snapToGrid w:val="0"/>
              <w:jc w:val="center"/>
              <w:rPr>
                <w:rFonts w:cs="宋体"/>
                <w:color w:val="000000"/>
                <w:sz w:val="24"/>
              </w:rPr>
            </w:pPr>
            <w:r>
              <w:rPr>
                <w:rFonts w:hint="eastAsia"/>
                <w:sz w:val="24"/>
              </w:rPr>
              <w:t>钢结构及装配式绿色建筑材料改扩建项目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97" w:hRule="atLeast"/>
          <w:jc w:val="center"/>
        </w:trPr>
        <w:tc>
          <w:tcPr>
            <w:tcW w:w="1009"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项目代码</w:t>
            </w:r>
          </w:p>
        </w:tc>
        <w:tc>
          <w:tcPr>
            <w:tcW w:w="7866" w:type="dxa"/>
            <w:gridSpan w:val="3"/>
            <w:vAlign w:val="center"/>
          </w:tcPr>
          <w:p>
            <w:pPr>
              <w:adjustRightInd w:val="0"/>
              <w:snapToGrid w:val="0"/>
              <w:jc w:val="center"/>
              <w:rPr>
                <w:rFonts w:cs="宋体"/>
                <w:color w:val="000000"/>
                <w:sz w:val="24"/>
              </w:rPr>
            </w:pPr>
            <w:r>
              <w:rPr>
                <w:rFonts w:hint="eastAsia" w:cs="宋体"/>
                <w:color w:val="00000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09"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建设单位联系人</w:t>
            </w:r>
          </w:p>
        </w:tc>
        <w:tc>
          <w:tcPr>
            <w:tcW w:w="2753" w:type="dxa"/>
            <w:vAlign w:val="center"/>
          </w:tcPr>
          <w:p>
            <w:pPr>
              <w:adjustRightInd w:val="0"/>
              <w:snapToGrid w:val="0"/>
              <w:jc w:val="center"/>
              <w:rPr>
                <w:sz w:val="24"/>
              </w:rPr>
            </w:pPr>
            <w:r>
              <w:rPr>
                <w:rFonts w:hint="eastAsia"/>
                <w:sz w:val="24"/>
              </w:rPr>
              <w:t>黄若琼</w:t>
            </w:r>
          </w:p>
        </w:tc>
        <w:tc>
          <w:tcPr>
            <w:tcW w:w="2101" w:type="dxa"/>
            <w:vAlign w:val="center"/>
          </w:tcPr>
          <w:p>
            <w:pPr>
              <w:adjustRightInd w:val="0"/>
              <w:snapToGrid w:val="0"/>
              <w:jc w:val="center"/>
              <w:rPr>
                <w:sz w:val="24"/>
              </w:rPr>
            </w:pPr>
            <w:r>
              <w:rPr>
                <w:rFonts w:hint="eastAsia"/>
                <w:sz w:val="24"/>
              </w:rPr>
              <w:t>联系方式</w:t>
            </w:r>
          </w:p>
        </w:tc>
        <w:tc>
          <w:tcPr>
            <w:tcW w:w="3012" w:type="dxa"/>
            <w:vAlign w:val="center"/>
          </w:tcPr>
          <w:p>
            <w:pPr>
              <w:adjustRightInd w:val="0"/>
              <w:snapToGrid w:val="0"/>
              <w:jc w:val="center"/>
              <w:rPr>
                <w:sz w:val="24"/>
              </w:rPr>
            </w:pPr>
            <w:r>
              <w:rPr>
                <w:rFonts w:hint="eastAsia"/>
                <w:sz w:val="24"/>
              </w:rPr>
              <w:t>13606809575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09"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建设地点</w:t>
            </w:r>
          </w:p>
        </w:tc>
        <w:tc>
          <w:tcPr>
            <w:tcW w:w="7866" w:type="dxa"/>
            <w:gridSpan w:val="3"/>
            <w:vAlign w:val="center"/>
          </w:tcPr>
          <w:p>
            <w:pPr>
              <w:adjustRightInd w:val="0"/>
              <w:snapToGrid w:val="0"/>
              <w:jc w:val="center"/>
              <w:rPr>
                <w:rFonts w:cs="宋体"/>
                <w:color w:val="000000"/>
                <w:sz w:val="24"/>
              </w:rPr>
            </w:pPr>
            <w:r>
              <w:rPr>
                <w:rFonts w:hint="eastAsia" w:cs="宋体"/>
                <w:color w:val="000000"/>
                <w:sz w:val="24"/>
              </w:rPr>
              <w:t>芜湖市鸠江经济技术开发区官陡门路和富强路交叉口东北侧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09"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地理坐标</w:t>
            </w:r>
          </w:p>
        </w:tc>
        <w:tc>
          <w:tcPr>
            <w:tcW w:w="7866" w:type="dxa"/>
            <w:gridSpan w:val="3"/>
            <w:vAlign w:val="center"/>
          </w:tcPr>
          <w:p>
            <w:pPr>
              <w:jc w:val="center"/>
              <w:rPr>
                <w:rFonts w:cs="宋体"/>
                <w:color w:val="000000"/>
                <w:sz w:val="24"/>
              </w:rPr>
            </w:pPr>
            <w:r>
              <w:rPr>
                <w:rFonts w:hint="eastAsia" w:cs="宋体"/>
                <w:color w:val="000000"/>
                <w:sz w:val="24"/>
              </w:rPr>
              <w:t>118°28′37.859″；31°23′17.255″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1" w:hRule="atLeast"/>
          <w:jc w:val="center"/>
        </w:trPr>
        <w:tc>
          <w:tcPr>
            <w:tcW w:w="1009"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国民经济</w:t>
            </w:r>
          </w:p>
          <w:p>
            <w:pPr>
              <w:adjustRightInd w:val="0"/>
              <w:snapToGrid w:val="0"/>
              <w:jc w:val="center"/>
              <w:rPr>
                <w:rFonts w:cs="宋体"/>
                <w:color w:val="000000"/>
                <w:sz w:val="24"/>
              </w:rPr>
            </w:pPr>
            <w:r>
              <w:rPr>
                <w:rFonts w:hint="eastAsia" w:cs="宋体"/>
                <w:color w:val="000000"/>
                <w:sz w:val="24"/>
              </w:rPr>
              <w:t>行业类别</w:t>
            </w:r>
          </w:p>
        </w:tc>
        <w:tc>
          <w:tcPr>
            <w:tcW w:w="2753" w:type="dxa"/>
            <w:vAlign w:val="center"/>
          </w:tcPr>
          <w:p>
            <w:pPr>
              <w:adjustRightInd w:val="0"/>
              <w:snapToGrid w:val="0"/>
              <w:jc w:val="center"/>
              <w:rPr>
                <w:rFonts w:cs="宋体"/>
                <w:color w:val="000000"/>
                <w:sz w:val="24"/>
              </w:rPr>
            </w:pPr>
            <w:r>
              <w:rPr>
                <w:rFonts w:hint="eastAsia"/>
                <w:kern w:val="0"/>
                <w:sz w:val="24"/>
              </w:rPr>
              <w:t>金属结构</w:t>
            </w:r>
            <w:r>
              <w:rPr>
                <w:kern w:val="0"/>
                <w:sz w:val="24"/>
              </w:rPr>
              <w:t>制造</w:t>
            </w:r>
            <w:r>
              <w:rPr>
                <w:rFonts w:cs="宋体"/>
                <w:color w:val="000000"/>
                <w:sz w:val="24"/>
              </w:rPr>
              <w:t>［</w:t>
            </w:r>
            <w:r>
              <w:rPr>
                <w:rFonts w:hint="eastAsia"/>
                <w:kern w:val="0"/>
                <w:sz w:val="24"/>
              </w:rPr>
              <w:t>C3311</w:t>
            </w:r>
            <w:r>
              <w:rPr>
                <w:rFonts w:cs="宋体"/>
                <w:color w:val="000000"/>
                <w:sz w:val="24"/>
              </w:rPr>
              <w:t>］</w:t>
            </w:r>
          </w:p>
        </w:tc>
        <w:tc>
          <w:tcPr>
            <w:tcW w:w="2101" w:type="dxa"/>
            <w:vAlign w:val="center"/>
          </w:tcPr>
          <w:p>
            <w:pPr>
              <w:adjustRightInd w:val="0"/>
              <w:snapToGrid w:val="0"/>
              <w:jc w:val="center"/>
              <w:rPr>
                <w:rFonts w:cs="宋体"/>
                <w:color w:val="000000"/>
                <w:sz w:val="24"/>
              </w:rPr>
            </w:pPr>
            <w:bookmarkStart w:id="0" w:name="_Hlk49843745"/>
            <w:r>
              <w:rPr>
                <w:rFonts w:hint="eastAsia" w:cs="宋体"/>
                <w:color w:val="000000"/>
                <w:sz w:val="24"/>
              </w:rPr>
              <w:t>建设项目</w:t>
            </w:r>
          </w:p>
          <w:p>
            <w:pPr>
              <w:adjustRightInd w:val="0"/>
              <w:snapToGrid w:val="0"/>
              <w:jc w:val="center"/>
              <w:rPr>
                <w:rFonts w:cs="宋体"/>
                <w:color w:val="000000"/>
                <w:sz w:val="24"/>
                <w:highlight w:val="yellow"/>
              </w:rPr>
            </w:pPr>
            <w:r>
              <w:rPr>
                <w:rFonts w:hint="eastAsia" w:cs="宋体"/>
                <w:color w:val="000000"/>
                <w:sz w:val="24"/>
              </w:rPr>
              <w:t>行业类别</w:t>
            </w:r>
            <w:bookmarkEnd w:id="0"/>
          </w:p>
        </w:tc>
        <w:tc>
          <w:tcPr>
            <w:tcW w:w="3012" w:type="dxa"/>
            <w:vAlign w:val="center"/>
          </w:tcPr>
          <w:p>
            <w:pPr>
              <w:adjustRightInd w:val="0"/>
              <w:snapToGrid w:val="0"/>
              <w:rPr>
                <w:rFonts w:cs="宋体"/>
                <w:color w:val="000000"/>
                <w:sz w:val="24"/>
              </w:rPr>
            </w:pPr>
            <w:r>
              <w:rPr>
                <w:rFonts w:hint="eastAsia" w:cs="宋体"/>
                <w:color w:val="000000"/>
                <w:sz w:val="24"/>
              </w:rPr>
              <w:t>三十</w:t>
            </w:r>
            <w:r>
              <w:rPr>
                <w:rFonts w:cs="宋体"/>
                <w:color w:val="000000"/>
                <w:sz w:val="24"/>
              </w:rPr>
              <w:t>“</w:t>
            </w:r>
            <w:r>
              <w:rPr>
                <w:rFonts w:hint="eastAsia" w:cs="宋体"/>
                <w:color w:val="000000"/>
                <w:sz w:val="24"/>
              </w:rPr>
              <w:t>金属制品</w:t>
            </w:r>
            <w:r>
              <w:rPr>
                <w:rFonts w:cs="宋体"/>
                <w:color w:val="000000"/>
                <w:sz w:val="24"/>
              </w:rPr>
              <w:t>业</w:t>
            </w:r>
            <w:r>
              <w:rPr>
                <w:rFonts w:hint="eastAsia" w:cs="宋体"/>
                <w:color w:val="000000"/>
                <w:sz w:val="24"/>
              </w:rPr>
              <w:t>33</w:t>
            </w:r>
            <w:r>
              <w:rPr>
                <w:rFonts w:cs="宋体"/>
                <w:color w:val="000000"/>
                <w:sz w:val="24"/>
              </w:rPr>
              <w:t>”中第</w:t>
            </w:r>
            <w:r>
              <w:rPr>
                <w:rFonts w:hint="eastAsia" w:cs="宋体"/>
                <w:color w:val="000000"/>
                <w:sz w:val="24"/>
              </w:rPr>
              <w:t>66结构性金属制品制造331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009"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建设性质</w:t>
            </w:r>
          </w:p>
        </w:tc>
        <w:tc>
          <w:tcPr>
            <w:tcW w:w="2753" w:type="dxa"/>
            <w:vAlign w:val="center"/>
          </w:tcPr>
          <w:p>
            <w:pPr>
              <w:jc w:val="left"/>
              <w:rPr>
                <w:rFonts w:cs="宋体"/>
                <w:color w:val="000000"/>
                <w:sz w:val="24"/>
              </w:rPr>
            </w:pPr>
            <w:r>
              <w:rPr>
                <w:color w:val="000000"/>
                <w:sz w:val="24"/>
              </w:rPr>
              <w:sym w:font="Wingdings 2" w:char="00A3"/>
            </w:r>
            <w:r>
              <w:rPr>
                <w:rFonts w:hint="eastAsia" w:cs="宋体"/>
                <w:color w:val="000000"/>
                <w:sz w:val="24"/>
              </w:rPr>
              <w:t>新建（迁建）</w:t>
            </w:r>
          </w:p>
          <w:p>
            <w:pPr>
              <w:jc w:val="left"/>
              <w:rPr>
                <w:rFonts w:cs="宋体"/>
                <w:color w:val="000000"/>
                <w:sz w:val="24"/>
              </w:rPr>
            </w:pPr>
            <w:r>
              <w:rPr>
                <w:rFonts w:hint="eastAsia" w:cs="宋体"/>
                <w:color w:val="000000"/>
                <w:sz w:val="24"/>
              </w:rPr>
              <w:sym w:font="Wingdings 2" w:char="0052"/>
            </w:r>
            <w:r>
              <w:rPr>
                <w:rFonts w:hint="eastAsia" w:cs="宋体"/>
                <w:color w:val="000000"/>
                <w:sz w:val="24"/>
              </w:rPr>
              <w:t>改建</w:t>
            </w:r>
          </w:p>
          <w:p>
            <w:pPr>
              <w:jc w:val="left"/>
              <w:rPr>
                <w:rFonts w:cs="宋体"/>
                <w:color w:val="000000"/>
                <w:sz w:val="24"/>
              </w:rPr>
            </w:pPr>
            <w:r>
              <w:rPr>
                <w:rFonts w:hint="eastAsia" w:cs="宋体"/>
                <w:color w:val="000000"/>
                <w:sz w:val="24"/>
              </w:rPr>
              <w:sym w:font="Wingdings 2" w:char="0052"/>
            </w:r>
            <w:r>
              <w:rPr>
                <w:rFonts w:hint="eastAsia" w:cs="宋体"/>
                <w:color w:val="000000"/>
                <w:sz w:val="24"/>
              </w:rPr>
              <w:t>扩建</w:t>
            </w:r>
          </w:p>
          <w:p>
            <w:pPr>
              <w:jc w:val="left"/>
              <w:rPr>
                <w:rFonts w:cs="宋体"/>
                <w:color w:val="000000"/>
                <w:sz w:val="24"/>
              </w:rPr>
            </w:pPr>
            <w:r>
              <w:rPr>
                <w:rFonts w:hint="eastAsia" w:cs="宋体"/>
                <w:color w:val="000000"/>
                <w:sz w:val="24"/>
              </w:rPr>
              <w:t>□技术改造</w:t>
            </w:r>
          </w:p>
        </w:tc>
        <w:tc>
          <w:tcPr>
            <w:tcW w:w="2101" w:type="dxa"/>
            <w:vAlign w:val="center"/>
          </w:tcPr>
          <w:p>
            <w:pPr>
              <w:adjustRightInd w:val="0"/>
              <w:snapToGrid w:val="0"/>
              <w:jc w:val="center"/>
              <w:rPr>
                <w:rFonts w:cs="宋体"/>
                <w:color w:val="000000"/>
                <w:sz w:val="24"/>
              </w:rPr>
            </w:pPr>
            <w:r>
              <w:rPr>
                <w:rFonts w:hint="eastAsia" w:cs="宋体"/>
                <w:color w:val="000000"/>
                <w:sz w:val="24"/>
              </w:rPr>
              <w:t>建设项目</w:t>
            </w:r>
          </w:p>
          <w:p>
            <w:pPr>
              <w:adjustRightInd w:val="0"/>
              <w:snapToGrid w:val="0"/>
              <w:jc w:val="center"/>
              <w:rPr>
                <w:rFonts w:cs="宋体"/>
                <w:color w:val="000000"/>
                <w:sz w:val="24"/>
              </w:rPr>
            </w:pPr>
            <w:r>
              <w:rPr>
                <w:rFonts w:hint="eastAsia" w:cs="宋体"/>
                <w:color w:val="000000"/>
                <w:sz w:val="24"/>
              </w:rPr>
              <w:t>申报情形</w:t>
            </w:r>
          </w:p>
        </w:tc>
        <w:tc>
          <w:tcPr>
            <w:tcW w:w="3012" w:type="dxa"/>
            <w:vAlign w:val="center"/>
          </w:tcPr>
          <w:p>
            <w:pPr>
              <w:jc w:val="left"/>
              <w:rPr>
                <w:rFonts w:cs="宋体"/>
                <w:color w:val="000000"/>
                <w:sz w:val="24"/>
              </w:rPr>
            </w:pPr>
            <w:r>
              <w:rPr>
                <w:color w:val="000000"/>
                <w:sz w:val="24"/>
              </w:rPr>
              <w:sym w:font="Wingdings 2" w:char="0052"/>
            </w:r>
            <w:r>
              <w:rPr>
                <w:rFonts w:hint="eastAsia" w:cs="宋体"/>
                <w:color w:val="000000"/>
                <w:sz w:val="24"/>
              </w:rPr>
              <w:t>首次申报项目</w:t>
            </w:r>
            <w:r>
              <w:rPr>
                <w:rFonts w:cs="宋体"/>
                <w:color w:val="000000"/>
                <w:sz w:val="24"/>
              </w:rPr>
              <w:t xml:space="preserve">             </w:t>
            </w:r>
          </w:p>
          <w:p>
            <w:pPr>
              <w:jc w:val="left"/>
              <w:rPr>
                <w:rFonts w:cs="宋体"/>
                <w:color w:val="000000"/>
                <w:sz w:val="24"/>
              </w:rPr>
            </w:pPr>
            <w:r>
              <w:rPr>
                <w:rFonts w:hint="eastAsia" w:cs="宋体"/>
                <w:color w:val="000000"/>
                <w:sz w:val="24"/>
              </w:rPr>
              <w:t>□不予批准后再次申报项目</w:t>
            </w:r>
          </w:p>
          <w:p>
            <w:pPr>
              <w:jc w:val="left"/>
              <w:rPr>
                <w:rFonts w:cs="宋体"/>
                <w:color w:val="000000"/>
                <w:sz w:val="24"/>
              </w:rPr>
            </w:pPr>
            <w:r>
              <w:rPr>
                <w:rFonts w:hint="eastAsia" w:cs="宋体"/>
                <w:color w:val="000000"/>
                <w:sz w:val="24"/>
              </w:rPr>
              <w:sym w:font="Wingdings 2" w:char="00A3"/>
            </w:r>
            <w:r>
              <w:rPr>
                <w:rFonts w:hint="eastAsia" w:cs="宋体"/>
                <w:color w:val="000000"/>
                <w:sz w:val="24"/>
              </w:rPr>
              <w:t>超五年重新审核项目</w:t>
            </w:r>
            <w:r>
              <w:rPr>
                <w:rFonts w:cs="宋体"/>
                <w:color w:val="000000"/>
                <w:sz w:val="24"/>
              </w:rPr>
              <w:t xml:space="preserve">     </w:t>
            </w:r>
          </w:p>
          <w:p>
            <w:pPr>
              <w:jc w:val="left"/>
              <w:rPr>
                <w:rFonts w:cs="宋体"/>
                <w:color w:val="000000"/>
                <w:sz w:val="24"/>
              </w:rPr>
            </w:pPr>
            <w:r>
              <w:rPr>
                <w:rFonts w:hint="eastAsia" w:cs="宋体"/>
                <w:color w:val="000000"/>
                <w:sz w:val="24"/>
              </w:rPr>
              <w:t>□重大变动重新报批项目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009"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项目审批（核准</w:t>
            </w:r>
            <w:r>
              <w:rPr>
                <w:rFonts w:cs="宋体"/>
                <w:color w:val="000000"/>
                <w:sz w:val="24"/>
              </w:rPr>
              <w:t>/</w:t>
            </w:r>
          </w:p>
          <w:p>
            <w:pPr>
              <w:adjustRightInd w:val="0"/>
              <w:snapToGrid w:val="0"/>
              <w:jc w:val="center"/>
              <w:rPr>
                <w:rFonts w:cs="宋体"/>
                <w:color w:val="000000"/>
                <w:sz w:val="24"/>
              </w:rPr>
            </w:pPr>
            <w:r>
              <w:rPr>
                <w:rFonts w:hint="eastAsia" w:cs="宋体"/>
                <w:color w:val="000000"/>
                <w:sz w:val="24"/>
              </w:rPr>
              <w:t>备案）部门（选填）</w:t>
            </w:r>
          </w:p>
        </w:tc>
        <w:tc>
          <w:tcPr>
            <w:tcW w:w="2753" w:type="dxa"/>
            <w:vAlign w:val="center"/>
          </w:tcPr>
          <w:p>
            <w:pPr>
              <w:adjustRightInd w:val="0"/>
              <w:snapToGrid w:val="0"/>
              <w:jc w:val="center"/>
              <w:rPr>
                <w:rFonts w:cs="宋体"/>
                <w:color w:val="000000"/>
                <w:sz w:val="24"/>
              </w:rPr>
            </w:pPr>
            <w:r>
              <w:rPr>
                <w:rFonts w:hint="eastAsia"/>
                <w:sz w:val="24"/>
              </w:rPr>
              <w:t>芜湖市鸠江区经济和信息化局</w:t>
            </w:r>
          </w:p>
        </w:tc>
        <w:tc>
          <w:tcPr>
            <w:tcW w:w="2101" w:type="dxa"/>
            <w:vAlign w:val="center"/>
          </w:tcPr>
          <w:p>
            <w:pPr>
              <w:adjustRightInd w:val="0"/>
              <w:snapToGrid w:val="0"/>
              <w:jc w:val="center"/>
              <w:rPr>
                <w:rFonts w:cs="宋体"/>
                <w:color w:val="000000"/>
                <w:sz w:val="24"/>
              </w:rPr>
            </w:pPr>
            <w:r>
              <w:rPr>
                <w:rFonts w:hint="eastAsia" w:cs="宋体"/>
                <w:color w:val="000000"/>
                <w:sz w:val="24"/>
              </w:rPr>
              <w:t>项目审批（核准</w:t>
            </w:r>
            <w:r>
              <w:rPr>
                <w:rFonts w:cs="宋体"/>
                <w:color w:val="000000"/>
                <w:sz w:val="24"/>
              </w:rPr>
              <w:t>/</w:t>
            </w:r>
          </w:p>
          <w:p>
            <w:pPr>
              <w:adjustRightInd w:val="0"/>
              <w:snapToGrid w:val="0"/>
              <w:jc w:val="center"/>
              <w:rPr>
                <w:rFonts w:cs="宋体"/>
                <w:color w:val="000000"/>
                <w:sz w:val="24"/>
              </w:rPr>
            </w:pPr>
            <w:r>
              <w:rPr>
                <w:rFonts w:hint="eastAsia" w:cs="宋体"/>
                <w:color w:val="000000"/>
                <w:sz w:val="24"/>
              </w:rPr>
              <w:t>备案）文号（选填）</w:t>
            </w:r>
          </w:p>
        </w:tc>
        <w:tc>
          <w:tcPr>
            <w:tcW w:w="3012" w:type="dxa"/>
            <w:vAlign w:val="center"/>
          </w:tcPr>
          <w:p>
            <w:pPr>
              <w:adjustRightInd w:val="0"/>
              <w:snapToGrid w:val="0"/>
              <w:jc w:val="center"/>
              <w:rPr>
                <w:rFonts w:cs="宋体"/>
                <w:color w:val="000000"/>
                <w:sz w:val="24"/>
              </w:rPr>
            </w:pPr>
            <w:r>
              <w:rPr>
                <w:rFonts w:hint="eastAsia"/>
                <w:sz w:val="24"/>
              </w:rPr>
              <w:t>鸠经信【2021】77号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97" w:hRule="atLeast"/>
          <w:jc w:val="center"/>
        </w:trPr>
        <w:tc>
          <w:tcPr>
            <w:tcW w:w="1009"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总投资（万元）</w:t>
            </w:r>
          </w:p>
        </w:tc>
        <w:tc>
          <w:tcPr>
            <w:tcW w:w="2753" w:type="dxa"/>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2000</w:t>
            </w:r>
          </w:p>
        </w:tc>
        <w:tc>
          <w:tcPr>
            <w:tcW w:w="2101" w:type="dxa"/>
            <w:tcMar>
              <w:top w:w="16" w:type="dxa"/>
              <w:left w:w="16" w:type="dxa"/>
              <w:right w:w="16" w:type="dxa"/>
            </w:tcMar>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环保投资（万元）</w:t>
            </w:r>
          </w:p>
        </w:tc>
        <w:tc>
          <w:tcPr>
            <w:tcW w:w="3012" w:type="dxa"/>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bCs/>
                <w:color w:val="0D0D0D" w:themeColor="text1" w:themeTint="F2"/>
                <w:sz w:val="24"/>
                <w14:textFill>
                  <w14:solidFill>
                    <w14:schemeClr w14:val="tx1">
                      <w14:lumMod w14:val="95000"/>
                      <w14:lumOff w14:val="5000"/>
                    </w14:schemeClr>
                  </w14:solidFill>
                </w14:textFill>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09"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环保投资占比（</w:t>
            </w:r>
            <w:r>
              <w:rPr>
                <w:rFonts w:cs="宋体"/>
                <w:color w:val="000000"/>
                <w:sz w:val="24"/>
              </w:rPr>
              <w:t>%</w:t>
            </w:r>
            <w:r>
              <w:rPr>
                <w:rFonts w:hint="eastAsia" w:cs="宋体"/>
                <w:color w:val="000000"/>
                <w:sz w:val="24"/>
              </w:rPr>
              <w:t>）</w:t>
            </w:r>
          </w:p>
        </w:tc>
        <w:tc>
          <w:tcPr>
            <w:tcW w:w="2753" w:type="dxa"/>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5</w:t>
            </w:r>
          </w:p>
        </w:tc>
        <w:tc>
          <w:tcPr>
            <w:tcW w:w="2101" w:type="dxa"/>
            <w:tcMar>
              <w:top w:w="16" w:type="dxa"/>
              <w:left w:w="16" w:type="dxa"/>
              <w:right w:w="16" w:type="dxa"/>
            </w:tcMar>
            <w:vAlign w:val="center"/>
          </w:tcPr>
          <w:p>
            <w:pPr>
              <w:adjustRightInd w:val="0"/>
              <w:snapToGrid w:val="0"/>
              <w:jc w:val="center"/>
              <w:rPr>
                <w:rFonts w:cs="宋体"/>
                <w:color w:val="0D0D0D" w:themeColor="text1" w:themeTint="F2"/>
                <w:sz w:val="24"/>
                <w:highlight w:val="yellow"/>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施工工期</w:t>
            </w:r>
          </w:p>
        </w:tc>
        <w:tc>
          <w:tcPr>
            <w:tcW w:w="3012" w:type="dxa"/>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6个月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09" w:type="dxa"/>
            <w:tcMar>
              <w:top w:w="16" w:type="dxa"/>
              <w:left w:w="16" w:type="dxa"/>
              <w:right w:w="16" w:type="dxa"/>
            </w:tcMar>
            <w:vAlign w:val="center"/>
          </w:tcPr>
          <w:p>
            <w:pPr>
              <w:adjustRightInd w:val="0"/>
              <w:snapToGrid w:val="0"/>
              <w:jc w:val="center"/>
              <w:rPr>
                <w:rFonts w:cs="宋体"/>
                <w:color w:val="000000"/>
                <w:sz w:val="24"/>
              </w:rPr>
            </w:pPr>
            <w:r>
              <w:rPr>
                <w:rFonts w:hint="eastAsia" w:cs="宋体"/>
                <w:color w:val="000000"/>
                <w:sz w:val="24"/>
              </w:rPr>
              <w:t>是否开工建设</w:t>
            </w:r>
          </w:p>
        </w:tc>
        <w:tc>
          <w:tcPr>
            <w:tcW w:w="2753" w:type="dxa"/>
            <w:vAlign w:val="center"/>
          </w:tcPr>
          <w:p>
            <w:pPr>
              <w:adjustRightInd w:val="0"/>
              <w:snapToGrid w:val="0"/>
              <w:rPr>
                <w:rFonts w:cs="宋体"/>
                <w:color w:val="000000"/>
                <w:sz w:val="24"/>
              </w:rPr>
            </w:pPr>
            <w:r>
              <w:rPr>
                <w:color w:val="000000"/>
                <w:sz w:val="24"/>
              </w:rPr>
              <w:sym w:font="Wingdings 2" w:char="0052"/>
            </w:r>
            <w:r>
              <w:rPr>
                <w:rFonts w:hint="eastAsia" w:cs="宋体"/>
                <w:color w:val="000000"/>
                <w:sz w:val="24"/>
              </w:rPr>
              <w:t>否</w:t>
            </w:r>
          </w:p>
          <w:p>
            <w:pPr>
              <w:adjustRightInd w:val="0"/>
              <w:snapToGrid w:val="0"/>
              <w:rPr>
                <w:rFonts w:cs="宋体"/>
                <w:color w:val="000000"/>
                <w:sz w:val="24"/>
              </w:rPr>
            </w:pPr>
            <w:r>
              <w:rPr>
                <w:rFonts w:hint="eastAsia" w:cs="宋体"/>
                <w:color w:val="000000"/>
                <w:sz w:val="24"/>
              </w:rPr>
              <w:sym w:font="Wingdings 2" w:char="00A3"/>
            </w:r>
            <w:r>
              <w:rPr>
                <w:rFonts w:hint="eastAsia" w:cs="宋体"/>
                <w:color w:val="000000"/>
                <w:sz w:val="24"/>
              </w:rPr>
              <w:t>是</w:t>
            </w:r>
          </w:p>
        </w:tc>
        <w:tc>
          <w:tcPr>
            <w:tcW w:w="2101" w:type="dxa"/>
            <w:tcMar>
              <w:top w:w="16" w:type="dxa"/>
              <w:left w:w="16" w:type="dxa"/>
              <w:right w:w="16" w:type="dxa"/>
            </w:tcMar>
            <w:vAlign w:val="center"/>
          </w:tcPr>
          <w:p>
            <w:pPr>
              <w:adjustRightInd w:val="0"/>
              <w:snapToGrid w:val="0"/>
              <w:jc w:val="center"/>
              <w:rPr>
                <w:rFonts w:cs="宋体"/>
                <w:color w:val="000000"/>
                <w:spacing w:val="-6"/>
                <w:sz w:val="24"/>
              </w:rPr>
            </w:pPr>
            <w:r>
              <w:rPr>
                <w:rFonts w:hint="eastAsia" w:cs="宋体"/>
                <w:color w:val="000000"/>
                <w:spacing w:val="-6"/>
                <w:sz w:val="24"/>
              </w:rPr>
              <w:t>用地（用海）</w:t>
            </w:r>
          </w:p>
          <w:p>
            <w:pPr>
              <w:adjustRightInd w:val="0"/>
              <w:snapToGrid w:val="0"/>
              <w:jc w:val="center"/>
              <w:rPr>
                <w:rFonts w:cs="宋体"/>
                <w:color w:val="000000"/>
                <w:sz w:val="24"/>
              </w:rPr>
            </w:pPr>
            <w:r>
              <w:rPr>
                <w:rFonts w:hint="eastAsia" w:cs="宋体"/>
                <w:color w:val="000000"/>
                <w:spacing w:val="-6"/>
                <w:sz w:val="24"/>
              </w:rPr>
              <w:t>面积（</w:t>
            </w:r>
            <w:r>
              <w:rPr>
                <w:rFonts w:cs="宋体"/>
                <w:color w:val="000000"/>
                <w:spacing w:val="-6"/>
                <w:sz w:val="24"/>
              </w:rPr>
              <w:t>m</w:t>
            </w:r>
            <w:r>
              <w:rPr>
                <w:rFonts w:cs="宋体"/>
                <w:color w:val="000000"/>
                <w:spacing w:val="-6"/>
                <w:sz w:val="24"/>
                <w:vertAlign w:val="superscript"/>
              </w:rPr>
              <w:t>2</w:t>
            </w:r>
            <w:r>
              <w:rPr>
                <w:rFonts w:hint="eastAsia" w:cs="宋体"/>
                <w:color w:val="000000"/>
                <w:spacing w:val="-6"/>
                <w:sz w:val="24"/>
              </w:rPr>
              <w:t>）</w:t>
            </w:r>
          </w:p>
        </w:tc>
        <w:tc>
          <w:tcPr>
            <w:tcW w:w="3012" w:type="dxa"/>
            <w:vAlign w:val="center"/>
          </w:tcPr>
          <w:p>
            <w:pPr>
              <w:adjustRightInd w:val="0"/>
              <w:snapToGrid w:val="0"/>
              <w:jc w:val="center"/>
              <w:rPr>
                <w:rFonts w:cs="宋体"/>
                <w:color w:val="0D0D0D" w:themeColor="text1" w:themeTint="F2"/>
                <w:sz w:val="24"/>
                <w14:textFill>
                  <w14:solidFill>
                    <w14:schemeClr w14:val="tx1">
                      <w14:lumMod w14:val="95000"/>
                      <w14:lumOff w14:val="5000"/>
                    </w14:schemeClr>
                  </w14:solidFill>
                </w14:textFill>
              </w:rPr>
            </w:pPr>
            <w:r>
              <w:rPr>
                <w:rFonts w:hint="eastAsia"/>
                <w:color w:val="0D0D0D" w:themeColor="text1" w:themeTint="F2"/>
                <w:kern w:val="24"/>
                <w:sz w:val="24"/>
                <w14:textFill>
                  <w14:solidFill>
                    <w14:schemeClr w14:val="tx1">
                      <w14:lumMod w14:val="95000"/>
                      <w14:lumOff w14:val="5000"/>
                    </w14:schemeClr>
                  </w14:solidFill>
                </w14:textFill>
              </w:rPr>
              <w:t>1100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009"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专项评价设置情况</w:t>
            </w:r>
          </w:p>
        </w:tc>
        <w:tc>
          <w:tcPr>
            <w:tcW w:w="7866" w:type="dxa"/>
            <w:gridSpan w:val="3"/>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09"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规划情况</w:t>
            </w:r>
          </w:p>
        </w:tc>
        <w:tc>
          <w:tcPr>
            <w:tcW w:w="7866" w:type="dxa"/>
            <w:gridSpan w:val="3"/>
            <w:vAlign w:val="center"/>
          </w:tcPr>
          <w:p>
            <w:pPr>
              <w:autoSpaceDE w:val="0"/>
              <w:autoSpaceDN w:val="0"/>
              <w:adjustRightInd w:val="0"/>
              <w:snapToGrid w:val="0"/>
              <w:spacing w:line="360" w:lineRule="auto"/>
              <w:jc w:val="left"/>
              <w:rPr>
                <w:rFonts w:cs="宋体"/>
                <w:color w:val="000000"/>
                <w:kern w:val="0"/>
                <w:sz w:val="24"/>
              </w:rPr>
            </w:pPr>
            <w:r>
              <w:rPr>
                <w:rFonts w:hint="eastAsia" w:cs="宋体"/>
                <w:color w:val="000000"/>
                <w:kern w:val="0"/>
                <w:sz w:val="24"/>
              </w:rPr>
              <w:t>规划名称：《安徽芜湖鸠江经济开发区总体规划（2014-2030）》</w:t>
            </w:r>
          </w:p>
          <w:p>
            <w:pPr>
              <w:autoSpaceDE w:val="0"/>
              <w:autoSpaceDN w:val="0"/>
              <w:adjustRightInd w:val="0"/>
              <w:snapToGrid w:val="0"/>
              <w:spacing w:line="360" w:lineRule="auto"/>
              <w:jc w:val="left"/>
              <w:rPr>
                <w:rFonts w:cs="宋体"/>
                <w:color w:val="000000"/>
                <w:kern w:val="0"/>
                <w:sz w:val="24"/>
              </w:rPr>
            </w:pPr>
            <w:r>
              <w:rPr>
                <w:rFonts w:hint="eastAsia" w:cs="宋体"/>
                <w:color w:val="000000"/>
                <w:kern w:val="0"/>
                <w:sz w:val="24"/>
              </w:rPr>
              <w:t>审批机关：安徽省人民政府</w:t>
            </w:r>
          </w:p>
          <w:p>
            <w:pPr>
              <w:autoSpaceDE w:val="0"/>
              <w:autoSpaceDN w:val="0"/>
              <w:adjustRightInd w:val="0"/>
              <w:snapToGrid w:val="0"/>
              <w:spacing w:line="360" w:lineRule="auto"/>
              <w:jc w:val="left"/>
              <w:rPr>
                <w:rFonts w:cs="宋体"/>
                <w:color w:val="000000"/>
                <w:kern w:val="0"/>
                <w:sz w:val="24"/>
              </w:rPr>
            </w:pPr>
            <w:r>
              <w:rPr>
                <w:rFonts w:hint="eastAsia" w:cs="宋体"/>
                <w:color w:val="000000"/>
                <w:kern w:val="0"/>
                <w:sz w:val="24"/>
              </w:rPr>
              <w:t>审批文件名称及文号：皖政秘【2012】344号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1009"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规划环境影响</w:t>
            </w:r>
          </w:p>
          <w:p>
            <w:pPr>
              <w:autoSpaceDE w:val="0"/>
              <w:autoSpaceDN w:val="0"/>
              <w:adjustRightInd w:val="0"/>
              <w:snapToGrid w:val="0"/>
              <w:jc w:val="center"/>
              <w:rPr>
                <w:rFonts w:cs="宋体"/>
                <w:color w:val="000000"/>
                <w:kern w:val="0"/>
                <w:sz w:val="24"/>
              </w:rPr>
            </w:pPr>
            <w:r>
              <w:rPr>
                <w:rFonts w:hint="eastAsia" w:cs="宋体"/>
                <w:color w:val="000000"/>
                <w:kern w:val="0"/>
                <w:sz w:val="24"/>
              </w:rPr>
              <w:t>评价情况</w:t>
            </w:r>
          </w:p>
        </w:tc>
        <w:tc>
          <w:tcPr>
            <w:tcW w:w="7866" w:type="dxa"/>
            <w:gridSpan w:val="3"/>
            <w:vAlign w:val="center"/>
          </w:tcPr>
          <w:p>
            <w:pPr>
              <w:autoSpaceDE w:val="0"/>
              <w:autoSpaceDN w:val="0"/>
              <w:adjustRightInd w:val="0"/>
              <w:snapToGrid w:val="0"/>
              <w:spacing w:line="360" w:lineRule="auto"/>
              <w:jc w:val="center"/>
              <w:rPr>
                <w:rFonts w:cs="宋体"/>
                <w:color w:val="000000"/>
                <w:kern w:val="0"/>
                <w:sz w:val="24"/>
              </w:rPr>
            </w:pPr>
            <w:r>
              <w:rPr>
                <w:rFonts w:hint="eastAsia" w:cs="宋体"/>
                <w:color w:val="000000"/>
                <w:kern w:val="0"/>
                <w:sz w:val="24"/>
              </w:rPr>
              <w:t>规划名称：《安徽芜湖鸠江经济开发区总体发展规划环境影响报告书》、《安徽芜湖鸠江经济开发区总体发展规划环境影响跟踪评价报告书》</w:t>
            </w:r>
          </w:p>
          <w:p>
            <w:pPr>
              <w:autoSpaceDE w:val="0"/>
              <w:autoSpaceDN w:val="0"/>
              <w:adjustRightInd w:val="0"/>
              <w:snapToGrid w:val="0"/>
              <w:spacing w:line="360" w:lineRule="auto"/>
              <w:jc w:val="left"/>
              <w:rPr>
                <w:rFonts w:cs="宋体"/>
                <w:color w:val="000000"/>
                <w:kern w:val="0"/>
                <w:sz w:val="24"/>
              </w:rPr>
            </w:pPr>
            <w:r>
              <w:rPr>
                <w:rFonts w:hint="eastAsia" w:cs="宋体"/>
                <w:color w:val="000000"/>
                <w:kern w:val="0"/>
                <w:sz w:val="24"/>
              </w:rPr>
              <w:t>召集审查机关：安徽省环境保护厅、芜湖市生态环境局</w:t>
            </w:r>
          </w:p>
          <w:p>
            <w:pPr>
              <w:autoSpaceDE w:val="0"/>
              <w:autoSpaceDN w:val="0"/>
              <w:adjustRightInd w:val="0"/>
              <w:snapToGrid w:val="0"/>
              <w:spacing w:line="360" w:lineRule="auto"/>
              <w:jc w:val="left"/>
              <w:rPr>
                <w:rFonts w:cs="宋体"/>
                <w:color w:val="000000"/>
                <w:kern w:val="0"/>
                <w:sz w:val="24"/>
              </w:rPr>
            </w:pPr>
            <w:r>
              <w:rPr>
                <w:rFonts w:hint="eastAsia" w:cs="宋体"/>
                <w:color w:val="000000"/>
                <w:kern w:val="0"/>
                <w:sz w:val="24"/>
              </w:rPr>
              <w:t>审批文件名称及文号：《关于安徽芜湖鸠江经济开发区总体发展规划环境影响报告书审查意见的函》，皖环函【2013】999号；《芜湖市生态环境局关于印发安徽芜湖鸠江经济开发区总体发展规划环境影响跟踪评价报告书技术审查意见的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09"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规划及规划环境影响评价符合性分析</w:t>
            </w:r>
          </w:p>
        </w:tc>
        <w:tc>
          <w:tcPr>
            <w:tcW w:w="7866" w:type="dxa"/>
            <w:gridSpan w:val="3"/>
            <w:vAlign w:val="center"/>
          </w:tcPr>
          <w:p>
            <w:pPr>
              <w:spacing w:before="120" w:beforeLines="50" w:line="360" w:lineRule="auto"/>
              <w:ind w:firstLine="540" w:firstLineChars="224"/>
              <w:rPr>
                <w:b/>
                <w:color w:val="000000"/>
                <w:sz w:val="24"/>
              </w:rPr>
            </w:pPr>
            <w:r>
              <w:rPr>
                <w:rFonts w:hint="eastAsia"/>
                <w:b/>
                <w:color w:val="000000"/>
                <w:sz w:val="24"/>
              </w:rPr>
              <w:t>1、</w:t>
            </w:r>
            <w:r>
              <w:rPr>
                <w:b/>
                <w:color w:val="000000"/>
                <w:sz w:val="24"/>
              </w:rPr>
              <w:t>规划用地相符性分析</w:t>
            </w:r>
          </w:p>
          <w:p>
            <w:pPr>
              <w:spacing w:line="360" w:lineRule="auto"/>
              <w:ind w:firstLine="540" w:firstLineChars="225"/>
              <w:rPr>
                <w:color w:val="0D0D0D" w:themeColor="text1" w:themeTint="F2"/>
                <w:sz w:val="24"/>
                <w14:textFill>
                  <w14:solidFill>
                    <w14:schemeClr w14:val="tx1">
                      <w14:lumMod w14:val="95000"/>
                      <w14:lumOff w14:val="5000"/>
                    </w14:schemeClr>
                  </w14:solidFill>
                </w14:textFill>
              </w:rPr>
            </w:pPr>
            <w:r>
              <w:rPr>
                <w:color w:val="0D0D0D" w:themeColor="text1" w:themeTint="F2"/>
                <w:sz w:val="24"/>
                <w14:textFill>
                  <w14:solidFill>
                    <w14:schemeClr w14:val="tx1">
                      <w14:lumMod w14:val="95000"/>
                      <w14:lumOff w14:val="5000"/>
                    </w14:schemeClr>
                  </w14:solidFill>
                </w14:textFill>
              </w:rPr>
              <w:t>项目东侧</w:t>
            </w:r>
            <w:r>
              <w:rPr>
                <w:rFonts w:hint="eastAsia"/>
                <w:color w:val="0D0D0D" w:themeColor="text1" w:themeTint="F2"/>
                <w:sz w:val="24"/>
                <w14:textFill>
                  <w14:solidFill>
                    <w14:schemeClr w14:val="tx1">
                      <w14:lumMod w14:val="95000"/>
                      <w14:lumOff w14:val="5000"/>
                    </w14:schemeClr>
                  </w14:solidFill>
                </w14:textFill>
              </w:rPr>
              <w:t>为G4211宁芜高速，</w:t>
            </w:r>
            <w:r>
              <w:rPr>
                <w:color w:val="0D0D0D" w:themeColor="text1" w:themeTint="F2"/>
                <w:sz w:val="24"/>
                <w14:textFill>
                  <w14:solidFill>
                    <w14:schemeClr w14:val="tx1">
                      <w14:lumMod w14:val="95000"/>
                      <w14:lumOff w14:val="5000"/>
                    </w14:schemeClr>
                  </w14:solidFill>
                </w14:textFill>
              </w:rPr>
              <w:t>南侧为</w:t>
            </w:r>
            <w:r>
              <w:rPr>
                <w:rFonts w:hint="eastAsia"/>
                <w:color w:val="0D0D0D" w:themeColor="text1" w:themeTint="F2"/>
                <w:sz w:val="24"/>
                <w14:textFill>
                  <w14:solidFill>
                    <w14:schemeClr w14:val="tx1">
                      <w14:lumMod w14:val="95000"/>
                      <w14:lumOff w14:val="5000"/>
                    </w14:schemeClr>
                  </w14:solidFill>
                </w14:textFill>
              </w:rPr>
              <w:t>世源科技（芜湖）新型材料有限公司和芜湖瑞拓电气有限公司，</w:t>
            </w:r>
            <w:r>
              <w:rPr>
                <w:color w:val="0D0D0D" w:themeColor="text1" w:themeTint="F2"/>
                <w:sz w:val="24"/>
                <w14:textFill>
                  <w14:solidFill>
                    <w14:schemeClr w14:val="tx1">
                      <w14:lumMod w14:val="95000"/>
                      <w14:lumOff w14:val="5000"/>
                    </w14:schemeClr>
                  </w14:solidFill>
                </w14:textFill>
              </w:rPr>
              <w:t>西侧为</w:t>
            </w:r>
            <w:r>
              <w:rPr>
                <w:rFonts w:hint="eastAsia"/>
                <w:color w:val="0D0D0D" w:themeColor="text1" w:themeTint="F2"/>
                <w:sz w:val="24"/>
                <w14:textFill>
                  <w14:solidFill>
                    <w14:schemeClr w14:val="tx1">
                      <w14:lumMod w14:val="95000"/>
                      <w14:lumOff w14:val="5000"/>
                    </w14:schemeClr>
                  </w14:solidFill>
                </w14:textFill>
              </w:rPr>
              <w:t>安徽中工科技股份有限公司，</w:t>
            </w:r>
            <w:r>
              <w:rPr>
                <w:color w:val="0D0D0D" w:themeColor="text1" w:themeTint="F2"/>
                <w:sz w:val="24"/>
                <w14:textFill>
                  <w14:solidFill>
                    <w14:schemeClr w14:val="tx1">
                      <w14:lumMod w14:val="95000"/>
                      <w14:lumOff w14:val="5000"/>
                    </w14:schemeClr>
                  </w14:solidFill>
                </w14:textFill>
              </w:rPr>
              <w:t>北侧为</w:t>
            </w:r>
            <w:r>
              <w:rPr>
                <w:rFonts w:hint="eastAsia"/>
                <w:color w:val="0D0D0D" w:themeColor="text1" w:themeTint="F2"/>
                <w:sz w:val="24"/>
                <w14:textFill>
                  <w14:solidFill>
                    <w14:schemeClr w14:val="tx1">
                      <w14:lumMod w14:val="95000"/>
                      <w14:lumOff w14:val="5000"/>
                    </w14:schemeClr>
                  </w14:solidFill>
                </w14:textFill>
              </w:rPr>
              <w:t>空置厂房。</w:t>
            </w:r>
            <w:r>
              <w:rPr>
                <w:color w:val="0D0D0D" w:themeColor="text1" w:themeTint="F2"/>
                <w:sz w:val="24"/>
                <w14:textFill>
                  <w14:solidFill>
                    <w14:schemeClr w14:val="tx1">
                      <w14:lumMod w14:val="95000"/>
                      <w14:lumOff w14:val="5000"/>
                    </w14:schemeClr>
                  </w14:solidFill>
                </w14:textFill>
              </w:rPr>
              <w:t>根据</w:t>
            </w:r>
            <w:r>
              <w:rPr>
                <w:rFonts w:hint="eastAsia" w:cs="宋体"/>
                <w:bCs/>
                <w:kern w:val="0"/>
                <w:sz w:val="24"/>
              </w:rPr>
              <w:t>芜湖恒驰钢构有限公司土地证（附件</w:t>
            </w:r>
            <w:r>
              <w:rPr>
                <w:rFonts w:hint="eastAsia" w:cs="宋体"/>
                <w:bCs/>
                <w:color w:val="0D0D0D" w:themeColor="text1" w:themeTint="F2"/>
                <w:kern w:val="0"/>
                <w:sz w:val="24"/>
                <w14:textFill>
                  <w14:solidFill>
                    <w14:schemeClr w14:val="tx1">
                      <w14:lumMod w14:val="95000"/>
                      <w14:lumOff w14:val="5000"/>
                    </w14:schemeClr>
                  </w14:solidFill>
                </w14:textFill>
              </w:rPr>
              <w:t>6）</w:t>
            </w:r>
            <w:r>
              <w:rPr>
                <w:rFonts w:hint="eastAsia"/>
                <w:color w:val="0D0D0D" w:themeColor="text1" w:themeTint="F2"/>
                <w:sz w:val="24"/>
                <w14:textFill>
                  <w14:solidFill>
                    <w14:schemeClr w14:val="tx1">
                      <w14:lumMod w14:val="95000"/>
                      <w14:lumOff w14:val="5000"/>
                    </w14:schemeClr>
                  </w14:solidFill>
                </w14:textFill>
              </w:rPr>
              <w:t>，项目区土地性质为工业用地，</w:t>
            </w:r>
            <w:r>
              <w:rPr>
                <w:bCs/>
                <w:color w:val="000000"/>
                <w:sz w:val="24"/>
              </w:rPr>
              <w:t>且本项目未被列入国土资源部国家发展和改革委员会关于发布实施《限制用地项目目录（2012年本）》和《禁止用地项目目录（2012年</w:t>
            </w:r>
            <w:r>
              <w:rPr>
                <w:bCs/>
                <w:color w:val="0D0D0D" w:themeColor="text1" w:themeTint="F2"/>
                <w:sz w:val="24"/>
                <w14:textFill>
                  <w14:solidFill>
                    <w14:schemeClr w14:val="tx1">
                      <w14:lumMod w14:val="95000"/>
                      <w14:lumOff w14:val="5000"/>
                    </w14:schemeClr>
                  </w14:solidFill>
                </w14:textFill>
              </w:rPr>
              <w:t>本）》。</w:t>
            </w:r>
            <w:r>
              <w:rPr>
                <w:rFonts w:hint="eastAsia"/>
                <w:color w:val="0D0D0D" w:themeColor="text1" w:themeTint="F2"/>
                <w:sz w:val="24"/>
                <w14:textFill>
                  <w14:solidFill>
                    <w14:schemeClr w14:val="tx1">
                      <w14:lumMod w14:val="95000"/>
                      <w14:lumOff w14:val="5000"/>
                    </w14:schemeClr>
                  </w14:solidFill>
                </w14:textFill>
              </w:rPr>
              <w:t>因此</w:t>
            </w:r>
            <w:r>
              <w:rPr>
                <w:color w:val="0D0D0D" w:themeColor="text1" w:themeTint="F2"/>
                <w:sz w:val="24"/>
                <w14:textFill>
                  <w14:solidFill>
                    <w14:schemeClr w14:val="tx1">
                      <w14:lumMod w14:val="95000"/>
                      <w14:lumOff w14:val="5000"/>
                    </w14:schemeClr>
                  </w14:solidFill>
                </w14:textFill>
              </w:rPr>
              <w:t>，建设项目与区域规划相符，与用地性质相符。</w:t>
            </w:r>
          </w:p>
          <w:p>
            <w:pPr>
              <w:widowControl/>
              <w:spacing w:line="360" w:lineRule="auto"/>
              <w:ind w:firstLine="482" w:firstLineChars="200"/>
              <w:jc w:val="left"/>
              <w:rPr>
                <w:b/>
                <w:bCs/>
                <w:color w:val="000000"/>
                <w:kern w:val="0"/>
                <w:sz w:val="24"/>
              </w:rPr>
            </w:pPr>
            <w:r>
              <w:rPr>
                <w:rFonts w:hint="eastAsia"/>
                <w:b/>
                <w:bCs/>
                <w:color w:val="000000"/>
                <w:kern w:val="0"/>
                <w:sz w:val="24"/>
              </w:rPr>
              <w:t>2、</w:t>
            </w:r>
            <w:r>
              <w:rPr>
                <w:b/>
                <w:bCs/>
                <w:color w:val="000000"/>
                <w:kern w:val="0"/>
                <w:sz w:val="24"/>
              </w:rPr>
              <w:t>与</w:t>
            </w:r>
            <w:r>
              <w:rPr>
                <w:rFonts w:hint="eastAsia"/>
                <w:b/>
                <w:bCs/>
                <w:color w:val="000000"/>
                <w:kern w:val="0"/>
                <w:sz w:val="24"/>
              </w:rPr>
              <w:t>规划环评</w:t>
            </w:r>
            <w:r>
              <w:rPr>
                <w:b/>
                <w:bCs/>
                <w:color w:val="000000"/>
                <w:kern w:val="0"/>
                <w:sz w:val="24"/>
              </w:rPr>
              <w:t>及其审查意</w:t>
            </w:r>
            <w:r>
              <w:rPr>
                <w:rFonts w:hint="eastAsia"/>
                <w:b/>
                <w:bCs/>
                <w:color w:val="000000"/>
                <w:kern w:val="0"/>
                <w:sz w:val="24"/>
              </w:rPr>
              <w:t>见</w:t>
            </w:r>
            <w:r>
              <w:rPr>
                <w:b/>
                <w:bCs/>
                <w:color w:val="000000"/>
                <w:kern w:val="0"/>
                <w:sz w:val="24"/>
              </w:rPr>
              <w:t>相符性分析</w:t>
            </w:r>
          </w:p>
          <w:p>
            <w:pPr>
              <w:spacing w:line="360" w:lineRule="auto"/>
              <w:ind w:firstLine="480" w:firstLineChars="200"/>
              <w:rPr>
                <w:color w:val="000000"/>
                <w:sz w:val="24"/>
              </w:rPr>
            </w:pPr>
            <w:r>
              <w:rPr>
                <w:rFonts w:hint="eastAsia"/>
                <w:color w:val="000000"/>
                <w:sz w:val="24"/>
              </w:rPr>
              <w:t>根据《安徽芜湖鸠江经济开发区总体发展规划环境影响跟踪评价报告书》，将安徽芜湖鸠江经济开发区扩展为“一区五园”五个部分，即开发区东区、电器部件工业园、桥北工业园、沈巷片区、二坝片区。根据安徽省环保厅皖环函[2013]999 号文的批复：本次规划环评跟踪评价范围为“一区两园”：鸠江经济开发区东区、电器部件工业园、桥北工业园范围（即原批复的2.83平方公里+扩区12.316平方公里），总规划面积15.146平方公里，不含远景展望的鸠江经济开发区东区、沈巷和二坝片区。其中鸠江区经济开发区东区位于鸠江区东部，四至范围为：东至青山河；南至万春路；西至九华北路；北至官陡门路、飞翔路，用地面积12.7km</w:t>
            </w:r>
            <w:r>
              <w:rPr>
                <w:rFonts w:hint="eastAsia"/>
                <w:color w:val="000000"/>
                <w:sz w:val="24"/>
                <w:vertAlign w:val="superscript"/>
              </w:rPr>
              <w:t>2</w:t>
            </w:r>
            <w:r>
              <w:rPr>
                <w:rFonts w:hint="eastAsia"/>
                <w:color w:val="000000"/>
                <w:sz w:val="24"/>
              </w:rPr>
              <w:t>。</w:t>
            </w:r>
          </w:p>
          <w:p>
            <w:pPr>
              <w:spacing w:line="360" w:lineRule="auto"/>
              <w:ind w:firstLine="480" w:firstLineChars="200"/>
              <w:rPr>
                <w:color w:val="000000"/>
                <w:sz w:val="24"/>
              </w:rPr>
            </w:pPr>
            <w:r>
              <w:rPr>
                <w:rFonts w:hint="eastAsia"/>
                <w:color w:val="000000"/>
                <w:sz w:val="24"/>
              </w:rPr>
              <w:t>根据现行国家产业政策、行业发展规划及行业准入要求，结合区域资源环境承载力综合分析，《安徽芜湖鸠江经济开发区总体发展规划环境影响跟踪评价报告书》对芜湖鸠江经济开发区东区后续规划实施提出产业发展负面清单及环境准入要求。</w:t>
            </w:r>
          </w:p>
          <w:p>
            <w:pPr>
              <w:jc w:val="center"/>
              <w:rPr>
                <w:rFonts w:cs="Arial"/>
                <w:b/>
                <w:color w:val="000000"/>
                <w:kern w:val="0"/>
                <w:sz w:val="24"/>
                <w:shd w:val="clear" w:color="auto" w:fill="FFFFFF"/>
              </w:rPr>
            </w:pPr>
            <w:r>
              <w:rPr>
                <w:rFonts w:cs="Arial"/>
                <w:b/>
                <w:color w:val="000000"/>
                <w:kern w:val="0"/>
                <w:sz w:val="24"/>
                <w:shd w:val="clear" w:color="auto" w:fill="FFFFFF"/>
              </w:rPr>
              <w:t>表</w:t>
            </w:r>
            <w:r>
              <w:rPr>
                <w:rFonts w:hint="eastAsia" w:cs="Arial"/>
                <w:b/>
                <w:color w:val="000000"/>
                <w:kern w:val="0"/>
                <w:sz w:val="24"/>
                <w:shd w:val="clear" w:color="auto" w:fill="FFFFFF"/>
              </w:rPr>
              <w:t>1</w:t>
            </w:r>
            <w:r>
              <w:rPr>
                <w:rFonts w:cs="Arial"/>
                <w:b/>
                <w:color w:val="000000"/>
                <w:kern w:val="0"/>
                <w:sz w:val="24"/>
                <w:shd w:val="clear" w:color="auto" w:fill="FFFFFF"/>
              </w:rPr>
              <w:t>-</w:t>
            </w:r>
            <w:r>
              <w:rPr>
                <w:rFonts w:hint="eastAsia" w:cs="Arial"/>
                <w:b/>
                <w:color w:val="000000"/>
                <w:kern w:val="0"/>
                <w:sz w:val="24"/>
                <w:shd w:val="clear" w:color="auto" w:fill="FFFFFF"/>
              </w:rPr>
              <w:t xml:space="preserve">1 </w:t>
            </w:r>
            <w:r>
              <w:rPr>
                <w:rFonts w:cs="Arial"/>
                <w:b/>
                <w:color w:val="000000"/>
                <w:kern w:val="0"/>
                <w:sz w:val="24"/>
                <w:shd w:val="clear" w:color="auto" w:fill="FFFFFF"/>
              </w:rPr>
              <w:t xml:space="preserve"> </w:t>
            </w:r>
            <w:r>
              <w:rPr>
                <w:rFonts w:hint="eastAsia" w:cs="Arial"/>
                <w:b/>
                <w:color w:val="000000"/>
                <w:kern w:val="0"/>
                <w:sz w:val="24"/>
                <w:shd w:val="clear" w:color="auto" w:fill="FFFFFF"/>
              </w:rPr>
              <w:t>产业发展负面清单</w:t>
            </w:r>
          </w:p>
          <w:tbl>
            <w:tblPr>
              <w:tblStyle w:val="58"/>
              <w:tblW w:w="500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51"/>
              <w:gridCol w:w="6669"/>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624" w:type="pct"/>
                  <w:shd w:val="clear" w:color="auto" w:fill="auto"/>
                  <w:vAlign w:val="center"/>
                </w:tcPr>
                <w:p>
                  <w:pPr>
                    <w:jc w:val="center"/>
                    <w:rPr>
                      <w:b/>
                      <w:szCs w:val="21"/>
                    </w:rPr>
                  </w:pPr>
                  <w:r>
                    <w:rPr>
                      <w:b/>
                      <w:szCs w:val="21"/>
                    </w:rPr>
                    <w:t>类别</w:t>
                  </w:r>
                </w:p>
              </w:tc>
              <w:tc>
                <w:tcPr>
                  <w:tcW w:w="4375" w:type="pct"/>
                  <w:shd w:val="clear" w:color="auto" w:fill="auto"/>
                  <w:vAlign w:val="center"/>
                </w:tcPr>
                <w:p>
                  <w:pPr>
                    <w:jc w:val="center"/>
                    <w:rPr>
                      <w:b/>
                      <w:szCs w:val="21"/>
                    </w:rPr>
                  </w:pPr>
                  <w:r>
                    <w:rPr>
                      <w:b/>
                      <w:szCs w:val="21"/>
                    </w:rPr>
                    <w:t>发展要求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624" w:type="pct"/>
                  <w:vMerge w:val="restart"/>
                  <w:shd w:val="clear" w:color="auto" w:fill="auto"/>
                  <w:vAlign w:val="center"/>
                </w:tcPr>
                <w:p>
                  <w:pPr>
                    <w:jc w:val="center"/>
                    <w:rPr>
                      <w:szCs w:val="21"/>
                    </w:rPr>
                  </w:pPr>
                  <w:r>
                    <w:rPr>
                      <w:szCs w:val="21"/>
                    </w:rPr>
                    <w:t>禁止类</w:t>
                  </w:r>
                </w:p>
              </w:tc>
              <w:tc>
                <w:tcPr>
                  <w:tcW w:w="4375" w:type="pct"/>
                  <w:shd w:val="clear" w:color="auto" w:fill="auto"/>
                  <w:vAlign w:val="center"/>
                </w:tcPr>
                <w:p>
                  <w:pPr>
                    <w:jc w:val="left"/>
                    <w:rPr>
                      <w:szCs w:val="21"/>
                    </w:rPr>
                  </w:pPr>
                  <w:r>
                    <w:rPr>
                      <w:rFonts w:hint="eastAsia" w:ascii="宋体" w:hAnsi="宋体" w:cs="宋体"/>
                      <w:szCs w:val="21"/>
                    </w:rPr>
                    <w:t>①</w:t>
                  </w:r>
                  <w:r>
                    <w:rPr>
                      <w:szCs w:val="21"/>
                    </w:rPr>
                    <w:t>《产业结构调整指导目录（2019年本）》中落后生产工艺装备、落后产品生产项目；</w:t>
                  </w:r>
                </w:p>
                <w:p>
                  <w:pPr>
                    <w:jc w:val="left"/>
                    <w:rPr>
                      <w:szCs w:val="21"/>
                    </w:rPr>
                  </w:pPr>
                  <w:r>
                    <w:rPr>
                      <w:rFonts w:hint="eastAsia" w:ascii="宋体" w:hAnsi="宋体" w:cs="宋体"/>
                      <w:szCs w:val="21"/>
                    </w:rPr>
                    <w:t>②</w:t>
                  </w:r>
                  <w:r>
                    <w:rPr>
                      <w:szCs w:val="21"/>
                    </w:rPr>
                    <w:t>不符合国家和安徽省产业政策的项目；</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Ex>
              <w:trPr>
                <w:trHeight w:val="340" w:hRule="atLeast"/>
                <w:jc w:val="center"/>
              </w:trPr>
              <w:tc>
                <w:tcPr>
                  <w:tcW w:w="624" w:type="pct"/>
                  <w:vMerge w:val="continue"/>
                  <w:shd w:val="clear" w:color="auto" w:fill="auto"/>
                  <w:vAlign w:val="center"/>
                </w:tcPr>
                <w:p>
                  <w:pPr>
                    <w:jc w:val="center"/>
                    <w:rPr>
                      <w:szCs w:val="21"/>
                    </w:rPr>
                  </w:pPr>
                </w:p>
              </w:tc>
              <w:tc>
                <w:tcPr>
                  <w:tcW w:w="4375" w:type="pct"/>
                  <w:shd w:val="clear" w:color="auto" w:fill="auto"/>
                  <w:vAlign w:val="center"/>
                </w:tcPr>
                <w:p>
                  <w:pPr>
                    <w:jc w:val="left"/>
                    <w:rPr>
                      <w:szCs w:val="21"/>
                    </w:rPr>
                  </w:pPr>
                  <w:r>
                    <w:rPr>
                      <w:rFonts w:hint="eastAsia" w:ascii="宋体" w:hAnsi="宋体" w:cs="宋体"/>
                      <w:szCs w:val="21"/>
                    </w:rPr>
                    <w:t>①</w:t>
                  </w:r>
                  <w:r>
                    <w:rPr>
                      <w:szCs w:val="21"/>
                    </w:rPr>
                    <w:t>煤化工、冶金、钢铁、铁合金等行业项目；</w:t>
                  </w:r>
                </w:p>
                <w:p>
                  <w:pPr>
                    <w:jc w:val="left"/>
                    <w:rPr>
                      <w:szCs w:val="21"/>
                    </w:rPr>
                  </w:pPr>
                  <w:r>
                    <w:rPr>
                      <w:rFonts w:hint="eastAsia" w:ascii="宋体" w:hAnsi="宋体" w:cs="宋体"/>
                      <w:szCs w:val="21"/>
                    </w:rPr>
                    <w:t>②</w:t>
                  </w:r>
                  <w:r>
                    <w:rPr>
                      <w:szCs w:val="21"/>
                    </w:rPr>
                    <w:t>水泥、焦炭、有色冶炼、工业硅、金刚砂等高耗能、高污染项目；</w:t>
                  </w:r>
                </w:p>
                <w:p>
                  <w:pPr>
                    <w:jc w:val="left"/>
                    <w:rPr>
                      <w:szCs w:val="21"/>
                    </w:rPr>
                  </w:pPr>
                  <w:r>
                    <w:rPr>
                      <w:rFonts w:hint="eastAsia" w:ascii="宋体" w:hAnsi="宋体" w:cs="宋体"/>
                      <w:szCs w:val="21"/>
                    </w:rPr>
                    <w:t>③</w:t>
                  </w:r>
                  <w:r>
                    <w:rPr>
                      <w:szCs w:val="21"/>
                    </w:rPr>
                    <w:t>使用燃煤、重油、生物质燃料等高污染燃料设施；</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624" w:type="pct"/>
                  <w:vMerge w:val="continue"/>
                  <w:shd w:val="clear" w:color="auto" w:fill="auto"/>
                  <w:vAlign w:val="center"/>
                </w:tcPr>
                <w:p>
                  <w:pPr>
                    <w:jc w:val="center"/>
                    <w:rPr>
                      <w:szCs w:val="21"/>
                    </w:rPr>
                  </w:pPr>
                </w:p>
              </w:tc>
              <w:tc>
                <w:tcPr>
                  <w:tcW w:w="4375" w:type="pct"/>
                  <w:shd w:val="clear" w:color="auto" w:fill="auto"/>
                  <w:vAlign w:val="center"/>
                </w:tcPr>
                <w:p>
                  <w:pPr>
                    <w:jc w:val="left"/>
                    <w:rPr>
                      <w:szCs w:val="21"/>
                    </w:rPr>
                  </w:pPr>
                  <w:r>
                    <w:rPr>
                      <w:szCs w:val="21"/>
                    </w:rPr>
                    <w:t>制浆造纸、制革及毛皮鞣制、印染等项目；涉及铅、铬、镉、汞、砷等重金属污染物排放的相关项目；</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624" w:type="pct"/>
                  <w:vMerge w:val="continue"/>
                  <w:shd w:val="clear" w:color="auto" w:fill="auto"/>
                  <w:vAlign w:val="center"/>
                </w:tcPr>
                <w:p>
                  <w:pPr>
                    <w:jc w:val="center"/>
                    <w:rPr>
                      <w:szCs w:val="21"/>
                    </w:rPr>
                  </w:pPr>
                </w:p>
              </w:tc>
              <w:tc>
                <w:tcPr>
                  <w:tcW w:w="4375" w:type="pct"/>
                  <w:shd w:val="clear" w:color="auto" w:fill="auto"/>
                  <w:vAlign w:val="center"/>
                </w:tcPr>
                <w:p>
                  <w:pPr>
                    <w:jc w:val="left"/>
                    <w:rPr>
                      <w:szCs w:val="21"/>
                    </w:rPr>
                  </w:pPr>
                  <w:r>
                    <w:rPr>
                      <w:szCs w:val="21"/>
                    </w:rPr>
                    <w:t>易燃、易爆和剧毒等危险品物流项目，重大危险源项目。</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624" w:type="pct"/>
                  <w:shd w:val="clear" w:color="auto" w:fill="auto"/>
                  <w:vAlign w:val="center"/>
                </w:tcPr>
                <w:p>
                  <w:pPr>
                    <w:jc w:val="center"/>
                    <w:rPr>
                      <w:szCs w:val="21"/>
                    </w:rPr>
                  </w:pPr>
                  <w:r>
                    <w:rPr>
                      <w:szCs w:val="21"/>
                    </w:rPr>
                    <w:t>限制类</w:t>
                  </w:r>
                </w:p>
              </w:tc>
              <w:tc>
                <w:tcPr>
                  <w:tcW w:w="4375" w:type="pct"/>
                  <w:shd w:val="clear" w:color="auto" w:fill="auto"/>
                  <w:vAlign w:val="center"/>
                </w:tcPr>
                <w:p>
                  <w:pPr>
                    <w:jc w:val="left"/>
                    <w:rPr>
                      <w:szCs w:val="21"/>
                    </w:rPr>
                  </w:pPr>
                  <w:r>
                    <w:rPr>
                      <w:rFonts w:hint="eastAsia" w:ascii="宋体" w:hAnsi="宋体" w:cs="宋体"/>
                      <w:szCs w:val="21"/>
                    </w:rPr>
                    <w:t>①</w:t>
                  </w:r>
                  <w:r>
                    <w:rPr>
                      <w:szCs w:val="21"/>
                    </w:rPr>
                    <w:t>限制用水效益低、耗水高的产业发展；</w:t>
                  </w:r>
                </w:p>
                <w:p>
                  <w:pPr>
                    <w:jc w:val="left"/>
                    <w:rPr>
                      <w:szCs w:val="21"/>
                    </w:rPr>
                  </w:pPr>
                  <w:r>
                    <w:rPr>
                      <w:rFonts w:hint="eastAsia" w:ascii="宋体" w:hAnsi="宋体" w:cs="宋体"/>
                      <w:szCs w:val="21"/>
                    </w:rPr>
                    <w:t>②</w:t>
                  </w:r>
                  <w:r>
                    <w:rPr>
                      <w:szCs w:val="21"/>
                    </w:rPr>
                    <w:t>污染较重，对城区大气环境造成较大影响的项目。</w:t>
                  </w:r>
                </w:p>
              </w:tc>
            </w:tr>
          </w:tbl>
          <w:p>
            <w:pPr>
              <w:spacing w:line="360" w:lineRule="auto"/>
              <w:ind w:firstLine="540" w:firstLineChars="225"/>
              <w:rPr>
                <w:color w:val="000000"/>
                <w:sz w:val="24"/>
              </w:rPr>
            </w:pPr>
            <w:r>
              <w:rPr>
                <w:color w:val="000000"/>
                <w:sz w:val="24"/>
              </w:rPr>
              <w:t>本项目位于芜湖鸠江经济开发区东区，根据规划环境影响跟踪评价报告书提出的产业发展负面清单，本项目产品为</w:t>
            </w:r>
            <w:r>
              <w:rPr>
                <w:rFonts w:hint="eastAsia"/>
                <w:color w:val="000000"/>
                <w:sz w:val="24"/>
              </w:rPr>
              <w:t>焊接、型材构件、冷弯薄壁构件以及冷弯复合墙板和屋面板，为金属结构</w:t>
            </w:r>
            <w:r>
              <w:rPr>
                <w:color w:val="000000"/>
                <w:sz w:val="24"/>
              </w:rPr>
              <w:t>制造行业，本项目不属于开发区规划跟踪环评禁止和限制发展的产业类别，符合开发区规划环评跟踪评价要求。</w:t>
            </w:r>
          </w:p>
          <w:p>
            <w:pPr>
              <w:widowControl/>
              <w:spacing w:line="360" w:lineRule="auto"/>
              <w:ind w:firstLine="480" w:firstLineChars="200"/>
              <w:jc w:val="left"/>
              <w:rPr>
                <w:color w:val="000000"/>
                <w:kern w:val="0"/>
                <w:szCs w:val="21"/>
              </w:rPr>
            </w:pPr>
            <w:r>
              <w:rPr>
                <w:rFonts w:hint="eastAsia"/>
                <w:color w:val="000000"/>
                <w:kern w:val="0"/>
                <w:sz w:val="24"/>
              </w:rPr>
              <w:t>项目与安徽芜湖鸠江经济开发区总体发展规划环境影响跟踪评价报告书审查意见符合性分析见下表</w:t>
            </w:r>
            <w:r>
              <w:rPr>
                <w:color w:val="000000"/>
                <w:kern w:val="0"/>
                <w:sz w:val="24"/>
              </w:rPr>
              <w:t>：</w:t>
            </w:r>
          </w:p>
          <w:p>
            <w:pPr>
              <w:jc w:val="center"/>
              <w:rPr>
                <w:rFonts w:cs="Arial"/>
                <w:b/>
                <w:color w:val="000000"/>
                <w:kern w:val="0"/>
                <w:sz w:val="24"/>
                <w:shd w:val="clear" w:color="auto" w:fill="FFFFFF"/>
              </w:rPr>
            </w:pPr>
            <w:r>
              <w:rPr>
                <w:rFonts w:cs="Arial"/>
                <w:b/>
                <w:color w:val="000000"/>
                <w:kern w:val="0"/>
                <w:sz w:val="24"/>
                <w:shd w:val="clear" w:color="auto" w:fill="FFFFFF"/>
              </w:rPr>
              <w:t>表1-</w:t>
            </w:r>
            <w:r>
              <w:rPr>
                <w:rFonts w:hint="eastAsia" w:cs="Arial"/>
                <w:b/>
                <w:color w:val="000000"/>
                <w:kern w:val="0"/>
                <w:sz w:val="24"/>
                <w:shd w:val="clear" w:color="auto" w:fill="FFFFFF"/>
              </w:rPr>
              <w:t xml:space="preserve">2 </w:t>
            </w:r>
            <w:r>
              <w:rPr>
                <w:rFonts w:cs="Arial"/>
                <w:b/>
                <w:color w:val="000000"/>
                <w:kern w:val="0"/>
                <w:sz w:val="24"/>
                <w:shd w:val="clear" w:color="auto" w:fill="FFFFFF"/>
              </w:rPr>
              <w:t xml:space="preserve"> </w:t>
            </w:r>
            <w:r>
              <w:rPr>
                <w:rFonts w:hint="eastAsia" w:cs="Arial"/>
                <w:b/>
                <w:color w:val="000000"/>
                <w:kern w:val="0"/>
                <w:sz w:val="24"/>
                <w:shd w:val="clear" w:color="auto" w:fill="FFFFFF"/>
              </w:rPr>
              <w:t>本</w:t>
            </w:r>
            <w:r>
              <w:rPr>
                <w:rFonts w:cs="Arial"/>
                <w:b/>
                <w:color w:val="000000"/>
                <w:kern w:val="0"/>
                <w:sz w:val="24"/>
                <w:shd w:val="clear" w:color="auto" w:fill="FFFFFF"/>
              </w:rPr>
              <w:t>项目与</w:t>
            </w:r>
            <w:r>
              <w:rPr>
                <w:rFonts w:hint="eastAsia"/>
                <w:b/>
                <w:color w:val="000000"/>
                <w:kern w:val="0"/>
                <w:sz w:val="24"/>
              </w:rPr>
              <w:t>《</w:t>
            </w:r>
            <w:r>
              <w:rPr>
                <w:rFonts w:hint="eastAsia" w:cs="宋体"/>
                <w:b/>
                <w:color w:val="000000"/>
                <w:kern w:val="0"/>
                <w:sz w:val="24"/>
              </w:rPr>
              <w:t>安徽芜湖鸠江经济开发区总体发展规划环境影响跟踪评价报告书技术审查意见的函</w:t>
            </w:r>
            <w:r>
              <w:rPr>
                <w:rFonts w:hint="eastAsia"/>
                <w:b/>
                <w:color w:val="000000"/>
                <w:kern w:val="0"/>
                <w:sz w:val="24"/>
              </w:rPr>
              <w:t>》</w:t>
            </w:r>
            <w:r>
              <w:rPr>
                <w:rFonts w:cs="Arial"/>
                <w:b/>
                <w:color w:val="000000"/>
                <w:kern w:val="0"/>
                <w:sz w:val="24"/>
                <w:shd w:val="clear" w:color="auto" w:fill="FFFFFF"/>
              </w:rPr>
              <w:t>相符性分析一览表</w:t>
            </w:r>
          </w:p>
          <w:tbl>
            <w:tblPr>
              <w:tblStyle w:val="58"/>
              <w:tblW w:w="5000" w:type="pct"/>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510"/>
              <w:gridCol w:w="4059"/>
              <w:gridCol w:w="2411"/>
              <w:gridCol w:w="670"/>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ind w:left="-105" w:leftChars="-50" w:right="-105" w:rightChars="-50"/>
                    <w:jc w:val="center"/>
                    <w:rPr>
                      <w:b/>
                      <w:color w:val="000000"/>
                      <w:kern w:val="0"/>
                      <w:szCs w:val="21"/>
                    </w:rPr>
                  </w:pPr>
                  <w:r>
                    <w:rPr>
                      <w:b/>
                      <w:color w:val="000000"/>
                      <w:kern w:val="0"/>
                      <w:szCs w:val="21"/>
                    </w:rPr>
                    <w:t>序号</w:t>
                  </w:r>
                </w:p>
              </w:tc>
              <w:tc>
                <w:tcPr>
                  <w:tcW w:w="2653" w:type="pct"/>
                  <w:shd w:val="clear" w:color="auto" w:fill="auto"/>
                  <w:vAlign w:val="center"/>
                </w:tcPr>
                <w:p>
                  <w:pPr>
                    <w:widowControl/>
                    <w:ind w:left="-105" w:leftChars="-50" w:right="-105" w:rightChars="-50"/>
                    <w:jc w:val="center"/>
                    <w:rPr>
                      <w:b/>
                      <w:color w:val="000000"/>
                      <w:kern w:val="0"/>
                      <w:szCs w:val="21"/>
                    </w:rPr>
                  </w:pPr>
                  <w:r>
                    <w:rPr>
                      <w:b/>
                      <w:color w:val="000000"/>
                      <w:kern w:val="0"/>
                      <w:szCs w:val="21"/>
                    </w:rPr>
                    <w:t>规划环评及其审查意见</w:t>
                  </w:r>
                </w:p>
              </w:tc>
              <w:tc>
                <w:tcPr>
                  <w:tcW w:w="1576" w:type="pct"/>
                  <w:shd w:val="clear" w:color="auto" w:fill="auto"/>
                  <w:vAlign w:val="center"/>
                </w:tcPr>
                <w:p>
                  <w:pPr>
                    <w:widowControl/>
                    <w:ind w:left="-105" w:leftChars="-50" w:right="-105" w:rightChars="-50"/>
                    <w:jc w:val="center"/>
                    <w:rPr>
                      <w:b/>
                      <w:color w:val="000000"/>
                      <w:kern w:val="0"/>
                      <w:szCs w:val="21"/>
                    </w:rPr>
                  </w:pPr>
                  <w:r>
                    <w:rPr>
                      <w:b/>
                      <w:color w:val="000000"/>
                      <w:kern w:val="0"/>
                      <w:szCs w:val="21"/>
                    </w:rPr>
                    <w:t>本项目情况</w:t>
                  </w:r>
                </w:p>
              </w:tc>
              <w:tc>
                <w:tcPr>
                  <w:tcW w:w="438" w:type="pct"/>
                  <w:shd w:val="clear" w:color="auto" w:fill="auto"/>
                  <w:vAlign w:val="center"/>
                </w:tcPr>
                <w:p>
                  <w:pPr>
                    <w:widowControl/>
                    <w:ind w:left="-105" w:leftChars="-50" w:right="-105" w:rightChars="-50"/>
                    <w:jc w:val="center"/>
                    <w:rPr>
                      <w:b/>
                      <w:color w:val="000000"/>
                      <w:kern w:val="0"/>
                      <w:szCs w:val="21"/>
                    </w:rPr>
                  </w:pPr>
                  <w:r>
                    <w:rPr>
                      <w:b/>
                      <w:color w:val="000000"/>
                      <w:kern w:val="0"/>
                      <w:szCs w:val="21"/>
                    </w:rPr>
                    <w:t>符合性</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color w:val="000000"/>
                      <w:kern w:val="0"/>
                      <w:szCs w:val="21"/>
                    </w:rPr>
                    <w:t>1</w:t>
                  </w:r>
                </w:p>
              </w:tc>
              <w:tc>
                <w:tcPr>
                  <w:tcW w:w="2653" w:type="pct"/>
                  <w:shd w:val="clear" w:color="auto" w:fill="auto"/>
                  <w:vAlign w:val="center"/>
                </w:tcPr>
                <w:p>
                  <w:pPr>
                    <w:widowControl/>
                    <w:jc w:val="center"/>
                    <w:rPr>
                      <w:color w:val="000000"/>
                      <w:kern w:val="0"/>
                      <w:szCs w:val="21"/>
                    </w:rPr>
                  </w:pPr>
                  <w:r>
                    <w:rPr>
                      <w:rFonts w:hint="eastAsia"/>
                      <w:color w:val="000000"/>
                      <w:kern w:val="0"/>
                      <w:szCs w:val="21"/>
                    </w:rPr>
                    <w:t>《规划》应坚持高质量发展、协调发展理念，进一步优化用地布局，合理、集约、高效利用土地资源。着力拖动开发区产业转型升级，促进实现产业发展与生态环境保护、人居环境安全相协调。</w:t>
                  </w:r>
                </w:p>
              </w:tc>
              <w:tc>
                <w:tcPr>
                  <w:tcW w:w="1576" w:type="pct"/>
                  <w:shd w:val="clear" w:color="auto" w:fill="auto"/>
                  <w:vAlign w:val="center"/>
                </w:tcPr>
                <w:p>
                  <w:pPr>
                    <w:widowControl/>
                    <w:jc w:val="center"/>
                    <w:rPr>
                      <w:color w:val="000000"/>
                      <w:kern w:val="0"/>
                      <w:szCs w:val="21"/>
                    </w:rPr>
                  </w:pPr>
                  <w:r>
                    <w:rPr>
                      <w:color w:val="000000"/>
                      <w:kern w:val="0"/>
                      <w:szCs w:val="21"/>
                    </w:rPr>
                    <w:t>本项目位于安徽芜湖鸠江经济开发区总体发展规划环境影响评价确定的评价范围内，即鸠江经济开发区东区：青山河以西，万春路以北、九华北路以东，官陡门路、飞翔路以南的12.7km</w:t>
                  </w:r>
                  <w:r>
                    <w:rPr>
                      <w:color w:val="000000"/>
                      <w:kern w:val="0"/>
                      <w:szCs w:val="21"/>
                      <w:vertAlign w:val="superscript"/>
                    </w:rPr>
                    <w:t>2</w:t>
                  </w:r>
                  <w:r>
                    <w:rPr>
                      <w:color w:val="000000"/>
                      <w:kern w:val="0"/>
                      <w:szCs w:val="21"/>
                    </w:rPr>
                    <w:t>用地范围内，属于规划的工业用地</w:t>
                  </w:r>
                </w:p>
              </w:tc>
              <w:tc>
                <w:tcPr>
                  <w:tcW w:w="438" w:type="pct"/>
                  <w:shd w:val="clear" w:color="auto" w:fill="auto"/>
                  <w:vAlign w:val="center"/>
                </w:tcPr>
                <w:p>
                  <w:pPr>
                    <w:widowControl/>
                    <w:jc w:val="center"/>
                    <w:rPr>
                      <w:color w:val="000000"/>
                      <w:kern w:val="0"/>
                      <w:szCs w:val="21"/>
                    </w:rPr>
                  </w:pPr>
                  <w:r>
                    <w:rPr>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color w:val="000000"/>
                      <w:kern w:val="0"/>
                      <w:szCs w:val="21"/>
                    </w:rPr>
                    <w:t>2</w:t>
                  </w:r>
                </w:p>
              </w:tc>
              <w:tc>
                <w:tcPr>
                  <w:tcW w:w="2653" w:type="pct"/>
                  <w:shd w:val="clear" w:color="auto" w:fill="auto"/>
                  <w:vAlign w:val="center"/>
                </w:tcPr>
                <w:p>
                  <w:pPr>
                    <w:widowControl/>
                    <w:jc w:val="center"/>
                    <w:rPr>
                      <w:color w:val="000000"/>
                      <w:kern w:val="0"/>
                      <w:szCs w:val="21"/>
                    </w:rPr>
                  </w:pPr>
                  <w:r>
                    <w:rPr>
                      <w:rFonts w:hint="eastAsia"/>
                      <w:color w:val="000000"/>
                      <w:kern w:val="0"/>
                      <w:szCs w:val="21"/>
                    </w:rPr>
                    <w:t>严格空间管控，强化生态系统整体性保护，进一步优化开发区内的空间布局，加强区内河道、绿地等生态空间保护，加快落实外居住与工业布局管控要求。</w:t>
                  </w:r>
                </w:p>
              </w:tc>
              <w:tc>
                <w:tcPr>
                  <w:tcW w:w="1576" w:type="pct"/>
                  <w:shd w:val="clear" w:color="auto" w:fill="auto"/>
                  <w:vAlign w:val="center"/>
                </w:tcPr>
                <w:p>
                  <w:pPr>
                    <w:widowControl/>
                    <w:jc w:val="center"/>
                    <w:rPr>
                      <w:color w:val="000000"/>
                      <w:kern w:val="0"/>
                      <w:szCs w:val="21"/>
                    </w:rPr>
                  </w:pPr>
                  <w:r>
                    <w:rPr>
                      <w:color w:val="000000"/>
                      <w:kern w:val="0"/>
                      <w:szCs w:val="21"/>
                    </w:rPr>
                    <w:t>本项目周边无河道、绿地等生态保护空间</w:t>
                  </w:r>
                </w:p>
              </w:tc>
              <w:tc>
                <w:tcPr>
                  <w:tcW w:w="438" w:type="pct"/>
                  <w:shd w:val="clear" w:color="auto" w:fill="auto"/>
                  <w:vAlign w:val="center"/>
                </w:tcPr>
                <w:p>
                  <w:pPr>
                    <w:widowControl/>
                    <w:jc w:val="center"/>
                    <w:rPr>
                      <w:color w:val="000000"/>
                      <w:kern w:val="0"/>
                      <w:szCs w:val="21"/>
                    </w:rPr>
                  </w:pPr>
                  <w:r>
                    <w:rPr>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color w:val="000000"/>
                      <w:kern w:val="0"/>
                      <w:szCs w:val="21"/>
                    </w:rPr>
                    <w:t>3</w:t>
                  </w:r>
                </w:p>
              </w:tc>
              <w:tc>
                <w:tcPr>
                  <w:tcW w:w="2653" w:type="pct"/>
                  <w:shd w:val="clear" w:color="auto" w:fill="auto"/>
                  <w:vAlign w:val="center"/>
                </w:tcPr>
                <w:p>
                  <w:pPr>
                    <w:widowControl/>
                    <w:jc w:val="center"/>
                    <w:rPr>
                      <w:color w:val="000000"/>
                      <w:kern w:val="0"/>
                      <w:szCs w:val="21"/>
                    </w:rPr>
                  </w:pPr>
                  <w:r>
                    <w:rPr>
                      <w:rFonts w:hint="eastAsia"/>
                      <w:color w:val="000000"/>
                      <w:kern w:val="0"/>
                      <w:szCs w:val="21"/>
                    </w:rPr>
                    <w:t>严守环境质量底线。根据大气、水、土壤污染防治攻坚战及相关要求，明确开发区环境质量改善的阶段目标，制定区域污染物允许排放总量管控要求及污染减排方案，采取有效措施减少主要污染物和挥发性有机物等特征污染物的排放总量，确保实现区域环境质量持续改善的目标。</w:t>
                  </w:r>
                </w:p>
              </w:tc>
              <w:tc>
                <w:tcPr>
                  <w:tcW w:w="1576" w:type="pct"/>
                  <w:shd w:val="clear" w:color="auto" w:fill="auto"/>
                  <w:vAlign w:val="center"/>
                </w:tcPr>
                <w:p>
                  <w:pPr>
                    <w:widowControl/>
                    <w:jc w:val="center"/>
                    <w:rPr>
                      <w:color w:val="000000"/>
                      <w:kern w:val="0"/>
                      <w:szCs w:val="21"/>
                    </w:rPr>
                  </w:pPr>
                  <w:r>
                    <w:rPr>
                      <w:color w:val="000000"/>
                      <w:kern w:val="0"/>
                      <w:szCs w:val="21"/>
                    </w:rPr>
                    <w:t>本项目运营期废水、废水、噪声、固废采取有效措施治理后，对环境质量影响较小</w:t>
                  </w:r>
                </w:p>
              </w:tc>
              <w:tc>
                <w:tcPr>
                  <w:tcW w:w="438" w:type="pct"/>
                  <w:shd w:val="clear" w:color="auto" w:fill="auto"/>
                  <w:vAlign w:val="center"/>
                </w:tcPr>
                <w:p>
                  <w:pPr>
                    <w:widowControl/>
                    <w:jc w:val="center"/>
                    <w:rPr>
                      <w:color w:val="000000"/>
                      <w:kern w:val="0"/>
                      <w:szCs w:val="21"/>
                    </w:rPr>
                  </w:pPr>
                  <w:r>
                    <w:rPr>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4</w:t>
                  </w:r>
                </w:p>
              </w:tc>
              <w:tc>
                <w:tcPr>
                  <w:tcW w:w="2653" w:type="pct"/>
                  <w:shd w:val="clear" w:color="auto" w:fill="auto"/>
                  <w:vAlign w:val="center"/>
                </w:tcPr>
                <w:p>
                  <w:pPr>
                    <w:widowControl/>
                    <w:jc w:val="center"/>
                    <w:rPr>
                      <w:color w:val="000000"/>
                      <w:kern w:val="0"/>
                      <w:szCs w:val="21"/>
                    </w:rPr>
                  </w:pPr>
                  <w:r>
                    <w:rPr>
                      <w:rFonts w:hint="eastAsia"/>
                      <w:color w:val="000000"/>
                      <w:kern w:val="0"/>
                      <w:szCs w:val="21"/>
                    </w:rPr>
                    <w:t>推动产业绿色转型、高质量发展。严格控制开发区规模和范围，限期淘汰、整改不符合区域发展定位和环境保护要求的企业。</w:t>
                  </w:r>
                </w:p>
              </w:tc>
              <w:tc>
                <w:tcPr>
                  <w:tcW w:w="1576" w:type="pct"/>
                  <w:shd w:val="clear" w:color="auto" w:fill="auto"/>
                  <w:vAlign w:val="center"/>
                </w:tcPr>
                <w:p>
                  <w:pPr>
                    <w:widowControl/>
                    <w:jc w:val="center"/>
                    <w:rPr>
                      <w:color w:val="000000"/>
                      <w:kern w:val="0"/>
                      <w:szCs w:val="21"/>
                    </w:rPr>
                  </w:pPr>
                  <w:r>
                    <w:rPr>
                      <w:rFonts w:hint="eastAsia"/>
                      <w:color w:val="000000"/>
                      <w:kern w:val="0"/>
                      <w:szCs w:val="21"/>
                    </w:rPr>
                    <w:t>本项目不属于规划跟踪评价提出的限期淘汰、整改的企业清单单位内</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5</w:t>
                  </w:r>
                </w:p>
              </w:tc>
              <w:tc>
                <w:tcPr>
                  <w:tcW w:w="2653" w:type="pct"/>
                  <w:shd w:val="clear" w:color="auto" w:fill="auto"/>
                  <w:vAlign w:val="center"/>
                </w:tcPr>
                <w:p>
                  <w:pPr>
                    <w:widowControl/>
                    <w:jc w:val="center"/>
                    <w:rPr>
                      <w:color w:val="000000"/>
                      <w:kern w:val="0"/>
                      <w:szCs w:val="21"/>
                    </w:rPr>
                  </w:pPr>
                  <w:r>
                    <w:rPr>
                      <w:rFonts w:hint="eastAsia"/>
                      <w:color w:val="000000"/>
                      <w:kern w:val="0"/>
                      <w:szCs w:val="21"/>
                    </w:rPr>
                    <w:t>严格入区项目的环境准入。</w:t>
                  </w:r>
                </w:p>
              </w:tc>
              <w:tc>
                <w:tcPr>
                  <w:tcW w:w="1576"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szCs w:val="21"/>
                      <w:lang w:val="zh-CN"/>
                      <w14:textFill>
                        <w14:solidFill>
                          <w14:schemeClr w14:val="tx1">
                            <w14:lumMod w14:val="95000"/>
                            <w14:lumOff w14:val="5000"/>
                          </w14:schemeClr>
                        </w14:solidFill>
                      </w14:textFill>
                    </w:rPr>
                    <w:t>本项目符合开发区环境准入要求</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6</w:t>
                  </w:r>
                </w:p>
              </w:tc>
              <w:tc>
                <w:tcPr>
                  <w:tcW w:w="2653" w:type="pct"/>
                  <w:shd w:val="clear" w:color="auto" w:fill="auto"/>
                  <w:vAlign w:val="center"/>
                </w:tcPr>
                <w:p>
                  <w:pPr>
                    <w:widowControl/>
                    <w:jc w:val="center"/>
                    <w:rPr>
                      <w:color w:val="000000"/>
                      <w:kern w:val="0"/>
                      <w:szCs w:val="21"/>
                    </w:rPr>
                  </w:pPr>
                  <w:r>
                    <w:rPr>
                      <w:rFonts w:hint="eastAsia"/>
                      <w:color w:val="000000"/>
                      <w:kern w:val="0"/>
                      <w:szCs w:val="21"/>
                    </w:rPr>
                    <w:t>完善生态环境保护规划，统筹考虑区内外污染防治、生态恢复与建设、环境风险防范、环境管理等事宜，按照污染地块土壤环境管理的有关规定，做好污染企业退出地块的管控、调查与修复。</w:t>
                  </w:r>
                </w:p>
              </w:tc>
              <w:tc>
                <w:tcPr>
                  <w:tcW w:w="1576"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szCs w:val="21"/>
                      <w:lang w:val="zh-CN"/>
                      <w14:textFill>
                        <w14:solidFill>
                          <w14:schemeClr w14:val="tx1">
                            <w14:lumMod w14:val="95000"/>
                            <w14:lumOff w14:val="5000"/>
                          </w14:schemeClr>
                        </w14:solidFill>
                      </w14:textFill>
                    </w:rPr>
                    <w:t>本项目运营对土壤影响较小</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7</w:t>
                  </w:r>
                </w:p>
              </w:tc>
              <w:tc>
                <w:tcPr>
                  <w:tcW w:w="2653"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完善区域环境监测体系。根据开发区功能分区、产业布局、重点企业分布、特征污染物的排放种类和状况、环境敏感目标分布等情况，建立包括环境空气、地表水、地下水、噪声、土壤等环境要素的监控体系，做好长期跟踪监测与管理。</w:t>
                  </w:r>
                </w:p>
              </w:tc>
              <w:tc>
                <w:tcPr>
                  <w:tcW w:w="1576" w:type="pct"/>
                  <w:shd w:val="clear" w:color="auto" w:fill="auto"/>
                  <w:vAlign w:val="center"/>
                </w:tcPr>
                <w:p>
                  <w:pPr>
                    <w:widowControl/>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lang w:val="zh-CN"/>
                      <w14:textFill>
                        <w14:solidFill>
                          <w14:schemeClr w14:val="tx1">
                            <w14:lumMod w14:val="95000"/>
                            <w14:lumOff w14:val="5000"/>
                          </w14:schemeClr>
                        </w14:solidFill>
                      </w14:textFill>
                    </w:rPr>
                    <w:t>本项目不属于污染排放重点管控企业，周边无敏感点分布</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8</w:t>
                  </w:r>
                </w:p>
              </w:tc>
              <w:tc>
                <w:tcPr>
                  <w:tcW w:w="2653" w:type="pct"/>
                  <w:shd w:val="clear" w:color="auto" w:fill="auto"/>
                  <w:vAlign w:val="center"/>
                </w:tcPr>
                <w:p>
                  <w:pPr>
                    <w:widowControl/>
                    <w:jc w:val="center"/>
                    <w:rPr>
                      <w:color w:val="000000"/>
                      <w:kern w:val="0"/>
                      <w:szCs w:val="21"/>
                    </w:rPr>
                  </w:pPr>
                  <w:r>
                    <w:rPr>
                      <w:rFonts w:hint="eastAsia"/>
                      <w:color w:val="000000"/>
                      <w:kern w:val="0"/>
                      <w:szCs w:val="21"/>
                    </w:rPr>
                    <w:t>完善开发区环境基础设施建设。采取再生水回用等有效措施，提高水资源利用率。固体废物、危险废物应依法依规集中收集、处理处置。</w:t>
                  </w:r>
                </w:p>
              </w:tc>
              <w:tc>
                <w:tcPr>
                  <w:tcW w:w="1576" w:type="pct"/>
                  <w:shd w:val="clear" w:color="auto" w:fill="auto"/>
                  <w:vAlign w:val="center"/>
                </w:tcPr>
                <w:p>
                  <w:pPr>
                    <w:widowControl/>
                    <w:jc w:val="center"/>
                    <w:rPr>
                      <w:szCs w:val="21"/>
                    </w:rPr>
                  </w:pPr>
                  <w:r>
                    <w:rPr>
                      <w:szCs w:val="21"/>
                    </w:rPr>
                    <w:t>本项目</w:t>
                  </w:r>
                  <w:r>
                    <w:rPr>
                      <w:rFonts w:hint="eastAsia"/>
                      <w:szCs w:val="21"/>
                    </w:rPr>
                    <w:t>不新增生活用水</w:t>
                  </w:r>
                  <w:r>
                    <w:rPr>
                      <w:szCs w:val="21"/>
                    </w:rPr>
                    <w:t>。一般工业固体及危险废物采取集中收集、外售综合利用或委托资质单位处置方式，合理处理处置。</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bl>
          <w:p>
            <w:pPr>
              <w:tabs>
                <w:tab w:val="left" w:pos="7350"/>
              </w:tabs>
              <w:spacing w:before="120" w:beforeLines="50" w:line="360" w:lineRule="auto"/>
              <w:ind w:firstLine="480" w:firstLineChars="200"/>
              <w:rPr>
                <w:bCs/>
                <w:kern w:val="0"/>
                <w:sz w:val="24"/>
              </w:rPr>
            </w:pPr>
            <w:r>
              <w:rPr>
                <w:rFonts w:hint="eastAsia"/>
                <w:sz w:val="24"/>
              </w:rPr>
              <w:t>综上所述，</w:t>
            </w:r>
            <w:r>
              <w:rPr>
                <w:bCs/>
                <w:kern w:val="0"/>
                <w:sz w:val="24"/>
              </w:rPr>
              <w:t>本项目的建设符合</w:t>
            </w:r>
            <w:r>
              <w:rPr>
                <w:rFonts w:hint="eastAsia"/>
                <w:bCs/>
                <w:kern w:val="0"/>
                <w:sz w:val="24"/>
              </w:rPr>
              <w:t>《安徽芜湖鸠江经济开发区总体发展规划环境影响跟踪评价报告书技术审查意见的函》</w:t>
            </w:r>
            <w:r>
              <w:rPr>
                <w:bCs/>
                <w:kern w:val="0"/>
                <w:sz w:val="24"/>
              </w:rPr>
              <w:t>中的意见要求</w:t>
            </w:r>
            <w:r>
              <w:rPr>
                <w:rFonts w:hint="eastAsia"/>
                <w:bCs/>
                <w:kern w:val="0"/>
                <w:sz w:val="24"/>
              </w:rPr>
              <w:t>。</w:t>
            </w:r>
          </w:p>
        </w:tc>
      </w:tr>
    </w:tbl>
    <w:p/>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28"/>
        <w:gridCol w:w="76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28"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其他符合性分析</w:t>
            </w:r>
          </w:p>
        </w:tc>
        <w:tc>
          <w:tcPr>
            <w:tcW w:w="7647" w:type="dxa"/>
            <w:vAlign w:val="center"/>
          </w:tcPr>
          <w:p>
            <w:pPr>
              <w:spacing w:before="120" w:beforeLines="50" w:line="343" w:lineRule="auto"/>
              <w:ind w:firstLine="482" w:firstLineChars="200"/>
              <w:rPr>
                <w:b/>
                <w:bCs/>
                <w:sz w:val="24"/>
              </w:rPr>
            </w:pPr>
            <w:r>
              <w:rPr>
                <w:rFonts w:hint="eastAsia"/>
                <w:b/>
                <w:bCs/>
                <w:sz w:val="24"/>
              </w:rPr>
              <w:t>1、</w:t>
            </w:r>
            <w:r>
              <w:rPr>
                <w:b/>
                <w:bCs/>
                <w:sz w:val="24"/>
              </w:rPr>
              <w:t>产业政策符合性分析</w:t>
            </w:r>
          </w:p>
          <w:p>
            <w:pPr>
              <w:widowControl/>
              <w:spacing w:line="360" w:lineRule="auto"/>
              <w:ind w:firstLine="424" w:firstLineChars="177"/>
              <w:jc w:val="left"/>
              <w:rPr>
                <w:rFonts w:hAnsi="宋体"/>
                <w:kern w:val="24"/>
                <w:sz w:val="24"/>
                <w:szCs w:val="20"/>
              </w:rPr>
            </w:pPr>
            <w:r>
              <w:rPr>
                <w:rFonts w:hAnsi="宋体"/>
                <w:kern w:val="24"/>
                <w:sz w:val="24"/>
                <w:szCs w:val="20"/>
              </w:rPr>
              <w:t>该项目已经</w:t>
            </w:r>
            <w:r>
              <w:rPr>
                <w:rFonts w:hAnsi="宋体"/>
                <w:color w:val="0D0D0D"/>
                <w:kern w:val="24"/>
                <w:sz w:val="24"/>
                <w:szCs w:val="20"/>
              </w:rPr>
              <w:t>取得了</w:t>
            </w:r>
            <w:r>
              <w:rPr>
                <w:rFonts w:hint="eastAsia"/>
                <w:sz w:val="24"/>
              </w:rPr>
              <w:t>芜湖市鸠江区经济和信息化局</w:t>
            </w:r>
            <w:r>
              <w:rPr>
                <w:rFonts w:hint="eastAsia"/>
                <w:color w:val="0D0D0D"/>
                <w:sz w:val="24"/>
              </w:rPr>
              <w:t>“关于同意芜湖恒驰钢构有限公司</w:t>
            </w:r>
            <w:r>
              <w:rPr>
                <w:rFonts w:hint="eastAsia"/>
                <w:sz w:val="24"/>
              </w:rPr>
              <w:t>钢结构及装配式绿色建筑材料改扩建项目项目告知登记表</w:t>
            </w:r>
            <w:r>
              <w:rPr>
                <w:rFonts w:hint="eastAsia"/>
                <w:color w:val="0D0D0D"/>
                <w:sz w:val="24"/>
              </w:rPr>
              <w:t>”</w:t>
            </w:r>
            <w:r>
              <w:rPr>
                <w:rFonts w:hAnsi="宋体"/>
                <w:color w:val="0D0D0D"/>
                <w:kern w:val="24"/>
                <w:sz w:val="24"/>
                <w:szCs w:val="20"/>
              </w:rPr>
              <w:t>（</w:t>
            </w:r>
            <w:r>
              <w:rPr>
                <w:rFonts w:hint="eastAsia"/>
                <w:sz w:val="24"/>
              </w:rPr>
              <w:t>鸠经信【2021】77号</w:t>
            </w:r>
            <w:r>
              <w:rPr>
                <w:rFonts w:hint="eastAsia" w:hAnsi="宋体"/>
                <w:color w:val="0D0D0D"/>
                <w:kern w:val="24"/>
                <w:sz w:val="24"/>
                <w:szCs w:val="20"/>
              </w:rPr>
              <w:t>）。符合地区经济发展要求及相关产业政策要求</w:t>
            </w:r>
            <w:r>
              <w:rPr>
                <w:rFonts w:hAnsi="宋体"/>
                <w:color w:val="0D0D0D"/>
                <w:kern w:val="24"/>
                <w:sz w:val="24"/>
                <w:szCs w:val="20"/>
              </w:rPr>
              <w:t>。对照</w:t>
            </w:r>
            <w:r>
              <w:rPr>
                <w:rFonts w:hAnsi="宋体"/>
                <w:color w:val="0D0D0D"/>
                <w:kern w:val="24"/>
                <w:sz w:val="24"/>
              </w:rPr>
              <w:t>《产业结构调整指导目录</w:t>
            </w:r>
            <w:r>
              <w:rPr>
                <w:color w:val="0D0D0D"/>
                <w:sz w:val="24"/>
              </w:rPr>
              <w:t>（201</w:t>
            </w:r>
            <w:r>
              <w:rPr>
                <w:rFonts w:hint="eastAsia"/>
                <w:color w:val="0D0D0D"/>
                <w:sz w:val="24"/>
              </w:rPr>
              <w:t>9</w:t>
            </w:r>
            <w:r>
              <w:rPr>
                <w:color w:val="0D0D0D"/>
                <w:sz w:val="24"/>
              </w:rPr>
              <w:t>年本）</w:t>
            </w:r>
            <w:r>
              <w:rPr>
                <w:rFonts w:hAnsi="宋体"/>
                <w:color w:val="0D0D0D"/>
                <w:kern w:val="24"/>
                <w:sz w:val="24"/>
              </w:rPr>
              <w:t>》</w:t>
            </w:r>
            <w:r>
              <w:rPr>
                <w:rFonts w:hAnsi="宋体"/>
                <w:color w:val="0D0D0D"/>
                <w:kern w:val="24"/>
                <w:sz w:val="24"/>
                <w:szCs w:val="20"/>
              </w:rPr>
              <w:t>，本项目不属于鼓励类，也非限制类和淘汰类，为允许类</w:t>
            </w:r>
            <w:r>
              <w:rPr>
                <w:rFonts w:hint="eastAsia" w:hAnsi="宋体"/>
                <w:color w:val="0D0D0D"/>
                <w:kern w:val="24"/>
                <w:sz w:val="24"/>
                <w:szCs w:val="20"/>
              </w:rPr>
              <w:t>，故本</w:t>
            </w:r>
            <w:r>
              <w:rPr>
                <w:rFonts w:hint="eastAsia" w:hAnsi="宋体"/>
                <w:kern w:val="24"/>
                <w:sz w:val="24"/>
                <w:szCs w:val="20"/>
              </w:rPr>
              <w:t>项目的建设符合</w:t>
            </w:r>
            <w:r>
              <w:rPr>
                <w:rFonts w:hAnsi="宋体"/>
                <w:kern w:val="24"/>
                <w:sz w:val="24"/>
                <w:szCs w:val="20"/>
              </w:rPr>
              <w:t>国家</w:t>
            </w:r>
            <w:r>
              <w:rPr>
                <w:rFonts w:hint="eastAsia" w:hAnsi="宋体"/>
                <w:kern w:val="24"/>
                <w:sz w:val="24"/>
                <w:szCs w:val="20"/>
              </w:rPr>
              <w:t>和地方</w:t>
            </w:r>
            <w:r>
              <w:rPr>
                <w:rFonts w:hAnsi="宋体"/>
                <w:kern w:val="24"/>
                <w:sz w:val="24"/>
                <w:szCs w:val="20"/>
              </w:rPr>
              <w:t>产业政策。</w:t>
            </w:r>
          </w:p>
          <w:p>
            <w:pPr>
              <w:spacing w:before="120" w:beforeLines="50" w:line="360" w:lineRule="auto"/>
              <w:ind w:firstLine="482" w:firstLineChars="200"/>
              <w:rPr>
                <w:b/>
                <w:color w:val="000000"/>
                <w:sz w:val="24"/>
              </w:rPr>
            </w:pPr>
            <w:r>
              <w:rPr>
                <w:rFonts w:hint="eastAsia"/>
                <w:b/>
                <w:color w:val="000000"/>
                <w:sz w:val="24"/>
              </w:rPr>
              <w:t>2、与“三线一单”相符性分析</w:t>
            </w:r>
          </w:p>
          <w:p>
            <w:pPr>
              <w:autoSpaceDE w:val="0"/>
              <w:autoSpaceDN w:val="0"/>
              <w:spacing w:line="360" w:lineRule="auto"/>
              <w:ind w:firstLine="480" w:firstLineChars="200"/>
              <w:jc w:val="left"/>
              <w:rPr>
                <w:rFonts w:hAnsi="宋体"/>
                <w:color w:val="000000"/>
                <w:kern w:val="0"/>
                <w:sz w:val="24"/>
              </w:rPr>
            </w:pPr>
            <w:r>
              <w:rPr>
                <w:rFonts w:hAnsi="宋体"/>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Pr>
                <w:rFonts w:hint="eastAsia" w:hAnsi="宋体"/>
                <w:kern w:val="24"/>
                <w:sz w:val="24"/>
              </w:rPr>
              <w:t>、</w:t>
            </w:r>
            <w:r>
              <w:rPr>
                <w:rFonts w:hAnsi="宋体"/>
                <w:kern w:val="24"/>
                <w:sz w:val="24"/>
              </w:rPr>
              <w:t>法治化、精细化、信息化的重要抓手，是推进战略和规划环评落地、环境保护参与空间规划和优化国土空间格局的基础支撑，是实施环境空间管控、强化源头预防和过程监管的重要手段。</w:t>
            </w:r>
            <w:r>
              <w:rPr>
                <w:rFonts w:hAnsi="宋体"/>
                <w:kern w:val="24"/>
                <w:sz w:val="24"/>
              </w:rPr>
              <w:br w:type="textWrapping"/>
            </w:r>
            <w:r>
              <w:rPr>
                <w:rFonts w:hint="eastAsia" w:hAnsi="宋体"/>
                <w:kern w:val="24"/>
                <w:sz w:val="24"/>
              </w:rPr>
              <w:t xml:space="preserve">    </w:t>
            </w:r>
            <w:r>
              <w:rPr>
                <w:rFonts w:hint="eastAsia" w:hAnsi="宋体"/>
                <w:color w:val="000000"/>
                <w:kern w:val="0"/>
                <w:sz w:val="24"/>
              </w:rPr>
              <w:t>判定本项目与“三线一单”相符性如下表。</w:t>
            </w:r>
          </w:p>
          <w:p>
            <w:pPr>
              <w:autoSpaceDE w:val="0"/>
              <w:autoSpaceDN w:val="0"/>
              <w:spacing w:before="120" w:beforeLines="50"/>
              <w:ind w:firstLine="482" w:firstLineChars="200"/>
              <w:jc w:val="center"/>
              <w:rPr>
                <w:rFonts w:hAnsi="宋体"/>
                <w:b/>
                <w:color w:val="000000"/>
                <w:kern w:val="0"/>
                <w:sz w:val="24"/>
              </w:rPr>
            </w:pPr>
            <w:r>
              <w:rPr>
                <w:rFonts w:hint="eastAsia" w:hAnsi="宋体"/>
                <w:b/>
                <w:color w:val="000000"/>
                <w:kern w:val="0"/>
                <w:sz w:val="24"/>
              </w:rPr>
              <w:t>表1-3  本项目与“三线一单”相符性</w:t>
            </w:r>
          </w:p>
          <w:tbl>
            <w:tblPr>
              <w:tblStyle w:val="58"/>
              <w:tblW w:w="741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880"/>
              <w:gridCol w:w="2407"/>
              <w:gridCol w:w="2514"/>
              <w:gridCol w:w="9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880"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内容</w:t>
                  </w:r>
                </w:p>
              </w:tc>
              <w:tc>
                <w:tcPr>
                  <w:tcW w:w="2407"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要求</w:t>
                  </w:r>
                </w:p>
              </w:tc>
              <w:tc>
                <w:tcPr>
                  <w:tcW w:w="2514"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本项目情况</w:t>
                  </w:r>
                </w:p>
              </w:tc>
              <w:tc>
                <w:tcPr>
                  <w:tcW w:w="93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6" w:hRule="atLeast"/>
              </w:trPr>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生态保</w:t>
                  </w:r>
                  <w:r>
                    <w:rPr>
                      <w:rFonts w:hAnsi="宋体"/>
                      <w:color w:val="000000"/>
                      <w:kern w:val="0"/>
                      <w:szCs w:val="21"/>
                    </w:rPr>
                    <w:cr/>
                  </w:r>
                  <w:r>
                    <w:rPr>
                      <w:rFonts w:hAnsi="宋体"/>
                      <w:color w:val="000000"/>
                      <w:kern w:val="0"/>
                      <w:szCs w:val="21"/>
                    </w:rPr>
                    <w:t>红线</w:t>
                  </w:r>
                </w:p>
              </w:tc>
              <w:tc>
                <w:tcPr>
                  <w:tcW w:w="2407" w:type="dxa"/>
                  <w:vAlign w:val="center"/>
                </w:tcPr>
                <w:p>
                  <w:pPr>
                    <w:autoSpaceDE w:val="0"/>
                    <w:autoSpaceDN w:val="0"/>
                    <w:jc w:val="center"/>
                    <w:rPr>
                      <w:rFonts w:hAnsi="宋体"/>
                      <w:color w:val="000000"/>
                      <w:kern w:val="0"/>
                      <w:szCs w:val="21"/>
                    </w:rPr>
                  </w:pPr>
                  <w:r>
                    <w:rPr>
                      <w:rFonts w:hAnsi="宋体"/>
                      <w:color w:val="000000"/>
                      <w:kern w:val="0"/>
                      <w:szCs w:val="21"/>
                    </w:rPr>
                    <w:t>生态保护红线是生态空间范围内具有特殊重要生态功能必须实行强制性严格保护的区域</w:t>
                  </w:r>
                  <w:r>
                    <w:rPr>
                      <w:rFonts w:hint="eastAsia" w:hAnsi="宋体"/>
                      <w:color w:val="000000"/>
                      <w:kern w:val="0"/>
                      <w:szCs w:val="21"/>
                    </w:rPr>
                    <w:t>。</w:t>
                  </w:r>
                  <w:r>
                    <w:rPr>
                      <w:rFonts w:hAnsi="宋体"/>
                      <w:color w:val="000000"/>
                      <w:kern w:val="0"/>
                      <w:szCs w:val="21"/>
                    </w:rPr>
                    <w:t>在生态保护红线范围内</w:t>
                  </w:r>
                  <w:r>
                    <w:rPr>
                      <w:rFonts w:hint="eastAsia" w:hAnsi="宋体"/>
                      <w:color w:val="000000"/>
                      <w:kern w:val="0"/>
                      <w:szCs w:val="21"/>
                    </w:rPr>
                    <w:t>，</w:t>
                  </w:r>
                  <w:r>
                    <w:rPr>
                      <w:rFonts w:hAnsi="宋体"/>
                      <w:color w:val="000000"/>
                      <w:kern w:val="0"/>
                      <w:szCs w:val="21"/>
                    </w:rPr>
                    <w:t>严控各类开发建设活动</w:t>
                  </w:r>
                  <w:r>
                    <w:rPr>
                      <w:rFonts w:hint="eastAsia" w:hAnsi="宋体"/>
                      <w:color w:val="000000"/>
                      <w:kern w:val="0"/>
                      <w:szCs w:val="21"/>
                    </w:rPr>
                    <w:t>，</w:t>
                  </w:r>
                  <w:r>
                    <w:rPr>
                      <w:rFonts w:hAnsi="宋体"/>
                      <w:color w:val="000000"/>
                      <w:kern w:val="0"/>
                      <w:szCs w:val="21"/>
                    </w:rPr>
                    <w:t>依法不予审批新建工业项目和矿产开发项目的环评文件</w:t>
                  </w:r>
                </w:p>
              </w:tc>
              <w:tc>
                <w:tcPr>
                  <w:tcW w:w="2514" w:type="dxa"/>
                  <w:vAlign w:val="center"/>
                </w:tcPr>
                <w:p>
                  <w:pPr>
                    <w:autoSpaceDE w:val="0"/>
                    <w:autoSpaceDN w:val="0"/>
                    <w:jc w:val="center"/>
                    <w:rPr>
                      <w:rFonts w:hAnsi="宋体"/>
                      <w:color w:val="000000"/>
                      <w:kern w:val="0"/>
                      <w:szCs w:val="21"/>
                    </w:rPr>
                  </w:pPr>
                  <w:r>
                    <w:rPr>
                      <w:rFonts w:hAnsi="宋体"/>
                      <w:color w:val="000000"/>
                      <w:kern w:val="0"/>
                      <w:szCs w:val="21"/>
                    </w:rPr>
                    <w:t>本项目位于</w:t>
                  </w:r>
                  <w:r>
                    <w:rPr>
                      <w:rFonts w:hint="eastAsia" w:hAnsi="宋体"/>
                      <w:color w:val="000000"/>
                      <w:kern w:val="0"/>
                      <w:szCs w:val="21"/>
                    </w:rPr>
                    <w:t>芜湖市</w:t>
                  </w:r>
                  <w:r>
                    <w:rPr>
                      <w:rFonts w:hAnsi="宋体"/>
                      <w:color w:val="000000"/>
                      <w:kern w:val="0"/>
                      <w:szCs w:val="21"/>
                    </w:rPr>
                    <w:t>鸠江经济开发区，属于规划的工业用地</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2</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环境质量底线</w:t>
                  </w:r>
                </w:p>
              </w:tc>
              <w:tc>
                <w:tcPr>
                  <w:tcW w:w="2407" w:type="dxa"/>
                  <w:vAlign w:val="center"/>
                </w:tcPr>
                <w:p>
                  <w:pPr>
                    <w:autoSpaceDE w:val="0"/>
                    <w:autoSpaceDN w:val="0"/>
                    <w:jc w:val="center"/>
                    <w:rPr>
                      <w:rFonts w:hAnsi="宋体"/>
                      <w:color w:val="000000"/>
                      <w:kern w:val="0"/>
                      <w:szCs w:val="21"/>
                    </w:rPr>
                  </w:pPr>
                  <w:r>
                    <w:rPr>
                      <w:rFonts w:hAnsi="宋体"/>
                      <w:color w:val="000000"/>
                      <w:kern w:val="0"/>
                      <w:szCs w:val="21"/>
                    </w:rPr>
                    <w:t>环境质量现状超标地区以及未达到环境质量目标考核要求的地区上新项目将受到限制</w:t>
                  </w:r>
                  <w:r>
                    <w:rPr>
                      <w:rFonts w:hint="eastAsia" w:hAnsi="宋体"/>
                      <w:color w:val="000000"/>
                      <w:kern w:val="0"/>
                      <w:szCs w:val="21"/>
                    </w:rPr>
                    <w:t>；</w:t>
                  </w:r>
                  <w:r>
                    <w:rPr>
                      <w:rFonts w:hAnsi="宋体"/>
                      <w:color w:val="000000"/>
                      <w:kern w:val="0"/>
                      <w:szCs w:val="21"/>
                    </w:rPr>
                    <w:t>对环境质量现状超标的地区</w:t>
                  </w:r>
                  <w:r>
                    <w:rPr>
                      <w:rFonts w:hint="eastAsia" w:hAnsi="宋体"/>
                      <w:color w:val="000000"/>
                      <w:kern w:val="0"/>
                      <w:szCs w:val="21"/>
                    </w:rPr>
                    <w:t>，</w:t>
                  </w:r>
                  <w:r>
                    <w:rPr>
                      <w:rFonts w:hAnsi="宋体"/>
                      <w:color w:val="000000"/>
                      <w:kern w:val="0"/>
                      <w:szCs w:val="21"/>
                    </w:rPr>
                    <w:t>项目拟采取的措施不能满足区域环境质量改善目标管理要求的</w:t>
                  </w:r>
                  <w:r>
                    <w:rPr>
                      <w:rFonts w:hint="eastAsia" w:hAnsi="宋体"/>
                      <w:color w:val="000000"/>
                      <w:kern w:val="0"/>
                      <w:szCs w:val="21"/>
                    </w:rPr>
                    <w:t>，</w:t>
                  </w:r>
                  <w:r>
                    <w:rPr>
                      <w:rFonts w:hAnsi="宋体"/>
                      <w:color w:val="000000"/>
                      <w:kern w:val="0"/>
                      <w:szCs w:val="21"/>
                    </w:rPr>
                    <w:t>依法不予审批其环评文件</w:t>
                  </w:r>
                </w:p>
              </w:tc>
              <w:tc>
                <w:tcPr>
                  <w:tcW w:w="2514" w:type="dxa"/>
                  <w:vAlign w:val="center"/>
                </w:tcPr>
                <w:p>
                  <w:pPr>
                    <w:autoSpaceDE w:val="0"/>
                    <w:autoSpaceDN w:val="0"/>
                    <w:jc w:val="center"/>
                    <w:rPr>
                      <w:kern w:val="24"/>
                      <w:szCs w:val="21"/>
                    </w:rPr>
                  </w:pPr>
                  <w:r>
                    <w:rPr>
                      <w:color w:val="000000"/>
                      <w:szCs w:val="16"/>
                    </w:rPr>
                    <w:t>本项目所在区域为</w:t>
                  </w:r>
                  <w:r>
                    <w:rPr>
                      <w:rFonts w:hint="eastAsia" w:hAnsi="宋体"/>
                      <w:color w:val="000000"/>
                      <w:kern w:val="0"/>
                      <w:szCs w:val="21"/>
                    </w:rPr>
                    <w:t>芜湖市鸠江经济开发区</w:t>
                  </w:r>
                  <w:r>
                    <w:rPr>
                      <w:rFonts w:hint="eastAsia"/>
                      <w:color w:val="000000"/>
                      <w:szCs w:val="16"/>
                    </w:rPr>
                    <w:t>，为不达标区</w:t>
                  </w:r>
                  <w:r>
                    <w:rPr>
                      <w:rFonts w:hint="eastAsia"/>
                      <w:kern w:val="24"/>
                      <w:szCs w:val="21"/>
                    </w:rPr>
                    <w:t>；根据工程分析及污染防治分析项目所采</w:t>
                  </w:r>
                </w:p>
                <w:p>
                  <w:pPr>
                    <w:autoSpaceDE w:val="0"/>
                    <w:autoSpaceDN w:val="0"/>
                    <w:jc w:val="center"/>
                    <w:rPr>
                      <w:color w:val="000000"/>
                      <w:szCs w:val="16"/>
                    </w:rPr>
                  </w:pPr>
                  <w:r>
                    <w:rPr>
                      <w:rFonts w:hint="eastAsia"/>
                      <w:kern w:val="24"/>
                      <w:szCs w:val="21"/>
                    </w:rPr>
                    <w:t>取污染防治措施合理可行，各污染物达标排放，不会造成环境质量超标。</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3</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资源</w:t>
                  </w:r>
                  <w:r>
                    <w:rPr>
                      <w:rFonts w:hint="eastAsia" w:hAnsi="宋体"/>
                      <w:color w:val="000000"/>
                      <w:kern w:val="0"/>
                      <w:szCs w:val="21"/>
                    </w:rPr>
                    <w:t>利用上线</w:t>
                  </w:r>
                </w:p>
              </w:tc>
              <w:tc>
                <w:tcPr>
                  <w:tcW w:w="2407" w:type="dxa"/>
                  <w:vAlign w:val="center"/>
                </w:tcPr>
                <w:p>
                  <w:pPr>
                    <w:autoSpaceDE w:val="0"/>
                    <w:autoSpaceDN w:val="0"/>
                    <w:jc w:val="center"/>
                    <w:rPr>
                      <w:rFonts w:hAnsi="宋体"/>
                      <w:color w:val="000000"/>
                      <w:kern w:val="0"/>
                      <w:szCs w:val="21"/>
                    </w:rPr>
                  </w:pPr>
                  <w:r>
                    <w:rPr>
                      <w:rFonts w:hAnsi="宋体"/>
                      <w:color w:val="000000"/>
                      <w:kern w:val="0"/>
                      <w:szCs w:val="21"/>
                    </w:rPr>
                    <w:t>依据有关资源利用上线要求</w:t>
                  </w:r>
                  <w:r>
                    <w:rPr>
                      <w:rFonts w:hint="eastAsia" w:hAnsi="宋体"/>
                      <w:color w:val="000000"/>
                      <w:kern w:val="0"/>
                      <w:szCs w:val="21"/>
                    </w:rPr>
                    <w:t>，</w:t>
                  </w:r>
                  <w:r>
                    <w:rPr>
                      <w:rFonts w:hAnsi="宋体"/>
                      <w:color w:val="000000"/>
                      <w:kern w:val="0"/>
                      <w:szCs w:val="21"/>
                    </w:rPr>
                    <w:t>即各地区能源</w:t>
                  </w:r>
                  <w:r>
                    <w:rPr>
                      <w:rFonts w:hint="eastAsia" w:hAnsi="宋体"/>
                      <w:color w:val="000000"/>
                      <w:kern w:val="0"/>
                      <w:szCs w:val="21"/>
                    </w:rPr>
                    <w:t>、</w:t>
                  </w:r>
                  <w:r>
                    <w:rPr>
                      <w:rFonts w:hAnsi="宋体"/>
                      <w:color w:val="000000"/>
                      <w:kern w:val="0"/>
                      <w:szCs w:val="21"/>
                    </w:rPr>
                    <w:t>水</w:t>
                  </w:r>
                  <w:r>
                    <w:rPr>
                      <w:rFonts w:hint="eastAsia" w:hAnsi="宋体"/>
                      <w:color w:val="000000"/>
                      <w:kern w:val="0"/>
                      <w:szCs w:val="21"/>
                    </w:rPr>
                    <w:t>、</w:t>
                  </w:r>
                  <w:r>
                    <w:rPr>
                      <w:rFonts w:hAnsi="宋体"/>
                      <w:color w:val="000000"/>
                      <w:kern w:val="0"/>
                      <w:szCs w:val="21"/>
                    </w:rPr>
                    <w:t>土地等资源消耗是不得突破的</w:t>
                  </w:r>
                  <w:r>
                    <w:rPr>
                      <w:rFonts w:hint="eastAsia" w:hAnsi="宋体"/>
                      <w:color w:val="000000"/>
                      <w:kern w:val="0"/>
                      <w:szCs w:val="21"/>
                    </w:rPr>
                    <w:t>“天花板”</w:t>
                  </w:r>
                </w:p>
              </w:tc>
              <w:tc>
                <w:tcPr>
                  <w:tcW w:w="2514" w:type="dxa"/>
                  <w:vAlign w:val="center"/>
                </w:tcPr>
                <w:p>
                  <w:pPr>
                    <w:autoSpaceDE w:val="0"/>
                    <w:autoSpaceDN w:val="0"/>
                    <w:jc w:val="center"/>
                    <w:rPr>
                      <w:rFonts w:hAnsi="宋体"/>
                      <w:color w:val="000000"/>
                      <w:kern w:val="0"/>
                      <w:szCs w:val="21"/>
                    </w:rPr>
                  </w:pPr>
                  <w:r>
                    <w:rPr>
                      <w:color w:val="0D0D0D" w:themeColor="text1" w:themeTint="F2"/>
                      <w:szCs w:val="21"/>
                      <w14:textFill>
                        <w14:solidFill>
                          <w14:schemeClr w14:val="tx1">
                            <w14:lumMod w14:val="95000"/>
                            <w14:lumOff w14:val="5000"/>
                          </w14:schemeClr>
                        </w14:solidFill>
                      </w14:textFill>
                    </w:rPr>
                    <w:t>本项目</w:t>
                  </w:r>
                  <w:r>
                    <w:rPr>
                      <w:rFonts w:hint="eastAsia"/>
                      <w:color w:val="0D0D0D" w:themeColor="text1" w:themeTint="F2"/>
                      <w:szCs w:val="21"/>
                      <w14:textFill>
                        <w14:solidFill>
                          <w14:schemeClr w14:val="tx1">
                            <w14:lumMod w14:val="95000"/>
                            <w14:lumOff w14:val="5000"/>
                          </w14:schemeClr>
                        </w14:solidFill>
                      </w14:textFill>
                    </w:rPr>
                    <w:t>使用电</w:t>
                  </w:r>
                  <w:r>
                    <w:rPr>
                      <w:color w:val="0D0D0D" w:themeColor="text1" w:themeTint="F2"/>
                      <w:szCs w:val="21"/>
                      <w14:textFill>
                        <w14:solidFill>
                          <w14:schemeClr w14:val="tx1">
                            <w14:lumMod w14:val="95000"/>
                            <w14:lumOff w14:val="5000"/>
                          </w14:schemeClr>
                        </w14:solidFill>
                      </w14:textFill>
                    </w:rPr>
                    <w:t>源，项目用水来自自来水管网，用电由市政电网供给，</w:t>
                  </w:r>
                  <w:r>
                    <w:rPr>
                      <w:rFonts w:hint="eastAsia"/>
                      <w:color w:val="0D0D0D" w:themeColor="text1" w:themeTint="F2"/>
                      <w:szCs w:val="21"/>
                      <w14:textFill>
                        <w14:solidFill>
                          <w14:schemeClr w14:val="tx1">
                            <w14:lumMod w14:val="95000"/>
                            <w14:lumOff w14:val="5000"/>
                          </w14:schemeClr>
                        </w14:solidFill>
                      </w14:textFill>
                    </w:rPr>
                    <w:t>项目</w:t>
                  </w:r>
                  <w:r>
                    <w:rPr>
                      <w:color w:val="0D0D0D" w:themeColor="text1" w:themeTint="F2"/>
                      <w:szCs w:val="21"/>
                      <w14:textFill>
                        <w14:solidFill>
                          <w14:schemeClr w14:val="tx1">
                            <w14:lumMod w14:val="95000"/>
                            <w14:lumOff w14:val="5000"/>
                          </w14:schemeClr>
                        </w14:solidFill>
                      </w14:textFill>
                    </w:rPr>
                    <w:t>用地为规划工业用地，因此，项目用水、用电、</w:t>
                  </w:r>
                  <w:r>
                    <w:rPr>
                      <w:szCs w:val="21"/>
                    </w:rPr>
                    <w:t>用地均不会达到资源利用上线</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4</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环境准入负面清单</w:t>
                  </w:r>
                </w:p>
              </w:tc>
              <w:tc>
                <w:tcPr>
                  <w:tcW w:w="2407" w:type="dxa"/>
                  <w:vAlign w:val="center"/>
                </w:tcPr>
                <w:p>
                  <w:pPr>
                    <w:autoSpaceDE w:val="0"/>
                    <w:autoSpaceDN w:val="0"/>
                    <w:jc w:val="center"/>
                    <w:rPr>
                      <w:rFonts w:hAnsi="宋体"/>
                      <w:color w:val="000000"/>
                      <w:kern w:val="0"/>
                      <w:szCs w:val="21"/>
                    </w:rPr>
                  </w:pPr>
                  <w:r>
                    <w:rPr>
                      <w:rFonts w:hAnsi="宋体"/>
                      <w:color w:val="000000"/>
                      <w:kern w:val="0"/>
                      <w:szCs w:val="21"/>
                    </w:rPr>
                    <w:t>环境准入负面清单是基于生态保护红线</w:t>
                  </w:r>
                  <w:r>
                    <w:rPr>
                      <w:rFonts w:hint="eastAsia" w:hAnsi="宋体"/>
                      <w:color w:val="000000"/>
                      <w:kern w:val="0"/>
                      <w:szCs w:val="21"/>
                    </w:rPr>
                    <w:t>、</w:t>
                  </w:r>
                  <w:r>
                    <w:rPr>
                      <w:rFonts w:hAnsi="宋体"/>
                      <w:color w:val="000000"/>
                      <w:kern w:val="0"/>
                      <w:szCs w:val="21"/>
                    </w:rPr>
                    <w:t>环境质量底线和资源利用上线</w:t>
                  </w:r>
                  <w:r>
                    <w:rPr>
                      <w:rFonts w:hint="eastAsia" w:hAnsi="宋体"/>
                      <w:color w:val="000000"/>
                      <w:kern w:val="0"/>
                      <w:szCs w:val="21"/>
                    </w:rPr>
                    <w:t>，</w:t>
                  </w:r>
                  <w:r>
                    <w:rPr>
                      <w:rFonts w:hAnsi="宋体"/>
                      <w:color w:val="000000"/>
                      <w:kern w:val="0"/>
                      <w:szCs w:val="21"/>
                    </w:rPr>
                    <w:t>以清单方式列出的禁止</w:t>
                  </w:r>
                  <w:r>
                    <w:rPr>
                      <w:rFonts w:hint="eastAsia" w:hAnsi="宋体"/>
                      <w:color w:val="000000"/>
                      <w:kern w:val="0"/>
                      <w:szCs w:val="21"/>
                    </w:rPr>
                    <w:t>、</w:t>
                  </w:r>
                  <w:r>
                    <w:rPr>
                      <w:rFonts w:hAnsi="宋体"/>
                      <w:color w:val="000000"/>
                      <w:kern w:val="0"/>
                      <w:szCs w:val="21"/>
                    </w:rPr>
                    <w:t>限制等差别化环境准入条件和要求</w:t>
                  </w:r>
                  <w:r>
                    <w:rPr>
                      <w:rFonts w:hint="eastAsia" w:hAnsi="宋体"/>
                      <w:color w:val="000000"/>
                      <w:kern w:val="0"/>
                      <w:szCs w:val="21"/>
                    </w:rPr>
                    <w:t>。</w:t>
                  </w:r>
                  <w:r>
                    <w:rPr>
                      <w:rFonts w:hAnsi="宋体"/>
                      <w:color w:val="000000"/>
                      <w:kern w:val="0"/>
                      <w:szCs w:val="21"/>
                    </w:rPr>
                    <w:t>要在规划环评清单式管理试点的基础上</w:t>
                  </w:r>
                  <w:r>
                    <w:rPr>
                      <w:rFonts w:hint="eastAsia" w:hAnsi="宋体"/>
                      <w:color w:val="000000"/>
                      <w:kern w:val="0"/>
                      <w:szCs w:val="21"/>
                    </w:rPr>
                    <w:t>，</w:t>
                  </w:r>
                  <w:r>
                    <w:rPr>
                      <w:rFonts w:hAnsi="宋体"/>
                      <w:color w:val="000000"/>
                      <w:kern w:val="0"/>
                      <w:szCs w:val="21"/>
                    </w:rPr>
                    <w:t>从布局选址</w:t>
                  </w:r>
                  <w:r>
                    <w:rPr>
                      <w:rFonts w:hint="eastAsia" w:hAnsi="宋体"/>
                      <w:color w:val="000000"/>
                      <w:kern w:val="0"/>
                      <w:szCs w:val="21"/>
                    </w:rPr>
                    <w:t>、</w:t>
                  </w:r>
                  <w:r>
                    <w:rPr>
                      <w:rFonts w:hAnsi="宋体"/>
                      <w:color w:val="000000"/>
                      <w:kern w:val="0"/>
                      <w:szCs w:val="21"/>
                    </w:rPr>
                    <w:t>资源利用率</w:t>
                  </w:r>
                  <w:r>
                    <w:rPr>
                      <w:rFonts w:hint="eastAsia" w:hAnsi="宋体"/>
                      <w:color w:val="000000"/>
                      <w:kern w:val="0"/>
                      <w:szCs w:val="21"/>
                    </w:rPr>
                    <w:t>、</w:t>
                  </w:r>
                  <w:r>
                    <w:rPr>
                      <w:rFonts w:hAnsi="宋体"/>
                      <w:color w:val="000000"/>
                      <w:kern w:val="0"/>
                      <w:szCs w:val="21"/>
                    </w:rPr>
                    <w:t>资源配置方式等方面入手</w:t>
                  </w:r>
                  <w:r>
                    <w:rPr>
                      <w:rFonts w:hint="eastAsia" w:hAnsi="宋体"/>
                      <w:color w:val="000000"/>
                      <w:kern w:val="0"/>
                      <w:szCs w:val="21"/>
                    </w:rPr>
                    <w:t>，</w:t>
                  </w:r>
                  <w:r>
                    <w:rPr>
                      <w:rFonts w:hAnsi="宋体"/>
                      <w:color w:val="000000"/>
                      <w:kern w:val="0"/>
                      <w:szCs w:val="21"/>
                    </w:rPr>
                    <w:t>制定环境准入负面清单</w:t>
                  </w:r>
                  <w:r>
                    <w:rPr>
                      <w:rFonts w:hint="eastAsia" w:hAnsi="宋体"/>
                      <w:color w:val="000000"/>
                      <w:kern w:val="0"/>
                      <w:szCs w:val="21"/>
                    </w:rPr>
                    <w:t>，</w:t>
                  </w:r>
                  <w:r>
                    <w:rPr>
                      <w:rFonts w:hAnsi="宋体"/>
                      <w:color w:val="000000"/>
                      <w:kern w:val="0"/>
                      <w:szCs w:val="21"/>
                    </w:rPr>
                    <w:t>充分发挥负面清单对产业发展和项目准入的指导和约</w:t>
                  </w:r>
                  <w:r>
                    <w:rPr>
                      <w:rFonts w:hint="eastAsia" w:hAnsi="宋体"/>
                      <w:color w:val="000000"/>
                      <w:kern w:val="0"/>
                      <w:szCs w:val="21"/>
                    </w:rPr>
                    <w:t>束</w:t>
                  </w:r>
                  <w:r>
                    <w:rPr>
                      <w:rFonts w:hAnsi="宋体"/>
                      <w:color w:val="000000"/>
                      <w:kern w:val="0"/>
                      <w:szCs w:val="21"/>
                    </w:rPr>
                    <w:t>作用</w:t>
                  </w:r>
                </w:p>
              </w:tc>
              <w:tc>
                <w:tcPr>
                  <w:tcW w:w="2514" w:type="dxa"/>
                  <w:vAlign w:val="center"/>
                </w:tcPr>
                <w:p>
                  <w:pPr>
                    <w:autoSpaceDE w:val="0"/>
                    <w:autoSpaceDN w:val="0"/>
                    <w:jc w:val="center"/>
                    <w:rPr>
                      <w:rFonts w:hAnsi="宋体"/>
                      <w:color w:val="000000"/>
                      <w:kern w:val="0"/>
                      <w:szCs w:val="21"/>
                    </w:rPr>
                  </w:pPr>
                  <w:r>
                    <w:rPr>
                      <w:rFonts w:hAnsi="宋体"/>
                      <w:color w:val="000000"/>
                      <w:kern w:val="0"/>
                      <w:szCs w:val="21"/>
                    </w:rPr>
                    <w:t>本项目属于</w:t>
                  </w:r>
                  <w:r>
                    <w:rPr>
                      <w:rFonts w:hint="eastAsia"/>
                      <w:kern w:val="0"/>
                      <w:szCs w:val="21"/>
                    </w:rPr>
                    <w:t>金属结构</w:t>
                  </w:r>
                  <w:r>
                    <w:rPr>
                      <w:kern w:val="0"/>
                      <w:szCs w:val="21"/>
                    </w:rPr>
                    <w:t>制造</w:t>
                  </w:r>
                  <w:r>
                    <w:rPr>
                      <w:rFonts w:hint="eastAsia" w:hAnsi="宋体"/>
                      <w:color w:val="000000"/>
                      <w:kern w:val="0"/>
                      <w:szCs w:val="21"/>
                    </w:rPr>
                    <w:t>行业，</w:t>
                  </w:r>
                  <w:r>
                    <w:rPr>
                      <w:rFonts w:hAnsi="宋体"/>
                      <w:color w:val="000000"/>
                      <w:kern w:val="0"/>
                      <w:szCs w:val="21"/>
                    </w:rPr>
                    <w:t>本项目不属于</w:t>
                  </w:r>
                  <w:r>
                    <w:rPr>
                      <w:rFonts w:hint="eastAsia" w:hAnsi="宋体"/>
                      <w:color w:val="000000"/>
                      <w:kern w:val="0"/>
                      <w:szCs w:val="21"/>
                    </w:rPr>
                    <w:t>《产业结构调整指导目录（20</w:t>
                  </w:r>
                  <w:r>
                    <w:rPr>
                      <w:rFonts w:hint="eastAsia" w:hAnsi="宋体"/>
                      <w:color w:val="0D0D0D"/>
                      <w:kern w:val="0"/>
                      <w:szCs w:val="21"/>
                    </w:rPr>
                    <w:t>19年本）》鼓励类、限制类和</w:t>
                  </w:r>
                  <w:r>
                    <w:rPr>
                      <w:rFonts w:hint="eastAsia" w:hAnsi="宋体"/>
                      <w:color w:val="000000"/>
                      <w:kern w:val="0"/>
                      <w:szCs w:val="21"/>
                    </w:rPr>
                    <w:t>淘汰类，视为允许类，本项目符合国家和地方产业政策</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pPr>
              <w:spacing w:line="360" w:lineRule="auto"/>
              <w:ind w:firstLine="424" w:firstLineChars="177"/>
              <w:rPr>
                <w:rFonts w:hAnsi="宋体"/>
                <w:kern w:val="24"/>
                <w:sz w:val="24"/>
              </w:rPr>
            </w:pPr>
            <w:r>
              <w:rPr>
                <w:rFonts w:hint="eastAsia"/>
                <w:color w:val="000000"/>
                <w:sz w:val="24"/>
              </w:rPr>
              <w:t>综上所述，本项目建设</w:t>
            </w:r>
            <w:r>
              <w:rPr>
                <w:rFonts w:hint="eastAsia" w:hAnsi="宋体"/>
                <w:color w:val="000000"/>
                <w:kern w:val="0"/>
                <w:sz w:val="24"/>
              </w:rPr>
              <w:t>满足生态保护红线、环境质量底线、资源利用上线，且不在环境准入负面清单中，</w:t>
            </w:r>
            <w:r>
              <w:rPr>
                <w:rFonts w:hint="eastAsia"/>
                <w:color w:val="000000"/>
                <w:sz w:val="24"/>
              </w:rPr>
              <w:t>符合“三线一单”环保要求。</w:t>
            </w:r>
          </w:p>
          <w:p>
            <w:pPr>
              <w:autoSpaceDE w:val="0"/>
              <w:autoSpaceDN w:val="0"/>
              <w:adjustRightInd w:val="0"/>
              <w:spacing w:line="360" w:lineRule="auto"/>
              <w:ind w:firstLine="422" w:firstLineChars="200"/>
              <w:jc w:val="left"/>
              <w:rPr>
                <w:rFonts w:hAnsi="宋体"/>
                <w:b/>
                <w:color w:val="000000"/>
                <w:kern w:val="0"/>
                <w:sz w:val="24"/>
              </w:rPr>
            </w:pPr>
            <w:r>
              <w:rPr>
                <w:rFonts w:hint="eastAsia"/>
                <w:b/>
                <w:color w:val="000000"/>
              </w:rPr>
              <w:t>3、</w:t>
            </w:r>
            <w:r>
              <w:rPr>
                <w:rFonts w:hint="eastAsia"/>
                <w:b/>
                <w:bCs/>
                <w:sz w:val="24"/>
              </w:rPr>
              <w:t>与</w:t>
            </w:r>
            <w:r>
              <w:rPr>
                <w:rFonts w:hint="eastAsia" w:hAnsi="宋体"/>
                <w:b/>
                <w:color w:val="000000"/>
                <w:kern w:val="0"/>
                <w:sz w:val="24"/>
              </w:rPr>
              <w:t>《关于全面打造水清岸绿产业优美丽长江（芜湖）经济带的实施方案（升级版）》（</w:t>
            </w:r>
            <w:r>
              <w:rPr>
                <w:rFonts w:hint="eastAsia" w:hAnsi="宋体"/>
                <w:b/>
                <w:color w:val="000000"/>
                <w:kern w:val="0"/>
                <w:sz w:val="24"/>
                <w:lang w:val="en-US" w:eastAsia="zh-CN"/>
              </w:rPr>
              <w:t>芜市办</w:t>
            </w:r>
            <w:r>
              <w:rPr>
                <w:rFonts w:hint="eastAsia" w:hAnsi="宋体"/>
                <w:b/>
                <w:color w:val="000000"/>
                <w:kern w:val="0"/>
                <w:sz w:val="24"/>
              </w:rPr>
              <w:t>〔</w:t>
            </w:r>
            <w:r>
              <w:rPr>
                <w:rFonts w:hAnsi="宋体"/>
                <w:b/>
                <w:color w:val="000000"/>
                <w:kern w:val="0"/>
                <w:sz w:val="24"/>
              </w:rPr>
              <w:t>2021</w:t>
            </w:r>
            <w:r>
              <w:rPr>
                <w:rFonts w:hint="eastAsia" w:hAnsi="宋体"/>
                <w:b/>
                <w:color w:val="000000"/>
                <w:kern w:val="0"/>
                <w:sz w:val="24"/>
              </w:rPr>
              <w:t>〕</w:t>
            </w:r>
            <w:r>
              <w:rPr>
                <w:rFonts w:hint="eastAsia" w:hAnsi="宋体"/>
                <w:b/>
                <w:color w:val="000000"/>
                <w:kern w:val="0"/>
                <w:sz w:val="24"/>
                <w:lang w:val="en-US" w:eastAsia="zh-CN"/>
              </w:rPr>
              <w:t>28</w:t>
            </w:r>
            <w:r>
              <w:rPr>
                <w:rFonts w:hAnsi="宋体"/>
                <w:b/>
                <w:color w:val="000000"/>
                <w:kern w:val="0"/>
                <w:sz w:val="24"/>
              </w:rPr>
              <w:t xml:space="preserve"> </w:t>
            </w:r>
            <w:r>
              <w:rPr>
                <w:rFonts w:hint="eastAsia" w:hAnsi="宋体"/>
                <w:b/>
                <w:color w:val="000000"/>
                <w:kern w:val="0"/>
                <w:sz w:val="24"/>
              </w:rPr>
              <w:t>号）相符性分析</w:t>
            </w:r>
          </w:p>
          <w:p>
            <w:pPr>
              <w:autoSpaceDE w:val="0"/>
              <w:autoSpaceDN w:val="0"/>
              <w:adjustRightInd w:val="0"/>
              <w:spacing w:line="360" w:lineRule="auto"/>
              <w:ind w:firstLine="480" w:firstLineChars="200"/>
              <w:jc w:val="left"/>
              <w:rPr>
                <w:color w:val="000000"/>
                <w:sz w:val="24"/>
              </w:rPr>
            </w:pPr>
            <w:r>
              <w:rPr>
                <w:rFonts w:hint="eastAsia"/>
                <w:color w:val="000000"/>
                <w:sz w:val="24"/>
                <w:lang w:val="en-US" w:eastAsia="zh-CN"/>
              </w:rPr>
              <w:t>为深入实施长江经济带发展战略，全面打造水清岸绿产业优美丽长江（芜湖）经济带，根据《中共芜湖市委办公室 芜湖市人民政府办公室印发关于全面打造水清岸绿产业优美丽长江（芜湖）经济带的实施方案（升级版）》（皖发〔2021〕19 号）要求，以下是本项目与该方案符合性分析内容：</w:t>
            </w:r>
          </w:p>
          <w:p>
            <w:pPr>
              <w:spacing w:line="343" w:lineRule="auto"/>
              <w:ind w:firstLine="480" w:firstLineChars="200"/>
              <w:rPr>
                <w:color w:val="000000"/>
                <w:sz w:val="24"/>
              </w:rPr>
            </w:pPr>
            <w:r>
              <w:rPr>
                <w:rFonts w:hint="eastAsia"/>
                <w:color w:val="000000"/>
                <w:sz w:val="24"/>
                <w:lang w:eastAsia="zh-CN"/>
              </w:rPr>
              <w:t>（</w:t>
            </w:r>
            <w:r>
              <w:rPr>
                <w:rFonts w:hint="eastAsia"/>
                <w:color w:val="000000"/>
                <w:sz w:val="24"/>
                <w:lang w:val="en-US" w:eastAsia="zh-CN"/>
              </w:rPr>
              <w:t>一</w:t>
            </w:r>
            <w:r>
              <w:rPr>
                <w:rFonts w:hint="eastAsia"/>
                <w:color w:val="000000"/>
                <w:sz w:val="24"/>
                <w:lang w:eastAsia="zh-CN"/>
              </w:rPr>
              <w:t>）</w:t>
            </w:r>
            <w:r>
              <w:rPr>
                <w:rFonts w:hint="eastAsia"/>
                <w:color w:val="000000"/>
                <w:sz w:val="24"/>
                <w:lang w:val="en-US" w:eastAsia="zh-CN"/>
              </w:rPr>
              <w:t>严禁1公里范围内新建化工项目</w:t>
            </w:r>
            <w:r>
              <w:rPr>
                <w:rFonts w:hint="eastAsia"/>
                <w:color w:val="000000"/>
                <w:sz w:val="24"/>
              </w:rPr>
              <w:t>。长江干支流</w:t>
            </w:r>
            <w:r>
              <w:rPr>
                <w:rFonts w:hint="eastAsia"/>
                <w:color w:val="000000"/>
                <w:sz w:val="24"/>
                <w:lang w:val="en-US" w:eastAsia="zh-CN"/>
              </w:rPr>
              <w:t>岸线1公里范围内，严禁新建，扩建化工园区和化工项目。已批未开工的项目，依法停止建设，支持重新选址。已经开工建设的项目，严格进行检查评估，不符合岸线规划和环保、安全要求的，全部依法依规停建搬迁。</w:t>
            </w:r>
          </w:p>
          <w:p>
            <w:pPr>
              <w:spacing w:line="343" w:lineRule="auto"/>
              <w:ind w:firstLine="480" w:firstLineChars="200"/>
              <w:rPr>
                <w:color w:val="000000"/>
                <w:sz w:val="24"/>
              </w:rPr>
            </w:pPr>
            <w:r>
              <w:rPr>
                <w:rFonts w:hint="eastAsia"/>
                <w:color w:val="000000"/>
                <w:sz w:val="24"/>
                <w:lang w:eastAsia="zh-CN"/>
              </w:rPr>
              <w:t>（</w:t>
            </w:r>
            <w:r>
              <w:rPr>
                <w:rFonts w:hint="eastAsia"/>
                <w:color w:val="000000"/>
                <w:sz w:val="24"/>
                <w:lang w:val="en-US" w:eastAsia="zh-CN"/>
              </w:rPr>
              <w:t>二</w:t>
            </w:r>
            <w:r>
              <w:rPr>
                <w:rFonts w:hint="eastAsia"/>
                <w:color w:val="000000"/>
                <w:sz w:val="24"/>
                <w:lang w:eastAsia="zh-CN"/>
              </w:rPr>
              <w:t>）</w:t>
            </w:r>
            <w:r>
              <w:rPr>
                <w:rFonts w:hint="eastAsia"/>
                <w:color w:val="000000"/>
                <w:sz w:val="24"/>
                <w:lang w:val="en-US" w:eastAsia="zh-CN"/>
              </w:rPr>
              <w:t>严控</w:t>
            </w:r>
            <w:r>
              <w:rPr>
                <w:rFonts w:hint="eastAsia"/>
                <w:color w:val="000000"/>
                <w:sz w:val="24"/>
              </w:rPr>
              <w:t>5公里范围内</w:t>
            </w:r>
            <w:r>
              <w:rPr>
                <w:rFonts w:hint="eastAsia"/>
                <w:color w:val="000000"/>
                <w:sz w:val="24"/>
                <w:lang w:val="en-US" w:eastAsia="zh-CN"/>
              </w:rPr>
              <w:t>新建重化工重污染项目</w:t>
            </w:r>
            <w:r>
              <w:rPr>
                <w:rFonts w:hint="eastAsia"/>
                <w:color w:val="000000"/>
                <w:sz w:val="24"/>
              </w:rPr>
              <w:t>。</w:t>
            </w:r>
            <w:r>
              <w:rPr>
                <w:rFonts w:hint="eastAsia"/>
                <w:color w:val="000000"/>
                <w:sz w:val="24"/>
                <w:lang w:val="en-US" w:eastAsia="zh-CN"/>
              </w:rPr>
              <w:t>长江干流岸线5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r>
              <w:rPr>
                <w:rFonts w:hint="eastAsia"/>
                <w:color w:val="000000"/>
                <w:sz w:val="24"/>
              </w:rPr>
              <w:t>。</w:t>
            </w:r>
          </w:p>
          <w:p>
            <w:pPr>
              <w:spacing w:line="343" w:lineRule="auto"/>
              <w:ind w:firstLine="480" w:firstLineChars="200"/>
              <w:rPr>
                <w:rFonts w:hint="default" w:eastAsia="宋体"/>
                <w:color w:val="000000"/>
                <w:sz w:val="24"/>
                <w:lang w:val="en-US" w:eastAsia="zh-CN"/>
              </w:rPr>
            </w:pPr>
            <w:r>
              <w:rPr>
                <w:rFonts w:hint="eastAsia"/>
                <w:color w:val="000000"/>
                <w:sz w:val="24"/>
                <w:lang w:eastAsia="zh-CN"/>
              </w:rPr>
              <w:t>（</w:t>
            </w:r>
            <w:r>
              <w:rPr>
                <w:rFonts w:hint="eastAsia"/>
                <w:color w:val="000000"/>
                <w:sz w:val="24"/>
                <w:lang w:val="en-US" w:eastAsia="zh-CN"/>
              </w:rPr>
              <w:t>三</w:t>
            </w:r>
            <w:r>
              <w:rPr>
                <w:rFonts w:hint="eastAsia"/>
                <w:color w:val="000000"/>
                <w:sz w:val="24"/>
                <w:lang w:eastAsia="zh-CN"/>
              </w:rPr>
              <w:t>）</w:t>
            </w:r>
            <w:r>
              <w:rPr>
                <w:rFonts w:hint="eastAsia"/>
                <w:color w:val="000000"/>
                <w:sz w:val="24"/>
                <w:lang w:val="en-US" w:eastAsia="zh-CN"/>
              </w:rPr>
              <w:t>严管</w:t>
            </w:r>
            <w:r>
              <w:rPr>
                <w:rFonts w:hint="eastAsia"/>
                <w:color w:val="000000"/>
                <w:sz w:val="24"/>
              </w:rPr>
              <w:t>15公里范围内</w:t>
            </w:r>
            <w:r>
              <w:rPr>
                <w:rFonts w:hint="eastAsia"/>
                <w:color w:val="000000"/>
                <w:sz w:val="24"/>
                <w:lang w:val="en-US" w:eastAsia="zh-CN"/>
              </w:rPr>
              <w:t>新建项目</w:t>
            </w:r>
            <w:r>
              <w:rPr>
                <w:rFonts w:hint="eastAsia"/>
                <w:color w:val="000000"/>
                <w:sz w:val="24"/>
              </w:rPr>
              <w:t>。</w:t>
            </w:r>
            <w:r>
              <w:rPr>
                <w:rFonts w:hint="eastAsia"/>
                <w:color w:val="000000"/>
                <w:sz w:val="24"/>
                <w:lang w:val="en-US" w:eastAsia="zh-CN"/>
              </w:rPr>
              <w:t>长江干流岸线15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严格执行《长江经济带发展负面清单指南（试行）》《安徽省长江经济带发展负面清单实施细则（试行）》</w:t>
            </w:r>
            <w:r>
              <w:rPr>
                <w:rFonts w:hint="eastAsia"/>
                <w:color w:val="000000"/>
                <w:sz w:val="24"/>
              </w:rPr>
              <w:t>。</w:t>
            </w:r>
            <w:r>
              <w:rPr>
                <w:rFonts w:hint="eastAsia"/>
                <w:color w:val="000000"/>
                <w:sz w:val="24"/>
                <w:lang w:val="en-US" w:eastAsia="zh-CN"/>
              </w:rPr>
              <w:t>实施备案、环评、安评、能评等并联审批，未落实生态环保、安全生产、能源节约要求的，一律不得开工建设。</w:t>
            </w:r>
          </w:p>
          <w:p>
            <w:pPr>
              <w:spacing w:line="343" w:lineRule="auto"/>
              <w:ind w:firstLine="480" w:firstLineChars="200"/>
              <w:rPr>
                <w:color w:val="000000"/>
                <w:sz w:val="24"/>
              </w:rPr>
            </w:pPr>
            <w:r>
              <w:rPr>
                <w:rFonts w:hint="eastAsia"/>
                <w:color w:val="000000"/>
                <w:sz w:val="24"/>
              </w:rPr>
              <w:t>本项目距离长江12.58公里，位于</w:t>
            </w:r>
            <w:r>
              <w:rPr>
                <w:rFonts w:hint="eastAsia"/>
                <w:color w:val="000000"/>
                <w:sz w:val="24"/>
                <w:lang w:val="en-US" w:eastAsia="zh-CN"/>
              </w:rPr>
              <w:t>方案中</w:t>
            </w:r>
            <w:r>
              <w:rPr>
                <w:rFonts w:hint="eastAsia"/>
                <w:color w:val="000000"/>
                <w:sz w:val="24"/>
              </w:rPr>
              <w:t>“三道防线”在1公里范围之外、5公里范围之外、15公里范围之内。项目建成后将按照环保和安全有关要求进行生产，环保和安全能够确保达标，工艺技术和装备水平行业先进，项目产品为焊接、型材构件、冷弯薄壁构件、冷弯复合墙板和屋面板。项目建成后将严格按照</w:t>
            </w:r>
            <w:r>
              <w:rPr>
                <w:rFonts w:hint="eastAsia"/>
                <w:color w:val="000000"/>
                <w:sz w:val="24"/>
                <w:lang w:val="en-US" w:eastAsia="zh-CN"/>
              </w:rPr>
              <w:t>水清岸绿产业优美丽长江（芜湖）经济带</w:t>
            </w:r>
            <w:r>
              <w:rPr>
                <w:rFonts w:hint="eastAsia"/>
                <w:color w:val="000000"/>
                <w:sz w:val="24"/>
              </w:rPr>
              <w:t>的重要精神，严格管理，不断加强大气、水环境保护与治理，提高环境风险防控和环境监测能力，为实现水清、岸绿、产业优的美丽长江做出企业应有的努力。符合《关于全面打造水清岸绿产业优美丽长江（芜湖）经济带的实施方案（升级版）》（</w:t>
            </w:r>
            <w:r>
              <w:rPr>
                <w:rFonts w:hint="eastAsia"/>
                <w:color w:val="000000"/>
                <w:sz w:val="24"/>
                <w:lang w:val="en-US" w:eastAsia="zh-CN"/>
              </w:rPr>
              <w:t>芜市办</w:t>
            </w:r>
            <w:r>
              <w:rPr>
                <w:rFonts w:hint="eastAsia"/>
                <w:color w:val="000000"/>
                <w:sz w:val="24"/>
              </w:rPr>
              <w:t>〔2021〕</w:t>
            </w:r>
            <w:r>
              <w:rPr>
                <w:rFonts w:hint="eastAsia"/>
                <w:color w:val="000000"/>
                <w:sz w:val="24"/>
                <w:lang w:val="en-US" w:eastAsia="zh-CN"/>
              </w:rPr>
              <w:t>28</w:t>
            </w:r>
            <w:r>
              <w:rPr>
                <w:rFonts w:hint="eastAsia"/>
                <w:color w:val="000000"/>
                <w:sz w:val="24"/>
              </w:rPr>
              <w:t xml:space="preserve"> 号）的有关精神。</w:t>
            </w:r>
          </w:p>
          <w:p>
            <w:pPr>
              <w:autoSpaceDE w:val="0"/>
              <w:autoSpaceDN w:val="0"/>
              <w:adjustRightInd w:val="0"/>
              <w:spacing w:line="360" w:lineRule="auto"/>
              <w:ind w:firstLine="482" w:firstLineChars="200"/>
              <w:rPr>
                <w:rFonts w:hAnsi="宋体"/>
                <w:b/>
                <w:color w:val="0D0D0D" w:themeColor="text1" w:themeTint="F2"/>
                <w:kern w:val="0"/>
                <w:sz w:val="24"/>
                <w14:textFill>
                  <w14:solidFill>
                    <w14:schemeClr w14:val="tx1">
                      <w14:lumMod w14:val="95000"/>
                      <w14:lumOff w14:val="5000"/>
                    </w14:schemeClr>
                  </w14:solidFill>
                </w14:textFill>
              </w:rPr>
            </w:pPr>
            <w:r>
              <w:rPr>
                <w:rFonts w:hint="eastAsia" w:hAnsi="宋体"/>
                <w:b/>
                <w:color w:val="0D0D0D" w:themeColor="text1" w:themeTint="F2"/>
                <w:kern w:val="0"/>
                <w:sz w:val="24"/>
                <w14:textFill>
                  <w14:solidFill>
                    <w14:schemeClr w14:val="tx1">
                      <w14:lumMod w14:val="95000"/>
                      <w14:lumOff w14:val="5000"/>
                    </w14:schemeClr>
                  </w14:solidFill>
                </w14:textFill>
              </w:rPr>
              <w:t>4、与《“十三五”挥发性有机物污染防治方案》相符性</w:t>
            </w:r>
          </w:p>
          <w:p>
            <w:pPr>
              <w:pStyle w:val="210"/>
              <w:spacing w:line="360" w:lineRule="auto"/>
              <w:ind w:firstLine="480" w:firstLineChars="200"/>
              <w:jc w:val="both"/>
              <w:rPr>
                <w:rFonts w:ascii="Times New Roman" w:hAnsi="宋体"/>
                <w:color w:val="0D0D0D" w:themeColor="text1" w:themeTint="F2"/>
                <w:kern w:val="2"/>
                <w14:textFill>
                  <w14:solidFill>
                    <w14:schemeClr w14:val="tx1">
                      <w14:lumMod w14:val="95000"/>
                      <w14:lumOff w14:val="5000"/>
                    </w14:schemeClr>
                  </w14:solidFill>
                </w14:textFill>
              </w:rPr>
            </w:pPr>
            <w:r>
              <w:rPr>
                <w:rFonts w:ascii="Times New Roman" w:hAnsi="宋体"/>
                <w:color w:val="0D0D0D" w:themeColor="text1" w:themeTint="F2"/>
                <w:kern w:val="2"/>
                <w14:textFill>
                  <w14:solidFill>
                    <w14:schemeClr w14:val="tx1">
                      <w14:lumMod w14:val="95000"/>
                      <w14:lumOff w14:val="5000"/>
                    </w14:schemeClr>
                  </w14:solidFill>
                </w14:textFill>
              </w:rPr>
              <w:t xml:space="preserve">根据《“十三五”挥发性有机物污染防治工作方案》中，“各地应结合本地产业结构特征和VOCs治理重点，因地制宜选择其他工业行业开展VOCs治理” </w:t>
            </w:r>
            <w:r>
              <w:rPr>
                <w:rFonts w:hint="eastAsia" w:ascii="Times New Roman" w:hAnsi="宋体"/>
                <w:color w:val="0D0D0D" w:themeColor="text1" w:themeTint="F2"/>
                <w:kern w:val="2"/>
                <w14:textFill>
                  <w14:solidFill>
                    <w14:schemeClr w14:val="tx1">
                      <w14:lumMod w14:val="95000"/>
                      <w14:lumOff w14:val="5000"/>
                    </w14:schemeClr>
                  </w14:solidFill>
                </w14:textFill>
              </w:rPr>
              <w:t>。</w:t>
            </w:r>
          </w:p>
          <w:p>
            <w:pPr>
              <w:pStyle w:val="210"/>
              <w:spacing w:line="360" w:lineRule="auto"/>
              <w:ind w:firstLine="480" w:firstLineChars="200"/>
              <w:jc w:val="both"/>
              <w:rPr>
                <w:rFonts w:ascii="Times New Roman" w:hAnsi="宋体"/>
                <w:color w:val="0D0D0D" w:themeColor="text1" w:themeTint="F2"/>
                <w:kern w:val="2"/>
                <w14:textFill>
                  <w14:solidFill>
                    <w14:schemeClr w14:val="tx1">
                      <w14:lumMod w14:val="95000"/>
                      <w14:lumOff w14:val="5000"/>
                    </w14:schemeClr>
                  </w14:solidFill>
                </w14:textFill>
              </w:rPr>
            </w:pPr>
            <w:r>
              <w:rPr>
                <w:rFonts w:ascii="Times New Roman" w:hAnsi="宋体"/>
                <w:color w:val="0D0D0D" w:themeColor="text1" w:themeTint="F2"/>
                <w:kern w:val="2"/>
                <w14:textFill>
                  <w14:solidFill>
                    <w14:schemeClr w14:val="tx1">
                      <w14:lumMod w14:val="95000"/>
                      <w14:lumOff w14:val="5000"/>
                    </w14:schemeClr>
                  </w14:solidFill>
                </w14:textFill>
              </w:rPr>
              <w:t>本项目</w:t>
            </w:r>
            <w:r>
              <w:rPr>
                <w:rFonts w:hint="eastAsia" w:ascii="Times New Roman" w:hAnsi="宋体"/>
                <w:color w:val="0D0D0D" w:themeColor="text1" w:themeTint="F2"/>
                <w:kern w:val="2"/>
                <w14:textFill>
                  <w14:solidFill>
                    <w14:schemeClr w14:val="tx1">
                      <w14:lumMod w14:val="95000"/>
                      <w14:lumOff w14:val="5000"/>
                    </w14:schemeClr>
                  </w14:solidFill>
                </w14:textFill>
              </w:rPr>
              <w:t>调漆、喷漆及晾干工序产生的有机废气收集后采取过滤棉+活性炭+RCO处理</w:t>
            </w:r>
            <w:r>
              <w:rPr>
                <w:rFonts w:ascii="Times New Roman" w:hAnsi="宋体"/>
                <w:color w:val="0D0D0D" w:themeColor="text1" w:themeTint="F2"/>
                <w:kern w:val="2"/>
                <w14:textFill>
                  <w14:solidFill>
                    <w14:schemeClr w14:val="tx1">
                      <w14:lumMod w14:val="95000"/>
                      <w14:lumOff w14:val="5000"/>
                    </w14:schemeClr>
                  </w14:solidFill>
                </w14:textFill>
              </w:rPr>
              <w:t>处理再由15</w:t>
            </w:r>
            <w:r>
              <w:rPr>
                <w:rFonts w:hint="eastAsia" w:ascii="Times New Roman" w:hAnsi="宋体"/>
                <w:color w:val="0D0D0D" w:themeColor="text1" w:themeTint="F2"/>
                <w:kern w:val="2"/>
                <w14:textFill>
                  <w14:solidFill>
                    <w14:schemeClr w14:val="tx1">
                      <w14:lumMod w14:val="95000"/>
                      <w14:lumOff w14:val="5000"/>
                    </w14:schemeClr>
                  </w14:solidFill>
                </w14:textFill>
              </w:rPr>
              <w:t xml:space="preserve"> </w:t>
            </w:r>
            <w:r>
              <w:rPr>
                <w:rFonts w:ascii="Times New Roman" w:hAnsi="宋体"/>
                <w:color w:val="0D0D0D" w:themeColor="text1" w:themeTint="F2"/>
                <w:kern w:val="2"/>
                <w14:textFill>
                  <w14:solidFill>
                    <w14:schemeClr w14:val="tx1">
                      <w14:lumMod w14:val="95000"/>
                      <w14:lumOff w14:val="5000"/>
                    </w14:schemeClr>
                  </w14:solidFill>
                </w14:textFill>
              </w:rPr>
              <w:t>m高排气筒</w:t>
            </w:r>
            <w:r>
              <w:rPr>
                <w:rFonts w:hint="eastAsia" w:ascii="Times New Roman" w:hAnsi="宋体"/>
                <w:color w:val="0D0D0D" w:themeColor="text1" w:themeTint="F2"/>
                <w:kern w:val="2"/>
                <w14:textFill>
                  <w14:solidFill>
                    <w14:schemeClr w14:val="tx1">
                      <w14:lumMod w14:val="95000"/>
                      <w14:lumOff w14:val="5000"/>
                    </w14:schemeClr>
                  </w14:solidFill>
                </w14:textFill>
              </w:rPr>
              <w:t>（DA004）</w:t>
            </w:r>
            <w:r>
              <w:rPr>
                <w:rFonts w:ascii="Times New Roman" w:hAnsi="宋体"/>
                <w:color w:val="0D0D0D" w:themeColor="text1" w:themeTint="F2"/>
                <w:kern w:val="2"/>
                <w14:textFill>
                  <w14:solidFill>
                    <w14:schemeClr w14:val="tx1">
                      <w14:lumMod w14:val="95000"/>
                      <w14:lumOff w14:val="5000"/>
                    </w14:schemeClr>
                  </w14:solidFill>
                </w14:textFill>
              </w:rPr>
              <w:t>排放</w:t>
            </w:r>
            <w:r>
              <w:rPr>
                <w:rFonts w:hint="eastAsia" w:ascii="Times New Roman" w:hAnsi="宋体"/>
                <w:color w:val="0D0D0D" w:themeColor="text1" w:themeTint="F2"/>
                <w:kern w:val="2"/>
                <w14:textFill>
                  <w14:solidFill>
                    <w14:schemeClr w14:val="tx1">
                      <w14:lumMod w14:val="95000"/>
                      <w14:lumOff w14:val="5000"/>
                    </w14:schemeClr>
                  </w14:solidFill>
                </w14:textFill>
              </w:rPr>
              <w:t>，</w:t>
            </w:r>
            <w:r>
              <w:rPr>
                <w:rFonts w:ascii="Times New Roman" w:hAnsi="宋体"/>
                <w:color w:val="0D0D0D" w:themeColor="text1" w:themeTint="F2"/>
                <w:kern w:val="2"/>
                <w14:textFill>
                  <w14:solidFill>
                    <w14:schemeClr w14:val="tx1">
                      <w14:lumMod w14:val="95000"/>
                      <w14:lumOff w14:val="5000"/>
                    </w14:schemeClr>
                  </w14:solidFill>
                </w14:textFill>
              </w:rPr>
              <w:t>与本方案相符。</w:t>
            </w:r>
          </w:p>
          <w:p>
            <w:pPr>
              <w:spacing w:line="360" w:lineRule="auto"/>
              <w:ind w:firstLine="482" w:firstLineChars="200"/>
              <w:rPr>
                <w:b/>
                <w:bCs/>
                <w:sz w:val="24"/>
              </w:rPr>
            </w:pPr>
            <w:r>
              <w:rPr>
                <w:rFonts w:hint="eastAsia"/>
                <w:b/>
                <w:bCs/>
                <w:sz w:val="24"/>
              </w:rPr>
              <w:t>5、与《芜湖市2021年挥发性有机物污染治理攻坚行动方案》（芜大气[2021]7号文）相符性分析</w:t>
            </w:r>
          </w:p>
          <w:p>
            <w:pPr>
              <w:pStyle w:val="1036"/>
              <w:jc w:val="left"/>
              <w:rPr>
                <w:rFonts w:hint="default" w:ascii="Times New Roman" w:cs="Times New Roman"/>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根据芜湖市生态环境局</w:t>
            </w:r>
            <w:r>
              <w:rPr>
                <w:rFonts w:hint="default" w:ascii="Times New Roman" w:cs="Times New Roman"/>
                <w:color w:val="0D0D0D" w:themeColor="text1" w:themeTint="F2"/>
                <w14:textFill>
                  <w14:solidFill>
                    <w14:schemeClr w14:val="tx1">
                      <w14:lumMod w14:val="95000"/>
                      <w14:lumOff w14:val="5000"/>
                    </w14:schemeClr>
                  </w14:solidFill>
                </w14:textFill>
              </w:rPr>
              <w:t>20</w:t>
            </w:r>
            <w:r>
              <w:rPr>
                <w:rFonts w:ascii="Times New Roman" w:cs="Times New Roman"/>
                <w:color w:val="0D0D0D" w:themeColor="text1" w:themeTint="F2"/>
                <w14:textFill>
                  <w14:solidFill>
                    <w14:schemeClr w14:val="tx1">
                      <w14:lumMod w14:val="95000"/>
                      <w14:lumOff w14:val="5000"/>
                    </w14:schemeClr>
                  </w14:solidFill>
                </w14:textFill>
              </w:rPr>
              <w:t>21</w:t>
            </w:r>
            <w:r>
              <w:rPr>
                <w:rFonts w:hint="default" w:ascii="Times New Roman" w:cs="Times New Roman"/>
                <w:color w:val="0D0D0D" w:themeColor="text1" w:themeTint="F2"/>
                <w14:textFill>
                  <w14:solidFill>
                    <w14:schemeClr w14:val="tx1">
                      <w14:lumMod w14:val="95000"/>
                      <w14:lumOff w14:val="5000"/>
                    </w14:schemeClr>
                  </w14:solidFill>
                </w14:textFill>
              </w:rPr>
              <w:t>年6月</w:t>
            </w:r>
            <w:r>
              <w:rPr>
                <w:rFonts w:ascii="Times New Roman" w:cs="Times New Roman"/>
                <w:color w:val="0D0D0D" w:themeColor="text1" w:themeTint="F2"/>
                <w14:textFill>
                  <w14:solidFill>
                    <w14:schemeClr w14:val="tx1">
                      <w14:lumMod w14:val="95000"/>
                      <w14:lumOff w14:val="5000"/>
                    </w14:schemeClr>
                  </w14:solidFill>
                </w14:textFill>
              </w:rPr>
              <w:t>30</w:t>
            </w:r>
            <w:r>
              <w:rPr>
                <w:rFonts w:hint="default" w:ascii="Times New Roman" w:cs="Times New Roman"/>
                <w:color w:val="0D0D0D" w:themeColor="text1" w:themeTint="F2"/>
                <w14:textFill>
                  <w14:solidFill>
                    <w14:schemeClr w14:val="tx1">
                      <w14:lumMod w14:val="95000"/>
                      <w14:lumOff w14:val="5000"/>
                    </w14:schemeClr>
                  </w14:solidFill>
                </w14:textFill>
              </w:rPr>
              <w:t>日发布的关于印发《</w:t>
            </w:r>
            <w:r>
              <w:rPr>
                <w:rFonts w:ascii="Times New Roman" w:cs="Times New Roman"/>
                <w:color w:val="0D0D0D" w:themeColor="text1" w:themeTint="F2"/>
                <w:szCs w:val="24"/>
                <w14:textFill>
                  <w14:solidFill>
                    <w14:schemeClr w14:val="tx1">
                      <w14:lumMod w14:val="95000"/>
                      <w14:lumOff w14:val="5000"/>
                    </w14:schemeClr>
                  </w14:solidFill>
                </w14:textFill>
              </w:rPr>
              <w:t>芜湖市2021年挥发性有机物污染治理攻坚行动方案</w:t>
            </w:r>
            <w:r>
              <w:rPr>
                <w:rFonts w:hint="default" w:ascii="Times New Roman" w:cs="Times New Roman"/>
                <w:color w:val="0D0D0D" w:themeColor="text1" w:themeTint="F2"/>
                <w14:textFill>
                  <w14:solidFill>
                    <w14:schemeClr w14:val="tx1">
                      <w14:lumMod w14:val="95000"/>
                      <w14:lumOff w14:val="5000"/>
                    </w14:schemeClr>
                  </w14:solidFill>
                </w14:textFill>
              </w:rPr>
              <w:t>》（</w:t>
            </w:r>
            <w:r>
              <w:rPr>
                <w:rFonts w:ascii="Times New Roman" w:cs="Times New Roman"/>
                <w:color w:val="0D0D0D" w:themeColor="text1" w:themeTint="F2"/>
                <w14:textFill>
                  <w14:solidFill>
                    <w14:schemeClr w14:val="tx1">
                      <w14:lumMod w14:val="95000"/>
                      <w14:lumOff w14:val="5000"/>
                    </w14:schemeClr>
                  </w14:solidFill>
                </w14:textFill>
              </w:rPr>
              <w:t>芜</w:t>
            </w:r>
            <w:r>
              <w:rPr>
                <w:rFonts w:hint="default" w:ascii="Times New Roman" w:cs="Times New Roman"/>
                <w:color w:val="0D0D0D" w:themeColor="text1" w:themeTint="F2"/>
                <w14:textFill>
                  <w14:solidFill>
                    <w14:schemeClr w14:val="tx1">
                      <w14:lumMod w14:val="95000"/>
                      <w14:lumOff w14:val="5000"/>
                    </w14:schemeClr>
                  </w14:solidFill>
                </w14:textFill>
              </w:rPr>
              <w:t>大气</w:t>
            </w:r>
            <w:r>
              <w:rPr>
                <w:rFonts w:ascii="Times New Roman" w:cs="Times New Roman"/>
                <w:color w:val="0D0D0D" w:themeColor="text1" w:themeTint="F2"/>
                <w14:textFill>
                  <w14:solidFill>
                    <w14:schemeClr w14:val="tx1">
                      <w14:lumMod w14:val="95000"/>
                      <w14:lumOff w14:val="5000"/>
                    </w14:schemeClr>
                  </w14:solidFill>
                </w14:textFill>
              </w:rPr>
              <w:t>办</w:t>
            </w:r>
            <w:r>
              <w:rPr>
                <w:rFonts w:hint="default" w:ascii="Times New Roman" w:cs="Times New Roman"/>
                <w:color w:val="0D0D0D" w:themeColor="text1" w:themeTint="F2"/>
                <w14:textFill>
                  <w14:solidFill>
                    <w14:schemeClr w14:val="tx1">
                      <w14:lumMod w14:val="95000"/>
                      <w14:lumOff w14:val="5000"/>
                    </w14:schemeClr>
                  </w14:solidFill>
                </w14:textFill>
              </w:rPr>
              <w:t>[20</w:t>
            </w:r>
            <w:r>
              <w:rPr>
                <w:rFonts w:ascii="Times New Roman" w:cs="Times New Roman"/>
                <w:color w:val="0D0D0D" w:themeColor="text1" w:themeTint="F2"/>
                <w14:textFill>
                  <w14:solidFill>
                    <w14:schemeClr w14:val="tx1">
                      <w14:lumMod w14:val="95000"/>
                      <w14:lumOff w14:val="5000"/>
                    </w14:schemeClr>
                  </w14:solidFill>
                </w14:textFill>
              </w:rPr>
              <w:t>21</w:t>
            </w:r>
            <w:r>
              <w:rPr>
                <w:rFonts w:hint="default" w:ascii="Times New Roman" w:cs="Times New Roman"/>
                <w:color w:val="0D0D0D" w:themeColor="text1" w:themeTint="F2"/>
                <w14:textFill>
                  <w14:solidFill>
                    <w14:schemeClr w14:val="tx1">
                      <w14:lumMod w14:val="95000"/>
                      <w14:lumOff w14:val="5000"/>
                    </w14:schemeClr>
                  </w14:solidFill>
                </w14:textFill>
              </w:rPr>
              <w:t>]</w:t>
            </w:r>
            <w:r>
              <w:rPr>
                <w:rFonts w:ascii="Times New Roman" w:cs="Times New Roman"/>
                <w:color w:val="0D0D0D" w:themeColor="text1" w:themeTint="F2"/>
                <w14:textFill>
                  <w14:solidFill>
                    <w14:schemeClr w14:val="tx1">
                      <w14:lumMod w14:val="95000"/>
                      <w14:lumOff w14:val="5000"/>
                    </w14:schemeClr>
                  </w14:solidFill>
                </w14:textFill>
              </w:rPr>
              <w:t>7</w:t>
            </w:r>
            <w:r>
              <w:rPr>
                <w:rFonts w:hint="default" w:ascii="Times New Roman" w:cs="Times New Roman"/>
                <w:color w:val="0D0D0D" w:themeColor="text1" w:themeTint="F2"/>
                <w14:textFill>
                  <w14:solidFill>
                    <w14:schemeClr w14:val="tx1">
                      <w14:lumMod w14:val="95000"/>
                      <w14:lumOff w14:val="5000"/>
                    </w14:schemeClr>
                  </w14:solidFill>
                </w14:textFill>
              </w:rPr>
              <w:t>号）：以下是本项目与</w:t>
            </w:r>
            <w:r>
              <w:rPr>
                <w:rFonts w:ascii="Times New Roman" w:cs="Times New Roman"/>
                <w:color w:val="0D0D0D" w:themeColor="text1" w:themeTint="F2"/>
                <w14:textFill>
                  <w14:solidFill>
                    <w14:schemeClr w14:val="tx1">
                      <w14:lumMod w14:val="95000"/>
                      <w14:lumOff w14:val="5000"/>
                    </w14:schemeClr>
                  </w14:solidFill>
                </w14:textFill>
              </w:rPr>
              <w:t>该</w:t>
            </w:r>
            <w:r>
              <w:rPr>
                <w:rFonts w:hint="default" w:ascii="Times New Roman" w:cs="Times New Roman"/>
                <w:color w:val="0D0D0D" w:themeColor="text1" w:themeTint="F2"/>
                <w14:textFill>
                  <w14:solidFill>
                    <w14:schemeClr w14:val="tx1">
                      <w14:lumMod w14:val="95000"/>
                      <w14:lumOff w14:val="5000"/>
                    </w14:schemeClr>
                  </w14:solidFill>
                </w14:textFill>
              </w:rPr>
              <w:t>方案符合性分析内容：</w:t>
            </w:r>
          </w:p>
          <w:p>
            <w:pPr>
              <w:jc w:val="center"/>
              <w:rPr>
                <w:b/>
                <w:color w:val="0D0D0D" w:themeColor="text1" w:themeTint="F2"/>
                <w:sz w:val="24"/>
                <w14:textFill>
                  <w14:solidFill>
                    <w14:schemeClr w14:val="tx1">
                      <w14:lumMod w14:val="95000"/>
                      <w14:lumOff w14:val="5000"/>
                    </w14:schemeClr>
                  </w14:solidFill>
                </w14:textFill>
              </w:rPr>
            </w:pPr>
            <w:r>
              <w:rPr>
                <w:b/>
                <w:color w:val="0D0D0D" w:themeColor="text1" w:themeTint="F2"/>
                <w:sz w:val="24"/>
                <w14:textFill>
                  <w14:solidFill>
                    <w14:schemeClr w14:val="tx1">
                      <w14:lumMod w14:val="95000"/>
                      <w14:lumOff w14:val="5000"/>
                    </w14:schemeClr>
                  </w14:solidFill>
                </w14:textFill>
              </w:rPr>
              <w:t>表</w:t>
            </w:r>
            <w:r>
              <w:rPr>
                <w:rFonts w:hint="eastAsia"/>
                <w:b/>
                <w:color w:val="0D0D0D" w:themeColor="text1" w:themeTint="F2"/>
                <w:sz w:val="24"/>
                <w14:textFill>
                  <w14:solidFill>
                    <w14:schemeClr w14:val="tx1">
                      <w14:lumMod w14:val="95000"/>
                      <w14:lumOff w14:val="5000"/>
                    </w14:schemeClr>
                  </w14:solidFill>
                </w14:textFill>
              </w:rPr>
              <w:t>1</w:t>
            </w:r>
            <w:r>
              <w:rPr>
                <w:b/>
                <w:color w:val="0D0D0D" w:themeColor="text1" w:themeTint="F2"/>
                <w:sz w:val="24"/>
                <w14:textFill>
                  <w14:solidFill>
                    <w14:schemeClr w14:val="tx1">
                      <w14:lumMod w14:val="95000"/>
                      <w14:lumOff w14:val="5000"/>
                    </w14:schemeClr>
                  </w14:solidFill>
                </w14:textFill>
              </w:rPr>
              <w:t>-</w:t>
            </w:r>
            <w:r>
              <w:rPr>
                <w:rFonts w:hint="eastAsia"/>
                <w:b/>
                <w:color w:val="0D0D0D" w:themeColor="text1" w:themeTint="F2"/>
                <w:sz w:val="24"/>
                <w14:textFill>
                  <w14:solidFill>
                    <w14:schemeClr w14:val="tx1">
                      <w14:lumMod w14:val="95000"/>
                      <w14:lumOff w14:val="5000"/>
                    </w14:schemeClr>
                  </w14:solidFill>
                </w14:textFill>
              </w:rPr>
              <w:t>4</w:t>
            </w:r>
            <w:r>
              <w:rPr>
                <w:b/>
                <w:color w:val="0D0D0D" w:themeColor="text1" w:themeTint="F2"/>
                <w:sz w:val="24"/>
                <w14:textFill>
                  <w14:solidFill>
                    <w14:schemeClr w14:val="tx1">
                      <w14:lumMod w14:val="95000"/>
                      <w14:lumOff w14:val="5000"/>
                    </w14:schemeClr>
                  </w14:solidFill>
                </w14:textFill>
              </w:rPr>
              <w:t xml:space="preserve">  “</w:t>
            </w:r>
            <w:r>
              <w:rPr>
                <w:rFonts w:hint="eastAsia"/>
                <w:b/>
                <w:color w:val="0D0D0D" w:themeColor="text1" w:themeTint="F2"/>
                <w:sz w:val="24"/>
                <w14:textFill>
                  <w14:solidFill>
                    <w14:schemeClr w14:val="tx1">
                      <w14:lumMod w14:val="95000"/>
                      <w14:lumOff w14:val="5000"/>
                    </w14:schemeClr>
                  </w14:solidFill>
                </w14:textFill>
              </w:rPr>
              <w:t>芜湖市2021年挥发性有机物污染治理攻坚行动方案</w:t>
            </w:r>
            <w:r>
              <w:rPr>
                <w:b/>
                <w:color w:val="0D0D0D" w:themeColor="text1" w:themeTint="F2"/>
                <w:sz w:val="24"/>
                <w14:textFill>
                  <w14:solidFill>
                    <w14:schemeClr w14:val="tx1">
                      <w14:lumMod w14:val="95000"/>
                      <w14:lumOff w14:val="5000"/>
                    </w14:schemeClr>
                  </w14:solidFill>
                </w14:textFill>
              </w:rPr>
              <w:t>”符合性分析</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615"/>
              <w:gridCol w:w="3119"/>
              <w:gridCol w:w="6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15"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方案要求</w:t>
                  </w:r>
                </w:p>
              </w:tc>
              <w:tc>
                <w:tcPr>
                  <w:tcW w:w="3119"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本项目建设情况</w:t>
                  </w:r>
                </w:p>
              </w:tc>
              <w:tc>
                <w:tcPr>
                  <w:tcW w:w="697" w:type="dxa"/>
                  <w:vAlign w:val="center"/>
                </w:tcPr>
                <w:p>
                  <w:pPr>
                    <w:snapToGrid w:val="0"/>
                    <w:ind w:left="-105" w:leftChars="-50" w:right="-105" w:rightChars="-5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15"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推进源头削减。在工业涂装、包装印刷、鞋革箱包制造、竹木制品胶合、电子等领域，推广VOCs含量低于10%原辅材料的源头替代。鼓励支持企业进行低VOCs含量原辅材料的源头替代，各县市区、开发区于7月15日前指导企业建立管理台账。</w:t>
                  </w:r>
                </w:p>
              </w:tc>
              <w:tc>
                <w:tcPr>
                  <w:tcW w:w="3119" w:type="dxa"/>
                  <w:shd w:val="clear" w:color="auto" w:fill="auto"/>
                  <w:vAlign w:val="center"/>
                </w:tcPr>
                <w:p>
                  <w:pPr>
                    <w:snapToGrid w:val="0"/>
                    <w:jc w:val="center"/>
                    <w:rPr>
                      <w:rFonts w:hAnsi="宋体"/>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根据本项目所用</w:t>
                  </w:r>
                  <w:r>
                    <w:rPr>
                      <w:rFonts w:hint="eastAsia"/>
                      <w:color w:val="0D0D0D" w:themeColor="text1" w:themeTint="F2"/>
                      <w:szCs w:val="21"/>
                      <w14:textFill>
                        <w14:solidFill>
                          <w14:schemeClr w14:val="tx1">
                            <w14:lumMod w14:val="95000"/>
                            <w14:lumOff w14:val="5000"/>
                          </w14:schemeClr>
                        </w14:solidFill>
                      </w14:textFill>
                    </w:rPr>
                    <w:t>漆料</w:t>
                  </w:r>
                  <w:r>
                    <w:rPr>
                      <w:color w:val="0D0D0D" w:themeColor="text1" w:themeTint="F2"/>
                      <w:szCs w:val="21"/>
                      <w14:textFill>
                        <w14:solidFill>
                          <w14:schemeClr w14:val="tx1">
                            <w14:lumMod w14:val="95000"/>
                            <w14:lumOff w14:val="5000"/>
                          </w14:schemeClr>
                        </w14:solidFill>
                      </w14:textFill>
                    </w:rPr>
                    <w:t>检测报告（见附件</w:t>
                  </w:r>
                  <w:r>
                    <w:rPr>
                      <w:rFonts w:hint="eastAsia"/>
                      <w:color w:val="0D0D0D" w:themeColor="text1" w:themeTint="F2"/>
                      <w:szCs w:val="21"/>
                      <w14:textFill>
                        <w14:solidFill>
                          <w14:schemeClr w14:val="tx1">
                            <w14:lumMod w14:val="95000"/>
                            <w14:lumOff w14:val="5000"/>
                          </w14:schemeClr>
                        </w14:solidFill>
                      </w14:textFill>
                    </w:rPr>
                    <w:t>8</w:t>
                  </w:r>
                  <w:r>
                    <w:rPr>
                      <w:color w:val="0D0D0D" w:themeColor="text1" w:themeTint="F2"/>
                      <w:szCs w:val="21"/>
                      <w14:textFill>
                        <w14:solidFill>
                          <w14:schemeClr w14:val="tx1">
                            <w14:lumMod w14:val="95000"/>
                            <w14:lumOff w14:val="5000"/>
                          </w14:schemeClr>
                        </w14:solidFill>
                      </w14:textFill>
                    </w:rPr>
                    <w:t>），本项目喷漆采用的是水性漆和油漆</w:t>
                  </w:r>
                  <w:r>
                    <w:rPr>
                      <w:rFonts w:hint="eastAsia"/>
                      <w:color w:val="0D0D0D" w:themeColor="text1" w:themeTint="F2"/>
                      <w:szCs w:val="21"/>
                      <w14:textFill>
                        <w14:solidFill>
                          <w14:schemeClr w14:val="tx1">
                            <w14:lumMod w14:val="95000"/>
                            <w14:lumOff w14:val="5000"/>
                          </w14:schemeClr>
                        </w14:solidFill>
                      </w14:textFill>
                    </w:rPr>
                    <w:t>，环氧富锌底漆、醇酸防锈漆、丙烯酸聚氨酯面漆、水性丙烯酸防锈底漆以及水性丙烯酸防锈面漆</w:t>
                  </w:r>
                  <w:r>
                    <w:rPr>
                      <w:color w:val="0D0D0D" w:themeColor="text1" w:themeTint="F2"/>
                      <w:szCs w:val="21"/>
                      <w14:textFill>
                        <w14:solidFill>
                          <w14:schemeClr w14:val="tx1">
                            <w14:lumMod w14:val="95000"/>
                            <w14:lumOff w14:val="5000"/>
                          </w14:schemeClr>
                        </w14:solidFill>
                      </w14:textFill>
                    </w:rPr>
                    <w:t>挥发性有机物含量分别为</w:t>
                  </w:r>
                  <w:r>
                    <w:rPr>
                      <w:rFonts w:hint="eastAsia"/>
                      <w:color w:val="0D0D0D" w:themeColor="text1" w:themeTint="F2"/>
                      <w:szCs w:val="21"/>
                      <w14:textFill>
                        <w14:solidFill>
                          <w14:schemeClr w14:val="tx1">
                            <w14:lumMod w14:val="95000"/>
                            <w14:lumOff w14:val="5000"/>
                          </w14:schemeClr>
                        </w14:solidFill>
                      </w14:textFill>
                    </w:rPr>
                    <w:t>413</w:t>
                  </w:r>
                  <w:r>
                    <w:rPr>
                      <w:color w:val="0D0D0D" w:themeColor="text1" w:themeTint="F2"/>
                      <w:szCs w:val="21"/>
                      <w14:textFill>
                        <w14:solidFill>
                          <w14:schemeClr w14:val="tx1">
                            <w14:lumMod w14:val="95000"/>
                            <w14:lumOff w14:val="5000"/>
                          </w14:schemeClr>
                        </w14:solidFill>
                      </w14:textFill>
                    </w:rPr>
                    <w:t>g/L</w:t>
                  </w:r>
                  <w:r>
                    <w:rPr>
                      <w:rFonts w:hint="eastAsia"/>
                      <w:color w:val="0D0D0D" w:themeColor="text1" w:themeTint="F2"/>
                      <w:szCs w:val="21"/>
                      <w14:textFill>
                        <w14:solidFill>
                          <w14:schemeClr w14:val="tx1">
                            <w14:lumMod w14:val="95000"/>
                            <w14:lumOff w14:val="5000"/>
                          </w14:schemeClr>
                        </w14:solidFill>
                      </w14:textFill>
                    </w:rPr>
                    <w:t>、418</w:t>
                  </w:r>
                  <w:r>
                    <w:rPr>
                      <w:color w:val="0D0D0D" w:themeColor="text1" w:themeTint="F2"/>
                      <w:szCs w:val="21"/>
                      <w14:textFill>
                        <w14:solidFill>
                          <w14:schemeClr w14:val="tx1">
                            <w14:lumMod w14:val="95000"/>
                            <w14:lumOff w14:val="5000"/>
                          </w14:schemeClr>
                        </w14:solidFill>
                      </w14:textFill>
                    </w:rPr>
                    <w:t>g/L</w:t>
                  </w:r>
                  <w:r>
                    <w:rPr>
                      <w:rFonts w:hint="eastAsia"/>
                      <w:color w:val="0D0D0D" w:themeColor="text1" w:themeTint="F2"/>
                      <w:szCs w:val="21"/>
                      <w14:textFill>
                        <w14:solidFill>
                          <w14:schemeClr w14:val="tx1">
                            <w14:lumMod w14:val="95000"/>
                            <w14:lumOff w14:val="5000"/>
                          </w14:schemeClr>
                        </w14:solidFill>
                      </w14:textFill>
                    </w:rPr>
                    <w:t>、425g/L、186g/L以及195g/L，</w:t>
                  </w:r>
                  <w:r>
                    <w:rPr>
                      <w:color w:val="0D0D0D" w:themeColor="text1" w:themeTint="F2"/>
                      <w:szCs w:val="21"/>
                      <w14:textFill>
                        <w14:solidFill>
                          <w14:schemeClr w14:val="tx1">
                            <w14:lumMod w14:val="95000"/>
                            <w14:lumOff w14:val="5000"/>
                          </w14:schemeClr>
                        </w14:solidFill>
                      </w14:textFill>
                    </w:rPr>
                    <w:t>为《低挥发性有机化合物含量涂料产品技术要求》（GB/T 38597-2020）规定的低VOCs含量</w:t>
                  </w:r>
                  <w:r>
                    <w:rPr>
                      <w:rFonts w:hint="eastAsia"/>
                      <w:color w:val="0D0D0D" w:themeColor="text1" w:themeTint="F2"/>
                      <w:szCs w:val="21"/>
                      <w14:textFill>
                        <w14:solidFill>
                          <w14:schemeClr w14:val="tx1">
                            <w14:lumMod w14:val="95000"/>
                            <w14:lumOff w14:val="5000"/>
                          </w14:schemeClr>
                        </w14:solidFill>
                      </w14:textFill>
                    </w:rPr>
                    <w:t>漆料</w:t>
                  </w:r>
                  <w:r>
                    <w:rPr>
                      <w:color w:val="0D0D0D" w:themeColor="text1" w:themeTint="F2"/>
                      <w:szCs w:val="21"/>
                      <w14:textFill>
                        <w14:solidFill>
                          <w14:schemeClr w14:val="tx1">
                            <w14:lumMod w14:val="95000"/>
                            <w14:lumOff w14:val="5000"/>
                          </w14:schemeClr>
                        </w14:solidFill>
                      </w14:textFill>
                    </w:rPr>
                    <w:t>。</w:t>
                  </w:r>
                  <w:r>
                    <w:rPr>
                      <w:rFonts w:hAnsi="宋体"/>
                      <w:color w:val="0D0D0D" w:themeColor="text1" w:themeTint="F2"/>
                      <w:szCs w:val="21"/>
                      <w14:textFill>
                        <w14:solidFill>
                          <w14:schemeClr w14:val="tx1">
                            <w14:lumMod w14:val="95000"/>
                            <w14:lumOff w14:val="5000"/>
                          </w14:schemeClr>
                        </w14:solidFill>
                      </w14:textFill>
                    </w:rPr>
                    <w:t>项目</w:t>
                  </w:r>
                  <w:r>
                    <w:rPr>
                      <w:rFonts w:hint="eastAsia" w:hAnsi="宋体"/>
                      <w:color w:val="0D0D0D" w:themeColor="text1" w:themeTint="F2"/>
                      <w:szCs w:val="21"/>
                      <w14:textFill>
                        <w14:solidFill>
                          <w14:schemeClr w14:val="tx1">
                            <w14:lumMod w14:val="95000"/>
                            <w14:lumOff w14:val="5000"/>
                          </w14:schemeClr>
                        </w14:solidFill>
                      </w14:textFill>
                    </w:rPr>
                    <w:t>调漆、喷漆及晾干</w:t>
                  </w:r>
                  <w:r>
                    <w:rPr>
                      <w:rFonts w:hAnsi="宋体"/>
                      <w:color w:val="0D0D0D" w:themeColor="text1" w:themeTint="F2"/>
                      <w:szCs w:val="21"/>
                      <w14:textFill>
                        <w14:solidFill>
                          <w14:schemeClr w14:val="tx1">
                            <w14:lumMod w14:val="95000"/>
                            <w14:lumOff w14:val="5000"/>
                          </w14:schemeClr>
                        </w14:solidFill>
                      </w14:textFill>
                    </w:rPr>
                    <w:t>工序产生的有机废气收集后采取</w:t>
                  </w:r>
                  <w:r>
                    <w:rPr>
                      <w:rFonts w:hint="eastAsia" w:hAnsi="宋体"/>
                      <w:color w:val="0D0D0D" w:themeColor="text1" w:themeTint="F2"/>
                      <w:szCs w:val="21"/>
                      <w14:textFill>
                        <w14:solidFill>
                          <w14:schemeClr w14:val="tx1">
                            <w14:lumMod w14:val="95000"/>
                            <w14:lumOff w14:val="5000"/>
                          </w14:schemeClr>
                        </w14:solidFill>
                      </w14:textFill>
                    </w:rPr>
                    <w:t>过滤棉+活性炭+RCO处理，处理后</w:t>
                  </w:r>
                  <w:r>
                    <w:rPr>
                      <w:color w:val="0D0D0D" w:themeColor="text1" w:themeTint="F2"/>
                      <w:szCs w:val="21"/>
                      <w14:textFill>
                        <w14:solidFill>
                          <w14:schemeClr w14:val="tx1">
                            <w14:lumMod w14:val="95000"/>
                            <w14:lumOff w14:val="5000"/>
                          </w14:schemeClr>
                        </w14:solidFill>
                      </w14:textFill>
                    </w:rPr>
                    <w:t>排放浓度及速率能达到</w:t>
                  </w:r>
                  <w:r>
                    <w:rPr>
                      <w:rFonts w:hint="eastAsia"/>
                      <w:color w:val="0D0D0D" w:themeColor="text1" w:themeTint="F2"/>
                      <w:szCs w:val="21"/>
                      <w14:textFill>
                        <w14:solidFill>
                          <w14:schemeClr w14:val="tx1">
                            <w14:lumMod w14:val="95000"/>
                            <w14:lumOff w14:val="5000"/>
                          </w14:schemeClr>
                        </w14:solidFill>
                      </w14:textFill>
                    </w:rPr>
                    <w:t>上海市地方标准《大气污染物综合排放标准》（DB31/933-2015）</w:t>
                  </w:r>
                  <w:r>
                    <w:rPr>
                      <w:color w:val="0D0D0D" w:themeColor="text1" w:themeTint="F2"/>
                      <w:szCs w:val="21"/>
                      <w14:textFill>
                        <w14:solidFill>
                          <w14:schemeClr w14:val="tx1">
                            <w14:lumMod w14:val="95000"/>
                            <w14:lumOff w14:val="5000"/>
                          </w14:schemeClr>
                        </w14:solidFill>
                      </w14:textFill>
                    </w:rPr>
                    <w:t>要求</w:t>
                  </w:r>
                </w:p>
              </w:tc>
              <w:tc>
                <w:tcPr>
                  <w:tcW w:w="697" w:type="dxa"/>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15" w:type="dxa"/>
                  <w:shd w:val="clear" w:color="auto" w:fill="auto"/>
                  <w:vAlign w:val="center"/>
                </w:tcPr>
                <w:p>
                  <w:pPr>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
                      <w14:textFill>
                        <w14:solidFill>
                          <w14:schemeClr w14:val="tx1">
                            <w14:lumMod w14:val="95000"/>
                            <w14:lumOff w14:val="5000"/>
                          </w14:schemeClr>
                        </w14:solidFill>
                      </w14:textFill>
                    </w:rPr>
                    <w:t>开展“三率”治理效果帮扶指导。</w:t>
                  </w:r>
                  <w:r>
                    <w:rPr>
                      <w:rFonts w:hint="eastAsia"/>
                      <w:color w:val="0D0D0D" w:themeColor="text1" w:themeTint="F2"/>
                      <w:szCs w:val="21"/>
                      <w14:textFill>
                        <w14:solidFill>
                          <w14:schemeClr w14:val="tx1">
                            <w14:lumMod w14:val="95000"/>
                            <w14:lumOff w14:val="5000"/>
                          </w14:schemeClr>
                        </w14:solidFill>
                      </w14:textFill>
                    </w:rPr>
                    <w:t>以</w:t>
                  </w:r>
                  <w:r>
                    <w:rPr>
                      <w:rFonts w:hint="eastAsia"/>
                      <w:color w:val="0D0D0D" w:themeColor="text1" w:themeTint="F2"/>
                      <w:szCs w:val="21"/>
                      <w:lang w:val="en"/>
                      <w14:textFill>
                        <w14:solidFill>
                          <w14:schemeClr w14:val="tx1">
                            <w14:lumMod w14:val="95000"/>
                            <w14:lumOff w14:val="5000"/>
                          </w14:schemeClr>
                        </w14:solidFill>
                      </w14:textFill>
                    </w:rPr>
                    <w:t>年度治理项目为重点，对企业VOCs废气收集率、治理设施同步运行率和去除率开展帮扶指导，重点关注单一采用光氧化、光催化、低温等离子、一次性活性炭吸附、喷淋吸收等相对低效工艺的治理设施的运行效果，建立管理台账，对采用简易治理工艺的企业开展抽测并形成抽测报告，6月-9月之间持续开展。督促符合条件的企业完成一轮活性炭更换工作，7月31日前完成。</w:t>
                  </w:r>
                </w:p>
              </w:tc>
              <w:tc>
                <w:tcPr>
                  <w:tcW w:w="3119" w:type="dxa"/>
                  <w:shd w:val="clear" w:color="auto" w:fill="auto"/>
                  <w:vAlign w:val="center"/>
                </w:tcPr>
                <w:p>
                  <w:pPr>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本项目非甲烷总烃无组织排放，车间外浓度执行《挥发性有机物无组织排放控制标准》（GB37822-2019）中表A.1要求。外购的</w:t>
                  </w:r>
                  <w:r>
                    <w:rPr>
                      <w:rFonts w:hint="eastAsia"/>
                      <w:color w:val="0D0D0D" w:themeColor="text1" w:themeTint="F2"/>
                      <w:szCs w:val="21"/>
                      <w14:textFill>
                        <w14:solidFill>
                          <w14:schemeClr w14:val="tx1">
                            <w14:lumMod w14:val="95000"/>
                            <w14:lumOff w14:val="5000"/>
                          </w14:schemeClr>
                        </w14:solidFill>
                      </w14:textFill>
                    </w:rPr>
                    <w:t>漆料</w:t>
                  </w:r>
                  <w:r>
                    <w:rPr>
                      <w:color w:val="0D0D0D" w:themeColor="text1" w:themeTint="F2"/>
                      <w:szCs w:val="21"/>
                      <w14:textFill>
                        <w14:solidFill>
                          <w14:schemeClr w14:val="tx1">
                            <w14:lumMod w14:val="95000"/>
                            <w14:lumOff w14:val="5000"/>
                          </w14:schemeClr>
                        </w14:solidFill>
                      </w14:textFill>
                    </w:rPr>
                    <w:t>储存于密闭容器中。项目对喷涂生产线实施封闭化建设。项目运营期产生的危险废物，</w:t>
                  </w:r>
                  <w:r>
                    <w:rPr>
                      <w:color w:val="0D0D0D" w:themeColor="text1" w:themeTint="F2"/>
                      <w:szCs w:val="21"/>
                      <w:lang w:val="en"/>
                      <w14:textFill>
                        <w14:solidFill>
                          <w14:schemeClr w14:val="tx1">
                            <w14:lumMod w14:val="95000"/>
                            <w14:lumOff w14:val="5000"/>
                          </w14:schemeClr>
                        </w14:solidFill>
                      </w14:textFill>
                    </w:rPr>
                    <w:t>盛装过涂料的废漆桶、废活性炭、废漆渣交由有资质单位处理</w:t>
                  </w:r>
                </w:p>
              </w:tc>
              <w:tc>
                <w:tcPr>
                  <w:tcW w:w="697" w:type="dxa"/>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符合</w:t>
                  </w:r>
                </w:p>
              </w:tc>
            </w:tr>
          </w:tbl>
          <w:p>
            <w:pPr>
              <w:pStyle w:val="1036"/>
              <w:jc w:val="left"/>
              <w:rPr>
                <w:rFonts w:hint="default" w:ascii="Times New Roman" w:cs="Times New Roman"/>
                <w:color w:val="FF0000"/>
              </w:rPr>
            </w:pPr>
            <w:r>
              <w:rPr>
                <w:color w:val="0D0D0D" w:themeColor="text1" w:themeTint="F2"/>
                <w14:textFill>
                  <w14:solidFill>
                    <w14:schemeClr w14:val="tx1">
                      <w14:lumMod w14:val="95000"/>
                      <w14:lumOff w14:val="5000"/>
                    </w14:schemeClr>
                  </w14:solidFill>
                </w14:textFill>
              </w:rPr>
              <w:t>综上所述，项目建设符合《芜湖市2021年挥发性有机物污染治理攻坚行动方案》的通知（芜大气办[2021]7号）的要求。</w:t>
            </w:r>
          </w:p>
          <w:p>
            <w:pPr>
              <w:spacing w:line="360" w:lineRule="auto"/>
              <w:ind w:firstLine="482" w:firstLineChars="200"/>
              <w:rPr>
                <w:b/>
                <w:bCs/>
                <w:sz w:val="24"/>
              </w:rPr>
            </w:pPr>
            <w:r>
              <w:rPr>
                <w:rFonts w:hint="eastAsia"/>
                <w:b/>
                <w:bCs/>
                <w:sz w:val="24"/>
              </w:rPr>
              <w:t>6、与《安徽省2021年应对气候变化和大气污染防治重点工作任务》（皖大气办[2021]3号文）相符性分析</w:t>
            </w:r>
          </w:p>
          <w:p>
            <w:pPr>
              <w:spacing w:line="360" w:lineRule="auto"/>
              <w:ind w:firstLine="480" w:firstLineChars="200"/>
              <w:rPr>
                <w:rFonts w:hAnsi="宋体" w:cs="宋体"/>
                <w:color w:val="0D0D0D" w:themeColor="text1" w:themeTint="F2"/>
                <w:sz w:val="24"/>
                <w14:textFill>
                  <w14:solidFill>
                    <w14:schemeClr w14:val="tx1">
                      <w14:lumMod w14:val="95000"/>
                      <w14:lumOff w14:val="5000"/>
                    </w14:schemeClr>
                  </w14:solidFill>
                </w14:textFill>
              </w:rPr>
            </w:pPr>
            <w:r>
              <w:rPr>
                <w:rFonts w:hint="eastAsia" w:hAnsi="宋体" w:cs="宋体"/>
                <w:color w:val="0D0D0D" w:themeColor="text1" w:themeTint="F2"/>
                <w:sz w:val="24"/>
                <w14:textFill>
                  <w14:solidFill>
                    <w14:schemeClr w14:val="tx1">
                      <w14:lumMod w14:val="95000"/>
                      <w14:lumOff w14:val="5000"/>
                    </w14:schemeClr>
                  </w14:solidFill>
                </w14:textFill>
              </w:rPr>
              <w:t>对照《安徽省2021年应对气候变化和大气污染防治重点工作任务》（皖大气办[2021]3号文）相关要求，以下是本项目与该方案符合性分析内容：</w:t>
            </w:r>
          </w:p>
          <w:p>
            <w:pPr>
              <w:snapToGrid w:val="0"/>
              <w:jc w:val="center"/>
              <w:rPr>
                <w:b/>
                <w:color w:val="0D0D0D" w:themeColor="text1" w:themeTint="F2"/>
                <w:sz w:val="24"/>
                <w14:textFill>
                  <w14:solidFill>
                    <w14:schemeClr w14:val="tx1">
                      <w14:lumMod w14:val="95000"/>
                      <w14:lumOff w14:val="5000"/>
                    </w14:schemeClr>
                  </w14:solidFill>
                </w14:textFill>
              </w:rPr>
            </w:pPr>
            <w:r>
              <w:rPr>
                <w:b/>
                <w:color w:val="0D0D0D" w:themeColor="text1" w:themeTint="F2"/>
                <w:sz w:val="24"/>
                <w14:textFill>
                  <w14:solidFill>
                    <w14:schemeClr w14:val="tx1">
                      <w14:lumMod w14:val="95000"/>
                      <w14:lumOff w14:val="5000"/>
                    </w14:schemeClr>
                  </w14:solidFill>
                </w14:textFill>
              </w:rPr>
              <w:t>表</w:t>
            </w:r>
            <w:r>
              <w:rPr>
                <w:rFonts w:hint="eastAsia"/>
                <w:b/>
                <w:color w:val="0D0D0D" w:themeColor="text1" w:themeTint="F2"/>
                <w:sz w:val="24"/>
                <w14:textFill>
                  <w14:solidFill>
                    <w14:schemeClr w14:val="tx1">
                      <w14:lumMod w14:val="95000"/>
                      <w14:lumOff w14:val="5000"/>
                    </w14:schemeClr>
                  </w14:solidFill>
                </w14:textFill>
              </w:rPr>
              <w:t>1</w:t>
            </w:r>
            <w:r>
              <w:rPr>
                <w:b/>
                <w:color w:val="0D0D0D" w:themeColor="text1" w:themeTint="F2"/>
                <w:sz w:val="24"/>
                <w14:textFill>
                  <w14:solidFill>
                    <w14:schemeClr w14:val="tx1">
                      <w14:lumMod w14:val="95000"/>
                      <w14:lumOff w14:val="5000"/>
                    </w14:schemeClr>
                  </w14:solidFill>
                </w14:textFill>
              </w:rPr>
              <w:t>-</w:t>
            </w:r>
            <w:r>
              <w:rPr>
                <w:rFonts w:hint="eastAsia"/>
                <w:b/>
                <w:color w:val="0D0D0D" w:themeColor="text1" w:themeTint="F2"/>
                <w:sz w:val="24"/>
                <w14:textFill>
                  <w14:solidFill>
                    <w14:schemeClr w14:val="tx1">
                      <w14:lumMod w14:val="95000"/>
                      <w14:lumOff w14:val="5000"/>
                    </w14:schemeClr>
                  </w14:solidFill>
                </w14:textFill>
              </w:rPr>
              <w:t>5</w:t>
            </w:r>
            <w:r>
              <w:rPr>
                <w:b/>
                <w:color w:val="0D0D0D" w:themeColor="text1" w:themeTint="F2"/>
                <w:sz w:val="24"/>
                <w14:textFill>
                  <w14:solidFill>
                    <w14:schemeClr w14:val="tx1">
                      <w14:lumMod w14:val="95000"/>
                      <w14:lumOff w14:val="5000"/>
                    </w14:schemeClr>
                  </w14:solidFill>
                </w14:textFill>
              </w:rPr>
              <w:t xml:space="preserve">  </w:t>
            </w:r>
            <w:r>
              <w:rPr>
                <w:rFonts w:hint="eastAsia"/>
                <w:b/>
                <w:color w:val="0D0D0D" w:themeColor="text1" w:themeTint="F2"/>
                <w:sz w:val="24"/>
                <w14:textFill>
                  <w14:solidFill>
                    <w14:schemeClr w14:val="tx1">
                      <w14:lumMod w14:val="95000"/>
                      <w14:lumOff w14:val="5000"/>
                    </w14:schemeClr>
                  </w14:solidFill>
                </w14:textFill>
              </w:rPr>
              <w:t>与“皖大气办[2021]3号文”相符性分析</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615"/>
              <w:gridCol w:w="3119"/>
              <w:gridCol w:w="6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15"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方案要求</w:t>
                  </w:r>
                </w:p>
              </w:tc>
              <w:tc>
                <w:tcPr>
                  <w:tcW w:w="3119"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本项目建设情况</w:t>
                  </w:r>
                </w:p>
              </w:tc>
              <w:tc>
                <w:tcPr>
                  <w:tcW w:w="697" w:type="dxa"/>
                  <w:vAlign w:val="center"/>
                </w:tcPr>
                <w:p>
                  <w:pPr>
                    <w:snapToGrid w:val="0"/>
                    <w:ind w:left="-105" w:leftChars="-50" w:right="-105" w:rightChars="-5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615"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加快推动VOCs精细化治理。实施VOCs产品源头替代工程，严格落实《油墨中可挥发性有机化合物含量的限值》等国家产品VOCs含量限值标准，推进家具制造、汽车制造、印</w:t>
                  </w:r>
                </w:p>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刷和记录媒介、橡胶和塑料制品等行业低VOCs含量原辅材料替代。实施重点企业VOCs综合治理工程，编制执行“一企一策”，推进治污设施改造升级。继续加强无组织排放管控，9月底前，各地集中开展一次VOCs整治专项执法行动。省级及以上开发区和省级化工园区，年内完成至少一轮走航监测、红外热成像等智能监测。提升涉VOCs企业“双随机一公开”执法水平。</w:t>
                  </w:r>
                </w:p>
              </w:tc>
              <w:tc>
                <w:tcPr>
                  <w:tcW w:w="3119"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本项目加强VOCs治理工</w:t>
                  </w:r>
                </w:p>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作，加强无组织排放管控：项目</w:t>
                  </w:r>
                </w:p>
                <w:p>
                  <w:pPr>
                    <w:snapToGrid w:val="0"/>
                    <w:jc w:val="center"/>
                    <w:rPr>
                      <w:rFonts w:hAnsi="宋体"/>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设置二级活性炭吸附，去除调漆、喷漆及晾干中产生的有机废气。</w:t>
                  </w:r>
                </w:p>
              </w:tc>
              <w:tc>
                <w:tcPr>
                  <w:tcW w:w="697" w:type="dxa"/>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符合</w:t>
                  </w:r>
                </w:p>
              </w:tc>
            </w:tr>
          </w:tbl>
          <w:p>
            <w:pPr>
              <w:spacing w:line="360" w:lineRule="auto"/>
              <w:ind w:firstLine="480" w:firstLineChars="200"/>
              <w:rPr>
                <w:sz w:val="24"/>
              </w:rPr>
            </w:pPr>
            <w:r>
              <w:rPr>
                <w:rFonts w:hint="eastAsia" w:ascii="宋体" w:cs="宋体"/>
                <w:color w:val="0D0D0D" w:themeColor="text1" w:themeTint="F2"/>
                <w:kern w:val="0"/>
                <w:sz w:val="24"/>
                <w:szCs w:val="20"/>
                <w14:textFill>
                  <w14:solidFill>
                    <w14:schemeClr w14:val="tx1">
                      <w14:lumMod w14:val="95000"/>
                      <w14:lumOff w14:val="5000"/>
                    </w14:schemeClr>
                  </w14:solidFill>
                </w14:textFill>
              </w:rPr>
              <w:t>综上所述，项目建设符合《</w:t>
            </w:r>
            <w:r>
              <w:rPr>
                <w:rFonts w:hint="eastAsia"/>
                <w:sz w:val="24"/>
              </w:rPr>
              <w:t>安徽省2021年应对气候变化和大气污染防治重点工作任务》（皖大气办[2021]3号文）</w:t>
            </w:r>
            <w:r>
              <w:rPr>
                <w:rFonts w:hint="eastAsia" w:ascii="宋体" w:cs="宋体"/>
                <w:color w:val="0D0D0D" w:themeColor="text1" w:themeTint="F2"/>
                <w:kern w:val="0"/>
                <w:sz w:val="24"/>
                <w:szCs w:val="20"/>
                <w14:textFill>
                  <w14:solidFill>
                    <w14:schemeClr w14:val="tx1">
                      <w14:lumMod w14:val="95000"/>
                      <w14:lumOff w14:val="5000"/>
                    </w14:schemeClr>
                  </w14:solidFill>
                </w14:textFill>
              </w:rPr>
              <w:t>的要求。</w:t>
            </w:r>
          </w:p>
          <w:p>
            <w:pPr>
              <w:spacing w:line="360" w:lineRule="auto"/>
              <w:ind w:firstLine="482" w:firstLineChars="200"/>
              <w:rPr>
                <w:b/>
                <w:bCs/>
                <w:sz w:val="24"/>
              </w:rPr>
            </w:pPr>
            <w:r>
              <w:rPr>
                <w:rFonts w:hint="eastAsia"/>
                <w:b/>
                <w:bCs/>
                <w:sz w:val="24"/>
              </w:rPr>
              <w:t>7、与《安徽省大气办关于深入开展挥发性有机物污染治理工作的通知》（皖大气办[2021]4号文）相符性分析</w:t>
            </w:r>
          </w:p>
          <w:p>
            <w:pPr>
              <w:spacing w:line="360" w:lineRule="auto"/>
              <w:ind w:firstLine="480" w:firstLineChars="200"/>
              <w:rPr>
                <w:rFonts w:hAnsi="宋体" w:cs="宋体"/>
                <w:color w:val="0D0D0D" w:themeColor="text1" w:themeTint="F2"/>
                <w:sz w:val="24"/>
                <w14:textFill>
                  <w14:solidFill>
                    <w14:schemeClr w14:val="tx1">
                      <w14:lumMod w14:val="95000"/>
                      <w14:lumOff w14:val="5000"/>
                    </w14:schemeClr>
                  </w14:solidFill>
                </w14:textFill>
              </w:rPr>
            </w:pPr>
            <w:r>
              <w:rPr>
                <w:rFonts w:hAnsi="宋体" w:cs="宋体"/>
                <w:color w:val="0D0D0D" w:themeColor="text1" w:themeTint="F2"/>
                <w:sz w:val="24"/>
                <w14:textFill>
                  <w14:solidFill>
                    <w14:schemeClr w14:val="tx1">
                      <w14:lumMod w14:val="95000"/>
                      <w14:lumOff w14:val="5000"/>
                    </w14:schemeClr>
                  </w14:solidFill>
                </w14:textFill>
              </w:rPr>
              <w:t>对照《安徽省大气办关于深入开展挥发性有机物污染治理工作的通知》（皖大气办[2021]4号文）相关要求，以下是本项目与该方案符合性分析内容：</w:t>
            </w:r>
          </w:p>
          <w:p>
            <w:pPr>
              <w:snapToGrid w:val="0"/>
              <w:jc w:val="center"/>
              <w:rPr>
                <w:b/>
                <w:color w:val="0D0D0D" w:themeColor="text1" w:themeTint="F2"/>
                <w:sz w:val="24"/>
                <w14:textFill>
                  <w14:solidFill>
                    <w14:schemeClr w14:val="tx1">
                      <w14:lumMod w14:val="95000"/>
                      <w14:lumOff w14:val="5000"/>
                    </w14:schemeClr>
                  </w14:solidFill>
                </w14:textFill>
              </w:rPr>
            </w:pPr>
            <w:r>
              <w:rPr>
                <w:b/>
                <w:color w:val="0D0D0D" w:themeColor="text1" w:themeTint="F2"/>
                <w:sz w:val="24"/>
                <w14:textFill>
                  <w14:solidFill>
                    <w14:schemeClr w14:val="tx1">
                      <w14:lumMod w14:val="95000"/>
                      <w14:lumOff w14:val="5000"/>
                    </w14:schemeClr>
                  </w14:solidFill>
                </w14:textFill>
              </w:rPr>
              <w:t>表1-</w:t>
            </w:r>
            <w:r>
              <w:rPr>
                <w:rFonts w:hint="eastAsia"/>
                <w:b/>
                <w:color w:val="0D0D0D" w:themeColor="text1" w:themeTint="F2"/>
                <w:sz w:val="24"/>
                <w14:textFill>
                  <w14:solidFill>
                    <w14:schemeClr w14:val="tx1">
                      <w14:lumMod w14:val="95000"/>
                      <w14:lumOff w14:val="5000"/>
                    </w14:schemeClr>
                  </w14:solidFill>
                </w14:textFill>
              </w:rPr>
              <w:t>6</w:t>
            </w:r>
            <w:r>
              <w:rPr>
                <w:b/>
                <w:color w:val="0D0D0D" w:themeColor="text1" w:themeTint="F2"/>
                <w:sz w:val="24"/>
                <w14:textFill>
                  <w14:solidFill>
                    <w14:schemeClr w14:val="tx1">
                      <w14:lumMod w14:val="95000"/>
                      <w14:lumOff w14:val="5000"/>
                    </w14:schemeClr>
                  </w14:solidFill>
                </w14:textFill>
              </w:rPr>
              <w:t xml:space="preserve"> 与“皖大气办[2021]4号文”相符性分析</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615"/>
              <w:gridCol w:w="3119"/>
              <w:gridCol w:w="6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15"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方案要求</w:t>
                  </w:r>
                </w:p>
              </w:tc>
              <w:tc>
                <w:tcPr>
                  <w:tcW w:w="3119"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本项目建设情况</w:t>
                  </w:r>
                </w:p>
              </w:tc>
              <w:tc>
                <w:tcPr>
                  <w:tcW w:w="697" w:type="dxa"/>
                  <w:vAlign w:val="center"/>
                </w:tcPr>
                <w:p>
                  <w:pPr>
                    <w:snapToGrid w:val="0"/>
                    <w:ind w:left="-105" w:leftChars="-50" w:right="-105" w:rightChars="-5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15" w:type="dxa"/>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实行错峰生产。加大溶剂使用源等工业企业生产季节性调控力度，O</w:t>
                  </w:r>
                  <w:r>
                    <w:rPr>
                      <w:rFonts w:hint="eastAsia"/>
                      <w:color w:val="0D0D0D" w:themeColor="text1" w:themeTint="F2"/>
                      <w:szCs w:val="21"/>
                      <w:vertAlign w:val="subscript"/>
                      <w14:textFill>
                        <w14:solidFill>
                          <w14:schemeClr w14:val="tx1">
                            <w14:lumMod w14:val="95000"/>
                            <w14:lumOff w14:val="5000"/>
                          </w14:schemeClr>
                        </w14:solidFill>
                      </w14:textFill>
                    </w:rPr>
                    <w:t>3</w:t>
                  </w:r>
                  <w:r>
                    <w:rPr>
                      <w:rFonts w:hint="eastAsia"/>
                      <w:color w:val="0D0D0D" w:themeColor="text1" w:themeTint="F2"/>
                      <w:szCs w:val="21"/>
                      <w14:textFill>
                        <w14:solidFill>
                          <w14:schemeClr w14:val="tx1">
                            <w14:lumMod w14:val="95000"/>
                            <w14:lumOff w14:val="5000"/>
                          </w14:schemeClr>
                        </w14:solidFill>
                      </w14:textFill>
                    </w:rPr>
                    <w:t>污染高发时段，鼓励涉VOCs排放重点行业企业实行生产调控、错时生产。</w:t>
                  </w:r>
                </w:p>
              </w:tc>
              <w:tc>
                <w:tcPr>
                  <w:tcW w:w="3119" w:type="dxa"/>
                  <w:shd w:val="clear" w:color="auto" w:fill="auto"/>
                  <w:vAlign w:val="center"/>
                </w:tcPr>
                <w:p>
                  <w:pPr>
                    <w:snapToGrid w:val="0"/>
                    <w:jc w:val="center"/>
                    <w:rPr>
                      <w:rFonts w:hAnsi="宋体"/>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本项目建成后，企业应响应管理部门要求，鼓励实行错峰生产。</w:t>
                  </w:r>
                </w:p>
              </w:tc>
              <w:tc>
                <w:tcPr>
                  <w:tcW w:w="697" w:type="dxa"/>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15" w:type="dxa"/>
                  <w:shd w:val="clear" w:color="auto" w:fill="auto"/>
                  <w:vAlign w:val="center"/>
                </w:tcPr>
                <w:p>
                  <w:pPr>
                    <w:snapToGrid w:val="0"/>
                    <w:ind w:left="-105" w:leftChars="-50" w:right="-105" w:rightChars="-50"/>
                    <w:jc w:val="center"/>
                    <w:rPr>
                      <w:color w:val="0D0D0D" w:themeColor="text1" w:themeTint="F2"/>
                      <w:szCs w:val="21"/>
                      <w:lang w:val="en"/>
                      <w14:textFill>
                        <w14:solidFill>
                          <w14:schemeClr w14:val="tx1">
                            <w14:lumMod w14:val="95000"/>
                            <w14:lumOff w14:val="5000"/>
                          </w14:schemeClr>
                        </w14:solidFill>
                      </w14:textFill>
                    </w:rPr>
                  </w:pPr>
                  <w:r>
                    <w:rPr>
                      <w:rFonts w:hint="eastAsia"/>
                      <w:color w:val="0D0D0D" w:themeColor="text1" w:themeTint="F2"/>
                      <w:szCs w:val="21"/>
                      <w:lang w:val="en"/>
                      <w14:textFill>
                        <w14:solidFill>
                          <w14:schemeClr w14:val="tx1">
                            <w14:lumMod w14:val="95000"/>
                            <w14:lumOff w14:val="5000"/>
                          </w14:schemeClr>
                        </w14:solidFill>
                      </w14:textFill>
                    </w:rPr>
                    <w:t>实施排污许可。建立健全以排污许可核发为中心的VOCs 管控依据，在石油、化工、工业涂装、包装印刷、油品储运销五大领域全面推行排污许可制度，不断规范涉VOCs 工业企业的排污许可登记管理，落实企业VOCs 源头削减、过程控制和末端污染治理工作，推进企</w:t>
                  </w:r>
                </w:p>
                <w:p>
                  <w:pPr>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
                      <w14:textFill>
                        <w14:solidFill>
                          <w14:schemeClr w14:val="tx1">
                            <w14:lumMod w14:val="95000"/>
                            <w14:lumOff w14:val="5000"/>
                          </w14:schemeClr>
                        </w14:solidFill>
                      </w14:textFill>
                    </w:rPr>
                    <w:t>业自行监测、台账落实和定期报告的具体规定落地，严厉处罚无证和不按证排污行为。</w:t>
                  </w:r>
                </w:p>
              </w:tc>
              <w:tc>
                <w:tcPr>
                  <w:tcW w:w="3119" w:type="dxa"/>
                  <w:shd w:val="clear" w:color="auto" w:fill="auto"/>
                  <w:vAlign w:val="center"/>
                </w:tcPr>
                <w:p>
                  <w:pPr>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根据《固定污染源排污许可分类管理名录（2019年版）》，原有项目涉及通用工序的“表面处理”中的“年使用10吨及以上有机溶剂”，属于排污许可证中“简化管理”。本项目需进行“简化管理”变更，根据《安徽省生态环境厅关于统筹做好固定污染源排污许可日常监管工作的通知》（皖环发[2021]7 号）要求，属于现行《固定污染源排污许可分类管理名录》内重点管理和简化管理的行业，建设单位在组织编制建设项目环境影响报告书（表）时，可结合相应行业排污许可证申请与核发技术规范，在环评文件中一并明确“建设项目环境影响评价与排污许可联动内容。因此本报告表在附件中填写了建设项目环境影响评价与排污许可联动相关内容。企业应根据现行《固定污染源排污许可分类管理名录》要求，在实施排污前完成建设项目排污许可证的申请。</w:t>
                  </w:r>
                </w:p>
              </w:tc>
              <w:tc>
                <w:tcPr>
                  <w:tcW w:w="697" w:type="dxa"/>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符合</w:t>
                  </w:r>
                </w:p>
              </w:tc>
            </w:tr>
          </w:tbl>
          <w:p>
            <w:pPr>
              <w:spacing w:line="360" w:lineRule="auto"/>
              <w:ind w:firstLine="480" w:firstLineChars="200"/>
              <w:rPr>
                <w:rFonts w:ascii="宋体" w:cs="宋体"/>
                <w:color w:val="0D0D0D" w:themeColor="text1" w:themeTint="F2"/>
                <w:kern w:val="0"/>
                <w:sz w:val="24"/>
                <w:szCs w:val="20"/>
                <w14:textFill>
                  <w14:solidFill>
                    <w14:schemeClr w14:val="tx1">
                      <w14:lumMod w14:val="95000"/>
                      <w14:lumOff w14:val="5000"/>
                    </w14:schemeClr>
                  </w14:solidFill>
                </w14:textFill>
              </w:rPr>
            </w:pPr>
            <w:r>
              <w:rPr>
                <w:rFonts w:hint="eastAsia" w:ascii="宋体" w:cs="宋体"/>
                <w:color w:val="0D0D0D" w:themeColor="text1" w:themeTint="F2"/>
                <w:kern w:val="0"/>
                <w:sz w:val="24"/>
                <w:szCs w:val="20"/>
                <w14:textFill>
                  <w14:solidFill>
                    <w14:schemeClr w14:val="tx1">
                      <w14:lumMod w14:val="95000"/>
                      <w14:lumOff w14:val="5000"/>
                    </w14:schemeClr>
                  </w14:solidFill>
                </w14:textFill>
              </w:rPr>
              <w:t>综上所述，项目建设符合</w:t>
            </w:r>
            <w:r>
              <w:rPr>
                <w:rFonts w:hAnsi="宋体" w:cs="宋体"/>
                <w:color w:val="0D0D0D" w:themeColor="text1" w:themeTint="F2"/>
                <w:sz w:val="24"/>
                <w14:textFill>
                  <w14:solidFill>
                    <w14:schemeClr w14:val="tx1">
                      <w14:lumMod w14:val="95000"/>
                      <w14:lumOff w14:val="5000"/>
                    </w14:schemeClr>
                  </w14:solidFill>
                </w14:textFill>
              </w:rPr>
              <w:t>《安徽省大气办关于深入开展挥发性有机物污染治理工作的通知》（皖大气办[2021]4号文）</w:t>
            </w:r>
            <w:r>
              <w:rPr>
                <w:rFonts w:hint="eastAsia" w:ascii="宋体" w:cs="宋体"/>
                <w:color w:val="0D0D0D" w:themeColor="text1" w:themeTint="F2"/>
                <w:kern w:val="0"/>
                <w:sz w:val="24"/>
                <w:szCs w:val="20"/>
                <w14:textFill>
                  <w14:solidFill>
                    <w14:schemeClr w14:val="tx1">
                      <w14:lumMod w14:val="95000"/>
                      <w14:lumOff w14:val="5000"/>
                    </w14:schemeClr>
                  </w14:solidFill>
                </w14:textFill>
              </w:rPr>
              <w:t>的要求。</w:t>
            </w:r>
          </w:p>
          <w:p>
            <w:pPr>
              <w:pStyle w:val="4"/>
              <w:spacing w:before="0" w:after="0" w:line="360" w:lineRule="auto"/>
              <w:ind w:left="724" w:leftChars="230" w:hanging="241" w:hangingChars="100"/>
              <w:rPr>
                <w:rFonts w:ascii="Times New Roman" w:hAnsi="宋体" w:eastAsia="宋体"/>
                <w:color w:val="0D0D0D" w:themeColor="text1" w:themeTint="F2"/>
                <w:kern w:val="0"/>
                <w:sz w:val="24"/>
                <w:szCs w:val="24"/>
                <w14:textFill>
                  <w14:solidFill>
                    <w14:schemeClr w14:val="tx1">
                      <w14:lumMod w14:val="95000"/>
                      <w14:lumOff w14:val="5000"/>
                    </w14:schemeClr>
                  </w14:solidFill>
                </w14:textFill>
              </w:rPr>
            </w:pPr>
            <w:r>
              <w:rPr>
                <w:rFonts w:hint="eastAsia" w:ascii="Times New Roman" w:hAnsi="宋体" w:eastAsia="宋体"/>
                <w:color w:val="0D0D0D" w:themeColor="text1" w:themeTint="F2"/>
                <w:kern w:val="0"/>
                <w:sz w:val="24"/>
                <w:szCs w:val="24"/>
                <w14:textFill>
                  <w14:solidFill>
                    <w14:schemeClr w14:val="tx1">
                      <w14:lumMod w14:val="95000"/>
                      <w14:lumOff w14:val="5000"/>
                    </w14:schemeClr>
                  </w14:solidFill>
                </w14:textFill>
              </w:rPr>
              <w:t>8</w:t>
            </w:r>
            <w:r>
              <w:rPr>
                <w:rFonts w:ascii="Times New Roman" w:hAnsi="宋体" w:eastAsia="宋体"/>
                <w:color w:val="0D0D0D" w:themeColor="text1" w:themeTint="F2"/>
                <w:kern w:val="0"/>
                <w:sz w:val="24"/>
                <w:szCs w:val="24"/>
                <w14:textFill>
                  <w14:solidFill>
                    <w14:schemeClr w14:val="tx1">
                      <w14:lumMod w14:val="95000"/>
                      <w14:lumOff w14:val="5000"/>
                    </w14:schemeClr>
                  </w14:solidFill>
                </w14:textFill>
              </w:rPr>
              <w:t>、 与《重点行业挥发性有机物综合治理方案》相符性分析</w:t>
            </w:r>
          </w:p>
          <w:p>
            <w:pPr>
              <w:pStyle w:val="1036"/>
              <w:jc w:val="left"/>
              <w:rPr>
                <w:rFonts w:hint="default" w:ascii="Times New Roman" w:cs="Times New Roman"/>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根据国家生态环境</w:t>
            </w:r>
            <w:r>
              <w:rPr>
                <w:rFonts w:hint="default" w:ascii="Times New Roman" w:cs="Times New Roman"/>
                <w:color w:val="0D0D0D" w:themeColor="text1" w:themeTint="F2"/>
                <w14:textFill>
                  <w14:solidFill>
                    <w14:schemeClr w14:val="tx1">
                      <w14:lumMod w14:val="95000"/>
                      <w14:lumOff w14:val="5000"/>
                    </w14:schemeClr>
                  </w14:solidFill>
                </w14:textFill>
              </w:rPr>
              <w:t>部2019年6月26日发布的关于印发《重点行业挥发性有机物综合治理方案》的通知（环大气[2019]53号）：安徽省属于重点区域，以下是本项目与综合治理方案符合性分析内容：</w:t>
            </w:r>
          </w:p>
          <w:p>
            <w:pPr>
              <w:spacing w:before="120" w:beforeLines="50"/>
              <w:jc w:val="center"/>
              <w:rPr>
                <w:b/>
                <w:color w:val="0D0D0D" w:themeColor="text1" w:themeTint="F2"/>
                <w:sz w:val="24"/>
                <w14:textFill>
                  <w14:solidFill>
                    <w14:schemeClr w14:val="tx1">
                      <w14:lumMod w14:val="95000"/>
                      <w14:lumOff w14:val="5000"/>
                    </w14:schemeClr>
                  </w14:solidFill>
                </w14:textFill>
              </w:rPr>
            </w:pPr>
            <w:r>
              <w:rPr>
                <w:b/>
                <w:color w:val="0D0D0D" w:themeColor="text1" w:themeTint="F2"/>
                <w:sz w:val="24"/>
                <w14:textFill>
                  <w14:solidFill>
                    <w14:schemeClr w14:val="tx1">
                      <w14:lumMod w14:val="95000"/>
                      <w14:lumOff w14:val="5000"/>
                    </w14:schemeClr>
                  </w14:solidFill>
                </w14:textFill>
              </w:rPr>
              <w:t>表</w:t>
            </w:r>
            <w:r>
              <w:rPr>
                <w:rFonts w:hint="eastAsia"/>
                <w:b/>
                <w:color w:val="0D0D0D" w:themeColor="text1" w:themeTint="F2"/>
                <w:sz w:val="24"/>
                <w14:textFill>
                  <w14:solidFill>
                    <w14:schemeClr w14:val="tx1">
                      <w14:lumMod w14:val="95000"/>
                      <w14:lumOff w14:val="5000"/>
                    </w14:schemeClr>
                  </w14:solidFill>
                </w14:textFill>
              </w:rPr>
              <w:t xml:space="preserve">1-7 </w:t>
            </w:r>
            <w:r>
              <w:rPr>
                <w:b/>
                <w:color w:val="0D0D0D" w:themeColor="text1" w:themeTint="F2"/>
                <w:sz w:val="24"/>
                <w14:textFill>
                  <w14:solidFill>
                    <w14:schemeClr w14:val="tx1">
                      <w14:lumMod w14:val="95000"/>
                      <w14:lumOff w14:val="5000"/>
                    </w14:schemeClr>
                  </w14:solidFill>
                </w14:textFill>
              </w:rPr>
              <w:t xml:space="preserve"> “重点行业挥发性有机物综合治理方案”符合性分析</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614"/>
              <w:gridCol w:w="3131"/>
              <w:gridCol w:w="6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14"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重点行业挥发性有机物综合治理方案要求</w:t>
                  </w:r>
                </w:p>
              </w:tc>
              <w:tc>
                <w:tcPr>
                  <w:tcW w:w="3131"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本项目建设情况</w:t>
                  </w:r>
                </w:p>
              </w:tc>
              <w:tc>
                <w:tcPr>
                  <w:tcW w:w="686" w:type="dxa"/>
                  <w:vAlign w:val="center"/>
                </w:tcPr>
                <w:p>
                  <w:pPr>
                    <w:snapToGrid w:val="0"/>
                    <w:ind w:left="-105" w:leftChars="-50" w:right="-105" w:rightChars="-5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14" w:type="dxa"/>
                  <w:shd w:val="clear" w:color="auto" w:fill="auto"/>
                  <w:vAlign w:val="center"/>
                </w:tcPr>
                <w:p>
                  <w:pPr>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全面加强无组织排放控制。通过采取设备与场所密闭、工艺改进、废气有效收集等措施，削减VOCs无组织排放……</w:t>
                  </w:r>
                  <w:r>
                    <w:rPr>
                      <w:rFonts w:hint="eastAsia"/>
                      <w:color w:val="0D0D0D" w:themeColor="text1" w:themeTint="F2"/>
                      <w:szCs w:val="21"/>
                      <w14:textFill>
                        <w14:solidFill>
                          <w14:schemeClr w14:val="tx1">
                            <w14:lumMod w14:val="95000"/>
                            <w14:lumOff w14:val="5000"/>
                          </w14:schemeClr>
                        </w14:solidFill>
                      </w14:textFill>
                    </w:rPr>
                    <w:t>工业涂装行业重点推进使用紧凑式涂装工艺，推广采用辊涂、静电喷涂、高压无气喷涂、空气辅助无气喷涂、热喷涂等涂装技术，鼓励企业采用自动化、智能化喷涂设备替代人工喷涂，减少使用空气喷涂技术。包装印刷行业大力推广使用无溶剂复合、挤出复合、共挤出复合技术，鼓励采用水性凹印、醇水凹印、辐射固化凹印、柔版印刷、无水胶印等印刷工艺。</w:t>
                  </w:r>
                </w:p>
              </w:tc>
              <w:tc>
                <w:tcPr>
                  <w:tcW w:w="3131" w:type="dxa"/>
                  <w:shd w:val="clear" w:color="auto" w:fill="auto"/>
                  <w:vAlign w:val="center"/>
                </w:tcPr>
                <w:p>
                  <w:pPr>
                    <w:snapToGrid w:val="0"/>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项目喷涂生产线</w:t>
                  </w:r>
                  <w:r>
                    <w:rPr>
                      <w:rFonts w:hint="eastAsia"/>
                      <w:color w:val="0D0D0D" w:themeColor="text1" w:themeTint="F2"/>
                      <w:szCs w:val="21"/>
                      <w14:textFill>
                        <w14:solidFill>
                          <w14:schemeClr w14:val="tx1">
                            <w14:lumMod w14:val="95000"/>
                            <w14:lumOff w14:val="5000"/>
                          </w14:schemeClr>
                        </w14:solidFill>
                      </w14:textFill>
                    </w:rPr>
                    <w:t>均</w:t>
                  </w:r>
                  <w:r>
                    <w:rPr>
                      <w:color w:val="0D0D0D" w:themeColor="text1" w:themeTint="F2"/>
                      <w:szCs w:val="21"/>
                      <w14:textFill>
                        <w14:solidFill>
                          <w14:schemeClr w14:val="tx1">
                            <w14:lumMod w14:val="95000"/>
                            <w14:lumOff w14:val="5000"/>
                          </w14:schemeClr>
                        </w14:solidFill>
                      </w14:textFill>
                    </w:rPr>
                    <w:t>实施封闭化建设</w:t>
                  </w:r>
                  <w:r>
                    <w:rPr>
                      <w:rFonts w:hint="eastAsia"/>
                      <w:color w:val="0D0D0D" w:themeColor="text1" w:themeTint="F2"/>
                      <w:szCs w:val="21"/>
                      <w14:textFill>
                        <w14:solidFill>
                          <w14:schemeClr w14:val="tx1">
                            <w14:lumMod w14:val="95000"/>
                            <w14:lumOff w14:val="5000"/>
                          </w14:schemeClr>
                        </w14:solidFill>
                      </w14:textFill>
                    </w:rPr>
                    <w:t>。</w:t>
                  </w:r>
                  <w:r>
                    <w:rPr>
                      <w:color w:val="0D0D0D" w:themeColor="text1" w:themeTint="F2"/>
                      <w:szCs w:val="21"/>
                      <w14:textFill>
                        <w14:solidFill>
                          <w14:schemeClr w14:val="tx1">
                            <w14:lumMod w14:val="95000"/>
                            <w14:lumOff w14:val="5000"/>
                          </w14:schemeClr>
                        </w14:solidFill>
                      </w14:textFill>
                    </w:rPr>
                    <w:t>喷涂生产线</w:t>
                  </w:r>
                  <w:r>
                    <w:rPr>
                      <w:rFonts w:hint="eastAsia"/>
                      <w:color w:val="0D0D0D" w:themeColor="text1" w:themeTint="F2"/>
                      <w:szCs w:val="21"/>
                      <w14:textFill>
                        <w14:solidFill>
                          <w14:schemeClr w14:val="tx1">
                            <w14:lumMod w14:val="95000"/>
                            <w14:lumOff w14:val="5000"/>
                          </w14:schemeClr>
                        </w14:solidFill>
                      </w14:textFill>
                    </w:rPr>
                    <w:t>喷涂方式为无气喷涂</w:t>
                  </w:r>
                </w:p>
              </w:tc>
              <w:tc>
                <w:tcPr>
                  <w:tcW w:w="686" w:type="dxa"/>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14" w:type="dxa"/>
                  <w:shd w:val="clear" w:color="auto" w:fill="auto"/>
                  <w:vAlign w:val="center"/>
                </w:tcPr>
                <w:p>
                  <w:pPr>
                    <w:snapToGrid w:val="0"/>
                    <w:jc w:val="center"/>
                    <w:rPr>
                      <w:color w:val="262626" w:themeColor="text1" w:themeTint="D9"/>
                      <w:szCs w:val="21"/>
                      <w14:textFill>
                        <w14:solidFill>
                          <w14:schemeClr w14:val="tx1">
                            <w14:lumMod w14:val="85000"/>
                            <w14:lumOff w14:val="15000"/>
                          </w14:schemeClr>
                        </w14:solidFill>
                      </w14:textFill>
                    </w:rPr>
                  </w:pPr>
                  <w:r>
                    <w:rPr>
                      <w:color w:val="262626" w:themeColor="text1" w:themeTint="D9"/>
                      <w:szCs w:val="21"/>
                      <w14:textFill>
                        <w14:solidFill>
                          <w14:schemeClr w14:val="tx1">
                            <w14:lumMod w14:val="85000"/>
                            <w14:lumOff w14:val="15000"/>
                          </w14:schemeClr>
                        </w14:solidFill>
                      </w14:textFill>
                    </w:rPr>
                    <w:t>推进建设适宜高效的治污设施。……鼓励企业采用多种技术的组合工艺，提高VOCs治理效率。低浓度、大风量废气，宜采用沸石转轮吸附、活性炭吸附、减</w:t>
                  </w:r>
                  <w:r>
                    <w:rPr>
                      <w:color w:val="262626" w:themeColor="text1" w:themeTint="D9"/>
                      <w:szCs w:val="21"/>
                      <w14:textFill>
                        <w14:solidFill>
                          <w14:schemeClr w14:val="tx1">
                            <w14:lumMod w14:val="85000"/>
                            <w14:lumOff w14:val="15000"/>
                          </w14:schemeClr>
                        </w14:solidFill>
                      </w14:textFill>
                    </w:rPr>
                    <w:cr/>
                  </w:r>
                  <w:r>
                    <w:rPr>
                      <w:color w:val="262626" w:themeColor="text1" w:themeTint="D9"/>
                      <w:szCs w:val="21"/>
                      <w14:textFill>
                        <w14:solidFill>
                          <w14:schemeClr w14:val="tx1">
                            <w14:lumMod w14:val="85000"/>
                            <w14:lumOff w14:val="15000"/>
                          </w14:schemeClr>
                        </w14:solidFill>
                      </w14:textFill>
                    </w:rPr>
                    <w:t>增浓等浓缩技术，提高VOCs浓度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w:t>
                  </w:r>
                </w:p>
              </w:tc>
              <w:tc>
                <w:tcPr>
                  <w:tcW w:w="3131" w:type="dxa"/>
                  <w:shd w:val="clear" w:color="auto" w:fill="auto"/>
                  <w:vAlign w:val="center"/>
                </w:tcPr>
                <w:p>
                  <w:pPr>
                    <w:snapToGrid w:val="0"/>
                    <w:jc w:val="center"/>
                    <w:rPr>
                      <w:color w:val="262626" w:themeColor="text1" w:themeTint="D9"/>
                      <w:szCs w:val="21"/>
                      <w14:textFill>
                        <w14:solidFill>
                          <w14:schemeClr w14:val="tx1">
                            <w14:lumMod w14:val="85000"/>
                            <w14:lumOff w14:val="15000"/>
                          </w14:schemeClr>
                        </w14:solidFill>
                      </w14:textFill>
                    </w:rPr>
                  </w:pPr>
                  <w:r>
                    <w:rPr>
                      <w:color w:val="262626" w:themeColor="text1" w:themeTint="D9"/>
                      <w:szCs w:val="21"/>
                      <w14:textFill>
                        <w14:solidFill>
                          <w14:schemeClr w14:val="tx1">
                            <w14:lumMod w14:val="85000"/>
                            <w14:lumOff w14:val="15000"/>
                          </w14:schemeClr>
                        </w14:solidFill>
                      </w14:textFill>
                    </w:rPr>
                    <w:t>项目</w:t>
                  </w:r>
                  <w:r>
                    <w:rPr>
                      <w:rFonts w:hint="eastAsia"/>
                      <w:color w:val="262626" w:themeColor="text1" w:themeTint="D9"/>
                      <w:szCs w:val="21"/>
                      <w14:textFill>
                        <w14:solidFill>
                          <w14:schemeClr w14:val="tx1">
                            <w14:lumMod w14:val="85000"/>
                            <w14:lumOff w14:val="15000"/>
                          </w14:schemeClr>
                        </w14:solidFill>
                      </w14:textFill>
                    </w:rPr>
                    <w:t>调漆、</w:t>
                  </w:r>
                  <w:r>
                    <w:rPr>
                      <w:rFonts w:hint="eastAsia" w:hAnsi="宋体"/>
                      <w:color w:val="262626" w:themeColor="text1" w:themeTint="D9"/>
                      <w:szCs w:val="21"/>
                      <w14:textFill>
                        <w14:solidFill>
                          <w14:schemeClr w14:val="tx1">
                            <w14:lumMod w14:val="85000"/>
                            <w14:lumOff w14:val="15000"/>
                          </w14:schemeClr>
                        </w14:solidFill>
                      </w14:textFill>
                    </w:rPr>
                    <w:t>喷漆及晾干工序</w:t>
                  </w:r>
                  <w:r>
                    <w:rPr>
                      <w:color w:val="262626" w:themeColor="text1" w:themeTint="D9"/>
                      <w:szCs w:val="21"/>
                      <w14:textFill>
                        <w14:solidFill>
                          <w14:schemeClr w14:val="tx1">
                            <w14:lumMod w14:val="85000"/>
                            <w14:lumOff w14:val="15000"/>
                          </w14:schemeClr>
                        </w14:solidFill>
                      </w14:textFill>
                    </w:rPr>
                    <w:t>有机废气初始产生浓度为：</w:t>
                  </w:r>
                  <w:r>
                    <w:rPr>
                      <w:rFonts w:hint="eastAsia"/>
                      <w:color w:val="262626" w:themeColor="text1" w:themeTint="D9"/>
                      <w:szCs w:val="21"/>
                      <w14:textFill>
                        <w14:solidFill>
                          <w14:schemeClr w14:val="tx1">
                            <w14:lumMod w14:val="85000"/>
                            <w14:lumOff w14:val="15000"/>
                          </w14:schemeClr>
                        </w14:solidFill>
                      </w14:textFill>
                    </w:rPr>
                    <w:t>71.133</w:t>
                  </w:r>
                  <w:r>
                    <w:rPr>
                      <w:color w:val="262626" w:themeColor="text1" w:themeTint="D9"/>
                      <w:szCs w:val="21"/>
                      <w14:textFill>
                        <w14:solidFill>
                          <w14:schemeClr w14:val="tx1">
                            <w14:lumMod w14:val="85000"/>
                            <w14:lumOff w14:val="15000"/>
                          </w14:schemeClr>
                        </w14:solidFill>
                      </w14:textFill>
                    </w:rPr>
                    <w:t xml:space="preserve"> mg/m</w:t>
                  </w:r>
                  <w:r>
                    <w:rPr>
                      <w:color w:val="262626" w:themeColor="text1" w:themeTint="D9"/>
                      <w:szCs w:val="21"/>
                      <w:vertAlign w:val="superscript"/>
                      <w14:textFill>
                        <w14:solidFill>
                          <w14:schemeClr w14:val="tx1">
                            <w14:lumMod w14:val="85000"/>
                            <w14:lumOff w14:val="15000"/>
                          </w14:schemeClr>
                        </w14:solidFill>
                      </w14:textFill>
                    </w:rPr>
                    <w:t>3</w:t>
                  </w:r>
                  <w:r>
                    <w:rPr>
                      <w:color w:val="262626" w:themeColor="text1" w:themeTint="D9"/>
                      <w:szCs w:val="21"/>
                      <w14:textFill>
                        <w14:solidFill>
                          <w14:schemeClr w14:val="tx1">
                            <w14:lumMod w14:val="85000"/>
                            <w14:lumOff w14:val="15000"/>
                          </w14:schemeClr>
                        </w14:solidFill>
                      </w14:textFill>
                    </w:rPr>
                    <w:t>，可</w:t>
                  </w:r>
                  <w:r>
                    <w:rPr>
                      <w:rFonts w:hint="eastAsia"/>
                      <w:color w:val="262626" w:themeColor="text1" w:themeTint="D9"/>
                      <w:szCs w:val="21"/>
                      <w14:textFill>
                        <w14:solidFill>
                          <w14:schemeClr w14:val="tx1">
                            <w14:lumMod w14:val="85000"/>
                            <w14:lumOff w14:val="15000"/>
                          </w14:schemeClr>
                        </w14:solidFill>
                      </w14:textFill>
                    </w:rPr>
                    <w:t>采用</w:t>
                  </w:r>
                  <w:r>
                    <w:rPr>
                      <w:rFonts w:hint="eastAsia" w:hAnsi="宋体"/>
                      <w:color w:val="262626" w:themeColor="text1" w:themeTint="D9"/>
                      <w14:textFill>
                        <w14:solidFill>
                          <w14:schemeClr w14:val="tx1">
                            <w14:lumMod w14:val="85000"/>
                            <w14:lumOff w14:val="15000"/>
                          </w14:schemeClr>
                        </w14:solidFill>
                      </w14:textFill>
                    </w:rPr>
                    <w:t>过滤棉+活性炭+RCO工艺</w:t>
                  </w:r>
                  <w:r>
                    <w:rPr>
                      <w:color w:val="262626" w:themeColor="text1" w:themeTint="D9"/>
                      <w:szCs w:val="21"/>
                      <w14:textFill>
                        <w14:solidFill>
                          <w14:schemeClr w14:val="tx1">
                            <w14:lumMod w14:val="85000"/>
                            <w14:lumOff w14:val="15000"/>
                          </w14:schemeClr>
                        </w14:solidFill>
                      </w14:textFill>
                    </w:rPr>
                    <w:t>处理</w:t>
                  </w:r>
                </w:p>
              </w:tc>
              <w:tc>
                <w:tcPr>
                  <w:tcW w:w="686" w:type="dxa"/>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14" w:type="dxa"/>
                  <w:shd w:val="clear" w:color="auto" w:fill="auto"/>
                  <w:vAlign w:val="center"/>
                </w:tcPr>
                <w:p>
                  <w:pPr>
                    <w:snapToGrid w:val="0"/>
                    <w:jc w:val="center"/>
                    <w:rPr>
                      <w:color w:val="262626" w:themeColor="text1" w:themeTint="D9"/>
                      <w:szCs w:val="21"/>
                      <w14:textFill>
                        <w14:solidFill>
                          <w14:schemeClr w14:val="tx1">
                            <w14:lumMod w14:val="85000"/>
                            <w14:lumOff w14:val="15000"/>
                          </w14:schemeClr>
                        </w14:solidFill>
                      </w14:textFill>
                    </w:rPr>
                  </w:pPr>
                  <w:r>
                    <w:rPr>
                      <w:color w:val="262626" w:themeColor="text1" w:themeTint="D9"/>
                      <w:szCs w:val="21"/>
                      <w14:textFill>
                        <w14:solidFill>
                          <w14:schemeClr w14:val="tx1">
                            <w14:lumMod w14:val="85000"/>
                            <w14:lumOff w14:val="15000"/>
                          </w14:schemeClr>
                        </w14:solidFill>
                      </w14:textFill>
                    </w:rP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w:t>
                  </w:r>
                </w:p>
              </w:tc>
              <w:tc>
                <w:tcPr>
                  <w:tcW w:w="3131" w:type="dxa"/>
                  <w:shd w:val="clear" w:color="auto" w:fill="auto"/>
                  <w:vAlign w:val="center"/>
                </w:tcPr>
                <w:p>
                  <w:pPr>
                    <w:snapToGrid w:val="0"/>
                    <w:jc w:val="center"/>
                    <w:rPr>
                      <w:color w:val="262626" w:themeColor="text1" w:themeTint="D9"/>
                      <w:szCs w:val="21"/>
                      <w14:textFill>
                        <w14:solidFill>
                          <w14:schemeClr w14:val="tx1">
                            <w14:lumMod w14:val="85000"/>
                            <w14:lumOff w14:val="15000"/>
                          </w14:schemeClr>
                        </w14:solidFill>
                      </w14:textFill>
                    </w:rPr>
                  </w:pPr>
                  <w:r>
                    <w:rPr>
                      <w:color w:val="262626" w:themeColor="text1" w:themeTint="D9"/>
                      <w:szCs w:val="21"/>
                      <w14:textFill>
                        <w14:solidFill>
                          <w14:schemeClr w14:val="tx1">
                            <w14:lumMod w14:val="85000"/>
                            <w14:lumOff w14:val="15000"/>
                          </w14:schemeClr>
                        </w14:solidFill>
                      </w14:textFill>
                    </w:rPr>
                    <w:t>项目</w:t>
                  </w:r>
                  <w:r>
                    <w:rPr>
                      <w:rFonts w:hint="eastAsia"/>
                      <w:color w:val="262626" w:themeColor="text1" w:themeTint="D9"/>
                      <w:szCs w:val="21"/>
                      <w14:textFill>
                        <w14:solidFill>
                          <w14:schemeClr w14:val="tx1">
                            <w14:lumMod w14:val="85000"/>
                            <w14:lumOff w14:val="15000"/>
                          </w14:schemeClr>
                        </w14:solidFill>
                      </w14:textFill>
                    </w:rPr>
                    <w:t>调漆、</w:t>
                  </w:r>
                  <w:r>
                    <w:rPr>
                      <w:rFonts w:hint="eastAsia" w:hAnsi="宋体"/>
                      <w:color w:val="262626" w:themeColor="text1" w:themeTint="D9"/>
                      <w:szCs w:val="21"/>
                      <w14:textFill>
                        <w14:solidFill>
                          <w14:schemeClr w14:val="tx1">
                            <w14:lumMod w14:val="85000"/>
                            <w14:lumOff w14:val="15000"/>
                          </w14:schemeClr>
                        </w14:solidFill>
                      </w14:textFill>
                    </w:rPr>
                    <w:t>喷漆及晾干</w:t>
                  </w:r>
                  <w:r>
                    <w:rPr>
                      <w:color w:val="262626" w:themeColor="text1" w:themeTint="D9"/>
                      <w:szCs w:val="21"/>
                      <w14:textFill>
                        <w14:solidFill>
                          <w14:schemeClr w14:val="tx1">
                            <w14:lumMod w14:val="85000"/>
                            <w14:lumOff w14:val="15000"/>
                          </w14:schemeClr>
                        </w14:solidFill>
                      </w14:textFill>
                    </w:rPr>
                    <w:t>工序有机废气初始产生浓度分别为：</w:t>
                  </w:r>
                  <w:r>
                    <w:rPr>
                      <w:rFonts w:hint="eastAsia"/>
                      <w:color w:val="262626" w:themeColor="text1" w:themeTint="D9"/>
                      <w:szCs w:val="21"/>
                      <w14:textFill>
                        <w14:solidFill>
                          <w14:schemeClr w14:val="tx1">
                            <w14:lumMod w14:val="85000"/>
                            <w14:lumOff w14:val="15000"/>
                          </w14:schemeClr>
                        </w14:solidFill>
                      </w14:textFill>
                    </w:rPr>
                    <w:t>71.133</w:t>
                  </w:r>
                  <w:r>
                    <w:rPr>
                      <w:color w:val="262626" w:themeColor="text1" w:themeTint="D9"/>
                      <w:szCs w:val="21"/>
                      <w14:textFill>
                        <w14:solidFill>
                          <w14:schemeClr w14:val="tx1">
                            <w14:lumMod w14:val="85000"/>
                            <w14:lumOff w14:val="15000"/>
                          </w14:schemeClr>
                        </w14:solidFill>
                      </w14:textFill>
                    </w:rPr>
                    <w:t>mg/m</w:t>
                  </w:r>
                  <w:r>
                    <w:rPr>
                      <w:color w:val="262626" w:themeColor="text1" w:themeTint="D9"/>
                      <w:szCs w:val="21"/>
                      <w:vertAlign w:val="superscript"/>
                      <w14:textFill>
                        <w14:solidFill>
                          <w14:schemeClr w14:val="tx1">
                            <w14:lumMod w14:val="85000"/>
                            <w14:lumOff w14:val="15000"/>
                          </w14:schemeClr>
                        </w14:solidFill>
                      </w14:textFill>
                    </w:rPr>
                    <w:t>3</w:t>
                  </w:r>
                  <w:r>
                    <w:rPr>
                      <w:color w:val="262626" w:themeColor="text1" w:themeTint="D9"/>
                      <w:szCs w:val="21"/>
                      <w14:textFill>
                        <w14:solidFill>
                          <w14:schemeClr w14:val="tx1">
                            <w14:lumMod w14:val="85000"/>
                            <w14:lumOff w14:val="15000"/>
                          </w14:schemeClr>
                        </w14:solidFill>
                      </w14:textFill>
                    </w:rPr>
                    <w:t>，安装</w:t>
                  </w:r>
                  <w:r>
                    <w:rPr>
                      <w:rFonts w:hint="eastAsia" w:hAnsi="宋体"/>
                      <w:color w:val="262626" w:themeColor="text1" w:themeTint="D9"/>
                      <w14:textFill>
                        <w14:solidFill>
                          <w14:schemeClr w14:val="tx1">
                            <w14:lumMod w14:val="85000"/>
                            <w14:lumOff w14:val="15000"/>
                          </w14:schemeClr>
                        </w14:solidFill>
                      </w14:textFill>
                    </w:rPr>
                    <w:t>过滤棉+活性炭+RCO</w:t>
                  </w:r>
                  <w:r>
                    <w:rPr>
                      <w:color w:val="262626" w:themeColor="text1" w:themeTint="D9"/>
                      <w:szCs w:val="21"/>
                      <w14:textFill>
                        <w14:solidFill>
                          <w14:schemeClr w14:val="tx1">
                            <w14:lumMod w14:val="85000"/>
                            <w14:lumOff w14:val="15000"/>
                          </w14:schemeClr>
                        </w14:solidFill>
                      </w14:textFill>
                    </w:rPr>
                    <w:t>装置处理，处理效率可达</w:t>
                  </w:r>
                  <w:r>
                    <w:rPr>
                      <w:rFonts w:hint="eastAsia"/>
                      <w:color w:val="262626" w:themeColor="text1" w:themeTint="D9"/>
                      <w:szCs w:val="21"/>
                      <w14:textFill>
                        <w14:solidFill>
                          <w14:schemeClr w14:val="tx1">
                            <w14:lumMod w14:val="85000"/>
                            <w14:lumOff w14:val="15000"/>
                          </w14:schemeClr>
                        </w14:solidFill>
                      </w14:textFill>
                    </w:rPr>
                    <w:t>8</w:t>
                  </w:r>
                  <w:r>
                    <w:rPr>
                      <w:color w:val="262626" w:themeColor="text1" w:themeTint="D9"/>
                      <w:szCs w:val="21"/>
                      <w14:textFill>
                        <w14:solidFill>
                          <w14:schemeClr w14:val="tx1">
                            <w14:lumMod w14:val="85000"/>
                            <w14:lumOff w14:val="15000"/>
                          </w14:schemeClr>
                        </w14:solidFill>
                      </w14:textFill>
                    </w:rPr>
                    <w:t>7%，排放浓度可达</w:t>
                  </w:r>
                  <w:r>
                    <w:rPr>
                      <w:rFonts w:hint="eastAsia"/>
                      <w:color w:val="262626" w:themeColor="text1" w:themeTint="D9"/>
                      <w:szCs w:val="21"/>
                      <w14:textFill>
                        <w14:solidFill>
                          <w14:schemeClr w14:val="tx1">
                            <w14:lumMod w14:val="85000"/>
                            <w14:lumOff w14:val="15000"/>
                          </w14:schemeClr>
                        </w14:solidFill>
                      </w14:textFill>
                    </w:rPr>
                    <w:t>《大气污染物综合排放标准》（DB31/933-2015）</w:t>
                  </w:r>
                </w:p>
              </w:tc>
              <w:tc>
                <w:tcPr>
                  <w:tcW w:w="686" w:type="dxa"/>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符合</w:t>
                  </w:r>
                </w:p>
              </w:tc>
            </w:tr>
          </w:tbl>
          <w:p>
            <w:pPr>
              <w:spacing w:line="360" w:lineRule="auto"/>
              <w:ind w:firstLine="424" w:firstLineChars="177"/>
              <w:rPr>
                <w:color w:val="0D0D0D" w:themeColor="text1" w:themeTint="F2"/>
                <w:sz w:val="24"/>
                <w14:textFill>
                  <w14:solidFill>
                    <w14:schemeClr w14:val="tx1">
                      <w14:lumMod w14:val="95000"/>
                      <w14:lumOff w14:val="5000"/>
                    </w14:schemeClr>
                  </w14:solidFill>
                </w14:textFill>
              </w:rPr>
            </w:pPr>
            <w:r>
              <w:rPr>
                <w:color w:val="0D0D0D" w:themeColor="text1" w:themeTint="F2"/>
                <w:sz w:val="24"/>
                <w14:textFill>
                  <w14:solidFill>
                    <w14:schemeClr w14:val="tx1">
                      <w14:lumMod w14:val="95000"/>
                      <w14:lumOff w14:val="5000"/>
                    </w14:schemeClr>
                  </w14:solidFill>
                </w14:textFill>
              </w:rPr>
              <w:t>综上所述，项目建设符合《重点行业挥发性有机物综合治理方案》的要求。</w:t>
            </w:r>
          </w:p>
          <w:p>
            <w:pPr>
              <w:pStyle w:val="4"/>
              <w:spacing w:before="0" w:after="0" w:line="360" w:lineRule="auto"/>
              <w:ind w:left="724" w:leftChars="230" w:hanging="241" w:hangingChars="100"/>
              <w:jc w:val="center"/>
              <w:rPr>
                <w:color w:val="0D0D0D" w:themeColor="text1" w:themeTint="F2"/>
                <w:sz w:val="24"/>
                <w:szCs w:val="24"/>
                <w14:textFill>
                  <w14:solidFill>
                    <w14:schemeClr w14:val="tx1">
                      <w14:lumMod w14:val="95000"/>
                      <w14:lumOff w14:val="5000"/>
                    </w14:schemeClr>
                  </w14:solidFill>
                </w14:textFill>
              </w:rPr>
            </w:pPr>
            <w:r>
              <w:rPr>
                <w:rFonts w:hint="eastAsia" w:ascii="Times New Roman" w:hAnsi="Times New Roman" w:eastAsia="宋体"/>
                <w:color w:val="0D0D0D" w:themeColor="text1" w:themeTint="F2"/>
                <w:sz w:val="24"/>
                <w:szCs w:val="24"/>
                <w14:textFill>
                  <w14:solidFill>
                    <w14:schemeClr w14:val="tx1">
                      <w14:lumMod w14:val="95000"/>
                      <w14:lumOff w14:val="5000"/>
                    </w14:schemeClr>
                  </w14:solidFill>
                </w14:textFill>
              </w:rPr>
              <w:t>9</w:t>
            </w:r>
            <w:r>
              <w:rPr>
                <w:rFonts w:ascii="Times New Roman" w:hAnsi="宋体" w:eastAsia="宋体"/>
                <w:color w:val="0D0D0D" w:themeColor="text1" w:themeTint="F2"/>
                <w:kern w:val="0"/>
                <w:sz w:val="24"/>
                <w:szCs w:val="24"/>
                <w14:textFill>
                  <w14:solidFill>
                    <w14:schemeClr w14:val="tx1">
                      <w14:lumMod w14:val="95000"/>
                      <w14:lumOff w14:val="5000"/>
                    </w14:schemeClr>
                  </w14:solidFill>
                </w14:textFill>
              </w:rPr>
              <w:t>、 与《低挥发性有机化合物含量涂料产品技术要求》相符性分析</w:t>
            </w:r>
          </w:p>
          <w:p>
            <w:pPr>
              <w:pStyle w:val="1036"/>
              <w:jc w:val="left"/>
              <w:rPr>
                <w:rFonts w:hint="default" w:ascii="Times New Roman" w:cs="Times New Roman"/>
                <w:color w:val="0D0D0D" w:themeColor="text1" w:themeTint="F2"/>
                <w:szCs w:val="24"/>
                <w14:textFill>
                  <w14:solidFill>
                    <w14:schemeClr w14:val="tx1">
                      <w14:lumMod w14:val="95000"/>
                      <w14:lumOff w14:val="5000"/>
                    </w14:schemeClr>
                  </w14:solidFill>
                </w14:textFill>
              </w:rPr>
            </w:pPr>
            <w:r>
              <w:rPr>
                <w:rFonts w:ascii="Times New Roman" w:cs="Times New Roman"/>
                <w:color w:val="0D0D0D" w:themeColor="text1" w:themeTint="F2"/>
                <w:szCs w:val="24"/>
                <w14:textFill>
                  <w14:solidFill>
                    <w14:schemeClr w14:val="tx1">
                      <w14:lumMod w14:val="95000"/>
                      <w14:lumOff w14:val="5000"/>
                    </w14:schemeClr>
                  </w14:solidFill>
                </w14:textFill>
              </w:rPr>
              <w:t>《低挥发性有机化合物含量涂料产品技术要求》（GB/T 38597-2020）中对水性涂料和溶剂型涂料中VOC含量的要求见下表。</w:t>
            </w:r>
          </w:p>
          <w:p>
            <w:pPr>
              <w:spacing w:before="120" w:beforeLines="50"/>
              <w:jc w:val="center"/>
              <w:rPr>
                <w:b/>
                <w:color w:val="0D0D0D" w:themeColor="text1" w:themeTint="F2"/>
                <w:sz w:val="24"/>
                <w14:textFill>
                  <w14:solidFill>
                    <w14:schemeClr w14:val="tx1">
                      <w14:lumMod w14:val="95000"/>
                      <w14:lumOff w14:val="5000"/>
                    </w14:schemeClr>
                  </w14:solidFill>
                </w14:textFill>
              </w:rPr>
            </w:pPr>
            <w:r>
              <w:rPr>
                <w:b/>
                <w:color w:val="0D0D0D" w:themeColor="text1" w:themeTint="F2"/>
                <w:sz w:val="24"/>
                <w14:textFill>
                  <w14:solidFill>
                    <w14:schemeClr w14:val="tx1">
                      <w14:lumMod w14:val="95000"/>
                      <w14:lumOff w14:val="5000"/>
                    </w14:schemeClr>
                  </w14:solidFill>
                </w14:textFill>
              </w:rPr>
              <w:t>表</w:t>
            </w:r>
            <w:r>
              <w:rPr>
                <w:rFonts w:hint="eastAsia"/>
                <w:b/>
                <w:color w:val="0D0D0D" w:themeColor="text1" w:themeTint="F2"/>
                <w:sz w:val="24"/>
                <w14:textFill>
                  <w14:solidFill>
                    <w14:schemeClr w14:val="tx1">
                      <w14:lumMod w14:val="95000"/>
                      <w14:lumOff w14:val="5000"/>
                    </w14:schemeClr>
                  </w14:solidFill>
                </w14:textFill>
              </w:rPr>
              <w:t>1-8</w:t>
            </w:r>
            <w:r>
              <w:rPr>
                <w:b/>
                <w:color w:val="0D0D0D" w:themeColor="text1" w:themeTint="F2"/>
                <w:sz w:val="24"/>
                <w14:textFill>
                  <w14:solidFill>
                    <w14:schemeClr w14:val="tx1">
                      <w14:lumMod w14:val="95000"/>
                      <w14:lumOff w14:val="5000"/>
                    </w14:schemeClr>
                  </w14:solidFill>
                </w14:textFill>
              </w:rPr>
              <w:t xml:space="preserve"> 《低挥发性有机化合物含量涂料产品技术要求》相符性分析一览表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14"/>
              <w:gridCol w:w="994"/>
              <w:gridCol w:w="1416"/>
              <w:gridCol w:w="1134"/>
              <w:gridCol w:w="709"/>
              <w:gridCol w:w="710"/>
              <w:gridCol w:w="9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23" w:hRule="exact"/>
                <w:jc w:val="center"/>
              </w:trPr>
              <w:tc>
                <w:tcPr>
                  <w:tcW w:w="1019" w:type="pct"/>
                  <w:vAlign w:val="center"/>
                </w:tcPr>
                <w:p>
                  <w:pPr>
                    <w:spacing w:line="32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涂料类型</w:t>
                  </w:r>
                </w:p>
              </w:tc>
              <w:tc>
                <w:tcPr>
                  <w:tcW w:w="669" w:type="pct"/>
                  <w:vAlign w:val="center"/>
                </w:tcPr>
                <w:p>
                  <w:pPr>
                    <w:spacing w:line="32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产品</w:t>
                  </w:r>
                </w:p>
                <w:p>
                  <w:pPr>
                    <w:spacing w:line="32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类别</w:t>
                  </w:r>
                </w:p>
              </w:tc>
              <w:tc>
                <w:tcPr>
                  <w:tcW w:w="2671" w:type="pct"/>
                  <w:gridSpan w:val="4"/>
                  <w:vAlign w:val="center"/>
                </w:tcPr>
                <w:p>
                  <w:pPr>
                    <w:spacing w:line="32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主要产品类型</w:t>
                  </w:r>
                </w:p>
              </w:tc>
              <w:tc>
                <w:tcPr>
                  <w:tcW w:w="641" w:type="pct"/>
                  <w:vAlign w:val="center"/>
                </w:tcPr>
                <w:p>
                  <w:pPr>
                    <w:spacing w:line="32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限量值</w:t>
                  </w:r>
                </w:p>
                <w:p>
                  <w:pPr>
                    <w:spacing w:line="32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39" w:hRule="exact"/>
                <w:jc w:val="center"/>
              </w:trPr>
              <w:tc>
                <w:tcPr>
                  <w:tcW w:w="1019" w:type="pct"/>
                  <w:vMerge w:val="restar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水性涂料</w:t>
                  </w:r>
                </w:p>
              </w:tc>
              <w:tc>
                <w:tcPr>
                  <w:tcW w:w="669" w:type="pct"/>
                  <w:vMerge w:val="restar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工业</w:t>
                  </w:r>
                  <w:r>
                    <w:rPr>
                      <w:color w:val="0D0D0D" w:themeColor="text1" w:themeTint="F2"/>
                      <w:szCs w:val="21"/>
                      <w14:textFill>
                        <w14:solidFill>
                          <w14:schemeClr w14:val="tx1">
                            <w14:lumMod w14:val="95000"/>
                            <w14:lumOff w14:val="5000"/>
                          </w14:schemeClr>
                        </w14:solidFill>
                      </w14:textFill>
                    </w:rPr>
                    <w:t>防护涂料</w:t>
                  </w:r>
                </w:p>
              </w:tc>
              <w:tc>
                <w:tcPr>
                  <w:tcW w:w="953" w:type="pct"/>
                  <w:vMerge w:val="restar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建筑物</w:t>
                  </w:r>
                  <w:r>
                    <w:rPr>
                      <w:color w:val="0D0D0D" w:themeColor="text1" w:themeTint="F2"/>
                      <w:szCs w:val="21"/>
                      <w14:textFill>
                        <w14:solidFill>
                          <w14:schemeClr w14:val="tx1">
                            <w14:lumMod w14:val="95000"/>
                            <w14:lumOff w14:val="5000"/>
                          </w14:schemeClr>
                        </w14:solidFill>
                      </w14:textFill>
                    </w:rPr>
                    <w:t>和构筑物防护涂料</w:t>
                  </w:r>
                </w:p>
              </w:tc>
              <w:tc>
                <w:tcPr>
                  <w:tcW w:w="763" w:type="pct"/>
                  <w:vMerge w:val="restar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金属</w:t>
                  </w:r>
                  <w:r>
                    <w:rPr>
                      <w:color w:val="0D0D0D" w:themeColor="text1" w:themeTint="F2"/>
                      <w:szCs w:val="21"/>
                      <w14:textFill>
                        <w14:solidFill>
                          <w14:schemeClr w14:val="tx1">
                            <w14:lumMod w14:val="95000"/>
                            <w14:lumOff w14:val="5000"/>
                          </w14:schemeClr>
                        </w14:solidFill>
                      </w14:textFill>
                    </w:rPr>
                    <w:t>基材防腐涂料</w:t>
                  </w:r>
                </w:p>
              </w:tc>
              <w:tc>
                <w:tcPr>
                  <w:tcW w:w="477" w:type="pct"/>
                  <w:vMerge w:val="restar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单组分</w:t>
                  </w:r>
                </w:p>
              </w:tc>
              <w:tc>
                <w:tcPr>
                  <w:tcW w:w="478"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底漆</w:t>
                  </w:r>
                </w:p>
              </w:tc>
              <w:tc>
                <w:tcPr>
                  <w:tcW w:w="641"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20</w:t>
                  </w:r>
                  <w:r>
                    <w:rPr>
                      <w:color w:val="0D0D0D" w:themeColor="text1" w:themeTint="F2"/>
                      <w:szCs w:val="21"/>
                      <w14:textFill>
                        <w14:solidFill>
                          <w14:schemeClr w14:val="tx1">
                            <w14:lumMod w14:val="95000"/>
                            <w14:lumOff w14:val="5000"/>
                          </w14:schemeClr>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3" w:hRule="exact"/>
                <w:jc w:val="center"/>
              </w:trPr>
              <w:tc>
                <w:tcPr>
                  <w:tcW w:w="1019" w:type="pct"/>
                  <w:vMerge w:val="continue"/>
                  <w:vAlign w:val="center"/>
                </w:tcPr>
                <w:p>
                  <w:pPr>
                    <w:spacing w:line="320" w:lineRule="exact"/>
                    <w:ind w:firstLine="210" w:firstLineChars="100"/>
                    <w:jc w:val="center"/>
                    <w:rPr>
                      <w:color w:val="0D0D0D" w:themeColor="text1" w:themeTint="F2"/>
                      <w:szCs w:val="21"/>
                      <w14:textFill>
                        <w14:solidFill>
                          <w14:schemeClr w14:val="tx1">
                            <w14:lumMod w14:val="95000"/>
                            <w14:lumOff w14:val="5000"/>
                          </w14:schemeClr>
                        </w14:solidFill>
                      </w14:textFill>
                    </w:rPr>
                  </w:pPr>
                </w:p>
              </w:tc>
              <w:tc>
                <w:tcPr>
                  <w:tcW w:w="669" w:type="pct"/>
                  <w:vMerge w:val="continue"/>
                  <w:vAlign w:val="center"/>
                </w:tcPr>
                <w:p>
                  <w:pPr>
                    <w:spacing w:line="320" w:lineRule="exact"/>
                    <w:ind w:firstLine="210" w:firstLineChars="100"/>
                    <w:jc w:val="center"/>
                    <w:rPr>
                      <w:color w:val="0D0D0D" w:themeColor="text1" w:themeTint="F2"/>
                      <w:szCs w:val="21"/>
                      <w14:textFill>
                        <w14:solidFill>
                          <w14:schemeClr w14:val="tx1">
                            <w14:lumMod w14:val="95000"/>
                            <w14:lumOff w14:val="5000"/>
                          </w14:schemeClr>
                        </w14:solidFill>
                      </w14:textFill>
                    </w:rPr>
                  </w:pPr>
                </w:p>
              </w:tc>
              <w:tc>
                <w:tcPr>
                  <w:tcW w:w="953" w:type="pct"/>
                  <w:vMerge w:val="continue"/>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p>
              </w:tc>
              <w:tc>
                <w:tcPr>
                  <w:tcW w:w="763" w:type="pct"/>
                  <w:vMerge w:val="continue"/>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p>
              </w:tc>
              <w:tc>
                <w:tcPr>
                  <w:tcW w:w="477" w:type="pct"/>
                  <w:vMerge w:val="continue"/>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p>
              </w:tc>
              <w:tc>
                <w:tcPr>
                  <w:tcW w:w="478"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面漆</w:t>
                  </w:r>
                </w:p>
              </w:tc>
              <w:tc>
                <w:tcPr>
                  <w:tcW w:w="641"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25</w:t>
                  </w:r>
                  <w:r>
                    <w:rPr>
                      <w:color w:val="0D0D0D" w:themeColor="text1" w:themeTint="F2"/>
                      <w:szCs w:val="21"/>
                      <w14:textFill>
                        <w14:solidFill>
                          <w14:schemeClr w14:val="tx1">
                            <w14:lumMod w14:val="95000"/>
                            <w14:lumOff w14:val="5000"/>
                          </w14:schemeClr>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23" w:hRule="exact"/>
                <w:jc w:val="center"/>
              </w:trPr>
              <w:tc>
                <w:tcPr>
                  <w:tcW w:w="1019"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溶剂型涂料</w:t>
                  </w:r>
                </w:p>
              </w:tc>
              <w:tc>
                <w:tcPr>
                  <w:tcW w:w="669" w:type="pct"/>
                  <w:vMerge w:val="continue"/>
                  <w:vAlign w:val="center"/>
                </w:tcPr>
                <w:p>
                  <w:pPr>
                    <w:spacing w:line="320" w:lineRule="exact"/>
                    <w:ind w:firstLine="210" w:firstLineChars="100"/>
                    <w:jc w:val="center"/>
                    <w:rPr>
                      <w:color w:val="0D0D0D" w:themeColor="text1" w:themeTint="F2"/>
                      <w:szCs w:val="21"/>
                      <w14:textFill>
                        <w14:solidFill>
                          <w14:schemeClr w14:val="tx1">
                            <w14:lumMod w14:val="95000"/>
                            <w14:lumOff w14:val="5000"/>
                          </w14:schemeClr>
                        </w14:solidFill>
                      </w14:textFill>
                    </w:rPr>
                  </w:pPr>
                </w:p>
              </w:tc>
              <w:tc>
                <w:tcPr>
                  <w:tcW w:w="953" w:type="pct"/>
                  <w:vMerge w:val="continue"/>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p>
              </w:tc>
              <w:tc>
                <w:tcPr>
                  <w:tcW w:w="763" w:type="pct"/>
                  <w:vMerge w:val="continue"/>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p>
              </w:tc>
              <w:tc>
                <w:tcPr>
                  <w:tcW w:w="477"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单组分</w:t>
                  </w:r>
                </w:p>
              </w:tc>
              <w:tc>
                <w:tcPr>
                  <w:tcW w:w="478"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641"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50</w:t>
                  </w:r>
                  <w:r>
                    <w:rPr>
                      <w:color w:val="0D0D0D" w:themeColor="text1" w:themeTint="F2"/>
                      <w:szCs w:val="21"/>
                      <w14:textFill>
                        <w14:solidFill>
                          <w14:schemeClr w14:val="tx1">
                            <w14:lumMod w14:val="95000"/>
                            <w14:lumOff w14:val="5000"/>
                          </w14:schemeClr>
                        </w14:solidFill>
                      </w14:textFill>
                    </w:rPr>
                    <w:t>0</w:t>
                  </w:r>
                </w:p>
              </w:tc>
            </w:tr>
          </w:tbl>
          <w:p>
            <w:pPr>
              <w:spacing w:before="120" w:beforeLines="50" w:line="360" w:lineRule="auto"/>
              <w:ind w:firstLine="424" w:firstLineChars="177"/>
              <w:rPr>
                <w:sz w:val="24"/>
              </w:rPr>
            </w:pPr>
            <w:r>
              <w:rPr>
                <w:color w:val="0D0D0D" w:themeColor="text1" w:themeTint="F2"/>
                <w:kern w:val="24"/>
                <w:sz w:val="24"/>
                <w14:textFill>
                  <w14:solidFill>
                    <w14:schemeClr w14:val="tx1">
                      <w14:lumMod w14:val="95000"/>
                      <w14:lumOff w14:val="5000"/>
                    </w14:schemeClr>
                  </w14:solidFill>
                </w14:textFill>
              </w:rPr>
              <w:t>根据涂料厂家提供的涂料VOC含量数据（附件</w:t>
            </w:r>
            <w:r>
              <w:rPr>
                <w:rFonts w:hint="eastAsia"/>
                <w:color w:val="0D0D0D" w:themeColor="text1" w:themeTint="F2"/>
                <w:kern w:val="24"/>
                <w:sz w:val="24"/>
                <w14:textFill>
                  <w14:solidFill>
                    <w14:schemeClr w14:val="tx1">
                      <w14:lumMod w14:val="95000"/>
                      <w14:lumOff w14:val="5000"/>
                    </w14:schemeClr>
                  </w14:solidFill>
                </w14:textFill>
              </w:rPr>
              <w:t>8</w:t>
            </w:r>
            <w:r>
              <w:rPr>
                <w:color w:val="0D0D0D" w:themeColor="text1" w:themeTint="F2"/>
                <w:kern w:val="24"/>
                <w:sz w:val="24"/>
                <w14:textFill>
                  <w14:solidFill>
                    <w14:schemeClr w14:val="tx1">
                      <w14:lumMod w14:val="95000"/>
                      <w14:lumOff w14:val="5000"/>
                    </w14:schemeClr>
                  </w14:solidFill>
                </w14:textFill>
              </w:rPr>
              <w:t>）及涂料</w:t>
            </w:r>
            <w:r>
              <w:rPr>
                <w:rFonts w:hint="eastAsia"/>
                <w:color w:val="0D0D0D" w:themeColor="text1" w:themeTint="F2"/>
                <w:kern w:val="24"/>
                <w:sz w:val="24"/>
                <w14:textFill>
                  <w14:solidFill>
                    <w14:schemeClr w14:val="tx1">
                      <w14:lumMod w14:val="95000"/>
                      <w14:lumOff w14:val="5000"/>
                    </w14:schemeClr>
                  </w14:solidFill>
                </w14:textFill>
              </w:rPr>
              <w:t>MSDS</w:t>
            </w:r>
            <w:r>
              <w:rPr>
                <w:color w:val="0D0D0D" w:themeColor="text1" w:themeTint="F2"/>
                <w:kern w:val="24"/>
                <w:sz w:val="24"/>
                <w14:textFill>
                  <w14:solidFill>
                    <w14:schemeClr w14:val="tx1">
                      <w14:lumMod w14:val="95000"/>
                      <w14:lumOff w14:val="5000"/>
                    </w14:schemeClr>
                  </w14:solidFill>
                </w14:textFill>
              </w:rPr>
              <w:t>，本项目生产所使用</w:t>
            </w:r>
            <w:r>
              <w:rPr>
                <w:rFonts w:hint="eastAsia"/>
                <w:color w:val="0D0D0D" w:themeColor="text1" w:themeTint="F2"/>
                <w:kern w:val="24"/>
                <w:sz w:val="24"/>
                <w14:textFill>
                  <w14:solidFill>
                    <w14:schemeClr w14:val="tx1">
                      <w14:lumMod w14:val="95000"/>
                      <w14:lumOff w14:val="5000"/>
                    </w14:schemeClr>
                  </w14:solidFill>
                </w14:textFill>
              </w:rPr>
              <w:t>的</w:t>
            </w:r>
            <w:r>
              <w:rPr>
                <w:rFonts w:hint="eastAsia"/>
                <w:color w:val="0D0D0D" w:themeColor="text1" w:themeTint="F2"/>
                <w:sz w:val="24"/>
                <w14:textFill>
                  <w14:solidFill>
                    <w14:schemeClr w14:val="tx1">
                      <w14:lumMod w14:val="95000"/>
                      <w14:lumOff w14:val="5000"/>
                    </w14:schemeClr>
                  </w14:solidFill>
                </w14:textFill>
              </w:rPr>
              <w:t>环氧富锌底漆、铁红醇酸防锈漆、丙烯酸聚氨酯面漆、水性丙烯酸防锈底漆以及水性丙烯酸防锈面漆</w:t>
            </w:r>
            <w:r>
              <w:rPr>
                <w:color w:val="0D0D0D" w:themeColor="text1" w:themeTint="F2"/>
                <w:sz w:val="24"/>
                <w14:textFill>
                  <w14:solidFill>
                    <w14:schemeClr w14:val="tx1">
                      <w14:lumMod w14:val="95000"/>
                      <w14:lumOff w14:val="5000"/>
                    </w14:schemeClr>
                  </w14:solidFill>
                </w14:textFill>
              </w:rPr>
              <w:t>挥发性有机物含量分别为</w:t>
            </w:r>
            <w:r>
              <w:rPr>
                <w:rFonts w:hint="eastAsia"/>
                <w:color w:val="0D0D0D" w:themeColor="text1" w:themeTint="F2"/>
                <w:sz w:val="24"/>
                <w14:textFill>
                  <w14:solidFill>
                    <w14:schemeClr w14:val="tx1">
                      <w14:lumMod w14:val="95000"/>
                      <w14:lumOff w14:val="5000"/>
                    </w14:schemeClr>
                  </w14:solidFill>
                </w14:textFill>
              </w:rPr>
              <w:t>413</w:t>
            </w:r>
            <w:r>
              <w:rPr>
                <w:color w:val="0D0D0D" w:themeColor="text1" w:themeTint="F2"/>
                <w:sz w:val="24"/>
                <w14:textFill>
                  <w14:solidFill>
                    <w14:schemeClr w14:val="tx1">
                      <w14:lumMod w14:val="95000"/>
                      <w14:lumOff w14:val="5000"/>
                    </w14:schemeClr>
                  </w14:solidFill>
                </w14:textFill>
              </w:rPr>
              <w:t>g/L</w:t>
            </w:r>
            <w:r>
              <w:rPr>
                <w:rFonts w:hint="eastAsia"/>
                <w:color w:val="0D0D0D" w:themeColor="text1" w:themeTint="F2"/>
                <w:sz w:val="24"/>
                <w14:textFill>
                  <w14:solidFill>
                    <w14:schemeClr w14:val="tx1">
                      <w14:lumMod w14:val="95000"/>
                      <w14:lumOff w14:val="5000"/>
                    </w14:schemeClr>
                  </w14:solidFill>
                </w14:textFill>
              </w:rPr>
              <w:t>、418</w:t>
            </w:r>
            <w:r>
              <w:rPr>
                <w:color w:val="0D0D0D" w:themeColor="text1" w:themeTint="F2"/>
                <w:sz w:val="24"/>
                <w14:textFill>
                  <w14:solidFill>
                    <w14:schemeClr w14:val="tx1">
                      <w14:lumMod w14:val="95000"/>
                      <w14:lumOff w14:val="5000"/>
                    </w14:schemeClr>
                  </w14:solidFill>
                </w14:textFill>
              </w:rPr>
              <w:t>g/L</w:t>
            </w:r>
            <w:r>
              <w:rPr>
                <w:rFonts w:hint="eastAsia"/>
                <w:color w:val="0D0D0D" w:themeColor="text1" w:themeTint="F2"/>
                <w:sz w:val="24"/>
                <w14:textFill>
                  <w14:solidFill>
                    <w14:schemeClr w14:val="tx1">
                      <w14:lumMod w14:val="95000"/>
                      <w14:lumOff w14:val="5000"/>
                    </w14:schemeClr>
                  </w14:solidFill>
                </w14:textFill>
              </w:rPr>
              <w:t>、425g/L、186g/L以及195g/L，</w:t>
            </w:r>
            <w:r>
              <w:rPr>
                <w:color w:val="0D0D0D" w:themeColor="text1" w:themeTint="F2"/>
                <w:sz w:val="24"/>
                <w14:textFill>
                  <w14:solidFill>
                    <w14:schemeClr w14:val="tx1">
                      <w14:lumMod w14:val="95000"/>
                      <w14:lumOff w14:val="5000"/>
                    </w14:schemeClr>
                  </w14:solidFill>
                </w14:textFill>
              </w:rPr>
              <w:t>符合《低挥发性有机化合物含量涂料产品技术要求》（GB/T 38597-2020）。</w:t>
            </w:r>
          </w:p>
        </w:tc>
      </w:tr>
    </w:tbl>
    <w:p>
      <w:pPr>
        <w:spacing w:line="360" w:lineRule="auto"/>
        <w:outlineLvl w:val="0"/>
        <w:rPr>
          <w:color w:val="000000"/>
          <w:sz w:val="30"/>
        </w:rPr>
        <w:sectPr>
          <w:footerReference r:id="rId3" w:type="default"/>
          <w:pgSz w:w="11906" w:h="16838"/>
          <w:pgMar w:top="1701" w:right="1531" w:bottom="1124" w:left="1531" w:header="851" w:footer="1077" w:gutter="0"/>
          <w:pgBorders>
            <w:top w:val="none" w:sz="0" w:space="0"/>
            <w:left w:val="none" w:sz="0" w:space="0"/>
            <w:bottom w:val="none" w:sz="0" w:space="0"/>
            <w:right w:val="none" w:sz="0" w:space="0"/>
          </w:pgBorders>
          <w:pgNumType w:start="1"/>
          <w:cols w:space="720" w:num="1"/>
          <w:docGrid w:linePitch="312" w:charSpace="0"/>
        </w:sectPr>
      </w:pPr>
    </w:p>
    <w:p>
      <w:pPr>
        <w:pStyle w:val="53"/>
        <w:jc w:val="center"/>
        <w:outlineLvl w:val="0"/>
        <w:rPr>
          <w:rFonts w:ascii="Times New Roman" w:hAnsi="Times New Roman"/>
          <w:b/>
          <w:snapToGrid w:val="0"/>
          <w:color w:val="000000"/>
          <w:sz w:val="30"/>
          <w:szCs w:val="30"/>
        </w:rPr>
      </w:pPr>
      <w:r>
        <w:rPr>
          <w:rFonts w:hint="eastAsia" w:ascii="Times New Roman" w:hAnsi="Times New Roman"/>
          <w:b/>
          <w:snapToGrid w:val="0"/>
          <w:color w:val="000000"/>
          <w:sz w:val="30"/>
          <w:szCs w:val="30"/>
        </w:rPr>
        <w:t>二、建设项目工程分析</w:t>
      </w:r>
    </w:p>
    <w:tbl>
      <w:tblPr>
        <w:tblStyle w:val="58"/>
        <w:tblpPr w:leftFromText="180" w:rightFromText="180" w:vertAnchor="text" w:tblpXSpec="center" w:tblpY="1"/>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86"/>
        <w:gridCol w:w="86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65" w:hRule="atLeast"/>
        </w:trPr>
        <w:tc>
          <w:tcPr>
            <w:tcW w:w="823"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建设内容</w:t>
            </w:r>
          </w:p>
        </w:tc>
        <w:tc>
          <w:tcPr>
            <w:tcW w:w="8235" w:type="dxa"/>
          </w:tcPr>
          <w:p>
            <w:pPr>
              <w:spacing w:line="360" w:lineRule="auto"/>
              <w:ind w:firstLine="555"/>
              <w:rPr>
                <w:b/>
                <w:sz w:val="24"/>
              </w:rPr>
            </w:pPr>
            <w:bookmarkStart w:id="13" w:name="_GoBack"/>
            <w:bookmarkEnd w:id="13"/>
            <w:r>
              <w:rPr>
                <w:b/>
                <w:sz w:val="24"/>
              </w:rPr>
              <w:t>1</w:t>
            </w:r>
            <w:r>
              <w:rPr>
                <w:rFonts w:hint="eastAsia"/>
                <w:b/>
                <w:sz w:val="24"/>
              </w:rPr>
              <w:t>、企业概况及项目背景</w:t>
            </w:r>
          </w:p>
          <w:p>
            <w:pPr>
              <w:spacing w:line="360" w:lineRule="auto"/>
              <w:ind w:firstLine="480" w:firstLineChars="200"/>
              <w:rPr>
                <w:rFonts w:cs="宋体"/>
                <w:bCs/>
                <w:kern w:val="0"/>
                <w:sz w:val="24"/>
              </w:rPr>
            </w:pPr>
            <w:r>
              <w:rPr>
                <w:rFonts w:hint="eastAsia" w:cs="宋体"/>
                <w:bCs/>
                <w:kern w:val="0"/>
                <w:sz w:val="24"/>
              </w:rPr>
              <w:t>芜湖恒驰钢构有限公司成立于2016年8月，公司拥有注册资金3200万元，拥有员工80多人及一批专业技术人员和高级的管理人才，实行科学的管理机制。主要产品有：钢结构件相关配套装配式建材以及工程服务。产品主要销售以安徽省为主辐射的周边地区、东南亚、非洲、南美、澳大利亚、新西兰等海外国家。该公司于2017年3月8日取得鸠江区经济和发展改革委员会工业项目备案表，备案号：鸠经济告[2017]17号。2017年4月，安庆市环信环保技术有限公司受芜湖恒驰钢构有限公司委托，承担《钢结构及装配式绿色建筑材料项目环境影响报告书》的编制工作。2017年6月安庆市环信环保技术有限公司完成编制工作并呈交芜湖市生态环境局（原芜湖市环境保护局）审批。并于2017年10月9日取得芜湖市生态环境局（原芜湖市环境保护局）《关于芜湖恒驰钢构有限公司钢结构及装配式绿色建筑材料项目环境影响报告书的批复》（环行审[2017]44号文）。企业于2020年7月9日开展自主验收，取得“芜湖恒驰钢构有限公司钢结构及装配式绿色建筑材料项目竣工环境保护验收”专家评审意见。</w:t>
            </w:r>
          </w:p>
          <w:p>
            <w:pPr>
              <w:spacing w:line="360" w:lineRule="auto"/>
              <w:ind w:firstLine="480" w:firstLineChars="200"/>
              <w:rPr>
                <w:rFonts w:hAnsi="宋体"/>
                <w:color w:val="0D0D0D"/>
                <w:kern w:val="24"/>
                <w:sz w:val="24"/>
                <w:szCs w:val="20"/>
              </w:rPr>
            </w:pPr>
            <w:r>
              <w:rPr>
                <w:rFonts w:hint="eastAsia" w:cs="宋体"/>
                <w:bCs/>
                <w:kern w:val="0"/>
                <w:sz w:val="24"/>
              </w:rPr>
              <w:t>芜湖恒驰钢构有限公司于2018年6月开工，2020年3月完成一期工程的建设并投入试生产。可实现年产钢结构产品及装配式绿色建筑材料32500吨以上。为了顺应市场的需求，考虑实际情况，将原有5000t焊接、型材构件由不喷漆改为喷漆、</w:t>
            </w:r>
            <w:r>
              <w:rPr>
                <w:rFonts w:hint="eastAsia" w:cs="宋体"/>
                <w:bCs/>
                <w:kern w:val="0"/>
                <w:sz w:val="24"/>
                <w:lang w:val="en-US" w:eastAsia="zh-CN"/>
              </w:rPr>
              <w:t>喷砂</w:t>
            </w:r>
            <w:r>
              <w:rPr>
                <w:rFonts w:hint="eastAsia" w:cs="宋体"/>
                <w:bCs/>
                <w:kern w:val="0"/>
                <w:sz w:val="24"/>
              </w:rPr>
              <w:t>除锈，因业主要求将原有的冷弯薄壁构件8000t中的25%、原有的冷弯复合墙板和屋面板7000t中的10%由不喷漆改为喷漆，现有的抛丸生产线以及喷漆生产线已无法满足产品的供需处理，故新增一条喷砂生产线以及一条喷漆生产线，芜湖恒驰钢构有限公司计划建设钢结构及装配式绿色建筑材料改扩建项目，芜湖市鸠江区经济和信息化局于</w:t>
            </w:r>
            <w:r>
              <w:rPr>
                <w:color w:val="0D0D0D" w:themeColor="text1" w:themeTint="F2"/>
                <w:sz w:val="24"/>
                <w14:textFill>
                  <w14:solidFill>
                    <w14:schemeClr w14:val="tx1">
                      <w14:lumMod w14:val="95000"/>
                      <w14:lumOff w14:val="5000"/>
                    </w14:schemeClr>
                  </w14:solidFill>
                </w14:textFill>
              </w:rPr>
              <w:t>20</w:t>
            </w:r>
            <w:r>
              <w:rPr>
                <w:rFonts w:hint="eastAsia"/>
                <w:color w:val="0D0D0D" w:themeColor="text1" w:themeTint="F2"/>
                <w:sz w:val="24"/>
                <w14:textFill>
                  <w14:solidFill>
                    <w14:schemeClr w14:val="tx1">
                      <w14:lumMod w14:val="95000"/>
                      <w14:lumOff w14:val="5000"/>
                    </w14:schemeClr>
                  </w14:solidFill>
                </w14:textFill>
              </w:rPr>
              <w:t>21</w:t>
            </w:r>
            <w:r>
              <w:rPr>
                <w:color w:val="0D0D0D" w:themeColor="text1" w:themeTint="F2"/>
                <w:sz w:val="24"/>
                <w14:textFill>
                  <w14:solidFill>
                    <w14:schemeClr w14:val="tx1">
                      <w14:lumMod w14:val="95000"/>
                      <w14:lumOff w14:val="5000"/>
                    </w14:schemeClr>
                  </w14:solidFill>
                </w14:textFill>
              </w:rPr>
              <w:t>年</w:t>
            </w:r>
            <w:r>
              <w:rPr>
                <w:rFonts w:hint="eastAsia"/>
                <w:color w:val="0D0D0D" w:themeColor="text1" w:themeTint="F2"/>
                <w:sz w:val="24"/>
                <w14:textFill>
                  <w14:solidFill>
                    <w14:schemeClr w14:val="tx1">
                      <w14:lumMod w14:val="95000"/>
                      <w14:lumOff w14:val="5000"/>
                    </w14:schemeClr>
                  </w14:solidFill>
                </w14:textFill>
              </w:rPr>
              <w:t>11</w:t>
            </w:r>
            <w:r>
              <w:rPr>
                <w:color w:val="0D0D0D" w:themeColor="text1" w:themeTint="F2"/>
                <w:sz w:val="24"/>
                <w14:textFill>
                  <w14:solidFill>
                    <w14:schemeClr w14:val="tx1">
                      <w14:lumMod w14:val="95000"/>
                      <w14:lumOff w14:val="5000"/>
                    </w14:schemeClr>
                  </w14:solidFill>
                </w14:textFill>
              </w:rPr>
              <w:t>月</w:t>
            </w:r>
            <w:r>
              <w:rPr>
                <w:rFonts w:hint="eastAsia"/>
                <w:color w:val="0D0D0D" w:themeColor="text1" w:themeTint="F2"/>
                <w:sz w:val="24"/>
                <w14:textFill>
                  <w14:solidFill>
                    <w14:schemeClr w14:val="tx1">
                      <w14:lumMod w14:val="95000"/>
                      <w14:lumOff w14:val="5000"/>
                    </w14:schemeClr>
                  </w14:solidFill>
                </w14:textFill>
              </w:rPr>
              <w:t>29</w:t>
            </w:r>
            <w:r>
              <w:rPr>
                <w:color w:val="0D0D0D" w:themeColor="text1" w:themeTint="F2"/>
                <w:sz w:val="24"/>
                <w14:textFill>
                  <w14:solidFill>
                    <w14:schemeClr w14:val="tx1">
                      <w14:lumMod w14:val="95000"/>
                      <w14:lumOff w14:val="5000"/>
                    </w14:schemeClr>
                  </w14:solidFill>
                </w14:textFill>
              </w:rPr>
              <w:t>日对项目进行备案（</w:t>
            </w:r>
            <w:r>
              <w:rPr>
                <w:rFonts w:hint="eastAsia"/>
                <w:sz w:val="24"/>
              </w:rPr>
              <w:t>鸠经信【2021】77号</w:t>
            </w:r>
            <w:r>
              <w:rPr>
                <w:color w:val="0D0D0D"/>
                <w:sz w:val="24"/>
              </w:rPr>
              <w:t>）</w:t>
            </w:r>
            <w:r>
              <w:rPr>
                <w:rFonts w:hint="eastAsia" w:hAnsi="宋体"/>
                <w:color w:val="0D0D0D"/>
                <w:kern w:val="24"/>
                <w:sz w:val="24"/>
                <w:szCs w:val="20"/>
              </w:rPr>
              <w:t>。</w:t>
            </w:r>
          </w:p>
          <w:p>
            <w:pPr>
              <w:spacing w:line="360" w:lineRule="auto"/>
              <w:ind w:firstLine="480" w:firstLineChars="200"/>
              <w:rPr>
                <w:color w:val="000000"/>
                <w:sz w:val="24"/>
              </w:rPr>
            </w:pPr>
            <w:r>
              <w:rPr>
                <w:rFonts w:hint="eastAsia" w:hAnsi="宋体"/>
                <w:kern w:val="24"/>
                <w:sz w:val="24"/>
              </w:rPr>
              <w:t>本次环评仅对项目施工期和营运期的地表水、大气、声以及固废等环境影响做分析。</w:t>
            </w:r>
            <w:r>
              <w:rPr>
                <w:rFonts w:hint="eastAsia"/>
                <w:color w:val="000000"/>
                <w:sz w:val="24"/>
              </w:rPr>
              <w:t>根据《中华人民共和国环境保护法》和《中华人民共和国环境影响评价法》及相关法律法规的规定，本项目应进行环境影响评价。对照</w:t>
            </w:r>
            <w:r>
              <w:rPr>
                <w:color w:val="000000"/>
                <w:sz w:val="24"/>
              </w:rPr>
              <w:t>《建设项目环境影响评价分类管理名录》（生态环境部令第1号）</w:t>
            </w:r>
            <w:r>
              <w:rPr>
                <w:rFonts w:hint="eastAsia"/>
                <w:color w:val="000000"/>
                <w:sz w:val="24"/>
              </w:rPr>
              <w:t>，</w:t>
            </w:r>
            <w:r>
              <w:rPr>
                <w:color w:val="000000"/>
                <w:sz w:val="24"/>
              </w:rPr>
              <w:t>本项目属于</w:t>
            </w:r>
            <w:r>
              <w:rPr>
                <w:rFonts w:hint="eastAsia"/>
                <w:color w:val="000000"/>
                <w:sz w:val="24"/>
              </w:rPr>
              <w:t>“三十</w:t>
            </w:r>
            <w:r>
              <w:rPr>
                <w:rFonts w:hint="eastAsia"/>
                <w:sz w:val="24"/>
              </w:rPr>
              <w:t>、金属制品业33</w:t>
            </w:r>
            <w:r>
              <w:rPr>
                <w:rFonts w:hint="eastAsia"/>
                <w:color w:val="000000"/>
                <w:sz w:val="24"/>
              </w:rPr>
              <w:t>”—“</w:t>
            </w:r>
            <w:r>
              <w:rPr>
                <w:rFonts w:hint="eastAsia"/>
                <w:sz w:val="24"/>
              </w:rPr>
              <w:t>结构性金属制品制造331</w:t>
            </w:r>
            <w:r>
              <w:rPr>
                <w:rFonts w:hint="eastAsia"/>
                <w:color w:val="000000"/>
                <w:sz w:val="24"/>
              </w:rPr>
              <w:t>”中的“</w:t>
            </w:r>
            <w:r>
              <w:rPr>
                <w:rFonts w:hint="eastAsia"/>
                <w:sz w:val="24"/>
              </w:rPr>
              <w:t>其他（年用非溶剂型低VOCs含量涂料10吨以下的除外）</w:t>
            </w:r>
            <w:r>
              <w:rPr>
                <w:rFonts w:hint="eastAsia"/>
                <w:color w:val="000000"/>
                <w:sz w:val="24"/>
              </w:rPr>
              <w:t>”，则应编制报告表。</w:t>
            </w:r>
            <w:r>
              <w:rPr>
                <w:rFonts w:hint="eastAsia" w:cs="宋体"/>
                <w:bCs/>
                <w:kern w:val="0"/>
                <w:sz w:val="24"/>
              </w:rPr>
              <w:t>芜湖恒驰钢构有限公司</w:t>
            </w:r>
            <w:r>
              <w:rPr>
                <w:rFonts w:hint="eastAsia"/>
                <w:color w:val="000000"/>
                <w:sz w:val="24"/>
              </w:rPr>
              <w:t>于</w:t>
            </w:r>
            <w:r>
              <w:rPr>
                <w:color w:val="0D0D0D"/>
                <w:sz w:val="24"/>
              </w:rPr>
              <w:t>20</w:t>
            </w:r>
            <w:r>
              <w:rPr>
                <w:rFonts w:hint="eastAsia"/>
                <w:color w:val="0D0D0D"/>
                <w:sz w:val="24"/>
              </w:rPr>
              <w:t>21</w:t>
            </w:r>
            <w:r>
              <w:rPr>
                <w:color w:val="0D0D0D"/>
                <w:sz w:val="24"/>
              </w:rPr>
              <w:t>年</w:t>
            </w:r>
            <w:r>
              <w:rPr>
                <w:rFonts w:hint="eastAsia"/>
                <w:color w:val="0D0D0D"/>
                <w:sz w:val="24"/>
              </w:rPr>
              <w:t>12</w:t>
            </w:r>
            <w:r>
              <w:rPr>
                <w:color w:val="0D0D0D"/>
                <w:sz w:val="24"/>
              </w:rPr>
              <w:t>月</w:t>
            </w:r>
            <w:r>
              <w:rPr>
                <w:rFonts w:hint="eastAsia"/>
                <w:color w:val="0D0D0D"/>
                <w:sz w:val="24"/>
              </w:rPr>
              <w:t>1</w:t>
            </w:r>
            <w:r>
              <w:rPr>
                <w:color w:val="0D0D0D"/>
                <w:sz w:val="24"/>
              </w:rPr>
              <w:t>日</w:t>
            </w:r>
            <w:r>
              <w:rPr>
                <w:rFonts w:hint="eastAsia"/>
                <w:color w:val="000000"/>
                <w:sz w:val="24"/>
              </w:rPr>
              <w:t>委托</w:t>
            </w:r>
            <w:r>
              <w:rPr>
                <w:rFonts w:hint="eastAsia" w:eastAsia="新宋体"/>
                <w:color w:val="000000"/>
                <w:sz w:val="24"/>
                <w:szCs w:val="21"/>
              </w:rPr>
              <w:t>我公司</w:t>
            </w:r>
            <w:r>
              <w:rPr>
                <w:rFonts w:hint="eastAsia"/>
                <w:color w:val="000000"/>
                <w:sz w:val="24"/>
              </w:rPr>
              <w:t>承担其环境影响评价工作。接受委托后，我公司立即组织有关技术人员进行现场踏勘、收集资料，依据国家有关法规文件和环境影响评价导则，编制了该项目环境影响报告表。</w:t>
            </w:r>
          </w:p>
          <w:p>
            <w:pPr>
              <w:spacing w:line="360" w:lineRule="auto"/>
              <w:ind w:firstLine="480" w:firstLineChars="200"/>
              <w:rPr>
                <w:color w:val="0D0D0D" w:themeColor="text1" w:themeTint="F2"/>
                <w:kern w:val="0"/>
                <w:sz w:val="24"/>
                <w14:textFill>
                  <w14:solidFill>
                    <w14:schemeClr w14:val="tx1">
                      <w14:lumMod w14:val="95000"/>
                      <w14:lumOff w14:val="5000"/>
                    </w14:schemeClr>
                  </w14:solidFill>
                </w14:textFill>
              </w:rPr>
            </w:pPr>
            <w:r>
              <w:rPr>
                <w:rFonts w:hint="eastAsia"/>
                <w:color w:val="000000"/>
                <w:sz w:val="24"/>
              </w:rPr>
              <w:t>本项目属于</w:t>
            </w:r>
            <w:r>
              <w:rPr>
                <w:rFonts w:hint="eastAsia"/>
                <w:kern w:val="0"/>
                <w:sz w:val="24"/>
              </w:rPr>
              <w:t>C3311金属结构</w:t>
            </w:r>
            <w:r>
              <w:rPr>
                <w:kern w:val="0"/>
                <w:sz w:val="24"/>
              </w:rPr>
              <w:t>制造</w:t>
            </w:r>
            <w:r>
              <w:rPr>
                <w:rFonts w:hint="eastAsia"/>
                <w:kern w:val="0"/>
                <w:sz w:val="24"/>
              </w:rPr>
              <w:t>，</w:t>
            </w:r>
            <w:r>
              <w:rPr>
                <w:kern w:val="0"/>
                <w:sz w:val="24"/>
              </w:rPr>
              <w:t>对照</w:t>
            </w:r>
            <w:r>
              <w:rPr>
                <w:rFonts w:hint="eastAsia"/>
                <w:kern w:val="0"/>
                <w:sz w:val="24"/>
              </w:rPr>
              <w:t>《固定污染源排污许可分类管理名录》（2019年版），本项目属于《名录》第二十八项“金属制品业33”，第80号—结构性金属制品制造</w:t>
            </w:r>
            <w:r>
              <w:rPr>
                <w:rFonts w:hint="eastAsia"/>
                <w:color w:val="0D0D0D" w:themeColor="text1" w:themeTint="F2"/>
                <w:kern w:val="0"/>
                <w:sz w:val="24"/>
                <w14:textFill>
                  <w14:solidFill>
                    <w14:schemeClr w14:val="tx1">
                      <w14:lumMod w14:val="95000"/>
                      <w14:lumOff w14:val="5000"/>
                    </w14:schemeClr>
                  </w14:solidFill>
                </w14:textFill>
              </w:rPr>
              <w:t>331，原有项目涉及通用工序的“表面处理”中的“年使用10吨及以上有机溶剂”，属于排污许可证中“简化管理”，现有项目需进行“简化管理”变更。根据《安徽省生态环境厅关于统筹做好固定污染源排污许可日常监管工作的通知》（皖环发[2021]7 号）要求，属于现行《固定污染源排污许可分类管理名录》内重点管理和简化管理的行业，建设单位在组织编制建设项目环境影响报告书（表）时，可结合相应行业排污许可证申请与核发技术规范，在环评文件中一并明确“建设项目环境影响评价与排污许可联动内容。因此本报告表在附件中填写了建设项目环境影响评价与排污许可联动相关内容。企业应根据现行《固定污染源排污许可分类管理名录》要求，在实施排污前完成建设项目排污许可证的申请。</w:t>
            </w:r>
          </w:p>
          <w:p>
            <w:pPr>
              <w:spacing w:before="120" w:beforeLines="50" w:line="360" w:lineRule="auto"/>
              <w:ind w:firstLine="482" w:firstLineChars="200"/>
              <w:rPr>
                <w:b/>
                <w:color w:val="000000"/>
                <w:kern w:val="0"/>
                <w:sz w:val="24"/>
              </w:rPr>
            </w:pPr>
            <w:r>
              <w:rPr>
                <w:rFonts w:hint="eastAsia"/>
                <w:b/>
                <w:color w:val="000000"/>
                <w:kern w:val="0"/>
                <w:sz w:val="24"/>
              </w:rPr>
              <w:t>2、产品方案</w:t>
            </w:r>
          </w:p>
          <w:p>
            <w:pPr>
              <w:adjustRightInd w:val="0"/>
              <w:snapToGrid w:val="0"/>
              <w:spacing w:line="360" w:lineRule="auto"/>
              <w:ind w:firstLine="480" w:firstLineChars="200"/>
              <w:rPr>
                <w:color w:val="000000"/>
                <w:sz w:val="24"/>
              </w:rPr>
            </w:pPr>
            <w:r>
              <w:rPr>
                <w:color w:val="000000"/>
                <w:kern w:val="0"/>
                <w:sz w:val="24"/>
              </w:rPr>
              <w:t>项目产品方案见下表</w:t>
            </w:r>
            <w:r>
              <w:rPr>
                <w:rFonts w:hint="eastAsia"/>
                <w:color w:val="000000"/>
                <w:kern w:val="0"/>
                <w:sz w:val="24"/>
              </w:rPr>
              <w:t>2-1</w:t>
            </w:r>
            <w:r>
              <w:rPr>
                <w:color w:val="000000"/>
                <w:kern w:val="0"/>
                <w:sz w:val="24"/>
              </w:rPr>
              <w:t>。</w:t>
            </w:r>
          </w:p>
          <w:p>
            <w:pPr>
              <w:widowControl/>
              <w:ind w:firstLine="482" w:firstLineChars="200"/>
              <w:jc w:val="center"/>
              <w:rPr>
                <w:b/>
                <w:color w:val="000000"/>
                <w:kern w:val="0"/>
                <w:sz w:val="28"/>
                <w:szCs w:val="28"/>
              </w:rPr>
            </w:pPr>
            <w:r>
              <w:rPr>
                <w:b/>
                <w:color w:val="000000"/>
                <w:kern w:val="0"/>
                <w:sz w:val="24"/>
                <w:szCs w:val="20"/>
              </w:rPr>
              <w:t>表</w:t>
            </w:r>
            <w:r>
              <w:rPr>
                <w:rFonts w:hint="eastAsia"/>
                <w:b/>
                <w:color w:val="000000"/>
                <w:kern w:val="0"/>
                <w:sz w:val="24"/>
                <w:szCs w:val="20"/>
              </w:rPr>
              <w:t>2-1</w:t>
            </w:r>
            <w:r>
              <w:rPr>
                <w:b/>
                <w:color w:val="000000"/>
                <w:kern w:val="0"/>
                <w:sz w:val="24"/>
                <w:szCs w:val="20"/>
              </w:rPr>
              <w:t xml:space="preserve"> </w:t>
            </w:r>
            <w:r>
              <w:rPr>
                <w:rFonts w:hint="eastAsia"/>
                <w:b/>
                <w:color w:val="000000"/>
                <w:kern w:val="0"/>
                <w:sz w:val="24"/>
                <w:szCs w:val="20"/>
              </w:rPr>
              <w:t xml:space="preserve"> 项目</w:t>
            </w:r>
            <w:r>
              <w:rPr>
                <w:b/>
                <w:color w:val="000000"/>
                <w:kern w:val="0"/>
                <w:sz w:val="24"/>
                <w:szCs w:val="20"/>
              </w:rPr>
              <w:t>产品方案及生产规模</w:t>
            </w:r>
            <w:r>
              <w:rPr>
                <w:rFonts w:hint="eastAsia"/>
                <w:b/>
                <w:color w:val="000000"/>
                <w:kern w:val="0"/>
                <w:sz w:val="24"/>
                <w:szCs w:val="20"/>
              </w:rPr>
              <w:t>一览</w:t>
            </w:r>
            <w:r>
              <w:rPr>
                <w:b/>
                <w:color w:val="000000"/>
                <w:kern w:val="0"/>
                <w:sz w:val="24"/>
                <w:szCs w:val="20"/>
              </w:rPr>
              <w:t>表</w:t>
            </w:r>
          </w:p>
          <w:tbl>
            <w:tblPr>
              <w:tblStyle w:val="5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26"/>
              <w:gridCol w:w="1345"/>
              <w:gridCol w:w="1447"/>
              <w:gridCol w:w="606"/>
              <w:gridCol w:w="1043"/>
              <w:gridCol w:w="902"/>
              <w:gridCol w:w="25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311" w:type="pct"/>
                  <w:vAlign w:val="center"/>
                </w:tcPr>
                <w:p>
                  <w:pPr>
                    <w:widowControl/>
                    <w:spacing w:line="240" w:lineRule="exact"/>
                    <w:ind w:left="-105" w:leftChars="-50" w:right="-105" w:rightChars="-50"/>
                    <w:jc w:val="center"/>
                    <w:rPr>
                      <w:b/>
                      <w:color w:val="0D0D0D"/>
                      <w:kern w:val="0"/>
                      <w:szCs w:val="21"/>
                    </w:rPr>
                  </w:pPr>
                  <w:r>
                    <w:rPr>
                      <w:rFonts w:hint="eastAsia"/>
                      <w:b/>
                      <w:color w:val="0D0D0D"/>
                      <w:kern w:val="0"/>
                      <w:szCs w:val="21"/>
                    </w:rPr>
                    <w:t>序号</w:t>
                  </w:r>
                </w:p>
              </w:tc>
              <w:tc>
                <w:tcPr>
                  <w:tcW w:w="795" w:type="pct"/>
                  <w:vAlign w:val="center"/>
                </w:tcPr>
                <w:p>
                  <w:pPr>
                    <w:widowControl/>
                    <w:spacing w:line="240" w:lineRule="exact"/>
                    <w:ind w:left="-105" w:leftChars="-50" w:right="-105" w:rightChars="-50"/>
                    <w:jc w:val="center"/>
                    <w:rPr>
                      <w:b/>
                      <w:color w:val="0D0D0D"/>
                      <w:kern w:val="0"/>
                      <w:szCs w:val="21"/>
                    </w:rPr>
                  </w:pPr>
                  <w:r>
                    <w:rPr>
                      <w:b/>
                      <w:color w:val="0D0D0D"/>
                      <w:kern w:val="0"/>
                      <w:szCs w:val="21"/>
                    </w:rPr>
                    <w:t>产品名称</w:t>
                  </w:r>
                </w:p>
              </w:tc>
              <w:tc>
                <w:tcPr>
                  <w:tcW w:w="855" w:type="pct"/>
                  <w:vAlign w:val="center"/>
                </w:tcPr>
                <w:p>
                  <w:pPr>
                    <w:widowControl/>
                    <w:spacing w:line="240" w:lineRule="exact"/>
                    <w:ind w:left="-105" w:leftChars="-50" w:right="-105" w:rightChars="-50"/>
                    <w:jc w:val="center"/>
                    <w:rPr>
                      <w:b/>
                      <w:color w:val="0D0D0D"/>
                      <w:kern w:val="0"/>
                      <w:szCs w:val="21"/>
                    </w:rPr>
                  </w:pPr>
                  <w:r>
                    <w:rPr>
                      <w:rFonts w:hint="eastAsia"/>
                      <w:b/>
                      <w:color w:val="0D0D0D"/>
                      <w:kern w:val="0"/>
                      <w:szCs w:val="21"/>
                    </w:rPr>
                    <w:t>类型</w:t>
                  </w:r>
                </w:p>
              </w:tc>
              <w:tc>
                <w:tcPr>
                  <w:tcW w:w="358" w:type="pct"/>
                  <w:vAlign w:val="center"/>
                </w:tcPr>
                <w:p>
                  <w:pPr>
                    <w:widowControl/>
                    <w:spacing w:line="240" w:lineRule="exact"/>
                    <w:ind w:left="-105" w:leftChars="-50" w:right="-105" w:rightChars="-50"/>
                    <w:jc w:val="center"/>
                    <w:rPr>
                      <w:b/>
                      <w:color w:val="0D0D0D"/>
                      <w:kern w:val="0"/>
                      <w:szCs w:val="21"/>
                    </w:rPr>
                  </w:pPr>
                  <w:r>
                    <w:rPr>
                      <w:b/>
                      <w:color w:val="0D0D0D"/>
                      <w:kern w:val="0"/>
                      <w:szCs w:val="21"/>
                    </w:rPr>
                    <w:t>单位</w:t>
                  </w:r>
                </w:p>
              </w:tc>
              <w:tc>
                <w:tcPr>
                  <w:tcW w:w="616" w:type="pct"/>
                  <w:vAlign w:val="center"/>
                </w:tcPr>
                <w:p>
                  <w:pPr>
                    <w:widowControl/>
                    <w:spacing w:line="240" w:lineRule="exact"/>
                    <w:ind w:left="-105" w:leftChars="-50" w:right="-105" w:rightChars="-50"/>
                    <w:jc w:val="center"/>
                    <w:rPr>
                      <w:b/>
                      <w:color w:val="0D0D0D"/>
                      <w:kern w:val="0"/>
                      <w:szCs w:val="21"/>
                    </w:rPr>
                  </w:pPr>
                  <w:r>
                    <w:rPr>
                      <w:rFonts w:hint="eastAsia"/>
                      <w:b/>
                      <w:color w:val="0D0D0D"/>
                      <w:kern w:val="0"/>
                      <w:szCs w:val="21"/>
                    </w:rPr>
                    <w:t>现有</w:t>
                  </w:r>
                  <w:r>
                    <w:rPr>
                      <w:b/>
                      <w:color w:val="0D0D0D"/>
                      <w:kern w:val="0"/>
                      <w:szCs w:val="21"/>
                    </w:rPr>
                    <w:t>生产规模</w:t>
                  </w:r>
                </w:p>
              </w:tc>
              <w:tc>
                <w:tcPr>
                  <w:tcW w:w="533" w:type="pct"/>
                  <w:vAlign w:val="center"/>
                </w:tcPr>
                <w:p>
                  <w:pPr>
                    <w:widowControl/>
                    <w:spacing w:line="240" w:lineRule="exact"/>
                    <w:ind w:left="-105" w:leftChars="-50" w:right="-105" w:rightChars="-50"/>
                    <w:jc w:val="center"/>
                    <w:rPr>
                      <w:b/>
                      <w:color w:val="0D0D0D"/>
                      <w:kern w:val="0"/>
                      <w:szCs w:val="21"/>
                    </w:rPr>
                  </w:pPr>
                  <w:r>
                    <w:rPr>
                      <w:rFonts w:hint="eastAsia"/>
                      <w:b/>
                      <w:color w:val="0D0D0D"/>
                      <w:kern w:val="0"/>
                      <w:szCs w:val="21"/>
                    </w:rPr>
                    <w:t>改扩建</w:t>
                  </w:r>
                  <w:r>
                    <w:rPr>
                      <w:rFonts w:hint="eastAsia"/>
                      <w:b/>
                      <w:color w:val="0D0D0D"/>
                      <w:kern w:val="0"/>
                      <w:szCs w:val="21"/>
                      <w:lang w:val="en-US" w:eastAsia="zh-CN"/>
                    </w:rPr>
                    <w:t>后</w:t>
                  </w:r>
                  <w:r>
                    <w:rPr>
                      <w:rFonts w:hint="eastAsia"/>
                      <w:b/>
                      <w:color w:val="0D0D0D"/>
                      <w:kern w:val="0"/>
                      <w:szCs w:val="21"/>
                    </w:rPr>
                    <w:t>生产规模</w:t>
                  </w:r>
                </w:p>
              </w:tc>
              <w:tc>
                <w:tcPr>
                  <w:tcW w:w="1528" w:type="pct"/>
                  <w:vAlign w:val="center"/>
                </w:tcPr>
                <w:p>
                  <w:pPr>
                    <w:widowControl/>
                    <w:spacing w:line="240" w:lineRule="exact"/>
                    <w:ind w:left="-105" w:leftChars="-50" w:right="-105" w:rightChars="-50"/>
                    <w:jc w:val="center"/>
                    <w:rPr>
                      <w:b/>
                      <w:color w:val="0D0D0D"/>
                      <w:kern w:val="0"/>
                      <w:szCs w:val="21"/>
                    </w:rPr>
                  </w:pPr>
                  <w:r>
                    <w:rPr>
                      <w:rFonts w:hint="eastAsia"/>
                      <w:b/>
                      <w:color w:val="0D0D0D"/>
                      <w:kern w:val="0"/>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11" w:type="pct"/>
                  <w:vAlign w:val="center"/>
                </w:tcPr>
                <w:p>
                  <w:pPr>
                    <w:jc w:val="center"/>
                    <w:rPr>
                      <w:rFonts w:hAnsi="宋体"/>
                      <w:color w:val="0D0D0D"/>
                      <w:kern w:val="24"/>
                      <w:szCs w:val="21"/>
                    </w:rPr>
                  </w:pPr>
                  <w:r>
                    <w:rPr>
                      <w:rFonts w:hint="eastAsia" w:hAnsi="宋体"/>
                      <w:color w:val="0D0D0D"/>
                      <w:kern w:val="24"/>
                      <w:szCs w:val="21"/>
                    </w:rPr>
                    <w:t>1</w:t>
                  </w:r>
                </w:p>
              </w:tc>
              <w:tc>
                <w:tcPr>
                  <w:tcW w:w="795" w:type="pct"/>
                  <w:vAlign w:val="center"/>
                </w:tcPr>
                <w:p>
                  <w:pPr>
                    <w:jc w:val="center"/>
                    <w:rPr>
                      <w:rFonts w:hAnsi="宋体"/>
                      <w:color w:val="0D0D0D"/>
                      <w:kern w:val="24"/>
                      <w:szCs w:val="21"/>
                    </w:rPr>
                  </w:pPr>
                  <w:r>
                    <w:rPr>
                      <w:rFonts w:hint="eastAsia" w:hAnsi="宋体"/>
                      <w:color w:val="0D0D0D"/>
                      <w:kern w:val="24"/>
                      <w:szCs w:val="21"/>
                    </w:rPr>
                    <w:t>焊接、型材构件</w:t>
                  </w:r>
                </w:p>
              </w:tc>
              <w:tc>
                <w:tcPr>
                  <w:tcW w:w="855" w:type="pct"/>
                  <w:vAlign w:val="center"/>
                </w:tcPr>
                <w:p>
                  <w:pPr>
                    <w:jc w:val="center"/>
                    <w:rPr>
                      <w:rFonts w:hAnsi="宋体"/>
                      <w:color w:val="0D0D0D"/>
                      <w:kern w:val="24"/>
                      <w:szCs w:val="21"/>
                    </w:rPr>
                  </w:pPr>
                  <w:r>
                    <w:rPr>
                      <w:rFonts w:hint="eastAsia" w:hAnsi="宋体"/>
                      <w:color w:val="0D0D0D"/>
                      <w:kern w:val="24"/>
                      <w:szCs w:val="21"/>
                    </w:rPr>
                    <w:t>钢结构加工、喷漆、拼装生产</w:t>
                  </w:r>
                </w:p>
              </w:tc>
              <w:tc>
                <w:tcPr>
                  <w:tcW w:w="358" w:type="pct"/>
                  <w:vAlign w:val="center"/>
                </w:tcPr>
                <w:p>
                  <w:pPr>
                    <w:jc w:val="center"/>
                    <w:rPr>
                      <w:rFonts w:hAnsi="宋体"/>
                      <w:color w:val="0D0D0D"/>
                      <w:kern w:val="24"/>
                      <w:szCs w:val="21"/>
                    </w:rPr>
                  </w:pPr>
                  <w:r>
                    <w:rPr>
                      <w:rFonts w:hint="eastAsia" w:hAnsi="宋体"/>
                      <w:color w:val="0D0D0D"/>
                      <w:kern w:val="24"/>
                      <w:szCs w:val="21"/>
                    </w:rPr>
                    <w:t>t/a</w:t>
                  </w:r>
                </w:p>
              </w:tc>
              <w:tc>
                <w:tcPr>
                  <w:tcW w:w="616" w:type="pct"/>
                  <w:vAlign w:val="center"/>
                </w:tcPr>
                <w:p>
                  <w:pPr>
                    <w:jc w:val="center"/>
                    <w:rPr>
                      <w:rFonts w:hAnsi="宋体"/>
                      <w:color w:val="0D0D0D"/>
                      <w:kern w:val="24"/>
                      <w:szCs w:val="21"/>
                    </w:rPr>
                  </w:pPr>
                  <w:r>
                    <w:rPr>
                      <w:rFonts w:hint="eastAsia" w:hAnsi="宋体"/>
                      <w:color w:val="0D0D0D"/>
                      <w:kern w:val="24"/>
                      <w:szCs w:val="21"/>
                    </w:rPr>
                    <w:t>30000</w:t>
                  </w:r>
                </w:p>
              </w:tc>
              <w:tc>
                <w:tcPr>
                  <w:tcW w:w="533" w:type="pct"/>
                  <w:vAlign w:val="center"/>
                </w:tcPr>
                <w:p>
                  <w:pPr>
                    <w:jc w:val="center"/>
                    <w:rPr>
                      <w:rFonts w:hAnsi="宋体"/>
                      <w:color w:val="0D0D0D"/>
                      <w:kern w:val="24"/>
                      <w:szCs w:val="21"/>
                    </w:rPr>
                  </w:pPr>
                  <w:r>
                    <w:rPr>
                      <w:rFonts w:hint="eastAsia" w:hAnsi="宋体"/>
                      <w:color w:val="0D0D0D"/>
                      <w:kern w:val="24"/>
                      <w:szCs w:val="21"/>
                    </w:rPr>
                    <w:t>30000</w:t>
                  </w:r>
                </w:p>
              </w:tc>
              <w:tc>
                <w:tcPr>
                  <w:tcW w:w="1528" w:type="pct"/>
                  <w:vAlign w:val="center"/>
                </w:tcPr>
                <w:p>
                  <w:pPr>
                    <w:jc w:val="center"/>
                    <w:rPr>
                      <w:rFonts w:hAnsi="宋体"/>
                      <w:color w:val="0D0D0D"/>
                      <w:kern w:val="24"/>
                      <w:szCs w:val="21"/>
                    </w:rPr>
                  </w:pPr>
                  <w:r>
                    <w:rPr>
                      <w:rFonts w:hint="eastAsia" w:hAnsi="宋体"/>
                      <w:color w:val="0D0D0D"/>
                      <w:kern w:val="24"/>
                      <w:szCs w:val="21"/>
                    </w:rPr>
                    <w:t>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11" w:type="pct"/>
                  <w:vAlign w:val="center"/>
                </w:tcPr>
                <w:p>
                  <w:pPr>
                    <w:jc w:val="center"/>
                    <w:rPr>
                      <w:rFonts w:hAnsi="宋体"/>
                      <w:kern w:val="24"/>
                      <w:szCs w:val="21"/>
                    </w:rPr>
                  </w:pPr>
                  <w:r>
                    <w:rPr>
                      <w:rFonts w:hint="eastAsia" w:hAnsi="宋体"/>
                      <w:kern w:val="24"/>
                      <w:szCs w:val="21"/>
                    </w:rPr>
                    <w:t>2</w:t>
                  </w:r>
                </w:p>
              </w:tc>
              <w:tc>
                <w:tcPr>
                  <w:tcW w:w="795" w:type="pct"/>
                  <w:vAlign w:val="center"/>
                </w:tcPr>
                <w:p>
                  <w:pPr>
                    <w:jc w:val="center"/>
                    <w:rPr>
                      <w:rFonts w:hAnsi="宋体"/>
                      <w:kern w:val="24"/>
                      <w:szCs w:val="21"/>
                    </w:rPr>
                  </w:pPr>
                  <w:r>
                    <w:rPr>
                      <w:rFonts w:hint="eastAsia" w:hAnsi="宋体"/>
                      <w:kern w:val="24"/>
                      <w:szCs w:val="21"/>
                    </w:rPr>
                    <w:t>焊接、型材构件</w:t>
                  </w:r>
                </w:p>
              </w:tc>
              <w:tc>
                <w:tcPr>
                  <w:tcW w:w="855" w:type="pct"/>
                  <w:vAlign w:val="center"/>
                </w:tcPr>
                <w:p>
                  <w:pPr>
                    <w:jc w:val="center"/>
                    <w:rPr>
                      <w:rFonts w:hAnsi="宋体"/>
                      <w:color w:val="0D0D0D"/>
                      <w:kern w:val="24"/>
                      <w:szCs w:val="21"/>
                    </w:rPr>
                  </w:pPr>
                  <w:r>
                    <w:rPr>
                      <w:rFonts w:hint="eastAsia" w:hAnsi="宋体"/>
                      <w:color w:val="0D0D0D"/>
                      <w:kern w:val="24"/>
                      <w:szCs w:val="21"/>
                    </w:rPr>
                    <w:t>钢结构加工、拼装生产、无喷漆</w:t>
                  </w:r>
                </w:p>
              </w:tc>
              <w:tc>
                <w:tcPr>
                  <w:tcW w:w="358" w:type="pct"/>
                  <w:vAlign w:val="center"/>
                </w:tcPr>
                <w:p>
                  <w:pPr>
                    <w:jc w:val="center"/>
                    <w:rPr>
                      <w:rFonts w:hAnsi="宋体"/>
                      <w:color w:val="0D0D0D"/>
                      <w:kern w:val="24"/>
                      <w:szCs w:val="21"/>
                    </w:rPr>
                  </w:pPr>
                  <w:r>
                    <w:rPr>
                      <w:rFonts w:hint="eastAsia" w:hAnsi="宋体"/>
                      <w:color w:val="0D0D0D"/>
                      <w:kern w:val="24"/>
                      <w:szCs w:val="21"/>
                    </w:rPr>
                    <w:t>t/a</w:t>
                  </w:r>
                </w:p>
              </w:tc>
              <w:tc>
                <w:tcPr>
                  <w:tcW w:w="616" w:type="pct"/>
                  <w:vAlign w:val="center"/>
                </w:tcPr>
                <w:p>
                  <w:pPr>
                    <w:jc w:val="center"/>
                    <w:rPr>
                      <w:rFonts w:hAnsi="宋体"/>
                      <w:color w:val="0D0D0D"/>
                      <w:kern w:val="24"/>
                      <w:szCs w:val="21"/>
                    </w:rPr>
                  </w:pPr>
                  <w:r>
                    <w:rPr>
                      <w:rFonts w:hint="eastAsia" w:hAnsi="宋体"/>
                      <w:color w:val="0D0D0D"/>
                      <w:kern w:val="24"/>
                      <w:szCs w:val="21"/>
                    </w:rPr>
                    <w:t>5000</w:t>
                  </w:r>
                </w:p>
              </w:tc>
              <w:tc>
                <w:tcPr>
                  <w:tcW w:w="533" w:type="pct"/>
                  <w:vAlign w:val="center"/>
                </w:tcPr>
                <w:p>
                  <w:pPr>
                    <w:jc w:val="center"/>
                    <w:rPr>
                      <w:rFonts w:hAnsi="宋体"/>
                      <w:color w:val="0D0D0D"/>
                      <w:kern w:val="24"/>
                      <w:szCs w:val="21"/>
                    </w:rPr>
                  </w:pPr>
                  <w:r>
                    <w:rPr>
                      <w:rFonts w:hint="eastAsia" w:hAnsi="宋体"/>
                      <w:color w:val="0D0D0D"/>
                      <w:kern w:val="24"/>
                      <w:szCs w:val="21"/>
                    </w:rPr>
                    <w:t>5000</w:t>
                  </w:r>
                </w:p>
              </w:tc>
              <w:tc>
                <w:tcPr>
                  <w:tcW w:w="1528" w:type="pct"/>
                  <w:vAlign w:val="center"/>
                </w:tcPr>
                <w:p>
                  <w:pPr>
                    <w:jc w:val="center"/>
                    <w:rPr>
                      <w:rFonts w:hAnsi="宋体"/>
                      <w:color w:val="0D0D0D"/>
                      <w:kern w:val="24"/>
                      <w:szCs w:val="21"/>
                    </w:rPr>
                  </w:pPr>
                  <w:r>
                    <w:rPr>
                      <w:rFonts w:hint="eastAsia" w:hAnsi="宋体"/>
                      <w:color w:val="0D0D0D"/>
                      <w:kern w:val="24"/>
                      <w:szCs w:val="21"/>
                    </w:rPr>
                    <w:t>因业主要求将原有的5000t焊接、型材构件由不喷漆改为喷漆、</w:t>
                  </w:r>
                  <w:r>
                    <w:rPr>
                      <w:rFonts w:hint="eastAsia" w:hAnsi="宋体"/>
                      <w:color w:val="0D0D0D"/>
                      <w:kern w:val="24"/>
                      <w:szCs w:val="21"/>
                      <w:lang w:val="en-US" w:eastAsia="zh-CN"/>
                    </w:rPr>
                    <w:t>喷砂</w:t>
                  </w:r>
                  <w:r>
                    <w:rPr>
                      <w:rFonts w:hint="eastAsia" w:hAnsi="宋体"/>
                      <w:color w:val="0D0D0D"/>
                      <w:kern w:val="24"/>
                      <w:szCs w:val="21"/>
                    </w:rPr>
                    <w:t>除锈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11" w:type="pct"/>
                  <w:vAlign w:val="center"/>
                </w:tcPr>
                <w:p>
                  <w:pPr>
                    <w:jc w:val="center"/>
                    <w:rPr>
                      <w:rFonts w:hAnsi="宋体"/>
                      <w:kern w:val="24"/>
                      <w:szCs w:val="21"/>
                    </w:rPr>
                  </w:pPr>
                  <w:r>
                    <w:rPr>
                      <w:rFonts w:hint="eastAsia" w:hAnsi="宋体"/>
                      <w:kern w:val="24"/>
                      <w:szCs w:val="21"/>
                    </w:rPr>
                    <w:t>3</w:t>
                  </w:r>
                </w:p>
              </w:tc>
              <w:tc>
                <w:tcPr>
                  <w:tcW w:w="795" w:type="pct"/>
                  <w:vAlign w:val="center"/>
                </w:tcPr>
                <w:p>
                  <w:pPr>
                    <w:jc w:val="center"/>
                    <w:rPr>
                      <w:rFonts w:hAnsi="宋体"/>
                      <w:kern w:val="24"/>
                      <w:szCs w:val="21"/>
                    </w:rPr>
                  </w:pPr>
                  <w:r>
                    <w:rPr>
                      <w:rFonts w:hint="eastAsia" w:hAnsi="宋体"/>
                      <w:kern w:val="24"/>
                      <w:szCs w:val="21"/>
                    </w:rPr>
                    <w:t>冷弯薄壁构件</w:t>
                  </w:r>
                </w:p>
              </w:tc>
              <w:tc>
                <w:tcPr>
                  <w:tcW w:w="855" w:type="pct"/>
                  <w:vAlign w:val="center"/>
                </w:tcPr>
                <w:p>
                  <w:pPr>
                    <w:jc w:val="center"/>
                    <w:rPr>
                      <w:rFonts w:hAnsi="宋体"/>
                      <w:color w:val="0D0D0D"/>
                      <w:kern w:val="24"/>
                      <w:szCs w:val="21"/>
                    </w:rPr>
                  </w:pPr>
                  <w:r>
                    <w:rPr>
                      <w:rFonts w:hint="eastAsia" w:hAnsi="宋体"/>
                      <w:color w:val="0D0D0D"/>
                      <w:kern w:val="24"/>
                      <w:szCs w:val="21"/>
                    </w:rPr>
                    <w:t>冷弯加工、无喷漆、除锈、焊接</w:t>
                  </w:r>
                </w:p>
              </w:tc>
              <w:tc>
                <w:tcPr>
                  <w:tcW w:w="358" w:type="pct"/>
                  <w:vAlign w:val="center"/>
                </w:tcPr>
                <w:p>
                  <w:pPr>
                    <w:jc w:val="center"/>
                    <w:rPr>
                      <w:rFonts w:hAnsi="宋体"/>
                      <w:color w:val="0D0D0D"/>
                      <w:kern w:val="24"/>
                      <w:szCs w:val="21"/>
                    </w:rPr>
                  </w:pPr>
                  <w:r>
                    <w:rPr>
                      <w:rFonts w:hint="eastAsia" w:hAnsi="宋体"/>
                      <w:color w:val="0D0D0D"/>
                      <w:kern w:val="24"/>
                      <w:szCs w:val="21"/>
                    </w:rPr>
                    <w:t>t/a</w:t>
                  </w:r>
                </w:p>
              </w:tc>
              <w:tc>
                <w:tcPr>
                  <w:tcW w:w="616" w:type="pct"/>
                  <w:vAlign w:val="center"/>
                </w:tcPr>
                <w:p>
                  <w:pPr>
                    <w:jc w:val="center"/>
                    <w:rPr>
                      <w:rFonts w:hAnsi="宋体"/>
                      <w:color w:val="0D0D0D"/>
                      <w:kern w:val="24"/>
                      <w:szCs w:val="21"/>
                    </w:rPr>
                  </w:pPr>
                  <w:r>
                    <w:rPr>
                      <w:rFonts w:hint="eastAsia" w:hAnsi="宋体"/>
                      <w:color w:val="0D0D0D"/>
                      <w:kern w:val="24"/>
                      <w:szCs w:val="21"/>
                    </w:rPr>
                    <w:t>8000</w:t>
                  </w:r>
                </w:p>
              </w:tc>
              <w:tc>
                <w:tcPr>
                  <w:tcW w:w="533" w:type="pct"/>
                  <w:vAlign w:val="center"/>
                </w:tcPr>
                <w:p>
                  <w:pPr>
                    <w:jc w:val="center"/>
                    <w:rPr>
                      <w:rFonts w:hAnsi="宋体"/>
                      <w:color w:val="0D0D0D"/>
                      <w:kern w:val="24"/>
                      <w:szCs w:val="21"/>
                    </w:rPr>
                  </w:pPr>
                  <w:r>
                    <w:rPr>
                      <w:rFonts w:hint="eastAsia" w:hAnsi="宋体"/>
                      <w:color w:val="0D0D0D"/>
                      <w:kern w:val="24"/>
                      <w:szCs w:val="21"/>
                    </w:rPr>
                    <w:t>8000</w:t>
                  </w:r>
                </w:p>
              </w:tc>
              <w:tc>
                <w:tcPr>
                  <w:tcW w:w="1528" w:type="pct"/>
                  <w:vAlign w:val="center"/>
                </w:tcPr>
                <w:p>
                  <w:pPr>
                    <w:jc w:val="center"/>
                    <w:rPr>
                      <w:rFonts w:hint="default" w:hAnsi="宋体" w:eastAsia="宋体"/>
                      <w:color w:val="0D0D0D"/>
                      <w:kern w:val="24"/>
                      <w:szCs w:val="21"/>
                      <w:lang w:val="en-US" w:eastAsia="zh-CN"/>
                    </w:rPr>
                  </w:pPr>
                  <w:r>
                    <w:rPr>
                      <w:rFonts w:hint="eastAsia" w:hAnsi="宋体"/>
                      <w:color w:val="0D0D0D"/>
                      <w:kern w:val="24"/>
                      <w:szCs w:val="21"/>
                    </w:rPr>
                    <w:t>因业主要求将原有的8000t中的25%</w:t>
                  </w:r>
                  <w:r>
                    <w:rPr>
                      <w:rFonts w:hint="eastAsia" w:hAnsi="宋体"/>
                      <w:color w:val="0D0D0D"/>
                      <w:kern w:val="24"/>
                      <w:szCs w:val="21"/>
                      <w:lang w:val="en-US" w:eastAsia="zh-CN"/>
                    </w:rPr>
                    <w:t>(2000t)</w:t>
                  </w:r>
                  <w:r>
                    <w:rPr>
                      <w:rFonts w:hint="eastAsia" w:hAnsi="宋体"/>
                      <w:color w:val="0D0D0D"/>
                      <w:kern w:val="24"/>
                      <w:szCs w:val="21"/>
                    </w:rPr>
                    <w:t>由不喷漆改为喷漆</w:t>
                  </w:r>
                  <w:r>
                    <w:rPr>
                      <w:rFonts w:hint="eastAsia" w:hAnsi="宋体"/>
                      <w:color w:val="0D0D0D"/>
                      <w:kern w:val="24"/>
                      <w:szCs w:val="21"/>
                      <w:lang w:eastAsia="zh-CN"/>
                    </w:rPr>
                    <w:t>，</w:t>
                  </w:r>
                  <w:r>
                    <w:rPr>
                      <w:rFonts w:hint="eastAsia" w:hAnsi="宋体"/>
                      <w:color w:val="0D0D0D"/>
                      <w:kern w:val="24"/>
                      <w:szCs w:val="21"/>
                      <w:lang w:val="en-US" w:eastAsia="zh-CN"/>
                    </w:rPr>
                    <w:t>6000t保持不喷漆不变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11" w:type="pct"/>
                  <w:vAlign w:val="center"/>
                </w:tcPr>
                <w:p>
                  <w:pPr>
                    <w:jc w:val="center"/>
                    <w:rPr>
                      <w:rFonts w:hAnsi="宋体"/>
                      <w:kern w:val="24"/>
                      <w:szCs w:val="21"/>
                    </w:rPr>
                  </w:pPr>
                  <w:r>
                    <w:rPr>
                      <w:rFonts w:hint="eastAsia" w:hAnsi="宋体"/>
                      <w:kern w:val="24"/>
                      <w:szCs w:val="21"/>
                    </w:rPr>
                    <w:t>4</w:t>
                  </w:r>
                </w:p>
              </w:tc>
              <w:tc>
                <w:tcPr>
                  <w:tcW w:w="795" w:type="pct"/>
                  <w:vAlign w:val="center"/>
                </w:tcPr>
                <w:p>
                  <w:pPr>
                    <w:jc w:val="center"/>
                    <w:rPr>
                      <w:rFonts w:hAnsi="宋体"/>
                      <w:kern w:val="24"/>
                      <w:szCs w:val="21"/>
                    </w:rPr>
                  </w:pPr>
                  <w:r>
                    <w:rPr>
                      <w:rFonts w:hint="eastAsia" w:hAnsi="宋体"/>
                      <w:kern w:val="24"/>
                      <w:szCs w:val="21"/>
                    </w:rPr>
                    <w:t>冷弯复合墙板和屋面板</w:t>
                  </w:r>
                </w:p>
              </w:tc>
              <w:tc>
                <w:tcPr>
                  <w:tcW w:w="855" w:type="pct"/>
                  <w:vAlign w:val="center"/>
                </w:tcPr>
                <w:p>
                  <w:pPr>
                    <w:jc w:val="center"/>
                    <w:rPr>
                      <w:rFonts w:hAnsi="宋体"/>
                      <w:color w:val="0D0D0D"/>
                      <w:kern w:val="24"/>
                      <w:szCs w:val="21"/>
                    </w:rPr>
                  </w:pPr>
                  <w:r>
                    <w:rPr>
                      <w:rFonts w:hint="eastAsia" w:hAnsi="宋体"/>
                      <w:color w:val="0D0D0D"/>
                      <w:kern w:val="24"/>
                      <w:szCs w:val="21"/>
                    </w:rPr>
                    <w:t>冷弯加工、无喷漆、除锈、焊接</w:t>
                  </w:r>
                </w:p>
              </w:tc>
              <w:tc>
                <w:tcPr>
                  <w:tcW w:w="358" w:type="pct"/>
                  <w:vAlign w:val="center"/>
                </w:tcPr>
                <w:p>
                  <w:pPr>
                    <w:jc w:val="center"/>
                    <w:rPr>
                      <w:rFonts w:hAnsi="宋体"/>
                      <w:color w:val="0D0D0D"/>
                      <w:kern w:val="24"/>
                      <w:szCs w:val="21"/>
                    </w:rPr>
                  </w:pPr>
                  <w:r>
                    <w:rPr>
                      <w:rFonts w:hint="eastAsia" w:hAnsi="宋体"/>
                      <w:color w:val="0D0D0D"/>
                      <w:kern w:val="24"/>
                      <w:szCs w:val="21"/>
                    </w:rPr>
                    <w:t>t/a</w:t>
                  </w:r>
                </w:p>
              </w:tc>
              <w:tc>
                <w:tcPr>
                  <w:tcW w:w="616" w:type="pct"/>
                  <w:vAlign w:val="center"/>
                </w:tcPr>
                <w:p>
                  <w:pPr>
                    <w:jc w:val="center"/>
                    <w:rPr>
                      <w:rFonts w:hAnsi="宋体"/>
                      <w:color w:val="0D0D0D"/>
                      <w:kern w:val="24"/>
                      <w:szCs w:val="21"/>
                    </w:rPr>
                  </w:pPr>
                  <w:r>
                    <w:rPr>
                      <w:rFonts w:hint="eastAsia" w:hAnsi="宋体"/>
                      <w:color w:val="0D0D0D"/>
                      <w:kern w:val="24"/>
                      <w:szCs w:val="21"/>
                    </w:rPr>
                    <w:t>7000</w:t>
                  </w:r>
                </w:p>
              </w:tc>
              <w:tc>
                <w:tcPr>
                  <w:tcW w:w="533" w:type="pct"/>
                  <w:vAlign w:val="center"/>
                </w:tcPr>
                <w:p>
                  <w:pPr>
                    <w:jc w:val="center"/>
                    <w:rPr>
                      <w:rFonts w:hAnsi="宋体"/>
                      <w:color w:val="0D0D0D"/>
                      <w:kern w:val="24"/>
                      <w:szCs w:val="21"/>
                    </w:rPr>
                  </w:pPr>
                  <w:r>
                    <w:rPr>
                      <w:rFonts w:hint="eastAsia" w:hAnsi="宋体"/>
                      <w:color w:val="0D0D0D"/>
                      <w:kern w:val="24"/>
                      <w:szCs w:val="21"/>
                    </w:rPr>
                    <w:t>7000</w:t>
                  </w:r>
                </w:p>
              </w:tc>
              <w:tc>
                <w:tcPr>
                  <w:tcW w:w="1528" w:type="pct"/>
                  <w:vAlign w:val="center"/>
                </w:tcPr>
                <w:p>
                  <w:pPr>
                    <w:jc w:val="center"/>
                    <w:rPr>
                      <w:rFonts w:hAnsi="宋体"/>
                      <w:color w:val="0D0D0D"/>
                      <w:kern w:val="24"/>
                      <w:szCs w:val="21"/>
                    </w:rPr>
                  </w:pPr>
                  <w:r>
                    <w:rPr>
                      <w:rFonts w:hint="eastAsia" w:hAnsi="宋体"/>
                      <w:color w:val="0D0D0D"/>
                      <w:kern w:val="24"/>
                      <w:szCs w:val="21"/>
                    </w:rPr>
                    <w:t>因业主要求将原有的7000t中的10%</w:t>
                  </w:r>
                  <w:r>
                    <w:rPr>
                      <w:rFonts w:hint="eastAsia" w:hAnsi="宋体"/>
                      <w:color w:val="0D0D0D"/>
                      <w:kern w:val="24"/>
                      <w:szCs w:val="21"/>
                      <w:lang w:val="en-US" w:eastAsia="zh-CN"/>
                    </w:rPr>
                    <w:t>(700t)</w:t>
                  </w:r>
                  <w:r>
                    <w:rPr>
                      <w:rFonts w:hint="eastAsia" w:hAnsi="宋体"/>
                      <w:color w:val="0D0D0D"/>
                      <w:kern w:val="24"/>
                      <w:szCs w:val="21"/>
                    </w:rPr>
                    <w:t>由不喷漆改为喷漆</w:t>
                  </w:r>
                  <w:r>
                    <w:rPr>
                      <w:rFonts w:hint="eastAsia" w:hAnsi="宋体"/>
                      <w:color w:val="0D0D0D"/>
                      <w:kern w:val="24"/>
                      <w:szCs w:val="21"/>
                      <w:lang w:val="en-US" w:eastAsia="zh-CN"/>
                    </w:rPr>
                    <w:t>,6300t保持不喷漆不变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11" w:type="pct"/>
                  <w:vAlign w:val="center"/>
                </w:tcPr>
                <w:p>
                  <w:pPr>
                    <w:jc w:val="center"/>
                    <w:rPr>
                      <w:rFonts w:hAnsi="宋体"/>
                      <w:kern w:val="24"/>
                      <w:szCs w:val="21"/>
                    </w:rPr>
                  </w:pPr>
                  <w:r>
                    <w:rPr>
                      <w:rFonts w:hint="eastAsia" w:hAnsi="宋体"/>
                      <w:kern w:val="24"/>
                      <w:szCs w:val="21"/>
                    </w:rPr>
                    <w:t>合计</w:t>
                  </w:r>
                </w:p>
              </w:tc>
              <w:tc>
                <w:tcPr>
                  <w:tcW w:w="795" w:type="pct"/>
                  <w:vAlign w:val="center"/>
                </w:tcPr>
                <w:p>
                  <w:pPr>
                    <w:jc w:val="center"/>
                    <w:rPr>
                      <w:rFonts w:hAnsi="宋体"/>
                      <w:kern w:val="24"/>
                      <w:szCs w:val="21"/>
                    </w:rPr>
                  </w:pPr>
                </w:p>
              </w:tc>
              <w:tc>
                <w:tcPr>
                  <w:tcW w:w="855" w:type="pct"/>
                  <w:vAlign w:val="center"/>
                </w:tcPr>
                <w:p>
                  <w:pPr>
                    <w:jc w:val="center"/>
                    <w:rPr>
                      <w:rFonts w:hAnsi="宋体"/>
                      <w:color w:val="0D0D0D"/>
                      <w:kern w:val="24"/>
                      <w:szCs w:val="21"/>
                    </w:rPr>
                  </w:pPr>
                </w:p>
              </w:tc>
              <w:tc>
                <w:tcPr>
                  <w:tcW w:w="358" w:type="pct"/>
                  <w:vAlign w:val="center"/>
                </w:tcPr>
                <w:p>
                  <w:pPr>
                    <w:jc w:val="center"/>
                    <w:rPr>
                      <w:rFonts w:hAnsi="宋体"/>
                      <w:color w:val="0D0D0D"/>
                      <w:kern w:val="24"/>
                      <w:szCs w:val="21"/>
                    </w:rPr>
                  </w:pPr>
                </w:p>
              </w:tc>
              <w:tc>
                <w:tcPr>
                  <w:tcW w:w="616" w:type="pct"/>
                  <w:vAlign w:val="center"/>
                </w:tcPr>
                <w:p>
                  <w:pPr>
                    <w:jc w:val="center"/>
                    <w:rPr>
                      <w:rFonts w:hAnsi="宋体"/>
                      <w:color w:val="0D0D0D"/>
                      <w:kern w:val="24"/>
                      <w:szCs w:val="21"/>
                    </w:rPr>
                  </w:pPr>
                  <w:r>
                    <w:rPr>
                      <w:rFonts w:hint="eastAsia" w:hAnsi="宋体"/>
                      <w:color w:val="0D0D0D"/>
                      <w:kern w:val="24"/>
                      <w:szCs w:val="21"/>
                    </w:rPr>
                    <w:t>50000</w:t>
                  </w:r>
                </w:p>
              </w:tc>
              <w:tc>
                <w:tcPr>
                  <w:tcW w:w="533" w:type="pct"/>
                  <w:vAlign w:val="center"/>
                </w:tcPr>
                <w:p>
                  <w:pPr>
                    <w:jc w:val="center"/>
                    <w:rPr>
                      <w:rFonts w:hAnsi="宋体"/>
                      <w:color w:val="0D0D0D"/>
                      <w:kern w:val="24"/>
                      <w:szCs w:val="21"/>
                    </w:rPr>
                  </w:pPr>
                  <w:r>
                    <w:rPr>
                      <w:rFonts w:hint="eastAsia" w:hAnsi="宋体"/>
                      <w:color w:val="0D0D0D"/>
                      <w:kern w:val="24"/>
                      <w:szCs w:val="21"/>
                    </w:rPr>
                    <w:t>50000</w:t>
                  </w:r>
                </w:p>
              </w:tc>
              <w:tc>
                <w:tcPr>
                  <w:tcW w:w="1528" w:type="pct"/>
                  <w:vAlign w:val="center"/>
                </w:tcPr>
                <w:p>
                  <w:pPr>
                    <w:jc w:val="center"/>
                    <w:rPr>
                      <w:rFonts w:hAnsi="宋体"/>
                      <w:color w:val="0D0D0D"/>
                      <w:kern w:val="24"/>
                      <w:szCs w:val="21"/>
                    </w:rPr>
                  </w:pPr>
                </w:p>
              </w:tc>
            </w:tr>
          </w:tbl>
          <w:p>
            <w:pPr>
              <w:widowControl/>
              <w:spacing w:line="480" w:lineRule="exact"/>
              <w:ind w:firstLine="472" w:firstLineChars="196"/>
              <w:jc w:val="left"/>
              <w:rPr>
                <w:b/>
                <w:color w:val="000000"/>
                <w:kern w:val="0"/>
                <w:sz w:val="24"/>
              </w:rPr>
            </w:pPr>
            <w:r>
              <w:rPr>
                <w:rFonts w:hint="eastAsia"/>
                <w:b/>
                <w:color w:val="000000"/>
                <w:kern w:val="0"/>
                <w:sz w:val="24"/>
                <w:szCs w:val="20"/>
              </w:rPr>
              <w:t>3、</w:t>
            </w:r>
            <w:r>
              <w:rPr>
                <w:rFonts w:hint="eastAsia"/>
                <w:b/>
                <w:color w:val="000000"/>
                <w:kern w:val="0"/>
                <w:sz w:val="24"/>
              </w:rPr>
              <w:t>项目建设内容</w:t>
            </w:r>
          </w:p>
          <w:p>
            <w:pPr>
              <w:widowControl/>
              <w:spacing w:line="480" w:lineRule="exact"/>
              <w:ind w:firstLine="480" w:firstLineChars="200"/>
              <w:jc w:val="left"/>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本</w:t>
            </w:r>
            <w:r>
              <w:rPr>
                <w:rFonts w:hint="eastAsia"/>
                <w:color w:val="0D0D0D" w:themeColor="text1" w:themeTint="F2"/>
                <w:kern w:val="0"/>
                <w:sz w:val="24"/>
                <w:szCs w:val="32"/>
                <w14:textFill>
                  <w14:solidFill>
                    <w14:schemeClr w14:val="tx1">
                      <w14:lumMod w14:val="95000"/>
                      <w14:lumOff w14:val="5000"/>
                    </w14:schemeClr>
                  </w14:solidFill>
                </w14:textFill>
              </w:rPr>
              <w:t>项目组成详见表2-2所示。</w:t>
            </w:r>
          </w:p>
          <w:p>
            <w:pPr>
              <w:ind w:firstLine="482" w:firstLineChars="200"/>
              <w:jc w:val="center"/>
              <w:rPr>
                <w:color w:val="0D0D0D" w:themeColor="text1" w:themeTint="F2"/>
                <w:sz w:val="24"/>
                <w14:textFill>
                  <w14:solidFill>
                    <w14:schemeClr w14:val="tx1">
                      <w14:lumMod w14:val="95000"/>
                      <w14:lumOff w14:val="5000"/>
                    </w14:schemeClr>
                  </w14:solidFill>
                </w14:textFill>
              </w:rPr>
            </w:pPr>
            <w:r>
              <w:rPr>
                <w:rFonts w:hAnsi="宋体"/>
                <w:b/>
                <w:color w:val="0D0D0D" w:themeColor="text1" w:themeTint="F2"/>
                <w:kern w:val="24"/>
                <w:sz w:val="24"/>
                <w14:textFill>
                  <w14:solidFill>
                    <w14:schemeClr w14:val="tx1">
                      <w14:lumMod w14:val="95000"/>
                      <w14:lumOff w14:val="5000"/>
                    </w14:schemeClr>
                  </w14:solidFill>
                </w14:textFill>
              </w:rPr>
              <w:t>表</w:t>
            </w:r>
            <w:r>
              <w:rPr>
                <w:rFonts w:hint="eastAsia" w:hAnsi="宋体"/>
                <w:b/>
                <w:color w:val="0D0D0D" w:themeColor="text1" w:themeTint="F2"/>
                <w:kern w:val="24"/>
                <w:sz w:val="24"/>
                <w14:textFill>
                  <w14:solidFill>
                    <w14:schemeClr w14:val="tx1">
                      <w14:lumMod w14:val="95000"/>
                      <w14:lumOff w14:val="5000"/>
                    </w14:schemeClr>
                  </w14:solidFill>
                </w14:textFill>
              </w:rPr>
              <w:t>2-2</w:t>
            </w:r>
            <w:r>
              <w:rPr>
                <w:rFonts w:hAnsi="宋体"/>
                <w:b/>
                <w:color w:val="0D0D0D" w:themeColor="text1" w:themeTint="F2"/>
                <w:kern w:val="24"/>
                <w:sz w:val="24"/>
                <w14:textFill>
                  <w14:solidFill>
                    <w14:schemeClr w14:val="tx1">
                      <w14:lumMod w14:val="95000"/>
                      <w14:lumOff w14:val="5000"/>
                    </w14:schemeClr>
                  </w14:solidFill>
                </w14:textFill>
              </w:rPr>
              <w:t xml:space="preserve">  项目组成内容表</w:t>
            </w:r>
          </w:p>
          <w:tbl>
            <w:tblPr>
              <w:tblStyle w:val="58"/>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26"/>
              <w:gridCol w:w="233"/>
              <w:gridCol w:w="950"/>
              <w:gridCol w:w="2660"/>
              <w:gridCol w:w="2193"/>
              <w:gridCol w:w="188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 w:type="pct"/>
                  <w:vAlign w:val="center"/>
                </w:tcPr>
                <w:p>
                  <w:pPr>
                    <w:adjustRightInd w:val="0"/>
                    <w:snapToGrid w:val="0"/>
                    <w:jc w:val="center"/>
                    <w:rPr>
                      <w:rFonts w:hAnsi="宋体"/>
                      <w:b/>
                      <w:color w:val="0D0D0D" w:themeColor="text1" w:themeTint="F2"/>
                      <w:kern w:val="24"/>
                      <w:szCs w:val="21"/>
                      <w14:textFill>
                        <w14:solidFill>
                          <w14:schemeClr w14:val="tx1">
                            <w14:lumMod w14:val="95000"/>
                            <w14:lumOff w14:val="5000"/>
                          </w14:schemeClr>
                        </w14:solidFill>
                      </w14:textFill>
                    </w:rPr>
                  </w:pPr>
                  <w:r>
                    <w:rPr>
                      <w:rFonts w:hAnsi="宋体"/>
                      <w:b/>
                      <w:color w:val="0D0D0D" w:themeColor="text1" w:themeTint="F2"/>
                      <w:kern w:val="24"/>
                      <w:szCs w:val="21"/>
                      <w14:textFill>
                        <w14:solidFill>
                          <w14:schemeClr w14:val="tx1">
                            <w14:lumMod w14:val="95000"/>
                            <w14:lumOff w14:val="5000"/>
                          </w14:schemeClr>
                        </w14:solidFill>
                      </w14:textFill>
                    </w:rPr>
                    <w:t>工程</w:t>
                  </w:r>
                  <w:r>
                    <w:rPr>
                      <w:rFonts w:hint="eastAsia" w:hAnsi="宋体"/>
                      <w:b/>
                      <w:color w:val="0D0D0D" w:themeColor="text1" w:themeTint="F2"/>
                      <w:kern w:val="24"/>
                      <w:szCs w:val="21"/>
                      <w14:textFill>
                        <w14:solidFill>
                          <w14:schemeClr w14:val="tx1">
                            <w14:lumMod w14:val="95000"/>
                            <w14:lumOff w14:val="5000"/>
                          </w14:schemeClr>
                        </w14:solidFill>
                      </w14:textFill>
                    </w:rPr>
                    <w:t>名称</w:t>
                  </w:r>
                </w:p>
              </w:tc>
              <w:tc>
                <w:tcPr>
                  <w:tcW w:w="700" w:type="pct"/>
                  <w:gridSpan w:val="2"/>
                  <w:vAlign w:val="center"/>
                </w:tcPr>
                <w:p>
                  <w:pPr>
                    <w:adjustRightInd w:val="0"/>
                    <w:snapToGrid w:val="0"/>
                    <w:jc w:val="center"/>
                    <w:rPr>
                      <w:rFonts w:hAnsi="宋体"/>
                      <w:b/>
                      <w:color w:val="0D0D0D" w:themeColor="text1" w:themeTint="F2"/>
                      <w:kern w:val="24"/>
                      <w:szCs w:val="21"/>
                      <w14:textFill>
                        <w14:solidFill>
                          <w14:schemeClr w14:val="tx1">
                            <w14:lumMod w14:val="95000"/>
                            <w14:lumOff w14:val="5000"/>
                          </w14:schemeClr>
                        </w14:solidFill>
                      </w14:textFill>
                    </w:rPr>
                  </w:pPr>
                  <w:r>
                    <w:rPr>
                      <w:rFonts w:hAnsi="宋体"/>
                      <w:b/>
                      <w:color w:val="0D0D0D" w:themeColor="text1" w:themeTint="F2"/>
                      <w:kern w:val="24"/>
                      <w:szCs w:val="21"/>
                      <w14:textFill>
                        <w14:solidFill>
                          <w14:schemeClr w14:val="tx1">
                            <w14:lumMod w14:val="95000"/>
                            <w14:lumOff w14:val="5000"/>
                          </w14:schemeClr>
                        </w14:solidFill>
                      </w14:textFill>
                    </w:rPr>
                    <w:t>工程名称</w:t>
                  </w:r>
                </w:p>
              </w:tc>
              <w:tc>
                <w:tcPr>
                  <w:tcW w:w="1573" w:type="pct"/>
                  <w:vAlign w:val="center"/>
                </w:tcPr>
                <w:p>
                  <w:pPr>
                    <w:adjustRightInd w:val="0"/>
                    <w:snapToGrid w:val="0"/>
                    <w:jc w:val="center"/>
                    <w:rPr>
                      <w:rFonts w:hAnsi="宋体"/>
                      <w:b/>
                      <w:color w:val="0D0D0D" w:themeColor="text1" w:themeTint="F2"/>
                      <w:kern w:val="24"/>
                      <w:szCs w:val="21"/>
                      <w14:textFill>
                        <w14:solidFill>
                          <w14:schemeClr w14:val="tx1">
                            <w14:lumMod w14:val="95000"/>
                            <w14:lumOff w14:val="5000"/>
                          </w14:schemeClr>
                        </w14:solidFill>
                      </w14:textFill>
                    </w:rPr>
                  </w:pPr>
                  <w:r>
                    <w:rPr>
                      <w:rFonts w:hint="eastAsia" w:hAnsi="宋体"/>
                      <w:b/>
                      <w:color w:val="0D0D0D" w:themeColor="text1" w:themeTint="F2"/>
                      <w:kern w:val="24"/>
                      <w:szCs w:val="21"/>
                      <w14:textFill>
                        <w14:solidFill>
                          <w14:schemeClr w14:val="tx1">
                            <w14:lumMod w14:val="95000"/>
                            <w14:lumOff w14:val="5000"/>
                          </w14:schemeClr>
                        </w14:solidFill>
                      </w14:textFill>
                    </w:rPr>
                    <w:t>现有</w:t>
                  </w:r>
                  <w:r>
                    <w:rPr>
                      <w:rFonts w:hAnsi="宋体"/>
                      <w:b/>
                      <w:color w:val="0D0D0D" w:themeColor="text1" w:themeTint="F2"/>
                      <w:kern w:val="24"/>
                      <w:szCs w:val="21"/>
                      <w14:textFill>
                        <w14:solidFill>
                          <w14:schemeClr w14:val="tx1">
                            <w14:lumMod w14:val="95000"/>
                            <w14:lumOff w14:val="5000"/>
                          </w14:schemeClr>
                        </w14:solidFill>
                      </w14:textFill>
                    </w:rPr>
                    <w:t>工程内容及规模</w:t>
                  </w:r>
                </w:p>
              </w:tc>
              <w:tc>
                <w:tcPr>
                  <w:tcW w:w="1297" w:type="pct"/>
                  <w:vAlign w:val="center"/>
                </w:tcPr>
                <w:p>
                  <w:pPr>
                    <w:adjustRightInd w:val="0"/>
                    <w:snapToGrid w:val="0"/>
                    <w:jc w:val="center"/>
                    <w:rPr>
                      <w:rFonts w:hAnsi="宋体"/>
                      <w:b/>
                      <w:color w:val="0D0D0D" w:themeColor="text1" w:themeTint="F2"/>
                      <w:kern w:val="24"/>
                      <w:szCs w:val="21"/>
                      <w14:textFill>
                        <w14:solidFill>
                          <w14:schemeClr w14:val="tx1">
                            <w14:lumMod w14:val="95000"/>
                            <w14:lumOff w14:val="5000"/>
                          </w14:schemeClr>
                        </w14:solidFill>
                      </w14:textFill>
                    </w:rPr>
                  </w:pPr>
                  <w:r>
                    <w:rPr>
                      <w:rFonts w:hint="eastAsia" w:hAnsi="宋体"/>
                      <w:b/>
                      <w:color w:val="0D0D0D" w:themeColor="text1" w:themeTint="F2"/>
                      <w:kern w:val="24"/>
                      <w:szCs w:val="21"/>
                      <w14:textFill>
                        <w14:solidFill>
                          <w14:schemeClr w14:val="tx1">
                            <w14:lumMod w14:val="95000"/>
                            <w14:lumOff w14:val="5000"/>
                          </w14:schemeClr>
                        </w14:solidFill>
                      </w14:textFill>
                    </w:rPr>
                    <w:t>改扩建后工程内容及规模</w:t>
                  </w:r>
                </w:p>
              </w:tc>
              <w:tc>
                <w:tcPr>
                  <w:tcW w:w="1117" w:type="pct"/>
                  <w:vAlign w:val="center"/>
                </w:tcPr>
                <w:p>
                  <w:pPr>
                    <w:adjustRightInd w:val="0"/>
                    <w:snapToGrid w:val="0"/>
                    <w:jc w:val="center"/>
                    <w:rPr>
                      <w:rFonts w:hAnsi="宋体"/>
                      <w:b/>
                      <w:color w:val="0D0D0D" w:themeColor="text1" w:themeTint="F2"/>
                      <w:kern w:val="24"/>
                      <w:szCs w:val="21"/>
                      <w14:textFill>
                        <w14:solidFill>
                          <w14:schemeClr w14:val="tx1">
                            <w14:lumMod w14:val="95000"/>
                            <w14:lumOff w14:val="5000"/>
                          </w14:schemeClr>
                        </w14:solidFill>
                      </w14:textFill>
                    </w:rPr>
                  </w:pPr>
                  <w:r>
                    <w:rPr>
                      <w:rFonts w:hint="eastAsia" w:hAnsi="宋体"/>
                      <w:b/>
                      <w:color w:val="0D0D0D" w:themeColor="text1" w:themeTint="F2"/>
                      <w:kern w:val="24"/>
                      <w:szCs w:val="21"/>
                      <w14:textFill>
                        <w14:solidFill>
                          <w14:schemeClr w14:val="tx1">
                            <w14:lumMod w14:val="95000"/>
                            <w14:lumOff w14:val="5000"/>
                          </w14:schemeClr>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2" w:hRule="atLeast"/>
              </w:trPr>
              <w:tc>
                <w:tcPr>
                  <w:tcW w:w="311" w:type="pct"/>
                  <w:vMerge w:val="restart"/>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Ansi="宋体"/>
                      <w:color w:val="0D0D0D" w:themeColor="text1" w:themeTint="F2"/>
                      <w:kern w:val="24"/>
                      <w:szCs w:val="21"/>
                      <w14:textFill>
                        <w14:solidFill>
                          <w14:schemeClr w14:val="tx1">
                            <w14:lumMod w14:val="95000"/>
                            <w14:lumOff w14:val="5000"/>
                          </w14:schemeClr>
                        </w14:solidFill>
                      </w14:textFill>
                    </w:rPr>
                    <w:t>主体工程</w:t>
                  </w:r>
                </w:p>
              </w:tc>
              <w:tc>
                <w:tcPr>
                  <w:tcW w:w="700" w:type="pct"/>
                  <w:gridSpan w:val="2"/>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1#生产车间</w:t>
                  </w:r>
                </w:p>
              </w:tc>
              <w:tc>
                <w:tcPr>
                  <w:tcW w:w="1573"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42333m</w:t>
                  </w:r>
                  <w:r>
                    <w:rPr>
                      <w:rFonts w:hint="eastAsia"/>
                      <w:color w:val="0D0D0D" w:themeColor="text1" w:themeTint="F2"/>
                      <w:szCs w:val="21"/>
                      <w:vertAlign w:val="superscript"/>
                      <w14:textFill>
                        <w14:solidFill>
                          <w14:schemeClr w14:val="tx1">
                            <w14:lumMod w14:val="95000"/>
                            <w14:lumOff w14:val="5000"/>
                          </w14:schemeClr>
                        </w14:solidFill>
                      </w14:textFill>
                    </w:rPr>
                    <w:t>2</w:t>
                  </w:r>
                  <w:r>
                    <w:rPr>
                      <w:rFonts w:hint="eastAsia"/>
                      <w:color w:val="0D0D0D" w:themeColor="text1" w:themeTint="F2"/>
                      <w:szCs w:val="21"/>
                      <w14:textFill>
                        <w14:solidFill>
                          <w14:schemeClr w14:val="tx1">
                            <w14:lumMod w14:val="95000"/>
                            <w14:lumOff w14:val="5000"/>
                          </w14:schemeClr>
                        </w14:solidFill>
                      </w14:textFill>
                    </w:rPr>
                    <w:t>，1条重钢铆焊生产线、2条轻钢铆焊生产线、油漆喷涂加工线、露天拼装加工场、配电房。</w:t>
                  </w:r>
                </w:p>
              </w:tc>
              <w:tc>
                <w:tcPr>
                  <w:tcW w:w="129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不变</w:t>
                  </w:r>
                </w:p>
              </w:tc>
              <w:tc>
                <w:tcPr>
                  <w:tcW w:w="111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2" w:hRule="atLeast"/>
              </w:trPr>
              <w:tc>
                <w:tcPr>
                  <w:tcW w:w="311" w:type="pct"/>
                  <w:vMerge w:val="continue"/>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700" w:type="pct"/>
                  <w:gridSpan w:val="2"/>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2#生产车间</w:t>
                  </w:r>
                </w:p>
              </w:tc>
              <w:tc>
                <w:tcPr>
                  <w:tcW w:w="1573"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620m</w:t>
                  </w:r>
                  <w:r>
                    <w:rPr>
                      <w:rFonts w:hint="eastAsia"/>
                      <w:color w:val="0D0D0D" w:themeColor="text1" w:themeTint="F2"/>
                      <w:szCs w:val="21"/>
                      <w:vertAlign w:val="superscript"/>
                      <w14:textFill>
                        <w14:solidFill>
                          <w14:schemeClr w14:val="tx1">
                            <w14:lumMod w14:val="95000"/>
                            <w14:lumOff w14:val="5000"/>
                          </w14:schemeClr>
                        </w14:solidFill>
                      </w14:textFill>
                    </w:rPr>
                    <w:t>2</w:t>
                  </w:r>
                  <w:r>
                    <w:rPr>
                      <w:rFonts w:hint="eastAsia"/>
                      <w:color w:val="0D0D0D" w:themeColor="text1" w:themeTint="F2"/>
                      <w:szCs w:val="21"/>
                      <w14:textFill>
                        <w14:solidFill>
                          <w14:schemeClr w14:val="tx1">
                            <w14:lumMod w14:val="95000"/>
                            <w14:lumOff w14:val="5000"/>
                          </w14:schemeClr>
                        </w14:solidFill>
                      </w14:textFill>
                    </w:rPr>
                    <w:t>，位于厂区东北角，闲置</w:t>
                  </w:r>
                </w:p>
              </w:tc>
              <w:tc>
                <w:tcPr>
                  <w:tcW w:w="129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现改为1条喷砂生产线和1条油漆喷涂生产线。</w:t>
                  </w:r>
                </w:p>
              </w:tc>
              <w:tc>
                <w:tcPr>
                  <w:tcW w:w="111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改建，</w:t>
                  </w:r>
                  <w:r>
                    <w:rPr>
                      <w:rFonts w:hint="eastAsia"/>
                      <w:color w:val="0D0D0D" w:themeColor="text1" w:themeTint="F2"/>
                      <w:szCs w:val="21"/>
                      <w14:textFill>
                        <w14:solidFill>
                          <w14:schemeClr w14:val="tx1">
                            <w14:lumMod w14:val="95000"/>
                            <w14:lumOff w14:val="5000"/>
                          </w14:schemeClr>
                        </w14:solidFill>
                      </w14:textFill>
                    </w:rPr>
                    <w:t>原闲置，现改为1条喷砂生产线和1条油漆喷涂加工线。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311" w:type="pct"/>
                  <w:vMerge w:val="restart"/>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Ansi="宋体"/>
                      <w:color w:val="0D0D0D" w:themeColor="text1" w:themeTint="F2"/>
                      <w:kern w:val="24"/>
                      <w:szCs w:val="21"/>
                      <w14:textFill>
                        <w14:solidFill>
                          <w14:schemeClr w14:val="tx1">
                            <w14:lumMod w14:val="95000"/>
                            <w14:lumOff w14:val="5000"/>
                          </w14:schemeClr>
                        </w14:solidFill>
                      </w14:textFill>
                    </w:rPr>
                    <w:t>储运工程</w:t>
                  </w:r>
                </w:p>
              </w:tc>
              <w:tc>
                <w:tcPr>
                  <w:tcW w:w="700" w:type="pct"/>
                  <w:gridSpan w:val="2"/>
                  <w:vAlign w:val="center"/>
                </w:tcPr>
                <w:p>
                  <w:pPr>
                    <w:adjustRightInd w:val="0"/>
                    <w:snapToGrid w:val="0"/>
                    <w:ind w:left="-105" w:leftChars="-50" w:right="-105" w:rightChars="-5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仓库</w:t>
                  </w:r>
                </w:p>
              </w:tc>
              <w:tc>
                <w:tcPr>
                  <w:tcW w:w="1573" w:type="pct"/>
                  <w:vAlign w:val="center"/>
                </w:tcPr>
                <w:p>
                  <w:pPr>
                    <w:ind w:right="-105" w:rightChars="-50"/>
                    <w:rPr>
                      <w:rFonts w:hAnsi="宋体"/>
                      <w:b/>
                      <w:color w:val="FF0000"/>
                      <w:kern w:val="24"/>
                      <w:szCs w:val="21"/>
                    </w:rPr>
                  </w:pPr>
                  <w:r>
                    <w:rPr>
                      <w:rFonts w:hint="eastAsia"/>
                      <w:color w:val="0D0D0D" w:themeColor="text1" w:themeTint="F2"/>
                      <w:szCs w:val="21"/>
                      <w14:textFill>
                        <w14:solidFill>
                          <w14:schemeClr w14:val="tx1">
                            <w14:lumMod w14:val="95000"/>
                            <w14:lumOff w14:val="5000"/>
                          </w14:schemeClr>
                        </w14:solidFill>
                      </w14:textFill>
                    </w:rPr>
                    <w:t>395m</w:t>
                  </w:r>
                  <w:r>
                    <w:rPr>
                      <w:rFonts w:hint="eastAsia"/>
                      <w:color w:val="0D0D0D" w:themeColor="text1" w:themeTint="F2"/>
                      <w:szCs w:val="21"/>
                      <w:vertAlign w:val="superscript"/>
                      <w14:textFill>
                        <w14:solidFill>
                          <w14:schemeClr w14:val="tx1">
                            <w14:lumMod w14:val="95000"/>
                            <w14:lumOff w14:val="5000"/>
                          </w14:schemeClr>
                        </w14:solidFill>
                      </w14:textFill>
                    </w:rPr>
                    <w:t>2</w:t>
                  </w:r>
                  <w:r>
                    <w:rPr>
                      <w:rFonts w:hint="eastAsia"/>
                      <w:color w:val="0D0D0D" w:themeColor="text1" w:themeTint="F2"/>
                      <w:szCs w:val="21"/>
                      <w14:textFill>
                        <w14:solidFill>
                          <w14:schemeClr w14:val="tx1">
                            <w14:lumMod w14:val="95000"/>
                            <w14:lumOff w14:val="5000"/>
                          </w14:schemeClr>
                        </w14:solidFill>
                      </w14:textFill>
                    </w:rPr>
                    <w:t>，设于车间前端，主要存放钢材原料等</w:t>
                  </w:r>
                </w:p>
              </w:tc>
              <w:tc>
                <w:tcPr>
                  <w:tcW w:w="1297" w:type="pct"/>
                  <w:vAlign w:val="center"/>
                </w:tcPr>
                <w:p>
                  <w:pPr>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不变</w:t>
                  </w:r>
                </w:p>
              </w:tc>
              <w:tc>
                <w:tcPr>
                  <w:tcW w:w="1117" w:type="pct"/>
                  <w:vAlign w:val="center"/>
                </w:tcPr>
                <w:p>
                  <w:pPr>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311" w:type="pct"/>
                  <w:vMerge w:val="continue"/>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700" w:type="pct"/>
                  <w:gridSpan w:val="2"/>
                  <w:vAlign w:val="center"/>
                </w:tcPr>
                <w:p>
                  <w:pPr>
                    <w:adjustRightInd w:val="0"/>
                    <w:snapToGrid w:val="0"/>
                    <w:ind w:left="-105" w:leftChars="-50" w:right="-105" w:rightChars="-5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成品区、半成品区</w:t>
                  </w:r>
                </w:p>
              </w:tc>
              <w:tc>
                <w:tcPr>
                  <w:tcW w:w="1573" w:type="pct"/>
                  <w:vAlign w:val="center"/>
                </w:tcPr>
                <w:p>
                  <w:pPr>
                    <w:ind w:left="-105" w:leftChars="-50" w:right="-105" w:rightChars="-5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2788m</w:t>
                  </w:r>
                  <w:r>
                    <w:rPr>
                      <w:rFonts w:hint="eastAsia"/>
                      <w:color w:val="0D0D0D" w:themeColor="text1" w:themeTint="F2"/>
                      <w:szCs w:val="21"/>
                      <w:vertAlign w:val="superscript"/>
                      <w14:textFill>
                        <w14:solidFill>
                          <w14:schemeClr w14:val="tx1">
                            <w14:lumMod w14:val="95000"/>
                            <w14:lumOff w14:val="5000"/>
                          </w14:schemeClr>
                        </w14:solidFill>
                      </w14:textFill>
                    </w:rPr>
                    <w:t>2</w:t>
                  </w:r>
                  <w:r>
                    <w:rPr>
                      <w:rFonts w:hint="eastAsia"/>
                      <w:color w:val="0D0D0D" w:themeColor="text1" w:themeTint="F2"/>
                      <w:szCs w:val="21"/>
                      <w14:textFill>
                        <w14:solidFill>
                          <w14:schemeClr w14:val="tx1">
                            <w14:lumMod w14:val="95000"/>
                            <w14:lumOff w14:val="5000"/>
                          </w14:schemeClr>
                        </w14:solidFill>
                      </w14:textFill>
                    </w:rPr>
                    <w:t>，存放产品、半成品</w:t>
                  </w:r>
                </w:p>
              </w:tc>
              <w:tc>
                <w:tcPr>
                  <w:tcW w:w="1297" w:type="pct"/>
                  <w:vAlign w:val="center"/>
                </w:tcPr>
                <w:p>
                  <w:pPr>
                    <w:ind w:left="-105" w:leftChars="-50" w:right="-105" w:rightChars="-5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存放成品</w:t>
                  </w:r>
                </w:p>
              </w:tc>
              <w:tc>
                <w:tcPr>
                  <w:tcW w:w="111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311" w:type="pct"/>
                  <w:vMerge w:val="continue"/>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700" w:type="pct"/>
                  <w:gridSpan w:val="2"/>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涂料暂存区</w:t>
                  </w:r>
                </w:p>
              </w:tc>
              <w:tc>
                <w:tcPr>
                  <w:tcW w:w="1573" w:type="pct"/>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已建成76m</w:t>
                  </w:r>
                  <w:r>
                    <w:rPr>
                      <w:rFonts w:hint="eastAsia" w:hAnsi="宋体"/>
                      <w:color w:val="0D0D0D" w:themeColor="text1" w:themeTint="F2"/>
                      <w:kern w:val="24"/>
                      <w:szCs w:val="21"/>
                      <w:vertAlign w:val="superscript"/>
                      <w14:textFill>
                        <w14:solidFill>
                          <w14:schemeClr w14:val="tx1">
                            <w14:lumMod w14:val="95000"/>
                            <w14:lumOff w14:val="5000"/>
                          </w14:schemeClr>
                        </w14:solidFill>
                      </w14:textFill>
                    </w:rPr>
                    <w:t>2</w:t>
                  </w:r>
                  <w:r>
                    <w:rPr>
                      <w:rFonts w:hint="eastAsia" w:hAnsi="宋体"/>
                      <w:color w:val="0D0D0D" w:themeColor="text1" w:themeTint="F2"/>
                      <w:kern w:val="24"/>
                      <w:szCs w:val="21"/>
                      <w14:textFill>
                        <w14:solidFill>
                          <w14:schemeClr w14:val="tx1">
                            <w14:lumMod w14:val="95000"/>
                            <w14:lumOff w14:val="5000"/>
                          </w14:schemeClr>
                        </w14:solidFill>
                      </w14:textFill>
                    </w:rPr>
                    <w:t>涂料库（乙类库），位于企业厂区南侧，存放油漆、稀释剂等</w:t>
                  </w:r>
                </w:p>
              </w:tc>
              <w:tc>
                <w:tcPr>
                  <w:tcW w:w="1297" w:type="pct"/>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存放油漆、稀释剂</w:t>
                  </w:r>
                </w:p>
              </w:tc>
              <w:tc>
                <w:tcPr>
                  <w:tcW w:w="1117"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1" w:type="pct"/>
                  <w:vMerge w:val="continue"/>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700" w:type="pct"/>
                  <w:gridSpan w:val="2"/>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工业气体储存区</w:t>
                  </w:r>
                </w:p>
              </w:tc>
              <w:tc>
                <w:tcPr>
                  <w:tcW w:w="1573" w:type="pct"/>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100</w:t>
                  </w:r>
                  <w:r>
                    <w:rPr>
                      <w:rFonts w:hint="eastAsia"/>
                      <w:color w:val="0D0D0D" w:themeColor="text1" w:themeTint="F2"/>
                      <w:szCs w:val="21"/>
                      <w14:textFill>
                        <w14:solidFill>
                          <w14:schemeClr w14:val="tx1">
                            <w14:lumMod w14:val="95000"/>
                            <w14:lumOff w14:val="5000"/>
                          </w14:schemeClr>
                        </w14:solidFill>
                      </w14:textFill>
                    </w:rPr>
                    <w:t>m</w:t>
                  </w:r>
                  <w:r>
                    <w:rPr>
                      <w:rFonts w:hint="eastAsia"/>
                      <w:color w:val="0D0D0D" w:themeColor="text1" w:themeTint="F2"/>
                      <w:szCs w:val="21"/>
                      <w:vertAlign w:val="superscript"/>
                      <w14:textFill>
                        <w14:solidFill>
                          <w14:schemeClr w14:val="tx1">
                            <w14:lumMod w14:val="95000"/>
                            <w14:lumOff w14:val="5000"/>
                          </w14:schemeClr>
                        </w14:solidFill>
                      </w14:textFill>
                    </w:rPr>
                    <w:t>2</w:t>
                  </w:r>
                  <w:r>
                    <w:rPr>
                      <w:rFonts w:hint="eastAsia"/>
                      <w:color w:val="0D0D0D" w:themeColor="text1" w:themeTint="F2"/>
                      <w:szCs w:val="21"/>
                      <w14:textFill>
                        <w14:solidFill>
                          <w14:schemeClr w14:val="tx1">
                            <w14:lumMod w14:val="95000"/>
                            <w14:lumOff w14:val="5000"/>
                          </w14:schemeClr>
                        </w14:solidFill>
                      </w14:textFill>
                    </w:rPr>
                    <w:t>，企业在厂区东北侧建设露天罐区（液氩、二氧化碳、液氧），同时设天然气管道，集中供气</w:t>
                  </w:r>
                </w:p>
              </w:tc>
              <w:tc>
                <w:tcPr>
                  <w:tcW w:w="1297" w:type="pct"/>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不变</w:t>
                  </w:r>
                </w:p>
              </w:tc>
              <w:tc>
                <w:tcPr>
                  <w:tcW w:w="1117"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311" w:type="pct"/>
                  <w:vMerge w:val="continue"/>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700" w:type="pct"/>
                  <w:gridSpan w:val="2"/>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一般工业固废暂存区</w:t>
                  </w:r>
                </w:p>
              </w:tc>
              <w:tc>
                <w:tcPr>
                  <w:tcW w:w="1573" w:type="pct"/>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100m</w:t>
                  </w:r>
                  <w:r>
                    <w:rPr>
                      <w:rFonts w:hint="eastAsia" w:hAnsi="宋体"/>
                      <w:color w:val="0D0D0D" w:themeColor="text1" w:themeTint="F2"/>
                      <w:kern w:val="24"/>
                      <w:szCs w:val="21"/>
                      <w:vertAlign w:val="superscript"/>
                      <w14:textFill>
                        <w14:solidFill>
                          <w14:schemeClr w14:val="tx1">
                            <w14:lumMod w14:val="95000"/>
                            <w14:lumOff w14:val="5000"/>
                          </w14:schemeClr>
                        </w14:solidFill>
                      </w14:textFill>
                    </w:rPr>
                    <w:t>2</w:t>
                  </w:r>
                  <w:r>
                    <w:rPr>
                      <w:rFonts w:hint="eastAsia" w:hAnsi="宋体"/>
                      <w:color w:val="0D0D0D" w:themeColor="text1" w:themeTint="F2"/>
                      <w:kern w:val="24"/>
                      <w:szCs w:val="21"/>
                      <w14:textFill>
                        <w14:solidFill>
                          <w14:schemeClr w14:val="tx1">
                            <w14:lumMod w14:val="95000"/>
                            <w14:lumOff w14:val="5000"/>
                          </w14:schemeClr>
                        </w14:solidFill>
                      </w14:textFill>
                    </w:rPr>
                    <w:t>，一般固废暂存区位于厂区东南角</w:t>
                  </w:r>
                </w:p>
              </w:tc>
              <w:tc>
                <w:tcPr>
                  <w:tcW w:w="1297" w:type="pct"/>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一般固废暂存</w:t>
                  </w:r>
                </w:p>
              </w:tc>
              <w:tc>
                <w:tcPr>
                  <w:tcW w:w="1117"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11" w:type="pct"/>
                  <w:vMerge w:val="continue"/>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700" w:type="pct"/>
                  <w:gridSpan w:val="2"/>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危废暂存点</w:t>
                  </w:r>
                </w:p>
              </w:tc>
              <w:tc>
                <w:tcPr>
                  <w:tcW w:w="1573" w:type="pct"/>
                  <w:vAlign w:val="center"/>
                </w:tcPr>
                <w:p>
                  <w:pPr>
                    <w:adjustRightInd w:val="0"/>
                    <w:snapToGrid w:val="0"/>
                    <w:jc w:val="center"/>
                    <w:rPr>
                      <w:rFonts w:hAnsi="宋体"/>
                      <w:b/>
                      <w:color w:val="FF0000"/>
                      <w:kern w:val="24"/>
                      <w:szCs w:val="21"/>
                    </w:rPr>
                  </w:pPr>
                  <w:r>
                    <w:rPr>
                      <w:rFonts w:hint="eastAsia" w:hAnsi="宋体"/>
                      <w:color w:val="0D0D0D" w:themeColor="text1" w:themeTint="F2"/>
                      <w:kern w:val="24"/>
                      <w:szCs w:val="21"/>
                      <w14:textFill>
                        <w14:solidFill>
                          <w14:schemeClr w14:val="tx1">
                            <w14:lumMod w14:val="95000"/>
                            <w14:lumOff w14:val="5000"/>
                          </w14:schemeClr>
                        </w14:solidFill>
                      </w14:textFill>
                    </w:rPr>
                    <w:t>100m</w:t>
                  </w:r>
                  <w:r>
                    <w:rPr>
                      <w:rFonts w:hint="eastAsia" w:hAnsi="宋体"/>
                      <w:color w:val="0D0D0D" w:themeColor="text1" w:themeTint="F2"/>
                      <w:kern w:val="24"/>
                      <w:szCs w:val="21"/>
                      <w:vertAlign w:val="superscript"/>
                      <w14:textFill>
                        <w14:solidFill>
                          <w14:schemeClr w14:val="tx1">
                            <w14:lumMod w14:val="95000"/>
                            <w14:lumOff w14:val="5000"/>
                          </w14:schemeClr>
                        </w14:solidFill>
                      </w14:textFill>
                    </w:rPr>
                    <w:t>2</w:t>
                  </w:r>
                  <w:r>
                    <w:rPr>
                      <w:rFonts w:hint="eastAsia" w:hAnsi="宋体"/>
                      <w:color w:val="0D0D0D" w:themeColor="text1" w:themeTint="F2"/>
                      <w:kern w:val="24"/>
                      <w:szCs w:val="21"/>
                      <w14:textFill>
                        <w14:solidFill>
                          <w14:schemeClr w14:val="tx1">
                            <w14:lumMod w14:val="95000"/>
                            <w14:lumOff w14:val="5000"/>
                          </w14:schemeClr>
                        </w14:solidFill>
                      </w14:textFill>
                    </w:rPr>
                    <w:t>，危废暂存库位于厂区东南角，存放危险废物</w:t>
                  </w:r>
                </w:p>
              </w:tc>
              <w:tc>
                <w:tcPr>
                  <w:tcW w:w="1297" w:type="pct"/>
                  <w:vAlign w:val="center"/>
                </w:tcPr>
                <w:p>
                  <w:pPr>
                    <w:adjustRightInd w:val="0"/>
                    <w:snapToGrid w:val="0"/>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暂存危废</w:t>
                  </w:r>
                </w:p>
              </w:tc>
              <w:tc>
                <w:tcPr>
                  <w:tcW w:w="111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11" w:type="pct"/>
                  <w:vMerge w:val="continue"/>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700" w:type="pct"/>
                  <w:gridSpan w:val="2"/>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运输</w:t>
                  </w:r>
                </w:p>
              </w:tc>
              <w:tc>
                <w:tcPr>
                  <w:tcW w:w="1573" w:type="pct"/>
                  <w:vAlign w:val="center"/>
                </w:tcPr>
                <w:p>
                  <w:pPr>
                    <w:adjustRightInd w:val="0"/>
                    <w:snapToGrid w:val="0"/>
                    <w:jc w:val="center"/>
                    <w:rPr>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运输委托当地运输公司解决，年运输量为10万吨</w:t>
                  </w:r>
                </w:p>
              </w:tc>
              <w:tc>
                <w:tcPr>
                  <w:tcW w:w="1297" w:type="pct"/>
                  <w:vAlign w:val="center"/>
                </w:tcPr>
                <w:p>
                  <w:pPr>
                    <w:adjustRightInd w:val="0"/>
                    <w:snapToGrid w:val="0"/>
                    <w:jc w:val="center"/>
                    <w:rPr>
                      <w:rFonts w:hAnsi="宋体"/>
                      <w:kern w:val="24"/>
                      <w:szCs w:val="21"/>
                    </w:rPr>
                  </w:pPr>
                  <w:r>
                    <w:rPr>
                      <w:rFonts w:hint="eastAsia"/>
                      <w:color w:val="0D0D0D" w:themeColor="text1" w:themeTint="F2"/>
                      <w:szCs w:val="21"/>
                      <w14:textFill>
                        <w14:solidFill>
                          <w14:schemeClr w14:val="tx1">
                            <w14:lumMod w14:val="95000"/>
                            <w14:lumOff w14:val="5000"/>
                          </w14:schemeClr>
                        </w14:solidFill>
                      </w14:textFill>
                    </w:rPr>
                    <w:t>/</w:t>
                  </w:r>
                </w:p>
              </w:tc>
              <w:tc>
                <w:tcPr>
                  <w:tcW w:w="111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311" w:type="pct"/>
                  <w:vMerge w:val="restart"/>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Ansi="宋体"/>
                      <w:color w:val="0D0D0D" w:themeColor="text1" w:themeTint="F2"/>
                      <w:kern w:val="24"/>
                      <w:szCs w:val="21"/>
                      <w14:textFill>
                        <w14:solidFill>
                          <w14:schemeClr w14:val="tx1">
                            <w14:lumMod w14:val="95000"/>
                            <w14:lumOff w14:val="5000"/>
                          </w14:schemeClr>
                        </w14:solidFill>
                      </w14:textFill>
                    </w:rPr>
                    <w:t>公用工程</w:t>
                  </w:r>
                </w:p>
              </w:tc>
              <w:tc>
                <w:tcPr>
                  <w:tcW w:w="700" w:type="pct"/>
                  <w:gridSpan w:val="2"/>
                  <w:vAlign w:val="center"/>
                </w:tcPr>
                <w:p>
                  <w:pPr>
                    <w:adjustRightInd w:val="0"/>
                    <w:snapToGrid w:val="0"/>
                    <w:ind w:left="-105" w:leftChars="-50" w:right="-105" w:rightChars="-5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供水</w:t>
                  </w:r>
                  <w:r>
                    <w:rPr>
                      <w:rFonts w:hAnsi="宋体"/>
                      <w:color w:val="0D0D0D" w:themeColor="text1" w:themeTint="F2"/>
                      <w:kern w:val="24"/>
                      <w:szCs w:val="21"/>
                      <w14:textFill>
                        <w14:solidFill>
                          <w14:schemeClr w14:val="tx1">
                            <w14:lumMod w14:val="95000"/>
                            <w14:lumOff w14:val="5000"/>
                          </w14:schemeClr>
                        </w14:solidFill>
                      </w14:textFill>
                    </w:rPr>
                    <w:t>工程</w:t>
                  </w:r>
                </w:p>
              </w:tc>
              <w:tc>
                <w:tcPr>
                  <w:tcW w:w="1573" w:type="pct"/>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由市政供水管网提供</w:t>
                  </w:r>
                </w:p>
              </w:tc>
              <w:tc>
                <w:tcPr>
                  <w:tcW w:w="129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111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11" w:type="pct"/>
                  <w:vMerge w:val="continue"/>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700" w:type="pct"/>
                  <w:gridSpan w:val="2"/>
                  <w:vAlign w:val="center"/>
                </w:tcPr>
                <w:p>
                  <w:pPr>
                    <w:adjustRightInd w:val="0"/>
                    <w:snapToGrid w:val="0"/>
                    <w:ind w:left="-105" w:leftChars="-50" w:right="-105" w:rightChars="-50"/>
                    <w:jc w:val="center"/>
                    <w:rPr>
                      <w:rFonts w:hAnsi="宋体"/>
                      <w:color w:val="0D0D0D" w:themeColor="text1" w:themeTint="F2"/>
                      <w:kern w:val="24"/>
                      <w:szCs w:val="21"/>
                      <w14:textFill>
                        <w14:solidFill>
                          <w14:schemeClr w14:val="tx1">
                            <w14:lumMod w14:val="95000"/>
                            <w14:lumOff w14:val="5000"/>
                          </w14:schemeClr>
                        </w14:solidFill>
                      </w14:textFill>
                    </w:rPr>
                  </w:pPr>
                  <w:r>
                    <w:rPr>
                      <w:rFonts w:hAnsi="宋体"/>
                      <w:color w:val="0D0D0D" w:themeColor="text1" w:themeTint="F2"/>
                      <w:kern w:val="24"/>
                      <w:szCs w:val="21"/>
                      <w14:textFill>
                        <w14:solidFill>
                          <w14:schemeClr w14:val="tx1">
                            <w14:lumMod w14:val="95000"/>
                            <w14:lumOff w14:val="5000"/>
                          </w14:schemeClr>
                        </w14:solidFill>
                      </w14:textFill>
                    </w:rPr>
                    <w:t>供电工程</w:t>
                  </w:r>
                </w:p>
              </w:tc>
              <w:tc>
                <w:tcPr>
                  <w:tcW w:w="1573" w:type="pct"/>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由市政供电管网提供</w:t>
                  </w:r>
                </w:p>
              </w:tc>
              <w:tc>
                <w:tcPr>
                  <w:tcW w:w="129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111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11" w:type="pct"/>
                  <w:vMerge w:val="continue"/>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700" w:type="pct"/>
                  <w:gridSpan w:val="2"/>
                  <w:vAlign w:val="center"/>
                </w:tcPr>
                <w:p>
                  <w:pPr>
                    <w:adjustRightInd w:val="0"/>
                    <w:snapToGrid w:val="0"/>
                    <w:ind w:left="-105" w:leftChars="-50" w:right="-105" w:rightChars="-50"/>
                    <w:jc w:val="center"/>
                    <w:rPr>
                      <w:rFonts w:hAnsi="宋体"/>
                      <w:color w:val="0D0D0D" w:themeColor="text1" w:themeTint="F2"/>
                      <w:kern w:val="24"/>
                      <w:szCs w:val="21"/>
                      <w14:textFill>
                        <w14:solidFill>
                          <w14:schemeClr w14:val="tx1">
                            <w14:lumMod w14:val="95000"/>
                            <w14:lumOff w14:val="5000"/>
                          </w14:schemeClr>
                        </w14:solidFill>
                      </w14:textFill>
                    </w:rPr>
                  </w:pPr>
                  <w:r>
                    <w:rPr>
                      <w:rFonts w:hAnsi="宋体"/>
                      <w:color w:val="0D0D0D" w:themeColor="text1" w:themeTint="F2"/>
                      <w:kern w:val="24"/>
                      <w:szCs w:val="21"/>
                      <w14:textFill>
                        <w14:solidFill>
                          <w14:schemeClr w14:val="tx1">
                            <w14:lumMod w14:val="95000"/>
                            <w14:lumOff w14:val="5000"/>
                          </w14:schemeClr>
                        </w14:solidFill>
                      </w14:textFill>
                    </w:rPr>
                    <w:t>供气工程</w:t>
                  </w:r>
                </w:p>
              </w:tc>
              <w:tc>
                <w:tcPr>
                  <w:tcW w:w="1573" w:type="pct"/>
                  <w:vAlign w:val="center"/>
                </w:tcPr>
                <w:p>
                  <w:pPr>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由市政供</w:t>
                  </w:r>
                  <w:r>
                    <w:rPr>
                      <w:rFonts w:hint="eastAsia"/>
                      <w:color w:val="0D0D0D" w:themeColor="text1" w:themeTint="F2"/>
                      <w:szCs w:val="21"/>
                      <w14:textFill>
                        <w14:solidFill>
                          <w14:schemeClr w14:val="tx1">
                            <w14:lumMod w14:val="95000"/>
                            <w14:lumOff w14:val="5000"/>
                          </w14:schemeClr>
                        </w14:solidFill>
                      </w14:textFill>
                    </w:rPr>
                    <w:t>气</w:t>
                  </w:r>
                  <w:r>
                    <w:rPr>
                      <w:color w:val="0D0D0D" w:themeColor="text1" w:themeTint="F2"/>
                      <w:szCs w:val="21"/>
                      <w14:textFill>
                        <w14:solidFill>
                          <w14:schemeClr w14:val="tx1">
                            <w14:lumMod w14:val="95000"/>
                            <w14:lumOff w14:val="5000"/>
                          </w14:schemeClr>
                        </w14:solidFill>
                      </w14:textFill>
                    </w:rPr>
                    <w:t>管网提供</w:t>
                  </w:r>
                </w:p>
              </w:tc>
              <w:tc>
                <w:tcPr>
                  <w:tcW w:w="129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1117"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311" w:type="pct"/>
                  <w:vMerge w:val="restart"/>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Ansi="宋体"/>
                      <w:color w:val="0D0D0D" w:themeColor="text1" w:themeTint="F2"/>
                      <w:kern w:val="24"/>
                      <w:szCs w:val="21"/>
                      <w14:textFill>
                        <w14:solidFill>
                          <w14:schemeClr w14:val="tx1">
                            <w14:lumMod w14:val="95000"/>
                            <w14:lumOff w14:val="5000"/>
                          </w14:schemeClr>
                        </w14:solidFill>
                      </w14:textFill>
                    </w:rPr>
                    <w:t>环保工程</w:t>
                  </w:r>
                </w:p>
              </w:tc>
              <w:tc>
                <w:tcPr>
                  <w:tcW w:w="138" w:type="pct"/>
                  <w:vMerge w:val="restart"/>
                  <w:vAlign w:val="center"/>
                </w:tcPr>
                <w:p>
                  <w:pPr>
                    <w:adjustRightInd w:val="0"/>
                    <w:snapToGrid w:val="0"/>
                    <w:ind w:left="-105" w:leftChars="-50" w:right="-105" w:rightChars="-50"/>
                    <w:jc w:val="center"/>
                    <w:rPr>
                      <w:rFonts w:hAnsi="宋体"/>
                      <w:color w:val="0D0D0D" w:themeColor="text1" w:themeTint="F2"/>
                      <w:kern w:val="24"/>
                      <w:szCs w:val="21"/>
                      <w14:textFill>
                        <w14:solidFill>
                          <w14:schemeClr w14:val="tx1">
                            <w14:lumMod w14:val="95000"/>
                            <w14:lumOff w14:val="5000"/>
                          </w14:schemeClr>
                        </w14:solidFill>
                      </w14:textFill>
                    </w:rPr>
                  </w:pPr>
                  <w:r>
                    <w:rPr>
                      <w:rFonts w:hAnsi="宋体"/>
                      <w:color w:val="0D0D0D" w:themeColor="text1" w:themeTint="F2"/>
                      <w:kern w:val="24"/>
                      <w:szCs w:val="21"/>
                      <w14:textFill>
                        <w14:solidFill>
                          <w14:schemeClr w14:val="tx1">
                            <w14:lumMod w14:val="95000"/>
                            <w14:lumOff w14:val="5000"/>
                          </w14:schemeClr>
                        </w14:solidFill>
                      </w14:textFill>
                    </w:rPr>
                    <w:t>废气</w:t>
                  </w:r>
                  <w:r>
                    <w:rPr>
                      <w:rFonts w:hint="eastAsia" w:hAnsi="宋体"/>
                      <w:color w:val="0D0D0D" w:themeColor="text1" w:themeTint="F2"/>
                      <w:kern w:val="24"/>
                      <w:szCs w:val="21"/>
                      <w14:textFill>
                        <w14:solidFill>
                          <w14:schemeClr w14:val="tx1">
                            <w14:lumMod w14:val="95000"/>
                            <w14:lumOff w14:val="5000"/>
                          </w14:schemeClr>
                        </w14:solidFill>
                      </w14:textFill>
                    </w:rPr>
                    <w:t>治理</w:t>
                  </w:r>
                </w:p>
              </w:tc>
              <w:tc>
                <w:tcPr>
                  <w:tcW w:w="562" w:type="pct"/>
                  <w:tcBorders>
                    <w:top w:val="single" w:color="auto" w:sz="4" w:space="0"/>
                    <w:bottom w:val="single" w:color="auto" w:sz="4" w:space="0"/>
                  </w:tcBorders>
                  <w:vAlign w:val="center"/>
                </w:tcPr>
                <w:p>
                  <w:pPr>
                    <w:adjustRightInd w:val="0"/>
                    <w:snapToGrid w:val="0"/>
                    <w:jc w:val="center"/>
                    <w:rPr>
                      <w:color w:val="000000"/>
                      <w:szCs w:val="21"/>
                    </w:rPr>
                  </w:pPr>
                  <w:r>
                    <w:rPr>
                      <w:rFonts w:hint="eastAsia"/>
                      <w:color w:val="000000"/>
                      <w:szCs w:val="21"/>
                    </w:rPr>
                    <w:t>机加工、打磨金属粉尘和旱烟</w:t>
                  </w:r>
                </w:p>
              </w:tc>
              <w:tc>
                <w:tcPr>
                  <w:tcW w:w="1573" w:type="pct"/>
                  <w:tcBorders>
                    <w:top w:val="single" w:color="auto" w:sz="4" w:space="0"/>
                    <w:bottom w:val="single" w:color="auto" w:sz="4" w:space="0"/>
                  </w:tcBorders>
                  <w:vAlign w:val="center"/>
                </w:tcPr>
                <w:p>
                  <w:pPr>
                    <w:widowControl/>
                    <w:adjustRightInd w:val="0"/>
                    <w:snapToGrid w:val="0"/>
                    <w:ind w:left="-50" w:right="-50"/>
                    <w:jc w:val="center"/>
                    <w:rPr>
                      <w:color w:val="000000"/>
                      <w:kern w:val="0"/>
                      <w:szCs w:val="21"/>
                    </w:rPr>
                  </w:pPr>
                  <w:r>
                    <w:rPr>
                      <w:rFonts w:hint="eastAsia"/>
                      <w:color w:val="000000"/>
                      <w:kern w:val="0"/>
                      <w:szCs w:val="21"/>
                    </w:rPr>
                    <w:t>经布袋除尘器处理后厂区内无组织排放</w:t>
                  </w:r>
                </w:p>
              </w:tc>
              <w:tc>
                <w:tcPr>
                  <w:tcW w:w="1297" w:type="pct"/>
                  <w:tcBorders>
                    <w:top w:val="single" w:color="auto" w:sz="4" w:space="0"/>
                  </w:tcBorders>
                  <w:vAlign w:val="center"/>
                </w:tcPr>
                <w:p>
                  <w:pPr>
                    <w:jc w:val="center"/>
                    <w:rPr>
                      <w:color w:val="000000"/>
                      <w:kern w:val="0"/>
                      <w:szCs w:val="21"/>
                    </w:rPr>
                  </w:pPr>
                  <w:r>
                    <w:rPr>
                      <w:rFonts w:hint="eastAsia"/>
                      <w:color w:val="0D0D0D" w:themeColor="text1" w:themeTint="F2"/>
                      <w:szCs w:val="21"/>
                      <w14:textFill>
                        <w14:solidFill>
                          <w14:schemeClr w14:val="tx1">
                            <w14:lumMod w14:val="95000"/>
                            <w14:lumOff w14:val="5000"/>
                          </w14:schemeClr>
                        </w14:solidFill>
                      </w14:textFill>
                    </w:rPr>
                    <w:t>不变</w:t>
                  </w:r>
                </w:p>
              </w:tc>
              <w:tc>
                <w:tcPr>
                  <w:tcW w:w="1117" w:type="pct"/>
                  <w:tcBorders>
                    <w:top w:val="single" w:color="auto" w:sz="4" w:space="0"/>
                  </w:tcBorders>
                  <w:vAlign w:val="center"/>
                </w:tcPr>
                <w:p>
                  <w:pPr>
                    <w:jc w:val="center"/>
                    <w:rPr>
                      <w:color w:val="000000"/>
                      <w:kern w:val="0"/>
                      <w:szCs w:val="21"/>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311" w:type="pct"/>
                  <w:vMerge w:val="continue"/>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138" w:type="pct"/>
                  <w:vMerge w:val="continue"/>
                  <w:vAlign w:val="center"/>
                </w:tcPr>
                <w:p>
                  <w:pPr>
                    <w:adjustRightInd w:val="0"/>
                    <w:snapToGrid w:val="0"/>
                    <w:ind w:left="-105" w:leftChars="-50" w:right="-105" w:rightChars="-5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562" w:type="pct"/>
                  <w:tcBorders>
                    <w:top w:val="single" w:color="auto" w:sz="4" w:space="0"/>
                    <w:bottom w:val="single" w:color="auto" w:sz="4" w:space="0"/>
                  </w:tcBorders>
                  <w:vAlign w:val="center"/>
                </w:tcPr>
                <w:p>
                  <w:pPr>
                    <w:widowControl/>
                    <w:adjustRightInd w:val="0"/>
                    <w:snapToGrid w:val="0"/>
                    <w:spacing w:line="320" w:lineRule="exact"/>
                    <w:ind w:left="-50" w:right="-50"/>
                    <w:jc w:val="center"/>
                    <w:rPr>
                      <w:bCs/>
                      <w:color w:val="0D0D0D" w:themeColor="text1" w:themeTint="F2"/>
                      <w:kern w:val="0"/>
                      <w:szCs w:val="21"/>
                      <w14:textFill>
                        <w14:solidFill>
                          <w14:schemeClr w14:val="tx1">
                            <w14:lumMod w14:val="95000"/>
                            <w14:lumOff w14:val="5000"/>
                          </w14:schemeClr>
                        </w14:solidFill>
                      </w14:textFill>
                    </w:rPr>
                  </w:pPr>
                  <w:r>
                    <w:rPr>
                      <w:rFonts w:hint="eastAsia"/>
                      <w:bCs/>
                      <w:color w:val="0D0D0D" w:themeColor="text1" w:themeTint="F2"/>
                      <w:kern w:val="0"/>
                      <w:szCs w:val="21"/>
                      <w14:textFill>
                        <w14:solidFill>
                          <w14:schemeClr w14:val="tx1">
                            <w14:lumMod w14:val="95000"/>
                            <w14:lumOff w14:val="5000"/>
                          </w14:schemeClr>
                        </w14:solidFill>
                      </w14:textFill>
                    </w:rPr>
                    <w:t>抛丸粉尘</w:t>
                  </w:r>
                </w:p>
              </w:tc>
              <w:tc>
                <w:tcPr>
                  <w:tcW w:w="1573" w:type="pct"/>
                  <w:tcBorders>
                    <w:top w:val="single" w:color="auto" w:sz="4" w:space="0"/>
                    <w:bottom w:val="single" w:color="auto" w:sz="4" w:space="0"/>
                  </w:tcBorders>
                  <w:vAlign w:val="center"/>
                </w:tcPr>
                <w:p>
                  <w:pPr>
                    <w:autoSpaceDE w:val="0"/>
                    <w:autoSpaceDN w:val="0"/>
                    <w:ind w:left="8" w:leftChars="1" w:right="-50" w:hanging="6" w:hangingChars="3"/>
                    <w:jc w:val="center"/>
                    <w:rPr>
                      <w:color w:val="000000"/>
                      <w:kern w:val="0"/>
                      <w:szCs w:val="21"/>
                    </w:rPr>
                  </w:pPr>
                  <w:r>
                    <w:rPr>
                      <w:rFonts w:hint="eastAsia"/>
                      <w:color w:val="000000"/>
                      <w:kern w:val="0"/>
                      <w:szCs w:val="21"/>
                    </w:rPr>
                    <w:t>抛丸粉尘经设备配套旋风除尘器和布袋除尘器处理后由不低于15m排气筒排放</w:t>
                  </w:r>
                </w:p>
              </w:tc>
              <w:tc>
                <w:tcPr>
                  <w:tcW w:w="1297" w:type="pct"/>
                  <w:tcBorders>
                    <w:bottom w:val="single" w:color="auto" w:sz="4" w:space="0"/>
                  </w:tcBorders>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不变</w:t>
                  </w:r>
                </w:p>
              </w:tc>
              <w:tc>
                <w:tcPr>
                  <w:tcW w:w="1117" w:type="pct"/>
                  <w:tcBorders>
                    <w:bottom w:val="single" w:color="auto" w:sz="4" w:space="0"/>
                  </w:tcBorders>
                  <w:vAlign w:val="center"/>
                </w:tcPr>
                <w:p>
                  <w:pPr>
                    <w:jc w:val="center"/>
                    <w:rPr>
                      <w:color w:val="000000"/>
                      <w:szCs w:val="21"/>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311" w:type="pct"/>
                  <w:vMerge w:val="continue"/>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138" w:type="pct"/>
                  <w:vMerge w:val="continue"/>
                  <w:vAlign w:val="center"/>
                </w:tcPr>
                <w:p>
                  <w:pPr>
                    <w:adjustRightInd w:val="0"/>
                    <w:snapToGrid w:val="0"/>
                    <w:ind w:left="-105" w:leftChars="-50" w:right="-105" w:rightChars="-5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562" w:type="pct"/>
                  <w:tcBorders>
                    <w:top w:val="single" w:color="auto" w:sz="4" w:space="0"/>
                    <w:bottom w:val="single" w:color="auto" w:sz="4" w:space="0"/>
                  </w:tcBorders>
                  <w:vAlign w:val="center"/>
                </w:tcPr>
                <w:p>
                  <w:pPr>
                    <w:widowControl/>
                    <w:adjustRightInd w:val="0"/>
                    <w:snapToGrid w:val="0"/>
                    <w:spacing w:line="320" w:lineRule="exact"/>
                    <w:ind w:left="-50" w:right="-50"/>
                    <w:jc w:val="center"/>
                    <w:rPr>
                      <w:bCs/>
                      <w:color w:val="0D0D0D" w:themeColor="text1" w:themeTint="F2"/>
                      <w:kern w:val="0"/>
                      <w:szCs w:val="21"/>
                      <w14:textFill>
                        <w14:solidFill>
                          <w14:schemeClr w14:val="tx1">
                            <w14:lumMod w14:val="95000"/>
                            <w14:lumOff w14:val="5000"/>
                          </w14:schemeClr>
                        </w14:solidFill>
                      </w14:textFill>
                    </w:rPr>
                  </w:pPr>
                  <w:r>
                    <w:rPr>
                      <w:rFonts w:hint="eastAsia"/>
                      <w:bCs/>
                      <w:color w:val="0D0D0D" w:themeColor="text1" w:themeTint="F2"/>
                      <w:kern w:val="0"/>
                      <w:szCs w:val="21"/>
                      <w14:textFill>
                        <w14:solidFill>
                          <w14:schemeClr w14:val="tx1">
                            <w14:lumMod w14:val="95000"/>
                            <w14:lumOff w14:val="5000"/>
                          </w14:schemeClr>
                        </w14:solidFill>
                      </w14:textFill>
                    </w:rPr>
                    <w:t>喷砂粉尘</w:t>
                  </w:r>
                </w:p>
              </w:tc>
              <w:tc>
                <w:tcPr>
                  <w:tcW w:w="1573" w:type="pct"/>
                  <w:tcBorders>
                    <w:top w:val="single" w:color="auto" w:sz="4" w:space="0"/>
                    <w:bottom w:val="single" w:color="auto" w:sz="4" w:space="0"/>
                  </w:tcBorders>
                  <w:vAlign w:val="center"/>
                </w:tcPr>
                <w:p>
                  <w:pPr>
                    <w:autoSpaceDE w:val="0"/>
                    <w:autoSpaceDN w:val="0"/>
                    <w:ind w:left="8" w:leftChars="1" w:right="-50" w:hanging="6" w:hangingChars="3"/>
                    <w:jc w:val="center"/>
                    <w:rPr>
                      <w:color w:val="000000"/>
                      <w:kern w:val="0"/>
                      <w:szCs w:val="21"/>
                    </w:rPr>
                  </w:pPr>
                  <w:r>
                    <w:rPr>
                      <w:rFonts w:hint="eastAsia"/>
                      <w:color w:val="000000"/>
                      <w:kern w:val="0"/>
                      <w:szCs w:val="21"/>
                    </w:rPr>
                    <w:t>/</w:t>
                  </w:r>
                </w:p>
              </w:tc>
              <w:tc>
                <w:tcPr>
                  <w:tcW w:w="1297" w:type="pct"/>
                  <w:tcBorders>
                    <w:bottom w:val="single" w:color="auto" w:sz="4" w:space="0"/>
                  </w:tcBorders>
                  <w:vAlign w:val="center"/>
                </w:tcPr>
                <w:p>
                  <w:pPr>
                    <w:autoSpaceDE w:val="0"/>
                    <w:autoSpaceDN w:val="0"/>
                    <w:ind w:left="8" w:leftChars="1" w:right="-50" w:hanging="6" w:hangingChars="3"/>
                    <w:jc w:val="center"/>
                    <w:rPr>
                      <w:color w:val="000000"/>
                      <w:szCs w:val="21"/>
                    </w:rPr>
                  </w:pPr>
                  <w:r>
                    <w:rPr>
                      <w:rFonts w:hint="eastAsia"/>
                      <w:color w:val="000000"/>
                      <w:szCs w:val="21"/>
                    </w:rPr>
                    <w:t>新增的喷砂生产线车间，设置一套布袋除尘器，经布袋除尘器处理后由不低于15米高的排气筒排放</w:t>
                  </w:r>
                </w:p>
              </w:tc>
              <w:tc>
                <w:tcPr>
                  <w:tcW w:w="1117" w:type="pct"/>
                  <w:tcBorders>
                    <w:bottom w:val="single" w:color="auto" w:sz="4" w:space="0"/>
                  </w:tcBorders>
                  <w:vAlign w:val="center"/>
                </w:tcPr>
                <w:p>
                  <w:pPr>
                    <w:autoSpaceDE w:val="0"/>
                    <w:autoSpaceDN w:val="0"/>
                    <w:ind w:left="8" w:leftChars="1" w:right="-50" w:hanging="6" w:hangingChars="3"/>
                    <w:jc w:val="center"/>
                    <w:rPr>
                      <w:color w:val="000000"/>
                      <w:szCs w:val="21"/>
                    </w:rPr>
                  </w:pPr>
                  <w:r>
                    <w:rPr>
                      <w:rFonts w:hint="eastAsia"/>
                      <w:color w:val="000000"/>
                      <w:szCs w:val="21"/>
                    </w:rPr>
                    <w:t>新增一套布袋除尘系统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311" w:type="pct"/>
                  <w:vMerge w:val="continue"/>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138" w:type="pct"/>
                  <w:vMerge w:val="continue"/>
                  <w:vAlign w:val="center"/>
                </w:tcPr>
                <w:p>
                  <w:pPr>
                    <w:adjustRightInd w:val="0"/>
                    <w:snapToGrid w:val="0"/>
                    <w:ind w:left="-105" w:leftChars="-50" w:right="-105" w:rightChars="-50"/>
                    <w:jc w:val="center"/>
                    <w:rPr>
                      <w:rFonts w:hAnsi="宋体"/>
                      <w:color w:val="0D0D0D" w:themeColor="text1" w:themeTint="F2"/>
                      <w:kern w:val="24"/>
                      <w:szCs w:val="21"/>
                      <w14:textFill>
                        <w14:solidFill>
                          <w14:schemeClr w14:val="tx1">
                            <w14:lumMod w14:val="95000"/>
                            <w14:lumOff w14:val="5000"/>
                          </w14:schemeClr>
                        </w14:solidFill>
                      </w14:textFill>
                    </w:rPr>
                  </w:pPr>
                </w:p>
              </w:tc>
              <w:tc>
                <w:tcPr>
                  <w:tcW w:w="562" w:type="pct"/>
                  <w:tcBorders>
                    <w:top w:val="single" w:color="auto" w:sz="4" w:space="0"/>
                    <w:bottom w:val="single" w:color="auto" w:sz="4" w:space="0"/>
                  </w:tcBorders>
                  <w:vAlign w:val="center"/>
                </w:tcPr>
                <w:p>
                  <w:pPr>
                    <w:widowControl/>
                    <w:adjustRightInd w:val="0"/>
                    <w:snapToGrid w:val="0"/>
                    <w:spacing w:line="320" w:lineRule="exact"/>
                    <w:ind w:left="-50" w:right="-50"/>
                    <w:jc w:val="center"/>
                    <w:rPr>
                      <w:bCs/>
                      <w:color w:val="0D0D0D" w:themeColor="text1" w:themeTint="F2"/>
                      <w:kern w:val="0"/>
                      <w:szCs w:val="21"/>
                      <w14:textFill>
                        <w14:solidFill>
                          <w14:schemeClr w14:val="tx1">
                            <w14:lumMod w14:val="95000"/>
                            <w14:lumOff w14:val="5000"/>
                          </w14:schemeClr>
                        </w14:solidFill>
                      </w14:textFill>
                    </w:rPr>
                  </w:pPr>
                  <w:r>
                    <w:rPr>
                      <w:rFonts w:hint="eastAsia"/>
                      <w:bCs/>
                      <w:color w:val="0D0D0D" w:themeColor="text1" w:themeTint="F2"/>
                      <w:kern w:val="0"/>
                      <w:szCs w:val="21"/>
                      <w14:textFill>
                        <w14:solidFill>
                          <w14:schemeClr w14:val="tx1">
                            <w14:lumMod w14:val="95000"/>
                            <w14:lumOff w14:val="5000"/>
                          </w14:schemeClr>
                        </w14:solidFill>
                      </w14:textFill>
                    </w:rPr>
                    <w:t>喷漆废气</w:t>
                  </w:r>
                </w:p>
              </w:tc>
              <w:tc>
                <w:tcPr>
                  <w:tcW w:w="1573" w:type="pct"/>
                  <w:vAlign w:val="center"/>
                </w:tcPr>
                <w:p>
                  <w:pPr>
                    <w:autoSpaceDE w:val="0"/>
                    <w:autoSpaceDN w:val="0"/>
                    <w:ind w:left="8" w:leftChars="1" w:right="-50" w:hanging="6" w:hangingChars="3"/>
                    <w:jc w:val="center"/>
                    <w:rPr>
                      <w:color w:val="000000"/>
                      <w:szCs w:val="21"/>
                    </w:rPr>
                  </w:pPr>
                  <w:r>
                    <w:rPr>
                      <w:rFonts w:hint="eastAsia"/>
                      <w:color w:val="000000"/>
                      <w:szCs w:val="21"/>
                    </w:rPr>
                    <w:t>喷漆有机废气经过滤棉+活性炭+RCO工艺处理喷漆有机废气，再由15m排气筒排放；处理达97%以上</w:t>
                  </w:r>
                </w:p>
              </w:tc>
              <w:tc>
                <w:tcPr>
                  <w:tcW w:w="1297" w:type="pct"/>
                  <w:vAlign w:val="center"/>
                </w:tcPr>
                <w:p>
                  <w:pPr>
                    <w:autoSpaceDE w:val="0"/>
                    <w:autoSpaceDN w:val="0"/>
                    <w:ind w:left="8" w:leftChars="1" w:right="-50" w:hanging="6" w:hangingChars="3"/>
                    <w:jc w:val="center"/>
                    <w:rPr>
                      <w:color w:val="000000"/>
                      <w:szCs w:val="21"/>
                    </w:rPr>
                  </w:pPr>
                  <w:r>
                    <w:rPr>
                      <w:rFonts w:hint="eastAsia"/>
                      <w:color w:val="000000"/>
                      <w:szCs w:val="21"/>
                    </w:rPr>
                    <w:t>新增的油漆喷涂生产线，设置一套过滤棉+活性炭+RCO工艺处理喷漆有机废气，再由15m排气筒排放</w:t>
                  </w:r>
                </w:p>
              </w:tc>
              <w:tc>
                <w:tcPr>
                  <w:tcW w:w="1117" w:type="pct"/>
                  <w:vAlign w:val="center"/>
                </w:tcPr>
                <w:p>
                  <w:pPr>
                    <w:autoSpaceDE w:val="0"/>
                    <w:autoSpaceDN w:val="0"/>
                    <w:ind w:left="8" w:leftChars="1" w:right="-50" w:hanging="6" w:hangingChars="3"/>
                    <w:jc w:val="center"/>
                    <w:rPr>
                      <w:color w:val="000000"/>
                      <w:szCs w:val="21"/>
                    </w:rPr>
                  </w:pPr>
                  <w:r>
                    <w:rPr>
                      <w:rFonts w:hint="eastAsia"/>
                      <w:color w:val="000000"/>
                      <w:szCs w:val="21"/>
                    </w:rPr>
                    <w:t>新增一套过滤棉+活性炭+RCO工艺处理喷漆有机废气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311" w:type="pct"/>
                  <w:vMerge w:val="continue"/>
                  <w:vAlign w:val="center"/>
                </w:tcPr>
                <w:p>
                  <w:pPr>
                    <w:adjustRightInd w:val="0"/>
                    <w:snapToGrid w:val="0"/>
                    <w:jc w:val="center"/>
                    <w:rPr>
                      <w:rFonts w:hAnsi="宋体"/>
                      <w:color w:val="FF0000"/>
                      <w:kern w:val="24"/>
                      <w:szCs w:val="21"/>
                    </w:rPr>
                  </w:pPr>
                </w:p>
              </w:tc>
              <w:tc>
                <w:tcPr>
                  <w:tcW w:w="700" w:type="pct"/>
                  <w:gridSpan w:val="2"/>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Ansi="宋体"/>
                      <w:color w:val="0D0D0D" w:themeColor="text1" w:themeTint="F2"/>
                      <w:kern w:val="24"/>
                      <w:szCs w:val="21"/>
                      <w14:textFill>
                        <w14:solidFill>
                          <w14:schemeClr w14:val="tx1">
                            <w14:lumMod w14:val="95000"/>
                            <w14:lumOff w14:val="5000"/>
                          </w14:schemeClr>
                        </w14:solidFill>
                      </w14:textFill>
                    </w:rPr>
                    <w:t>废水</w:t>
                  </w:r>
                  <w:r>
                    <w:rPr>
                      <w:rFonts w:hint="eastAsia" w:hAnsi="宋体"/>
                      <w:color w:val="0D0D0D" w:themeColor="text1" w:themeTint="F2"/>
                      <w:kern w:val="24"/>
                      <w:szCs w:val="21"/>
                      <w14:textFill>
                        <w14:solidFill>
                          <w14:schemeClr w14:val="tx1">
                            <w14:lumMod w14:val="95000"/>
                            <w14:lumOff w14:val="5000"/>
                          </w14:schemeClr>
                        </w14:solidFill>
                      </w14:textFill>
                    </w:rPr>
                    <w:t>治理</w:t>
                  </w:r>
                </w:p>
              </w:tc>
              <w:tc>
                <w:tcPr>
                  <w:tcW w:w="2870" w:type="pct"/>
                  <w:gridSpan w:val="2"/>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厂区两侧建成化粪池2座，同时设隔油池一座，生活废水经化粪池处理达标后经市政管网接入城东污水处理厂</w:t>
                  </w:r>
                </w:p>
              </w:tc>
              <w:tc>
                <w:tcPr>
                  <w:tcW w:w="1117"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 w:type="pct"/>
                  <w:vMerge w:val="continue"/>
                  <w:vAlign w:val="center"/>
                </w:tcPr>
                <w:p>
                  <w:pPr>
                    <w:adjustRightInd w:val="0"/>
                    <w:snapToGrid w:val="0"/>
                    <w:jc w:val="center"/>
                    <w:rPr>
                      <w:rFonts w:hAnsi="宋体"/>
                      <w:color w:val="FF0000"/>
                      <w:kern w:val="24"/>
                      <w:szCs w:val="21"/>
                    </w:rPr>
                  </w:pPr>
                </w:p>
              </w:tc>
              <w:tc>
                <w:tcPr>
                  <w:tcW w:w="700" w:type="pct"/>
                  <w:gridSpan w:val="2"/>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Ansi="宋体"/>
                      <w:color w:val="0D0D0D" w:themeColor="text1" w:themeTint="F2"/>
                      <w:kern w:val="24"/>
                      <w:szCs w:val="21"/>
                      <w14:textFill>
                        <w14:solidFill>
                          <w14:schemeClr w14:val="tx1">
                            <w14:lumMod w14:val="95000"/>
                            <w14:lumOff w14:val="5000"/>
                          </w14:schemeClr>
                        </w14:solidFill>
                      </w14:textFill>
                    </w:rPr>
                    <w:t>噪声</w:t>
                  </w:r>
                  <w:r>
                    <w:rPr>
                      <w:rFonts w:hint="eastAsia" w:hAnsi="宋体"/>
                      <w:color w:val="0D0D0D" w:themeColor="text1" w:themeTint="F2"/>
                      <w:kern w:val="24"/>
                      <w:szCs w:val="21"/>
                      <w14:textFill>
                        <w14:solidFill>
                          <w14:schemeClr w14:val="tx1">
                            <w14:lumMod w14:val="95000"/>
                            <w14:lumOff w14:val="5000"/>
                          </w14:schemeClr>
                        </w14:solidFill>
                      </w14:textFill>
                    </w:rPr>
                    <w:t>治理</w:t>
                  </w:r>
                </w:p>
              </w:tc>
              <w:tc>
                <w:tcPr>
                  <w:tcW w:w="2870" w:type="pct"/>
                  <w:gridSpan w:val="2"/>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合理布局，墙体隔声，减震垫、采用先进设备</w:t>
                  </w:r>
                </w:p>
              </w:tc>
              <w:tc>
                <w:tcPr>
                  <w:tcW w:w="1117"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 w:type="pct"/>
                  <w:vMerge w:val="continue"/>
                  <w:vAlign w:val="center"/>
                </w:tcPr>
                <w:p>
                  <w:pPr>
                    <w:adjustRightInd w:val="0"/>
                    <w:snapToGrid w:val="0"/>
                    <w:jc w:val="center"/>
                    <w:rPr>
                      <w:rFonts w:hAnsi="宋体"/>
                      <w:color w:val="FF0000"/>
                      <w:kern w:val="24"/>
                      <w:szCs w:val="21"/>
                    </w:rPr>
                  </w:pPr>
                </w:p>
              </w:tc>
              <w:tc>
                <w:tcPr>
                  <w:tcW w:w="700" w:type="pct"/>
                  <w:gridSpan w:val="2"/>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固废治理</w:t>
                  </w:r>
                </w:p>
              </w:tc>
              <w:tc>
                <w:tcPr>
                  <w:tcW w:w="2870" w:type="pct"/>
                  <w:gridSpan w:val="2"/>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办公室垃圾桶，危废暂存间、固废暂存间均设置在厂区东南角、占地面积分别为100m</w:t>
                  </w:r>
                  <w:r>
                    <w:rPr>
                      <w:rFonts w:hint="eastAsia" w:hAnsi="宋体"/>
                      <w:color w:val="0D0D0D" w:themeColor="text1" w:themeTint="F2"/>
                      <w:kern w:val="24"/>
                      <w:szCs w:val="21"/>
                      <w:vertAlign w:val="superscript"/>
                      <w14:textFill>
                        <w14:solidFill>
                          <w14:schemeClr w14:val="tx1">
                            <w14:lumMod w14:val="95000"/>
                            <w14:lumOff w14:val="5000"/>
                          </w14:schemeClr>
                        </w14:solidFill>
                      </w14:textFill>
                    </w:rPr>
                    <w:t>2</w:t>
                  </w:r>
                  <w:r>
                    <w:rPr>
                      <w:rFonts w:hint="eastAsia" w:hAnsi="宋体"/>
                      <w:color w:val="0D0D0D" w:themeColor="text1" w:themeTint="F2"/>
                      <w:kern w:val="24"/>
                      <w:szCs w:val="21"/>
                      <w14:textFill>
                        <w14:solidFill>
                          <w14:schemeClr w14:val="tx1">
                            <w14:lumMod w14:val="95000"/>
                            <w14:lumOff w14:val="5000"/>
                          </w14:schemeClr>
                        </w14:solidFill>
                      </w14:textFill>
                    </w:rPr>
                    <w:t>、100m</w:t>
                  </w:r>
                  <w:r>
                    <w:rPr>
                      <w:rFonts w:hint="eastAsia" w:hAnsi="宋体"/>
                      <w:color w:val="0D0D0D" w:themeColor="text1" w:themeTint="F2"/>
                      <w:kern w:val="24"/>
                      <w:szCs w:val="21"/>
                      <w:vertAlign w:val="superscript"/>
                      <w14:textFill>
                        <w14:solidFill>
                          <w14:schemeClr w14:val="tx1">
                            <w14:lumMod w14:val="95000"/>
                            <w14:lumOff w14:val="5000"/>
                          </w14:schemeClr>
                        </w14:solidFill>
                      </w14:textFill>
                    </w:rPr>
                    <w:t>2</w:t>
                  </w:r>
                </w:p>
              </w:tc>
              <w:tc>
                <w:tcPr>
                  <w:tcW w:w="1117"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 w:type="pct"/>
                  <w:vMerge w:val="continue"/>
                  <w:vAlign w:val="center"/>
                </w:tcPr>
                <w:p>
                  <w:pPr>
                    <w:adjustRightInd w:val="0"/>
                    <w:snapToGrid w:val="0"/>
                    <w:jc w:val="center"/>
                    <w:rPr>
                      <w:rFonts w:hAnsi="宋体"/>
                      <w:color w:val="FF0000"/>
                      <w:kern w:val="24"/>
                      <w:szCs w:val="21"/>
                    </w:rPr>
                  </w:pPr>
                </w:p>
              </w:tc>
              <w:tc>
                <w:tcPr>
                  <w:tcW w:w="700" w:type="pct"/>
                  <w:gridSpan w:val="2"/>
                  <w:vAlign w:val="center"/>
                </w:tcPr>
                <w:p>
                  <w:pPr>
                    <w:adjustRightInd w:val="0"/>
                    <w:snapToGrid w:val="0"/>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风险防范</w:t>
                  </w:r>
                </w:p>
              </w:tc>
              <w:tc>
                <w:tcPr>
                  <w:tcW w:w="2870" w:type="pct"/>
                  <w:gridSpan w:val="2"/>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厂区工程管理中心南侧设事故水池，体积180m</w:t>
                  </w:r>
                  <w:r>
                    <w:rPr>
                      <w:rFonts w:hint="eastAsia" w:hAnsi="宋体"/>
                      <w:color w:val="0D0D0D" w:themeColor="text1" w:themeTint="F2"/>
                      <w:kern w:val="24"/>
                      <w:szCs w:val="21"/>
                      <w:vertAlign w:val="superscript"/>
                      <w14:textFill>
                        <w14:solidFill>
                          <w14:schemeClr w14:val="tx1">
                            <w14:lumMod w14:val="95000"/>
                            <w14:lumOff w14:val="5000"/>
                          </w14:schemeClr>
                        </w14:solidFill>
                      </w14:textFill>
                    </w:rPr>
                    <w:t>3</w:t>
                  </w:r>
                  <w:r>
                    <w:rPr>
                      <w:rFonts w:hint="eastAsia" w:hAnsi="宋体"/>
                      <w:color w:val="0D0D0D" w:themeColor="text1" w:themeTint="F2"/>
                      <w:kern w:val="24"/>
                      <w:szCs w:val="21"/>
                      <w14:textFill>
                        <w14:solidFill>
                          <w14:schemeClr w14:val="tx1">
                            <w14:lumMod w14:val="95000"/>
                            <w14:lumOff w14:val="5000"/>
                          </w14:schemeClr>
                        </w14:solidFill>
                      </w14:textFill>
                    </w:rPr>
                    <w:t>，对危废库房、油漆库房设重点防渗区</w:t>
                  </w:r>
                </w:p>
              </w:tc>
              <w:tc>
                <w:tcPr>
                  <w:tcW w:w="1117"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依托现有</w:t>
                  </w:r>
                </w:p>
              </w:tc>
            </w:tr>
          </w:tbl>
          <w:p>
            <w:pPr>
              <w:spacing w:before="120" w:beforeLines="50" w:line="360" w:lineRule="auto"/>
              <w:ind w:firstLine="482" w:firstLineChars="200"/>
              <w:rPr>
                <w:b/>
                <w:color w:val="000000"/>
                <w:kern w:val="0"/>
                <w:sz w:val="24"/>
              </w:rPr>
            </w:pPr>
            <w:r>
              <w:rPr>
                <w:rFonts w:hint="eastAsia"/>
                <w:b/>
                <w:color w:val="000000"/>
                <w:kern w:val="0"/>
                <w:sz w:val="24"/>
              </w:rPr>
              <w:t>4、主要生产设备</w:t>
            </w:r>
          </w:p>
          <w:p>
            <w:pPr>
              <w:spacing w:line="360" w:lineRule="auto"/>
              <w:ind w:firstLine="482"/>
              <w:jc w:val="left"/>
              <w:rPr>
                <w:rFonts w:hAnsi="宋体"/>
                <w:kern w:val="24"/>
                <w:sz w:val="24"/>
              </w:rPr>
            </w:pPr>
            <w:r>
              <w:rPr>
                <w:rFonts w:hint="eastAsia" w:hAnsi="宋体"/>
                <w:kern w:val="24"/>
                <w:sz w:val="24"/>
              </w:rPr>
              <w:t>主要生产设备详见表2-3。</w:t>
            </w:r>
          </w:p>
          <w:p>
            <w:pPr>
              <w:ind w:left="105" w:leftChars="50"/>
              <w:jc w:val="center"/>
              <w:rPr>
                <w:rFonts w:hAnsi="宋体"/>
                <w:b/>
                <w:kern w:val="24"/>
                <w:sz w:val="24"/>
              </w:rPr>
            </w:pPr>
            <w:r>
              <w:rPr>
                <w:rFonts w:hAnsi="宋体"/>
                <w:b/>
                <w:kern w:val="24"/>
                <w:sz w:val="24"/>
              </w:rPr>
              <w:t>表</w:t>
            </w:r>
            <w:r>
              <w:rPr>
                <w:rFonts w:hint="eastAsia" w:hAnsi="宋体"/>
                <w:b/>
                <w:kern w:val="24"/>
                <w:sz w:val="24"/>
              </w:rPr>
              <w:t>2-3</w:t>
            </w:r>
            <w:r>
              <w:rPr>
                <w:rFonts w:hAnsi="宋体"/>
                <w:b/>
                <w:kern w:val="24"/>
                <w:sz w:val="24"/>
              </w:rPr>
              <w:t xml:space="preserve"> </w:t>
            </w:r>
            <w:r>
              <w:rPr>
                <w:rFonts w:hint="eastAsia" w:hAnsi="宋体"/>
                <w:b/>
                <w:kern w:val="24"/>
                <w:sz w:val="24"/>
              </w:rPr>
              <w:t>项目</w:t>
            </w:r>
            <w:r>
              <w:rPr>
                <w:rFonts w:hAnsi="宋体"/>
                <w:b/>
                <w:kern w:val="24"/>
                <w:sz w:val="24"/>
              </w:rPr>
              <w:t>主要生产设备一览表</w:t>
            </w:r>
          </w:p>
          <w:tbl>
            <w:tblPr>
              <w:tblStyle w:val="58"/>
              <w:tblpPr w:leftFromText="180" w:rightFromText="180" w:vertAnchor="text" w:horzAnchor="page" w:tblpX="34" w:tblpY="303"/>
              <w:tblOverlap w:val="never"/>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6" w:type="dxa"/>
                <w:bottom w:w="0" w:type="dxa"/>
                <w:right w:w="56" w:type="dxa"/>
              </w:tblCellMar>
            </w:tblPr>
            <w:tblGrid>
              <w:gridCol w:w="403"/>
              <w:gridCol w:w="3018"/>
              <w:gridCol w:w="2457"/>
              <w:gridCol w:w="1143"/>
              <w:gridCol w:w="717"/>
              <w:gridCol w:w="71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04" w:hRule="atLeast"/>
              </w:trPr>
              <w:tc>
                <w:tcPr>
                  <w:tcW w:w="289" w:type="pct"/>
                  <w:vAlign w:val="center"/>
                </w:tcPr>
                <w:p>
                  <w:pPr>
                    <w:ind w:left="-105" w:leftChars="-50" w:right="-105" w:rightChars="-50"/>
                    <w:jc w:val="center"/>
                    <w:rPr>
                      <w:b/>
                      <w:kern w:val="24"/>
                      <w:szCs w:val="21"/>
                    </w:rPr>
                  </w:pPr>
                  <w:r>
                    <w:rPr>
                      <w:b/>
                      <w:kern w:val="24"/>
                      <w:szCs w:val="21"/>
                    </w:rPr>
                    <w:t>序号</w:t>
                  </w:r>
                </w:p>
              </w:tc>
              <w:tc>
                <w:tcPr>
                  <w:tcW w:w="1835" w:type="pct"/>
                  <w:vAlign w:val="center"/>
                </w:tcPr>
                <w:p>
                  <w:pPr>
                    <w:jc w:val="center"/>
                    <w:rPr>
                      <w:b/>
                      <w:kern w:val="24"/>
                      <w:szCs w:val="21"/>
                    </w:rPr>
                  </w:pPr>
                  <w:r>
                    <w:rPr>
                      <w:b/>
                      <w:kern w:val="24"/>
                      <w:szCs w:val="21"/>
                    </w:rPr>
                    <w:t>设备名称</w:t>
                  </w:r>
                </w:p>
              </w:tc>
              <w:tc>
                <w:tcPr>
                  <w:tcW w:w="1200" w:type="pct"/>
                  <w:vAlign w:val="center"/>
                </w:tcPr>
                <w:p>
                  <w:pPr>
                    <w:jc w:val="center"/>
                    <w:rPr>
                      <w:b/>
                      <w:kern w:val="24"/>
                      <w:szCs w:val="21"/>
                    </w:rPr>
                  </w:pPr>
                  <w:r>
                    <w:rPr>
                      <w:rFonts w:hint="eastAsia"/>
                      <w:b/>
                      <w:kern w:val="24"/>
                      <w:szCs w:val="21"/>
                    </w:rPr>
                    <w:t>型号</w:t>
                  </w:r>
                </w:p>
              </w:tc>
              <w:tc>
                <w:tcPr>
                  <w:tcW w:w="726" w:type="pct"/>
                  <w:vAlign w:val="center"/>
                </w:tcPr>
                <w:p>
                  <w:pPr>
                    <w:jc w:val="center"/>
                    <w:rPr>
                      <w:b/>
                      <w:kern w:val="24"/>
                      <w:szCs w:val="21"/>
                    </w:rPr>
                  </w:pPr>
                  <w:r>
                    <w:rPr>
                      <w:rFonts w:hint="eastAsia"/>
                      <w:b/>
                      <w:kern w:val="24"/>
                      <w:szCs w:val="21"/>
                    </w:rPr>
                    <w:t>现有</w:t>
                  </w:r>
                  <w:r>
                    <w:rPr>
                      <w:b/>
                      <w:kern w:val="24"/>
                      <w:szCs w:val="21"/>
                    </w:rPr>
                    <w:t>数量</w:t>
                  </w:r>
                </w:p>
              </w:tc>
              <w:tc>
                <w:tcPr>
                  <w:tcW w:w="474" w:type="pct"/>
                  <w:vAlign w:val="center"/>
                </w:tcPr>
                <w:p>
                  <w:pPr>
                    <w:jc w:val="center"/>
                    <w:rPr>
                      <w:b/>
                      <w:kern w:val="24"/>
                      <w:szCs w:val="21"/>
                    </w:rPr>
                  </w:pPr>
                  <w:r>
                    <w:rPr>
                      <w:rFonts w:hint="eastAsia"/>
                      <w:b/>
                      <w:kern w:val="24"/>
                      <w:szCs w:val="21"/>
                    </w:rPr>
                    <w:t>改扩建数量</w:t>
                  </w:r>
                </w:p>
              </w:tc>
              <w:tc>
                <w:tcPr>
                  <w:tcW w:w="474" w:type="pct"/>
                  <w:vAlign w:val="center"/>
                </w:tcPr>
                <w:p>
                  <w:pPr>
                    <w:jc w:val="center"/>
                    <w:rPr>
                      <w:b/>
                      <w:kern w:val="24"/>
                      <w:szCs w:val="21"/>
                    </w:rPr>
                  </w:pPr>
                  <w:r>
                    <w:rPr>
                      <w:rFonts w:hint="eastAsia"/>
                      <w:b/>
                      <w:kern w:val="24"/>
                      <w:szCs w:val="21"/>
                    </w:rPr>
                    <w:t>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1</w:t>
                  </w:r>
                </w:p>
              </w:tc>
              <w:tc>
                <w:tcPr>
                  <w:tcW w:w="1835" w:type="pct"/>
                  <w:vAlign w:val="center"/>
                </w:tcPr>
                <w:p>
                  <w:pPr>
                    <w:jc w:val="center"/>
                    <w:rPr>
                      <w:lang w:val="zh-CN"/>
                    </w:rPr>
                  </w:pPr>
                  <w:r>
                    <w:rPr>
                      <w:rFonts w:hint="eastAsia"/>
                    </w:rPr>
                    <w:t>LH双梁桥式起重机</w:t>
                  </w:r>
                </w:p>
              </w:tc>
              <w:tc>
                <w:tcPr>
                  <w:tcW w:w="1200" w:type="pct"/>
                  <w:vAlign w:val="center"/>
                </w:tcPr>
                <w:p>
                  <w:pPr>
                    <w:jc w:val="center"/>
                  </w:pPr>
                  <w:r>
                    <w:rPr>
                      <w:rFonts w:hint="eastAsia"/>
                    </w:rPr>
                    <w:t>LH5T</w:t>
                  </w:r>
                </w:p>
              </w:tc>
              <w:tc>
                <w:tcPr>
                  <w:tcW w:w="726" w:type="pct"/>
                  <w:vAlign w:val="center"/>
                </w:tcPr>
                <w:p>
                  <w:pPr>
                    <w:jc w:val="center"/>
                  </w:pPr>
                  <w:r>
                    <w:rPr>
                      <w:rFonts w:hint="eastAsia"/>
                    </w:rPr>
                    <w:t>3</w:t>
                  </w:r>
                </w:p>
              </w:tc>
              <w:tc>
                <w:tcPr>
                  <w:tcW w:w="474" w:type="pct"/>
                  <w:vAlign w:val="center"/>
                </w:tcPr>
                <w:p>
                  <w:pPr>
                    <w:jc w:val="center"/>
                  </w:pPr>
                  <w:r>
                    <w:rPr>
                      <w:rFonts w:hint="eastAsia"/>
                    </w:rPr>
                    <w:t>3</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2</w:t>
                  </w:r>
                </w:p>
              </w:tc>
              <w:tc>
                <w:tcPr>
                  <w:tcW w:w="1835" w:type="pct"/>
                  <w:vAlign w:val="center"/>
                </w:tcPr>
                <w:p>
                  <w:pPr>
                    <w:jc w:val="center"/>
                    <w:rPr>
                      <w:lang w:val="zh-CN"/>
                    </w:rPr>
                  </w:pPr>
                  <w:r>
                    <w:rPr>
                      <w:rFonts w:hint="eastAsia"/>
                    </w:rPr>
                    <w:t>LH双梁桥式起重机</w:t>
                  </w:r>
                </w:p>
              </w:tc>
              <w:tc>
                <w:tcPr>
                  <w:tcW w:w="1200" w:type="pct"/>
                  <w:vAlign w:val="center"/>
                </w:tcPr>
                <w:p>
                  <w:pPr>
                    <w:jc w:val="center"/>
                  </w:pPr>
                  <w:r>
                    <w:rPr>
                      <w:rFonts w:hint="eastAsia"/>
                    </w:rPr>
                    <w:t>LH10T</w:t>
                  </w:r>
                </w:p>
              </w:tc>
              <w:tc>
                <w:tcPr>
                  <w:tcW w:w="726" w:type="pct"/>
                  <w:vAlign w:val="center"/>
                </w:tcPr>
                <w:p>
                  <w:pPr>
                    <w:jc w:val="center"/>
                  </w:pPr>
                  <w:r>
                    <w:rPr>
                      <w:rFonts w:hint="eastAsia"/>
                    </w:rPr>
                    <w:t>10</w:t>
                  </w:r>
                </w:p>
              </w:tc>
              <w:tc>
                <w:tcPr>
                  <w:tcW w:w="474" w:type="pct"/>
                  <w:vAlign w:val="center"/>
                </w:tcPr>
                <w:p>
                  <w:pPr>
                    <w:jc w:val="center"/>
                  </w:pPr>
                  <w:r>
                    <w:rPr>
                      <w:rFonts w:hint="eastAsia"/>
                    </w:rPr>
                    <w:t>10</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3</w:t>
                  </w:r>
                </w:p>
              </w:tc>
              <w:tc>
                <w:tcPr>
                  <w:tcW w:w="1835" w:type="pct"/>
                  <w:vAlign w:val="center"/>
                </w:tcPr>
                <w:p>
                  <w:pPr>
                    <w:jc w:val="center"/>
                    <w:rPr>
                      <w:lang w:val="zh-CN"/>
                    </w:rPr>
                  </w:pPr>
                  <w:r>
                    <w:rPr>
                      <w:rFonts w:hint="eastAsia"/>
                    </w:rPr>
                    <w:t>QD双梁桥式起重机</w:t>
                  </w:r>
                </w:p>
              </w:tc>
              <w:tc>
                <w:tcPr>
                  <w:tcW w:w="1200" w:type="pct"/>
                  <w:vAlign w:val="center"/>
                </w:tcPr>
                <w:p>
                  <w:pPr>
                    <w:jc w:val="center"/>
                  </w:pPr>
                  <w:r>
                    <w:rPr>
                      <w:rFonts w:hint="eastAsia"/>
                    </w:rPr>
                    <w:t>QD16/5T</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4</w:t>
                  </w:r>
                </w:p>
              </w:tc>
              <w:tc>
                <w:tcPr>
                  <w:tcW w:w="1835" w:type="pct"/>
                  <w:vAlign w:val="center"/>
                </w:tcPr>
                <w:p>
                  <w:pPr>
                    <w:jc w:val="center"/>
                    <w:rPr>
                      <w:lang w:val="zh-CN"/>
                    </w:rPr>
                  </w:pPr>
                  <w:r>
                    <w:rPr>
                      <w:rFonts w:hint="eastAsia"/>
                    </w:rPr>
                    <w:t>QD双梁桥式起重机</w:t>
                  </w:r>
                </w:p>
              </w:tc>
              <w:tc>
                <w:tcPr>
                  <w:tcW w:w="1200" w:type="pct"/>
                  <w:vAlign w:val="center"/>
                </w:tcPr>
                <w:p>
                  <w:pPr>
                    <w:jc w:val="center"/>
                  </w:pPr>
                  <w:r>
                    <w:rPr>
                      <w:rFonts w:hint="eastAsia"/>
                    </w:rPr>
                    <w:t>QD10T</w:t>
                  </w:r>
                </w:p>
              </w:tc>
              <w:tc>
                <w:tcPr>
                  <w:tcW w:w="726" w:type="pct"/>
                  <w:vAlign w:val="center"/>
                </w:tcPr>
                <w:p>
                  <w:pPr>
                    <w:jc w:val="center"/>
                  </w:pPr>
                  <w:r>
                    <w:rPr>
                      <w:rFonts w:hint="eastAsia"/>
                    </w:rPr>
                    <w:t>5</w:t>
                  </w:r>
                </w:p>
              </w:tc>
              <w:tc>
                <w:tcPr>
                  <w:tcW w:w="474" w:type="pct"/>
                  <w:vAlign w:val="center"/>
                </w:tcPr>
                <w:p>
                  <w:pPr>
                    <w:jc w:val="center"/>
                  </w:pPr>
                  <w:r>
                    <w:rPr>
                      <w:rFonts w:hint="eastAsia"/>
                    </w:rPr>
                    <w:t>5</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5</w:t>
                  </w:r>
                </w:p>
              </w:tc>
              <w:tc>
                <w:tcPr>
                  <w:tcW w:w="1835" w:type="pct"/>
                  <w:vAlign w:val="center"/>
                </w:tcPr>
                <w:p>
                  <w:pPr>
                    <w:jc w:val="center"/>
                    <w:rPr>
                      <w:lang w:val="zh-CN"/>
                    </w:rPr>
                  </w:pPr>
                  <w:r>
                    <w:rPr>
                      <w:rFonts w:hint="eastAsia"/>
                    </w:rPr>
                    <w:t>门式起重机</w:t>
                  </w:r>
                </w:p>
              </w:tc>
              <w:tc>
                <w:tcPr>
                  <w:tcW w:w="1200" w:type="pct"/>
                  <w:vAlign w:val="center"/>
                </w:tcPr>
                <w:p>
                  <w:pPr>
                    <w:jc w:val="center"/>
                  </w:pPr>
                  <w:r>
                    <w:rPr>
                      <w:rFonts w:hint="eastAsia"/>
                    </w:rPr>
                    <w:t>MDG16T</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6</w:t>
                  </w:r>
                </w:p>
              </w:tc>
              <w:tc>
                <w:tcPr>
                  <w:tcW w:w="1835" w:type="pct"/>
                  <w:vAlign w:val="center"/>
                </w:tcPr>
                <w:p>
                  <w:pPr>
                    <w:jc w:val="center"/>
                    <w:rPr>
                      <w:lang w:val="zh-CN"/>
                    </w:rPr>
                  </w:pPr>
                  <w:r>
                    <w:rPr>
                      <w:rFonts w:hint="eastAsia"/>
                    </w:rPr>
                    <w:t>门式起重机</w:t>
                  </w:r>
                </w:p>
              </w:tc>
              <w:tc>
                <w:tcPr>
                  <w:tcW w:w="1200" w:type="pct"/>
                  <w:vAlign w:val="center"/>
                </w:tcPr>
                <w:p>
                  <w:pPr>
                    <w:jc w:val="center"/>
                  </w:pPr>
                  <w:r>
                    <w:rPr>
                      <w:rFonts w:hint="eastAsia"/>
                    </w:rPr>
                    <w:t>MG60T/10T</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7</w:t>
                  </w:r>
                </w:p>
              </w:tc>
              <w:tc>
                <w:tcPr>
                  <w:tcW w:w="1835" w:type="pct"/>
                  <w:vAlign w:val="center"/>
                </w:tcPr>
                <w:p>
                  <w:pPr>
                    <w:jc w:val="center"/>
                    <w:rPr>
                      <w:lang w:val="zh-CN"/>
                    </w:rPr>
                  </w:pPr>
                  <w:r>
                    <w:rPr>
                      <w:rFonts w:hint="eastAsia"/>
                    </w:rPr>
                    <w:t>门式起重机</w:t>
                  </w:r>
                </w:p>
              </w:tc>
              <w:tc>
                <w:tcPr>
                  <w:tcW w:w="1200" w:type="pct"/>
                  <w:vAlign w:val="center"/>
                </w:tcPr>
                <w:p>
                  <w:pPr>
                    <w:jc w:val="center"/>
                  </w:pPr>
                  <w:r>
                    <w:rPr>
                      <w:rFonts w:hint="eastAsia"/>
                    </w:rPr>
                    <w:t>60T/20T</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8</w:t>
                  </w:r>
                </w:p>
              </w:tc>
              <w:tc>
                <w:tcPr>
                  <w:tcW w:w="1835" w:type="pct"/>
                  <w:vAlign w:val="center"/>
                </w:tcPr>
                <w:p>
                  <w:pPr>
                    <w:jc w:val="center"/>
                    <w:rPr>
                      <w:lang w:val="zh-CN"/>
                    </w:rPr>
                  </w:pPr>
                  <w:r>
                    <w:rPr>
                      <w:rFonts w:hint="eastAsia"/>
                    </w:rPr>
                    <w:t>桥式起重机</w:t>
                  </w:r>
                </w:p>
              </w:tc>
              <w:tc>
                <w:tcPr>
                  <w:tcW w:w="1200" w:type="pct"/>
                  <w:vAlign w:val="center"/>
                </w:tcPr>
                <w:p>
                  <w:pPr>
                    <w:jc w:val="center"/>
                  </w:pPr>
                  <w:r>
                    <w:rPr>
                      <w:rFonts w:hint="eastAsia"/>
                    </w:rPr>
                    <w:t>QD20T/5T</w:t>
                  </w:r>
                </w:p>
              </w:tc>
              <w:tc>
                <w:tcPr>
                  <w:tcW w:w="726" w:type="pct"/>
                  <w:vAlign w:val="center"/>
                </w:tcPr>
                <w:p>
                  <w:pPr>
                    <w:jc w:val="center"/>
                  </w:pPr>
                  <w:r>
                    <w:rPr>
                      <w:rFonts w:hint="eastAsia"/>
                    </w:rPr>
                    <w:t>4</w:t>
                  </w:r>
                </w:p>
              </w:tc>
              <w:tc>
                <w:tcPr>
                  <w:tcW w:w="474" w:type="pct"/>
                  <w:vAlign w:val="center"/>
                </w:tcPr>
                <w:p>
                  <w:pPr>
                    <w:jc w:val="center"/>
                  </w:pPr>
                  <w:r>
                    <w:rPr>
                      <w:rFonts w:hint="eastAsia"/>
                    </w:rPr>
                    <w:t>4</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9</w:t>
                  </w:r>
                </w:p>
              </w:tc>
              <w:tc>
                <w:tcPr>
                  <w:tcW w:w="1835" w:type="pct"/>
                  <w:vAlign w:val="center"/>
                </w:tcPr>
                <w:p>
                  <w:pPr>
                    <w:jc w:val="center"/>
                    <w:rPr>
                      <w:lang w:val="zh-CN"/>
                    </w:rPr>
                  </w:pPr>
                  <w:r>
                    <w:rPr>
                      <w:rFonts w:hint="eastAsia"/>
                    </w:rPr>
                    <w:t>桥式起重机</w:t>
                  </w:r>
                </w:p>
              </w:tc>
              <w:tc>
                <w:tcPr>
                  <w:tcW w:w="1200" w:type="pct"/>
                  <w:vAlign w:val="center"/>
                </w:tcPr>
                <w:p>
                  <w:pPr>
                    <w:jc w:val="center"/>
                  </w:pPr>
                  <w:r>
                    <w:rPr>
                      <w:rFonts w:hint="eastAsia"/>
                    </w:rPr>
                    <w:t>QD10T</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10</w:t>
                  </w:r>
                </w:p>
              </w:tc>
              <w:tc>
                <w:tcPr>
                  <w:tcW w:w="1835" w:type="pct"/>
                  <w:vAlign w:val="center"/>
                </w:tcPr>
                <w:p>
                  <w:pPr>
                    <w:jc w:val="center"/>
                    <w:rPr>
                      <w:lang w:val="zh-CN"/>
                    </w:rPr>
                  </w:pPr>
                  <w:r>
                    <w:rPr>
                      <w:rFonts w:hint="eastAsia"/>
                    </w:rPr>
                    <w:t>双梁桥式起重机</w:t>
                  </w:r>
                </w:p>
              </w:tc>
              <w:tc>
                <w:tcPr>
                  <w:tcW w:w="1200" w:type="pct"/>
                  <w:vAlign w:val="center"/>
                </w:tcPr>
                <w:p>
                  <w:pPr>
                    <w:jc w:val="center"/>
                  </w:pPr>
                  <w:r>
                    <w:rPr>
                      <w:rFonts w:hint="eastAsia"/>
                    </w:rPr>
                    <w:t>QD32T/10T</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11</w:t>
                  </w:r>
                </w:p>
              </w:tc>
              <w:tc>
                <w:tcPr>
                  <w:tcW w:w="1835" w:type="pct"/>
                  <w:vAlign w:val="center"/>
                </w:tcPr>
                <w:p>
                  <w:pPr>
                    <w:jc w:val="center"/>
                    <w:rPr>
                      <w:lang w:val="zh-CN"/>
                    </w:rPr>
                  </w:pPr>
                  <w:r>
                    <w:rPr>
                      <w:rFonts w:hint="eastAsia"/>
                    </w:rPr>
                    <w:t>双梁桥式起重机</w:t>
                  </w:r>
                </w:p>
              </w:tc>
              <w:tc>
                <w:tcPr>
                  <w:tcW w:w="1200" w:type="pct"/>
                  <w:vAlign w:val="center"/>
                </w:tcPr>
                <w:p>
                  <w:pPr>
                    <w:jc w:val="center"/>
                  </w:pPr>
                  <w:r>
                    <w:rPr>
                      <w:rFonts w:hint="eastAsia"/>
                    </w:rPr>
                    <w:t>QD10T/5T</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12</w:t>
                  </w:r>
                </w:p>
              </w:tc>
              <w:tc>
                <w:tcPr>
                  <w:tcW w:w="1835" w:type="pct"/>
                  <w:vAlign w:val="center"/>
                </w:tcPr>
                <w:p>
                  <w:pPr>
                    <w:jc w:val="center"/>
                    <w:rPr>
                      <w:lang w:val="zh-CN"/>
                    </w:rPr>
                  </w:pPr>
                  <w:r>
                    <w:rPr>
                      <w:rFonts w:hint="eastAsia"/>
                    </w:rPr>
                    <w:t>单梁起重机</w:t>
                  </w:r>
                </w:p>
              </w:tc>
              <w:tc>
                <w:tcPr>
                  <w:tcW w:w="1200" w:type="pct"/>
                  <w:vAlign w:val="center"/>
                </w:tcPr>
                <w:p>
                  <w:pPr>
                    <w:jc w:val="center"/>
                  </w:pPr>
                  <w:r>
                    <w:rPr>
                      <w:rFonts w:hint="eastAsia"/>
                    </w:rPr>
                    <w:t>LD10T</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13</w:t>
                  </w:r>
                </w:p>
              </w:tc>
              <w:tc>
                <w:tcPr>
                  <w:tcW w:w="1835" w:type="pct"/>
                  <w:vAlign w:val="center"/>
                </w:tcPr>
                <w:p>
                  <w:pPr>
                    <w:jc w:val="center"/>
                    <w:rPr>
                      <w:lang w:val="zh-CN"/>
                    </w:rPr>
                  </w:pPr>
                  <w:r>
                    <w:rPr>
                      <w:rFonts w:hint="eastAsia"/>
                    </w:rPr>
                    <w:t>半门行车</w:t>
                  </w:r>
                </w:p>
              </w:tc>
              <w:tc>
                <w:tcPr>
                  <w:tcW w:w="1200" w:type="pct"/>
                  <w:vAlign w:val="center"/>
                </w:tcPr>
                <w:p>
                  <w:pPr>
                    <w:jc w:val="center"/>
                  </w:pPr>
                  <w:r>
                    <w:rPr>
                      <w:rFonts w:hint="eastAsia"/>
                    </w:rPr>
                    <w:t>2.8T</w:t>
                  </w:r>
                </w:p>
              </w:tc>
              <w:tc>
                <w:tcPr>
                  <w:tcW w:w="726" w:type="pct"/>
                  <w:vAlign w:val="center"/>
                </w:tcPr>
                <w:p>
                  <w:pPr>
                    <w:jc w:val="center"/>
                  </w:pPr>
                  <w:r>
                    <w:rPr>
                      <w:rFonts w:hint="eastAsia"/>
                    </w:rPr>
                    <w:t>21</w:t>
                  </w:r>
                </w:p>
              </w:tc>
              <w:tc>
                <w:tcPr>
                  <w:tcW w:w="474" w:type="pct"/>
                  <w:vAlign w:val="center"/>
                </w:tcPr>
                <w:p>
                  <w:pPr>
                    <w:jc w:val="center"/>
                  </w:pPr>
                  <w:r>
                    <w:rPr>
                      <w:rFonts w:hint="eastAsia"/>
                    </w:rPr>
                    <w:t>21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14</w:t>
                  </w:r>
                </w:p>
              </w:tc>
              <w:tc>
                <w:tcPr>
                  <w:tcW w:w="1835" w:type="pct"/>
                  <w:vAlign w:val="center"/>
                </w:tcPr>
                <w:p>
                  <w:pPr>
                    <w:jc w:val="center"/>
                    <w:rPr>
                      <w:lang w:val="zh-CN"/>
                    </w:rPr>
                  </w:pPr>
                  <w:r>
                    <w:rPr>
                      <w:rFonts w:hint="eastAsia"/>
                    </w:rPr>
                    <w:t>逆变式空气等离子切割机</w:t>
                  </w:r>
                </w:p>
              </w:tc>
              <w:tc>
                <w:tcPr>
                  <w:tcW w:w="1200" w:type="pct"/>
                  <w:vAlign w:val="center"/>
                </w:tcPr>
                <w:p>
                  <w:pPr>
                    <w:jc w:val="center"/>
                  </w:pPr>
                  <w:r>
                    <w:rPr>
                      <w:rFonts w:hint="eastAsia"/>
                    </w:rPr>
                    <w:t>GSII-6*18D2-LGK-200HD</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15</w:t>
                  </w:r>
                </w:p>
              </w:tc>
              <w:tc>
                <w:tcPr>
                  <w:tcW w:w="1835" w:type="pct"/>
                  <w:vAlign w:val="center"/>
                </w:tcPr>
                <w:p>
                  <w:pPr>
                    <w:jc w:val="center"/>
                    <w:rPr>
                      <w:lang w:val="zh-CN"/>
                    </w:rPr>
                  </w:pPr>
                  <w:r>
                    <w:rPr>
                      <w:rFonts w:hint="eastAsia"/>
                    </w:rPr>
                    <w:t>多头数控火焰切割机</w:t>
                  </w:r>
                </w:p>
              </w:tc>
              <w:tc>
                <w:tcPr>
                  <w:tcW w:w="1200" w:type="pct"/>
                  <w:vAlign w:val="center"/>
                </w:tcPr>
                <w:p>
                  <w:pPr>
                    <w:jc w:val="center"/>
                  </w:pPr>
                  <w:r>
                    <w:rPr>
                      <w:rFonts w:hint="eastAsia"/>
                    </w:rPr>
                    <w:t>GS/ZII--5000</w:t>
                  </w:r>
                </w:p>
              </w:tc>
              <w:tc>
                <w:tcPr>
                  <w:tcW w:w="726" w:type="pct"/>
                  <w:vAlign w:val="center"/>
                </w:tcPr>
                <w:p>
                  <w:pPr>
                    <w:jc w:val="center"/>
                  </w:pPr>
                  <w:r>
                    <w:rPr>
                      <w:rFonts w:hint="eastAsia"/>
                    </w:rPr>
                    <w:t>3</w:t>
                  </w:r>
                </w:p>
              </w:tc>
              <w:tc>
                <w:tcPr>
                  <w:tcW w:w="474" w:type="pct"/>
                  <w:vAlign w:val="center"/>
                </w:tcPr>
                <w:p>
                  <w:pPr>
                    <w:jc w:val="center"/>
                  </w:pPr>
                  <w:r>
                    <w:rPr>
                      <w:rFonts w:hint="eastAsia"/>
                    </w:rPr>
                    <w:t>3</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16</w:t>
                  </w:r>
                </w:p>
              </w:tc>
              <w:tc>
                <w:tcPr>
                  <w:tcW w:w="1835" w:type="pct"/>
                  <w:vAlign w:val="center"/>
                </w:tcPr>
                <w:p>
                  <w:pPr>
                    <w:jc w:val="center"/>
                    <w:rPr>
                      <w:lang w:val="zh-CN"/>
                    </w:rPr>
                  </w:pPr>
                  <w:r>
                    <w:rPr>
                      <w:rFonts w:hint="eastAsia"/>
                    </w:rPr>
                    <w:t>多头数控火焰切割机</w:t>
                  </w:r>
                </w:p>
              </w:tc>
              <w:tc>
                <w:tcPr>
                  <w:tcW w:w="1200" w:type="pct"/>
                  <w:vAlign w:val="center"/>
                </w:tcPr>
                <w:p>
                  <w:pPr>
                    <w:jc w:val="center"/>
                  </w:pPr>
                  <w:r>
                    <w:rPr>
                      <w:rFonts w:hint="eastAsia"/>
                    </w:rPr>
                    <w:t>GS/ZII--6000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200" w:hRule="atLeast"/>
              </w:trPr>
              <w:tc>
                <w:tcPr>
                  <w:tcW w:w="289" w:type="pct"/>
                  <w:vAlign w:val="center"/>
                </w:tcPr>
                <w:p>
                  <w:pPr>
                    <w:jc w:val="center"/>
                  </w:pPr>
                  <w:r>
                    <w:rPr>
                      <w:rFonts w:hint="eastAsia"/>
                    </w:rPr>
                    <w:t>17</w:t>
                  </w:r>
                </w:p>
              </w:tc>
              <w:tc>
                <w:tcPr>
                  <w:tcW w:w="1835" w:type="pct"/>
                  <w:vAlign w:val="center"/>
                </w:tcPr>
                <w:p>
                  <w:pPr>
                    <w:jc w:val="center"/>
                    <w:rPr>
                      <w:lang w:val="zh-CN"/>
                    </w:rPr>
                  </w:pPr>
                  <w:r>
                    <w:rPr>
                      <w:rFonts w:hint="eastAsia"/>
                    </w:rPr>
                    <w:t>多头数控火焰切割机</w:t>
                  </w:r>
                </w:p>
              </w:tc>
              <w:tc>
                <w:tcPr>
                  <w:tcW w:w="1200" w:type="pct"/>
                  <w:vAlign w:val="center"/>
                </w:tcPr>
                <w:p>
                  <w:pPr>
                    <w:jc w:val="center"/>
                  </w:pPr>
                  <w:r>
                    <w:rPr>
                      <w:rFonts w:hint="eastAsia"/>
                    </w:rPr>
                    <w:t>GS/ZII--6500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18</w:t>
                  </w:r>
                </w:p>
              </w:tc>
              <w:tc>
                <w:tcPr>
                  <w:tcW w:w="1835" w:type="pct"/>
                  <w:vAlign w:val="center"/>
                </w:tcPr>
                <w:p>
                  <w:pPr>
                    <w:jc w:val="center"/>
                    <w:rPr>
                      <w:lang w:val="zh-CN"/>
                    </w:rPr>
                  </w:pPr>
                  <w:r>
                    <w:rPr>
                      <w:rFonts w:hint="eastAsia"/>
                    </w:rPr>
                    <w:t>多头数控火焰切割机</w:t>
                  </w:r>
                </w:p>
              </w:tc>
              <w:tc>
                <w:tcPr>
                  <w:tcW w:w="1200" w:type="pct"/>
                  <w:vAlign w:val="center"/>
                </w:tcPr>
                <w:p>
                  <w:pPr>
                    <w:jc w:val="center"/>
                  </w:pPr>
                  <w:r>
                    <w:rPr>
                      <w:rFonts w:hint="eastAsia"/>
                    </w:rPr>
                    <w:t>GS/ZII--4000</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19</w:t>
                  </w:r>
                </w:p>
              </w:tc>
              <w:tc>
                <w:tcPr>
                  <w:tcW w:w="1835" w:type="pct"/>
                  <w:vAlign w:val="center"/>
                </w:tcPr>
                <w:p>
                  <w:pPr>
                    <w:jc w:val="center"/>
                    <w:rPr>
                      <w:lang w:val="zh-CN"/>
                    </w:rPr>
                  </w:pPr>
                  <w:r>
                    <w:rPr>
                      <w:rFonts w:hint="eastAsia"/>
                    </w:rPr>
                    <w:t>可控硅弧焊电源</w:t>
                  </w:r>
                </w:p>
              </w:tc>
              <w:tc>
                <w:tcPr>
                  <w:tcW w:w="1200" w:type="pct"/>
                  <w:vAlign w:val="center"/>
                </w:tcPr>
                <w:p>
                  <w:pPr>
                    <w:jc w:val="center"/>
                  </w:pPr>
                  <w:r>
                    <w:rPr>
                      <w:rFonts w:hint="eastAsia"/>
                    </w:rPr>
                    <w:t>ZD5-1250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20</w:t>
                  </w:r>
                </w:p>
              </w:tc>
              <w:tc>
                <w:tcPr>
                  <w:tcW w:w="1835" w:type="pct"/>
                  <w:vAlign w:val="center"/>
                </w:tcPr>
                <w:p>
                  <w:pPr>
                    <w:jc w:val="center"/>
                    <w:rPr>
                      <w:lang w:val="zh-CN"/>
                    </w:rPr>
                  </w:pPr>
                  <w:r>
                    <w:rPr>
                      <w:rFonts w:hint="eastAsia"/>
                    </w:rPr>
                    <w:t>自动埋弧焊送丝小车</w:t>
                  </w:r>
                </w:p>
              </w:tc>
              <w:tc>
                <w:tcPr>
                  <w:tcW w:w="1200" w:type="pct"/>
                  <w:vAlign w:val="center"/>
                </w:tcPr>
                <w:p>
                  <w:pPr>
                    <w:jc w:val="center"/>
                  </w:pPr>
                  <w:r>
                    <w:rPr>
                      <w:rFonts w:hint="eastAsia"/>
                    </w:rPr>
                    <w:t>MZ-ZK-1000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21</w:t>
                  </w:r>
                </w:p>
              </w:tc>
              <w:tc>
                <w:tcPr>
                  <w:tcW w:w="1835" w:type="pct"/>
                  <w:vAlign w:val="center"/>
                </w:tcPr>
                <w:p>
                  <w:pPr>
                    <w:jc w:val="center"/>
                    <w:rPr>
                      <w:lang w:val="zh-CN"/>
                    </w:rPr>
                  </w:pPr>
                  <w:r>
                    <w:rPr>
                      <w:rFonts w:hint="eastAsia"/>
                    </w:rPr>
                    <w:t>小车自动埋弧焊控制箱</w:t>
                  </w:r>
                </w:p>
              </w:tc>
              <w:tc>
                <w:tcPr>
                  <w:tcW w:w="1200" w:type="pct"/>
                  <w:vAlign w:val="center"/>
                </w:tcPr>
                <w:p>
                  <w:pPr>
                    <w:jc w:val="center"/>
                  </w:pPr>
                  <w:r>
                    <w:rPr>
                      <w:rFonts w:hint="eastAsia"/>
                    </w:rPr>
                    <w:t>MZK-1</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22</w:t>
                  </w:r>
                </w:p>
              </w:tc>
              <w:tc>
                <w:tcPr>
                  <w:tcW w:w="1835" w:type="pct"/>
                  <w:vAlign w:val="center"/>
                </w:tcPr>
                <w:p>
                  <w:pPr>
                    <w:jc w:val="center"/>
                    <w:rPr>
                      <w:lang w:val="zh-CN"/>
                    </w:rPr>
                  </w:pPr>
                  <w:r>
                    <w:rPr>
                      <w:rFonts w:hint="eastAsia"/>
                    </w:rPr>
                    <w:t>重型组立机</w:t>
                  </w:r>
                </w:p>
              </w:tc>
              <w:tc>
                <w:tcPr>
                  <w:tcW w:w="1200" w:type="pct"/>
                  <w:vAlign w:val="center"/>
                </w:tcPr>
                <w:p>
                  <w:pPr>
                    <w:jc w:val="center"/>
                  </w:pP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23</w:t>
                  </w:r>
                </w:p>
              </w:tc>
              <w:tc>
                <w:tcPr>
                  <w:tcW w:w="1835" w:type="pct"/>
                  <w:vAlign w:val="center"/>
                </w:tcPr>
                <w:p>
                  <w:pPr>
                    <w:jc w:val="center"/>
                    <w:rPr>
                      <w:lang w:val="zh-CN"/>
                    </w:rPr>
                  </w:pPr>
                  <w:r>
                    <w:rPr>
                      <w:rFonts w:hint="eastAsia"/>
                    </w:rPr>
                    <w:t>门型自动埋弧焊机</w:t>
                  </w:r>
                </w:p>
              </w:tc>
              <w:tc>
                <w:tcPr>
                  <w:tcW w:w="1200" w:type="pct"/>
                  <w:vAlign w:val="center"/>
                </w:tcPr>
                <w:p>
                  <w:pPr>
                    <w:jc w:val="center"/>
                  </w:pPr>
                  <w:r>
                    <w:rPr>
                      <w:rFonts w:hint="eastAsia"/>
                    </w:rPr>
                    <w:t>MZG--2*1000</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24</w:t>
                  </w:r>
                </w:p>
              </w:tc>
              <w:tc>
                <w:tcPr>
                  <w:tcW w:w="1835" w:type="pct"/>
                  <w:vAlign w:val="center"/>
                </w:tcPr>
                <w:p>
                  <w:pPr>
                    <w:jc w:val="center"/>
                    <w:rPr>
                      <w:lang w:val="zh-CN"/>
                    </w:rPr>
                  </w:pPr>
                  <w:r>
                    <w:rPr>
                      <w:rFonts w:hint="eastAsia"/>
                    </w:rPr>
                    <w:t>电渣焊</w:t>
                  </w:r>
                </w:p>
              </w:tc>
              <w:tc>
                <w:tcPr>
                  <w:tcW w:w="1200" w:type="pct"/>
                  <w:vAlign w:val="center"/>
                </w:tcPr>
                <w:p>
                  <w:pPr>
                    <w:jc w:val="center"/>
                  </w:pP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25</w:t>
                  </w:r>
                </w:p>
              </w:tc>
              <w:tc>
                <w:tcPr>
                  <w:tcW w:w="1835" w:type="pct"/>
                  <w:vAlign w:val="center"/>
                </w:tcPr>
                <w:p>
                  <w:pPr>
                    <w:jc w:val="center"/>
                    <w:rPr>
                      <w:lang w:val="zh-CN"/>
                    </w:rPr>
                  </w:pPr>
                  <w:r>
                    <w:rPr>
                      <w:rFonts w:hint="eastAsia"/>
                    </w:rPr>
                    <w:t>双丝埋弧焊机</w:t>
                  </w:r>
                </w:p>
              </w:tc>
              <w:tc>
                <w:tcPr>
                  <w:tcW w:w="1200" w:type="pct"/>
                  <w:vAlign w:val="center"/>
                </w:tcPr>
                <w:p>
                  <w:pPr>
                    <w:jc w:val="center"/>
                  </w:pPr>
                  <w:r>
                    <w:rPr>
                      <w:rFonts w:hint="eastAsia"/>
                    </w:rPr>
                    <w:t>1200AC-1500ADC</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26</w:t>
                  </w:r>
                </w:p>
              </w:tc>
              <w:tc>
                <w:tcPr>
                  <w:tcW w:w="1835" w:type="pct"/>
                  <w:vAlign w:val="center"/>
                </w:tcPr>
                <w:p>
                  <w:pPr>
                    <w:jc w:val="center"/>
                    <w:rPr>
                      <w:lang w:val="zh-CN"/>
                    </w:rPr>
                  </w:pPr>
                  <w:r>
                    <w:rPr>
                      <w:rFonts w:hint="eastAsia"/>
                    </w:rPr>
                    <w:t>液压矫正机</w:t>
                  </w:r>
                </w:p>
              </w:tc>
              <w:tc>
                <w:tcPr>
                  <w:tcW w:w="1200" w:type="pct"/>
                  <w:vAlign w:val="center"/>
                </w:tcPr>
                <w:p>
                  <w:pPr>
                    <w:jc w:val="center"/>
                  </w:pPr>
                  <w:r>
                    <w:rPr>
                      <w:rFonts w:hint="eastAsia"/>
                    </w:rPr>
                    <w:t>YJ-60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27</w:t>
                  </w:r>
                </w:p>
              </w:tc>
              <w:tc>
                <w:tcPr>
                  <w:tcW w:w="1835" w:type="pct"/>
                  <w:vAlign w:val="center"/>
                </w:tcPr>
                <w:p>
                  <w:pPr>
                    <w:jc w:val="center"/>
                    <w:rPr>
                      <w:lang w:val="zh-CN"/>
                    </w:rPr>
                  </w:pPr>
                  <w:r>
                    <w:rPr>
                      <w:rFonts w:hint="eastAsia"/>
                    </w:rPr>
                    <w:t>摇臂钻床</w:t>
                  </w:r>
                </w:p>
              </w:tc>
              <w:tc>
                <w:tcPr>
                  <w:tcW w:w="1200" w:type="pct"/>
                  <w:vAlign w:val="center"/>
                </w:tcPr>
                <w:p>
                  <w:pPr>
                    <w:jc w:val="center"/>
                  </w:pPr>
                  <w:r>
                    <w:rPr>
                      <w:rFonts w:hint="eastAsia"/>
                    </w:rPr>
                    <w:t>Z3050*16/L</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28</w:t>
                  </w:r>
                </w:p>
              </w:tc>
              <w:tc>
                <w:tcPr>
                  <w:tcW w:w="1835" w:type="pct"/>
                  <w:vAlign w:val="center"/>
                </w:tcPr>
                <w:p>
                  <w:pPr>
                    <w:jc w:val="center"/>
                    <w:rPr>
                      <w:lang w:val="zh-CN"/>
                    </w:rPr>
                  </w:pPr>
                  <w:r>
                    <w:rPr>
                      <w:rFonts w:hint="eastAsia"/>
                    </w:rPr>
                    <w:t>端面铣床</w:t>
                  </w:r>
                </w:p>
              </w:tc>
              <w:tc>
                <w:tcPr>
                  <w:tcW w:w="1200" w:type="pct"/>
                  <w:vAlign w:val="center"/>
                </w:tcPr>
                <w:p>
                  <w:pPr>
                    <w:jc w:val="center"/>
                  </w:pPr>
                  <w:r>
                    <w:rPr>
                      <w:rFonts w:hint="eastAsia"/>
                    </w:rPr>
                    <w:t>JDX2020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29</w:t>
                  </w:r>
                </w:p>
              </w:tc>
              <w:tc>
                <w:tcPr>
                  <w:tcW w:w="1835" w:type="pct"/>
                  <w:vAlign w:val="center"/>
                </w:tcPr>
                <w:p>
                  <w:pPr>
                    <w:jc w:val="center"/>
                    <w:rPr>
                      <w:lang w:val="zh-CN"/>
                    </w:rPr>
                  </w:pPr>
                  <w:r>
                    <w:rPr>
                      <w:rFonts w:hint="eastAsia"/>
                    </w:rPr>
                    <w:t>可控硅弧焊电源</w:t>
                  </w:r>
                </w:p>
              </w:tc>
              <w:tc>
                <w:tcPr>
                  <w:tcW w:w="1200" w:type="pct"/>
                  <w:vAlign w:val="center"/>
                </w:tcPr>
                <w:p>
                  <w:pPr>
                    <w:jc w:val="center"/>
                  </w:pPr>
                  <w:r>
                    <w:rPr>
                      <w:rFonts w:hint="eastAsia"/>
                    </w:rPr>
                    <w:t>ZD5-1250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30</w:t>
                  </w:r>
                </w:p>
              </w:tc>
              <w:tc>
                <w:tcPr>
                  <w:tcW w:w="1835" w:type="pct"/>
                  <w:vAlign w:val="center"/>
                </w:tcPr>
                <w:p>
                  <w:pPr>
                    <w:jc w:val="center"/>
                  </w:pPr>
                  <w:r>
                    <w:rPr>
                      <w:rFonts w:hint="eastAsia"/>
                    </w:rPr>
                    <w:t>自动埋弧焊送丝小车</w:t>
                  </w:r>
                </w:p>
              </w:tc>
              <w:tc>
                <w:tcPr>
                  <w:tcW w:w="1200" w:type="pct"/>
                  <w:vAlign w:val="center"/>
                </w:tcPr>
                <w:p>
                  <w:pPr>
                    <w:jc w:val="center"/>
                  </w:pPr>
                  <w:r>
                    <w:rPr>
                      <w:rFonts w:hint="eastAsia"/>
                    </w:rPr>
                    <w:t>MZ-ZK-1000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31</w:t>
                  </w:r>
                </w:p>
              </w:tc>
              <w:tc>
                <w:tcPr>
                  <w:tcW w:w="1835" w:type="pct"/>
                  <w:vAlign w:val="center"/>
                </w:tcPr>
                <w:p>
                  <w:pPr>
                    <w:jc w:val="center"/>
                  </w:pPr>
                  <w:r>
                    <w:rPr>
                      <w:rFonts w:hint="eastAsia"/>
                    </w:rPr>
                    <w:t>小车自动埋弧焊控制箱</w:t>
                  </w:r>
                </w:p>
              </w:tc>
              <w:tc>
                <w:tcPr>
                  <w:tcW w:w="1200" w:type="pct"/>
                  <w:vAlign w:val="center"/>
                </w:tcPr>
                <w:p>
                  <w:pPr>
                    <w:jc w:val="center"/>
                  </w:pPr>
                  <w:r>
                    <w:rPr>
                      <w:rFonts w:hint="eastAsia"/>
                    </w:rPr>
                    <w:t>MZK-1</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32</w:t>
                  </w:r>
                </w:p>
              </w:tc>
              <w:tc>
                <w:tcPr>
                  <w:tcW w:w="1835" w:type="pct"/>
                  <w:vAlign w:val="center"/>
                </w:tcPr>
                <w:p>
                  <w:pPr>
                    <w:jc w:val="center"/>
                  </w:pPr>
                  <w:r>
                    <w:rPr>
                      <w:rFonts w:hint="eastAsia"/>
                    </w:rPr>
                    <w:t>门型自动埋弧焊机</w:t>
                  </w:r>
                </w:p>
              </w:tc>
              <w:tc>
                <w:tcPr>
                  <w:tcW w:w="1200" w:type="pct"/>
                  <w:vAlign w:val="center"/>
                </w:tcPr>
                <w:p>
                  <w:pPr>
                    <w:jc w:val="center"/>
                  </w:pPr>
                  <w:r>
                    <w:rPr>
                      <w:rFonts w:hint="eastAsia"/>
                    </w:rPr>
                    <w:t>MZG--2*1000</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33</w:t>
                  </w:r>
                </w:p>
              </w:tc>
              <w:tc>
                <w:tcPr>
                  <w:tcW w:w="1835" w:type="pct"/>
                  <w:vAlign w:val="center"/>
                </w:tcPr>
                <w:p>
                  <w:pPr>
                    <w:jc w:val="center"/>
                  </w:pPr>
                  <w:r>
                    <w:rPr>
                      <w:rFonts w:hint="eastAsia"/>
                    </w:rPr>
                    <w:t>H型钢组立机</w:t>
                  </w:r>
                </w:p>
              </w:tc>
              <w:tc>
                <w:tcPr>
                  <w:tcW w:w="1200" w:type="pct"/>
                  <w:vAlign w:val="center"/>
                </w:tcPr>
                <w:p>
                  <w:pPr>
                    <w:jc w:val="center"/>
                  </w:pPr>
                  <w:r>
                    <w:rPr>
                      <w:rFonts w:hint="eastAsia"/>
                    </w:rPr>
                    <w:t>HG--1800I</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34</w:t>
                  </w:r>
                </w:p>
              </w:tc>
              <w:tc>
                <w:tcPr>
                  <w:tcW w:w="1835" w:type="pct"/>
                  <w:vAlign w:val="center"/>
                </w:tcPr>
                <w:p>
                  <w:pPr>
                    <w:jc w:val="center"/>
                  </w:pPr>
                  <w:r>
                    <w:rPr>
                      <w:rFonts w:hint="eastAsia"/>
                    </w:rPr>
                    <w:t>矫正机</w:t>
                  </w:r>
                </w:p>
              </w:tc>
              <w:tc>
                <w:tcPr>
                  <w:tcW w:w="1200" w:type="pct"/>
                  <w:vAlign w:val="center"/>
                </w:tcPr>
                <w:p>
                  <w:pPr>
                    <w:jc w:val="center"/>
                  </w:pPr>
                  <w:r>
                    <w:rPr>
                      <w:rFonts w:hint="eastAsia"/>
                    </w:rPr>
                    <w:t>JZ--40A</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35</w:t>
                  </w:r>
                </w:p>
              </w:tc>
              <w:tc>
                <w:tcPr>
                  <w:tcW w:w="1835" w:type="pct"/>
                  <w:vAlign w:val="center"/>
                </w:tcPr>
                <w:p>
                  <w:pPr>
                    <w:jc w:val="center"/>
                  </w:pPr>
                  <w:r>
                    <w:rPr>
                      <w:rFonts w:hint="eastAsia"/>
                    </w:rPr>
                    <w:t>液压摆式剪板机</w:t>
                  </w:r>
                </w:p>
              </w:tc>
              <w:tc>
                <w:tcPr>
                  <w:tcW w:w="1200" w:type="pct"/>
                  <w:vAlign w:val="center"/>
                </w:tcPr>
                <w:p>
                  <w:pPr>
                    <w:jc w:val="center"/>
                  </w:pPr>
                  <w:r>
                    <w:rPr>
                      <w:rFonts w:hint="eastAsia"/>
                    </w:rPr>
                    <w:t>QY12-16*2500</w:t>
                  </w:r>
                </w:p>
              </w:tc>
              <w:tc>
                <w:tcPr>
                  <w:tcW w:w="726" w:type="pct"/>
                  <w:vAlign w:val="center"/>
                </w:tcPr>
                <w:p>
                  <w:pPr>
                    <w:jc w:val="center"/>
                  </w:pPr>
                  <w:r>
                    <w:rPr>
                      <w:rFonts w:hint="eastAsia"/>
                    </w:rPr>
                    <w:t>5</w:t>
                  </w:r>
                </w:p>
              </w:tc>
              <w:tc>
                <w:tcPr>
                  <w:tcW w:w="474" w:type="pct"/>
                  <w:vAlign w:val="center"/>
                </w:tcPr>
                <w:p>
                  <w:pPr>
                    <w:jc w:val="center"/>
                  </w:pPr>
                  <w:r>
                    <w:rPr>
                      <w:rFonts w:hint="eastAsia"/>
                    </w:rPr>
                    <w:t>5</w:t>
                  </w:r>
                </w:p>
              </w:tc>
              <w:tc>
                <w:tcPr>
                  <w:tcW w:w="474" w:type="pct"/>
                  <w:vAlign w:val="center"/>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36</w:t>
                  </w:r>
                </w:p>
              </w:tc>
              <w:tc>
                <w:tcPr>
                  <w:tcW w:w="1835" w:type="pct"/>
                  <w:vAlign w:val="center"/>
                </w:tcPr>
                <w:p>
                  <w:pPr>
                    <w:jc w:val="center"/>
                  </w:pPr>
                  <w:r>
                    <w:rPr>
                      <w:rFonts w:hint="eastAsia"/>
                    </w:rPr>
                    <w:t>数控平面钻</w:t>
                  </w:r>
                </w:p>
              </w:tc>
              <w:tc>
                <w:tcPr>
                  <w:tcW w:w="1200" w:type="pct"/>
                  <w:vAlign w:val="center"/>
                </w:tcPr>
                <w:p>
                  <w:pPr>
                    <w:jc w:val="center"/>
                  </w:pPr>
                  <w:r>
                    <w:rPr>
                      <w:rFonts w:hint="eastAsia"/>
                    </w:rPr>
                    <w:t>PLD2016</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37</w:t>
                  </w:r>
                </w:p>
              </w:tc>
              <w:tc>
                <w:tcPr>
                  <w:tcW w:w="1835" w:type="pct"/>
                  <w:vAlign w:val="center"/>
                </w:tcPr>
                <w:p>
                  <w:pPr>
                    <w:jc w:val="center"/>
                  </w:pPr>
                  <w:r>
                    <w:rPr>
                      <w:rFonts w:hint="eastAsia"/>
                    </w:rPr>
                    <w:t>数控平面钻</w:t>
                  </w:r>
                </w:p>
              </w:tc>
              <w:tc>
                <w:tcPr>
                  <w:tcW w:w="1200" w:type="pct"/>
                  <w:vAlign w:val="center"/>
                </w:tcPr>
                <w:p>
                  <w:pPr>
                    <w:jc w:val="center"/>
                  </w:pPr>
                  <w:r>
                    <w:rPr>
                      <w:rFonts w:hint="eastAsia"/>
                    </w:rPr>
                    <w:t>ZK5550</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38</w:t>
                  </w:r>
                </w:p>
              </w:tc>
              <w:tc>
                <w:tcPr>
                  <w:tcW w:w="1835" w:type="pct"/>
                  <w:vAlign w:val="center"/>
                </w:tcPr>
                <w:p>
                  <w:pPr>
                    <w:jc w:val="center"/>
                  </w:pPr>
                  <w:r>
                    <w:rPr>
                      <w:rFonts w:hint="eastAsia"/>
                    </w:rPr>
                    <w:t>无气喷涂机</w:t>
                  </w:r>
                </w:p>
              </w:tc>
              <w:tc>
                <w:tcPr>
                  <w:tcW w:w="1200" w:type="pct"/>
                  <w:vAlign w:val="center"/>
                </w:tcPr>
                <w:p>
                  <w:pPr>
                    <w:jc w:val="center"/>
                  </w:pPr>
                  <w:r>
                    <w:rPr>
                      <w:rFonts w:hint="eastAsia"/>
                    </w:rPr>
                    <w:t>GPQ9CA</w:t>
                  </w:r>
                </w:p>
              </w:tc>
              <w:tc>
                <w:tcPr>
                  <w:tcW w:w="726" w:type="pct"/>
                  <w:vAlign w:val="center"/>
                </w:tcPr>
                <w:p>
                  <w:pPr>
                    <w:jc w:val="center"/>
                  </w:pPr>
                  <w:r>
                    <w:rPr>
                      <w:rFonts w:hint="eastAsia"/>
                    </w:rPr>
                    <w:t>2</w:t>
                  </w:r>
                </w:p>
              </w:tc>
              <w:tc>
                <w:tcPr>
                  <w:tcW w:w="474" w:type="pct"/>
                  <w:vAlign w:val="center"/>
                </w:tcPr>
                <w:p>
                  <w:pPr>
                    <w:jc w:val="center"/>
                  </w:pPr>
                  <w:r>
                    <w:rPr>
                      <w:rFonts w:hint="eastAsia"/>
                    </w:rPr>
                    <w:t>4</w:t>
                  </w:r>
                </w:p>
              </w:tc>
              <w:tc>
                <w:tcPr>
                  <w:tcW w:w="474" w:type="pct"/>
                </w:tcPr>
                <w:p>
                  <w:pPr>
                    <w:widowControl/>
                    <w:jc w:val="center"/>
                    <w:textAlignment w:val="center"/>
                    <w:rPr>
                      <w:color w:val="000000"/>
                      <w:kern w:val="0"/>
                      <w:szCs w:val="21"/>
                      <w:lang w:bidi="ar"/>
                    </w:rPr>
                  </w:pPr>
                  <w:r>
                    <w:rPr>
                      <w:rFonts w:hint="eastAsia"/>
                      <w:color w:val="000000"/>
                      <w:kern w:val="0"/>
                      <w:szCs w:val="21"/>
                      <w:lang w:bidi="ar"/>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39</w:t>
                  </w:r>
                </w:p>
              </w:tc>
              <w:tc>
                <w:tcPr>
                  <w:tcW w:w="1835" w:type="pct"/>
                  <w:vAlign w:val="center"/>
                </w:tcPr>
                <w:p>
                  <w:pPr>
                    <w:jc w:val="center"/>
                  </w:pPr>
                  <w:r>
                    <w:rPr>
                      <w:rFonts w:hint="eastAsia"/>
                    </w:rPr>
                    <w:t>组焊矫一体机</w:t>
                  </w:r>
                </w:p>
              </w:tc>
              <w:tc>
                <w:tcPr>
                  <w:tcW w:w="1200" w:type="pct"/>
                  <w:vAlign w:val="center"/>
                </w:tcPr>
                <w:p>
                  <w:pPr>
                    <w:jc w:val="center"/>
                  </w:pPr>
                  <w:r>
                    <w:rPr>
                      <w:rFonts w:hint="eastAsia"/>
                    </w:rPr>
                    <w:t>ZHJ-1800</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40</w:t>
                  </w:r>
                </w:p>
              </w:tc>
              <w:tc>
                <w:tcPr>
                  <w:tcW w:w="1835" w:type="pct"/>
                  <w:vAlign w:val="center"/>
                </w:tcPr>
                <w:p>
                  <w:pPr>
                    <w:jc w:val="center"/>
                  </w:pPr>
                  <w:r>
                    <w:rPr>
                      <w:rFonts w:hint="eastAsia"/>
                    </w:rPr>
                    <w:t>逆变式多功能弧焊电源</w:t>
                  </w:r>
                </w:p>
              </w:tc>
              <w:tc>
                <w:tcPr>
                  <w:tcW w:w="1200" w:type="pct"/>
                  <w:vAlign w:val="center"/>
                </w:tcPr>
                <w:p>
                  <w:pPr>
                    <w:jc w:val="center"/>
                  </w:pPr>
                  <w:r>
                    <w:rPr>
                      <w:rFonts w:hint="eastAsia"/>
                    </w:rPr>
                    <w:t>ZD7-1250IGBT</w:t>
                  </w:r>
                </w:p>
              </w:tc>
              <w:tc>
                <w:tcPr>
                  <w:tcW w:w="726" w:type="pct"/>
                  <w:vAlign w:val="center"/>
                </w:tcPr>
                <w:p>
                  <w:pPr>
                    <w:jc w:val="center"/>
                  </w:pPr>
                  <w:r>
                    <w:rPr>
                      <w:rFonts w:hint="eastAsia"/>
                    </w:rPr>
                    <w:t>7</w:t>
                  </w:r>
                </w:p>
              </w:tc>
              <w:tc>
                <w:tcPr>
                  <w:tcW w:w="474" w:type="pct"/>
                  <w:vAlign w:val="center"/>
                </w:tcPr>
                <w:p>
                  <w:pPr>
                    <w:jc w:val="center"/>
                  </w:pPr>
                  <w:r>
                    <w:rPr>
                      <w:rFonts w:hint="eastAsia"/>
                    </w:rPr>
                    <w:t>7</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41</w:t>
                  </w:r>
                </w:p>
              </w:tc>
              <w:tc>
                <w:tcPr>
                  <w:tcW w:w="1835" w:type="pct"/>
                  <w:vAlign w:val="center"/>
                </w:tcPr>
                <w:p>
                  <w:pPr>
                    <w:jc w:val="center"/>
                  </w:pPr>
                  <w:r>
                    <w:rPr>
                      <w:rFonts w:hint="eastAsia"/>
                    </w:rPr>
                    <w:t>通用型埋弧焊小车</w:t>
                  </w:r>
                </w:p>
              </w:tc>
              <w:tc>
                <w:tcPr>
                  <w:tcW w:w="1200" w:type="pct"/>
                  <w:vAlign w:val="center"/>
                </w:tcPr>
                <w:p>
                  <w:pPr>
                    <w:jc w:val="center"/>
                  </w:pPr>
                  <w:r>
                    <w:rPr>
                      <w:rFonts w:hint="eastAsia"/>
                    </w:rPr>
                    <w:t>MZ-1</w:t>
                  </w:r>
                </w:p>
              </w:tc>
              <w:tc>
                <w:tcPr>
                  <w:tcW w:w="726" w:type="pct"/>
                  <w:vAlign w:val="center"/>
                </w:tcPr>
                <w:p>
                  <w:pPr>
                    <w:jc w:val="center"/>
                  </w:pPr>
                  <w:r>
                    <w:rPr>
                      <w:rFonts w:hint="eastAsia"/>
                    </w:rPr>
                    <w:t>3</w:t>
                  </w:r>
                </w:p>
              </w:tc>
              <w:tc>
                <w:tcPr>
                  <w:tcW w:w="474" w:type="pct"/>
                  <w:vAlign w:val="center"/>
                </w:tcPr>
                <w:p>
                  <w:pPr>
                    <w:jc w:val="center"/>
                  </w:pPr>
                  <w:r>
                    <w:rPr>
                      <w:rFonts w:hint="eastAsia"/>
                    </w:rPr>
                    <w:t>3</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42</w:t>
                  </w:r>
                </w:p>
              </w:tc>
              <w:tc>
                <w:tcPr>
                  <w:tcW w:w="1835" w:type="pct"/>
                  <w:vAlign w:val="center"/>
                </w:tcPr>
                <w:p>
                  <w:pPr>
                    <w:jc w:val="center"/>
                  </w:pPr>
                  <w:r>
                    <w:rPr>
                      <w:rFonts w:hint="eastAsia"/>
                    </w:rPr>
                    <w:t>门型自动埋弧焊机</w:t>
                  </w:r>
                </w:p>
              </w:tc>
              <w:tc>
                <w:tcPr>
                  <w:tcW w:w="1200" w:type="pct"/>
                  <w:vAlign w:val="center"/>
                </w:tcPr>
                <w:p>
                  <w:pPr>
                    <w:jc w:val="center"/>
                  </w:pPr>
                  <w:r>
                    <w:rPr>
                      <w:rFonts w:hint="eastAsia"/>
                    </w:rPr>
                    <w:t>MZG--2*1000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43</w:t>
                  </w:r>
                </w:p>
              </w:tc>
              <w:tc>
                <w:tcPr>
                  <w:tcW w:w="1835" w:type="pct"/>
                  <w:vAlign w:val="center"/>
                </w:tcPr>
                <w:p>
                  <w:pPr>
                    <w:jc w:val="center"/>
                  </w:pPr>
                  <w:r>
                    <w:rPr>
                      <w:rFonts w:hint="eastAsia"/>
                    </w:rPr>
                    <w:t>液压矫正机</w:t>
                  </w:r>
                </w:p>
              </w:tc>
              <w:tc>
                <w:tcPr>
                  <w:tcW w:w="1200" w:type="pct"/>
                  <w:vAlign w:val="center"/>
                </w:tcPr>
                <w:p>
                  <w:pPr>
                    <w:jc w:val="center"/>
                  </w:pPr>
                  <w:r>
                    <w:rPr>
                      <w:rFonts w:hint="eastAsia"/>
                    </w:rPr>
                    <w:t>YJ-80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44</w:t>
                  </w:r>
                </w:p>
              </w:tc>
              <w:tc>
                <w:tcPr>
                  <w:tcW w:w="1835" w:type="pct"/>
                  <w:vAlign w:val="center"/>
                </w:tcPr>
                <w:p>
                  <w:pPr>
                    <w:jc w:val="center"/>
                  </w:pPr>
                  <w:r>
                    <w:rPr>
                      <w:rFonts w:hint="eastAsia"/>
                    </w:rPr>
                    <w:t>磁座钻</w:t>
                  </w:r>
                </w:p>
              </w:tc>
              <w:tc>
                <w:tcPr>
                  <w:tcW w:w="1200" w:type="pct"/>
                  <w:vAlign w:val="center"/>
                </w:tcPr>
                <w:p>
                  <w:pPr>
                    <w:jc w:val="center"/>
                  </w:pPr>
                  <w:r>
                    <w:rPr>
                      <w:rFonts w:hint="eastAsia"/>
                    </w:rPr>
                    <w:t>DX-35</w:t>
                  </w:r>
                </w:p>
              </w:tc>
              <w:tc>
                <w:tcPr>
                  <w:tcW w:w="726" w:type="pct"/>
                  <w:vAlign w:val="center"/>
                </w:tcPr>
                <w:p>
                  <w:pPr>
                    <w:jc w:val="center"/>
                  </w:pPr>
                  <w:r>
                    <w:rPr>
                      <w:rFonts w:hint="eastAsia"/>
                    </w:rPr>
                    <w:t>7</w:t>
                  </w:r>
                </w:p>
              </w:tc>
              <w:tc>
                <w:tcPr>
                  <w:tcW w:w="474" w:type="pct"/>
                  <w:vAlign w:val="center"/>
                </w:tcPr>
                <w:p>
                  <w:pPr>
                    <w:jc w:val="center"/>
                  </w:pPr>
                  <w:r>
                    <w:rPr>
                      <w:rFonts w:hint="eastAsia"/>
                    </w:rPr>
                    <w:t>7</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45</w:t>
                  </w:r>
                </w:p>
              </w:tc>
              <w:tc>
                <w:tcPr>
                  <w:tcW w:w="1835" w:type="pct"/>
                  <w:vAlign w:val="center"/>
                </w:tcPr>
                <w:p>
                  <w:pPr>
                    <w:jc w:val="center"/>
                  </w:pPr>
                  <w:r>
                    <w:rPr>
                      <w:rFonts w:hint="eastAsia"/>
                    </w:rPr>
                    <w:t>金属带锯床</w:t>
                  </w:r>
                </w:p>
              </w:tc>
              <w:tc>
                <w:tcPr>
                  <w:tcW w:w="1200" w:type="pct"/>
                  <w:vAlign w:val="center"/>
                </w:tcPr>
                <w:p>
                  <w:pPr>
                    <w:jc w:val="center"/>
                  </w:pPr>
                  <w:r>
                    <w:rPr>
                      <w:rFonts w:hint="eastAsia"/>
                    </w:rPr>
                    <w:t>G4028</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46</w:t>
                  </w:r>
                </w:p>
              </w:tc>
              <w:tc>
                <w:tcPr>
                  <w:tcW w:w="1835" w:type="pct"/>
                  <w:vAlign w:val="center"/>
                </w:tcPr>
                <w:p>
                  <w:pPr>
                    <w:jc w:val="center"/>
                  </w:pPr>
                  <w:r>
                    <w:rPr>
                      <w:rFonts w:hint="eastAsia"/>
                    </w:rPr>
                    <w:t>联合冲剪机</w:t>
                  </w:r>
                </w:p>
              </w:tc>
              <w:tc>
                <w:tcPr>
                  <w:tcW w:w="1200" w:type="pct"/>
                  <w:vAlign w:val="center"/>
                </w:tcPr>
                <w:p>
                  <w:pPr>
                    <w:jc w:val="center"/>
                  </w:pPr>
                  <w:r>
                    <w:rPr>
                      <w:rFonts w:hint="eastAsia"/>
                    </w:rPr>
                    <w:t>Multi70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47</w:t>
                  </w:r>
                </w:p>
              </w:tc>
              <w:tc>
                <w:tcPr>
                  <w:tcW w:w="1835" w:type="pct"/>
                  <w:vAlign w:val="center"/>
                </w:tcPr>
                <w:p>
                  <w:pPr>
                    <w:jc w:val="center"/>
                  </w:pPr>
                  <w:r>
                    <w:rPr>
                      <w:rFonts w:hint="eastAsia"/>
                    </w:rPr>
                    <w:t>液压板料折弯机</w:t>
                  </w:r>
                </w:p>
              </w:tc>
              <w:tc>
                <w:tcPr>
                  <w:tcW w:w="1200" w:type="pct"/>
                  <w:vAlign w:val="center"/>
                </w:tcPr>
                <w:p>
                  <w:pPr>
                    <w:jc w:val="center"/>
                  </w:pPr>
                  <w:r>
                    <w:rPr>
                      <w:rFonts w:hint="eastAsia"/>
                    </w:rPr>
                    <w:t>WC67Y-160/6000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48</w:t>
                  </w:r>
                </w:p>
              </w:tc>
              <w:tc>
                <w:tcPr>
                  <w:tcW w:w="1835" w:type="pct"/>
                  <w:vAlign w:val="bottom"/>
                </w:tcPr>
                <w:p>
                  <w:pPr>
                    <w:jc w:val="center"/>
                  </w:pPr>
                  <w:r>
                    <w:rPr>
                      <w:rFonts w:hint="eastAsia"/>
                    </w:rPr>
                    <w:t>三维火焰切割机</w:t>
                  </w:r>
                </w:p>
              </w:tc>
              <w:tc>
                <w:tcPr>
                  <w:tcW w:w="1200" w:type="pct"/>
                  <w:vAlign w:val="center"/>
                </w:tcPr>
                <w:p>
                  <w:pPr>
                    <w:jc w:val="center"/>
                  </w:pPr>
                  <w:r>
                    <w:rPr>
                      <w:rFonts w:hint="eastAsia"/>
                    </w:rPr>
                    <w:t>LWF-10</w:t>
                  </w:r>
                </w:p>
              </w:tc>
              <w:tc>
                <w:tcPr>
                  <w:tcW w:w="726" w:type="pct"/>
                  <w:vAlign w:val="center"/>
                </w:tcPr>
                <w:p>
                  <w:pPr>
                    <w:jc w:val="center"/>
                  </w:pPr>
                  <w:r>
                    <w:rPr>
                      <w:rFonts w:hint="eastAsia"/>
                    </w:rPr>
                    <w:t>3</w:t>
                  </w:r>
                </w:p>
              </w:tc>
              <w:tc>
                <w:tcPr>
                  <w:tcW w:w="474" w:type="pct"/>
                  <w:vAlign w:val="center"/>
                </w:tcPr>
                <w:p>
                  <w:pPr>
                    <w:jc w:val="center"/>
                  </w:pPr>
                  <w:r>
                    <w:rPr>
                      <w:rFonts w:hint="eastAsia"/>
                    </w:rPr>
                    <w:t>3</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49</w:t>
                  </w:r>
                </w:p>
              </w:tc>
              <w:tc>
                <w:tcPr>
                  <w:tcW w:w="1835" w:type="pct"/>
                  <w:vAlign w:val="bottom"/>
                </w:tcPr>
                <w:p>
                  <w:pPr>
                    <w:jc w:val="center"/>
                  </w:pPr>
                  <w:r>
                    <w:rPr>
                      <w:rFonts w:hint="eastAsia"/>
                    </w:rPr>
                    <w:t>磁力管道切割机</w:t>
                  </w:r>
                </w:p>
              </w:tc>
              <w:tc>
                <w:tcPr>
                  <w:tcW w:w="1200" w:type="pct"/>
                  <w:vAlign w:val="center"/>
                </w:tcPr>
                <w:p>
                  <w:pPr>
                    <w:jc w:val="center"/>
                  </w:pPr>
                  <w:r>
                    <w:rPr>
                      <w:rFonts w:hint="eastAsia"/>
                    </w:rPr>
                    <w:t>CG2-11</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50</w:t>
                  </w:r>
                </w:p>
              </w:tc>
              <w:tc>
                <w:tcPr>
                  <w:tcW w:w="1835" w:type="pct"/>
                  <w:vAlign w:val="center"/>
                </w:tcPr>
                <w:p>
                  <w:pPr>
                    <w:jc w:val="center"/>
                  </w:pPr>
                  <w:r>
                    <w:rPr>
                      <w:rFonts w:hint="eastAsia"/>
                    </w:rPr>
                    <w:t>林肯焊机</w:t>
                  </w:r>
                </w:p>
              </w:tc>
              <w:tc>
                <w:tcPr>
                  <w:tcW w:w="1200" w:type="pct"/>
                  <w:vAlign w:val="center"/>
                </w:tcPr>
                <w:p>
                  <w:pPr>
                    <w:jc w:val="center"/>
                  </w:pPr>
                  <w:r>
                    <w:rPr>
                      <w:rFonts w:hint="eastAsia"/>
                    </w:rPr>
                    <w:t>DC---1000</w:t>
                  </w:r>
                </w:p>
              </w:tc>
              <w:tc>
                <w:tcPr>
                  <w:tcW w:w="726" w:type="pct"/>
                  <w:vAlign w:val="center"/>
                </w:tcPr>
                <w:p>
                  <w:pPr>
                    <w:jc w:val="center"/>
                  </w:pPr>
                  <w:r>
                    <w:rPr>
                      <w:rFonts w:hint="eastAsia"/>
                    </w:rPr>
                    <w:t>8</w:t>
                  </w:r>
                </w:p>
              </w:tc>
              <w:tc>
                <w:tcPr>
                  <w:tcW w:w="474" w:type="pct"/>
                  <w:vAlign w:val="center"/>
                </w:tcPr>
                <w:p>
                  <w:pPr>
                    <w:jc w:val="center"/>
                  </w:pPr>
                  <w:r>
                    <w:rPr>
                      <w:rFonts w:hint="eastAsia"/>
                    </w:rPr>
                    <w:t>8</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51</w:t>
                  </w:r>
                </w:p>
              </w:tc>
              <w:tc>
                <w:tcPr>
                  <w:tcW w:w="1835" w:type="pct"/>
                  <w:vAlign w:val="center"/>
                </w:tcPr>
                <w:p>
                  <w:pPr>
                    <w:jc w:val="center"/>
                  </w:pPr>
                  <w:r>
                    <w:rPr>
                      <w:rFonts w:hint="eastAsia"/>
                    </w:rPr>
                    <w:t>林肯焊机</w:t>
                  </w:r>
                </w:p>
              </w:tc>
              <w:tc>
                <w:tcPr>
                  <w:tcW w:w="1200" w:type="pct"/>
                  <w:vAlign w:val="center"/>
                </w:tcPr>
                <w:p>
                  <w:pPr>
                    <w:jc w:val="center"/>
                  </w:pPr>
                  <w:r>
                    <w:rPr>
                      <w:rFonts w:hint="eastAsia"/>
                    </w:rPr>
                    <w:t>DC---1500</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52</w:t>
                  </w:r>
                </w:p>
              </w:tc>
              <w:tc>
                <w:tcPr>
                  <w:tcW w:w="1835" w:type="pct"/>
                  <w:vAlign w:val="center"/>
                </w:tcPr>
                <w:p>
                  <w:pPr>
                    <w:jc w:val="center"/>
                  </w:pPr>
                  <w:r>
                    <w:rPr>
                      <w:rFonts w:hint="eastAsia"/>
                    </w:rPr>
                    <w:t>林肯焊机</w:t>
                  </w:r>
                </w:p>
              </w:tc>
              <w:tc>
                <w:tcPr>
                  <w:tcW w:w="1200" w:type="pct"/>
                  <w:vAlign w:val="center"/>
                </w:tcPr>
                <w:p>
                  <w:pPr>
                    <w:jc w:val="center"/>
                  </w:pPr>
                  <w:r>
                    <w:rPr>
                      <w:rFonts w:hint="eastAsia"/>
                    </w:rPr>
                    <w:t>DC---600</w:t>
                  </w:r>
                </w:p>
              </w:tc>
              <w:tc>
                <w:tcPr>
                  <w:tcW w:w="726" w:type="pct"/>
                  <w:vAlign w:val="center"/>
                </w:tcPr>
                <w:p>
                  <w:pPr>
                    <w:jc w:val="center"/>
                  </w:pPr>
                  <w:r>
                    <w:rPr>
                      <w:rFonts w:hint="eastAsia"/>
                    </w:rPr>
                    <w:t>4</w:t>
                  </w:r>
                </w:p>
              </w:tc>
              <w:tc>
                <w:tcPr>
                  <w:tcW w:w="474" w:type="pct"/>
                  <w:vAlign w:val="center"/>
                </w:tcPr>
                <w:p>
                  <w:pPr>
                    <w:jc w:val="center"/>
                  </w:pPr>
                  <w:r>
                    <w:rPr>
                      <w:rFonts w:hint="eastAsia"/>
                    </w:rPr>
                    <w:t>4</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53</w:t>
                  </w:r>
                </w:p>
              </w:tc>
              <w:tc>
                <w:tcPr>
                  <w:tcW w:w="1835" w:type="pct"/>
                  <w:vAlign w:val="center"/>
                </w:tcPr>
                <w:p>
                  <w:pPr>
                    <w:jc w:val="center"/>
                  </w:pPr>
                  <w:r>
                    <w:rPr>
                      <w:rFonts w:hint="eastAsia"/>
                    </w:rPr>
                    <w:t>林肯焊机</w:t>
                  </w:r>
                </w:p>
              </w:tc>
              <w:tc>
                <w:tcPr>
                  <w:tcW w:w="1200" w:type="pct"/>
                  <w:vAlign w:val="center"/>
                </w:tcPr>
                <w:p>
                  <w:pPr>
                    <w:jc w:val="center"/>
                  </w:pPr>
                  <w:r>
                    <w:rPr>
                      <w:rFonts w:hint="eastAsia"/>
                    </w:rPr>
                    <w:t>AC---1200</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54</w:t>
                  </w:r>
                </w:p>
              </w:tc>
              <w:tc>
                <w:tcPr>
                  <w:tcW w:w="1835" w:type="pct"/>
                  <w:vAlign w:val="center"/>
                </w:tcPr>
                <w:p>
                  <w:pPr>
                    <w:jc w:val="center"/>
                  </w:pPr>
                  <w:r>
                    <w:rPr>
                      <w:rFonts w:hint="eastAsia"/>
                    </w:rPr>
                    <w:t>CO2焊机</w:t>
                  </w:r>
                </w:p>
              </w:tc>
              <w:tc>
                <w:tcPr>
                  <w:tcW w:w="1200" w:type="pct"/>
                  <w:vAlign w:val="center"/>
                </w:tcPr>
                <w:p>
                  <w:pPr>
                    <w:jc w:val="center"/>
                  </w:pPr>
                  <w:r>
                    <w:rPr>
                      <w:rFonts w:hint="eastAsia"/>
                    </w:rPr>
                    <w:t>CPXDS-500</w:t>
                  </w:r>
                </w:p>
              </w:tc>
              <w:tc>
                <w:tcPr>
                  <w:tcW w:w="726" w:type="pct"/>
                  <w:vAlign w:val="center"/>
                </w:tcPr>
                <w:p>
                  <w:pPr>
                    <w:jc w:val="center"/>
                  </w:pPr>
                  <w:r>
                    <w:rPr>
                      <w:rFonts w:hint="eastAsia"/>
                    </w:rPr>
                    <w:t>22</w:t>
                  </w:r>
                </w:p>
              </w:tc>
              <w:tc>
                <w:tcPr>
                  <w:tcW w:w="474" w:type="pct"/>
                  <w:vAlign w:val="center"/>
                </w:tcPr>
                <w:p>
                  <w:pPr>
                    <w:jc w:val="center"/>
                  </w:pPr>
                  <w:r>
                    <w:rPr>
                      <w:rFonts w:hint="eastAsia"/>
                    </w:rPr>
                    <w:t>22</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55</w:t>
                  </w:r>
                </w:p>
              </w:tc>
              <w:tc>
                <w:tcPr>
                  <w:tcW w:w="1835" w:type="pct"/>
                  <w:vAlign w:val="center"/>
                </w:tcPr>
                <w:p>
                  <w:pPr>
                    <w:jc w:val="center"/>
                  </w:pPr>
                  <w:r>
                    <w:rPr>
                      <w:rFonts w:hint="eastAsia"/>
                    </w:rPr>
                    <w:t>CO2焊机IBGT</w:t>
                  </w:r>
                </w:p>
              </w:tc>
              <w:tc>
                <w:tcPr>
                  <w:tcW w:w="1200" w:type="pct"/>
                  <w:vAlign w:val="center"/>
                </w:tcPr>
                <w:p>
                  <w:pPr>
                    <w:jc w:val="center"/>
                  </w:pPr>
                  <w:r>
                    <w:rPr>
                      <w:rFonts w:hint="eastAsia"/>
                    </w:rPr>
                    <w:t>NB-500</w:t>
                  </w:r>
                </w:p>
              </w:tc>
              <w:tc>
                <w:tcPr>
                  <w:tcW w:w="726" w:type="pct"/>
                  <w:vAlign w:val="center"/>
                </w:tcPr>
                <w:p>
                  <w:pPr>
                    <w:jc w:val="center"/>
                  </w:pPr>
                  <w:r>
                    <w:rPr>
                      <w:rFonts w:hint="eastAsia"/>
                    </w:rPr>
                    <w:t>18</w:t>
                  </w:r>
                </w:p>
              </w:tc>
              <w:tc>
                <w:tcPr>
                  <w:tcW w:w="474" w:type="pct"/>
                  <w:vAlign w:val="center"/>
                </w:tcPr>
                <w:p>
                  <w:pPr>
                    <w:jc w:val="center"/>
                  </w:pPr>
                  <w:r>
                    <w:rPr>
                      <w:rFonts w:hint="eastAsia"/>
                    </w:rPr>
                    <w:t>18</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56</w:t>
                  </w:r>
                </w:p>
              </w:tc>
              <w:tc>
                <w:tcPr>
                  <w:tcW w:w="1835" w:type="pct"/>
                  <w:vAlign w:val="center"/>
                </w:tcPr>
                <w:p>
                  <w:pPr>
                    <w:jc w:val="center"/>
                  </w:pPr>
                  <w:r>
                    <w:rPr>
                      <w:rFonts w:hint="eastAsia"/>
                    </w:rPr>
                    <w:t>CO2焊机</w:t>
                  </w:r>
                </w:p>
              </w:tc>
              <w:tc>
                <w:tcPr>
                  <w:tcW w:w="1200" w:type="pct"/>
                  <w:vAlign w:val="center"/>
                </w:tcPr>
                <w:p>
                  <w:pPr>
                    <w:jc w:val="center"/>
                  </w:pPr>
                  <w:r>
                    <w:rPr>
                      <w:rFonts w:hint="eastAsia"/>
                    </w:rPr>
                    <w:t>KRⅡ500</w:t>
                  </w:r>
                </w:p>
              </w:tc>
              <w:tc>
                <w:tcPr>
                  <w:tcW w:w="726" w:type="pct"/>
                  <w:vAlign w:val="center"/>
                </w:tcPr>
                <w:p>
                  <w:pPr>
                    <w:jc w:val="center"/>
                  </w:pPr>
                  <w:r>
                    <w:rPr>
                      <w:rFonts w:hint="eastAsia"/>
                    </w:rPr>
                    <w:t>3</w:t>
                  </w:r>
                </w:p>
              </w:tc>
              <w:tc>
                <w:tcPr>
                  <w:tcW w:w="474" w:type="pct"/>
                  <w:vAlign w:val="center"/>
                </w:tcPr>
                <w:p>
                  <w:pPr>
                    <w:jc w:val="center"/>
                  </w:pPr>
                  <w:r>
                    <w:rPr>
                      <w:rFonts w:hint="eastAsia"/>
                    </w:rPr>
                    <w:t>3</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57</w:t>
                  </w:r>
                </w:p>
              </w:tc>
              <w:tc>
                <w:tcPr>
                  <w:tcW w:w="1835" w:type="pct"/>
                  <w:vAlign w:val="center"/>
                </w:tcPr>
                <w:p>
                  <w:pPr>
                    <w:jc w:val="center"/>
                  </w:pPr>
                  <w:r>
                    <w:rPr>
                      <w:rFonts w:hint="eastAsia"/>
                    </w:rPr>
                    <w:t>CO3焊机</w:t>
                  </w:r>
                </w:p>
              </w:tc>
              <w:tc>
                <w:tcPr>
                  <w:tcW w:w="1200" w:type="pct"/>
                  <w:vAlign w:val="center"/>
                </w:tcPr>
                <w:p>
                  <w:pPr>
                    <w:jc w:val="center"/>
                  </w:pPr>
                  <w:r>
                    <w:rPr>
                      <w:rFonts w:hint="eastAsia"/>
                    </w:rPr>
                    <w:t>KRⅡ600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58</w:t>
                  </w:r>
                </w:p>
              </w:tc>
              <w:tc>
                <w:tcPr>
                  <w:tcW w:w="1835" w:type="pct"/>
                  <w:vAlign w:val="center"/>
                </w:tcPr>
                <w:p>
                  <w:pPr>
                    <w:jc w:val="center"/>
                  </w:pPr>
                  <w:r>
                    <w:rPr>
                      <w:rFonts w:hint="eastAsia"/>
                    </w:rPr>
                    <w:t>CO4焊机</w:t>
                  </w:r>
                </w:p>
              </w:tc>
              <w:tc>
                <w:tcPr>
                  <w:tcW w:w="1200" w:type="pct"/>
                  <w:vAlign w:val="center"/>
                </w:tcPr>
                <w:p>
                  <w:pPr>
                    <w:jc w:val="center"/>
                  </w:pPr>
                  <w:r>
                    <w:rPr>
                      <w:rFonts w:hint="eastAsia"/>
                    </w:rPr>
                    <w:t>KRⅡ600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59</w:t>
                  </w:r>
                </w:p>
              </w:tc>
              <w:tc>
                <w:tcPr>
                  <w:tcW w:w="1835" w:type="pct"/>
                  <w:vAlign w:val="center"/>
                </w:tcPr>
                <w:p>
                  <w:pPr>
                    <w:jc w:val="center"/>
                  </w:pPr>
                  <w:r>
                    <w:rPr>
                      <w:rFonts w:hint="eastAsia"/>
                    </w:rPr>
                    <w:t>CO5焊机</w:t>
                  </w:r>
                </w:p>
              </w:tc>
              <w:tc>
                <w:tcPr>
                  <w:tcW w:w="1200" w:type="pct"/>
                  <w:vAlign w:val="center"/>
                </w:tcPr>
                <w:p>
                  <w:pPr>
                    <w:jc w:val="center"/>
                  </w:pPr>
                  <w:r>
                    <w:rPr>
                      <w:rFonts w:hint="eastAsia"/>
                    </w:rPr>
                    <w:t>KRⅡ600</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60</w:t>
                  </w:r>
                </w:p>
              </w:tc>
              <w:tc>
                <w:tcPr>
                  <w:tcW w:w="1835" w:type="pct"/>
                  <w:vAlign w:val="center"/>
                </w:tcPr>
                <w:p>
                  <w:pPr>
                    <w:jc w:val="center"/>
                  </w:pPr>
                  <w:r>
                    <w:rPr>
                      <w:rFonts w:hint="eastAsia"/>
                    </w:rPr>
                    <w:t>CO2焊机</w:t>
                  </w:r>
                </w:p>
              </w:tc>
              <w:tc>
                <w:tcPr>
                  <w:tcW w:w="1200" w:type="pct"/>
                  <w:vAlign w:val="center"/>
                </w:tcPr>
                <w:p>
                  <w:pPr>
                    <w:jc w:val="center"/>
                  </w:pPr>
                  <w:r>
                    <w:rPr>
                      <w:rFonts w:hint="eastAsia"/>
                    </w:rPr>
                    <w:t>NB-500KR</w:t>
                  </w:r>
                </w:p>
              </w:tc>
              <w:tc>
                <w:tcPr>
                  <w:tcW w:w="726" w:type="pct"/>
                  <w:vAlign w:val="center"/>
                </w:tcPr>
                <w:p>
                  <w:pPr>
                    <w:jc w:val="center"/>
                  </w:pPr>
                  <w:r>
                    <w:rPr>
                      <w:rFonts w:hint="eastAsia"/>
                    </w:rPr>
                    <w:t>16</w:t>
                  </w:r>
                </w:p>
              </w:tc>
              <w:tc>
                <w:tcPr>
                  <w:tcW w:w="474" w:type="pct"/>
                  <w:vAlign w:val="center"/>
                </w:tcPr>
                <w:p>
                  <w:pPr>
                    <w:jc w:val="center"/>
                  </w:pPr>
                  <w:r>
                    <w:rPr>
                      <w:rFonts w:hint="eastAsia"/>
                    </w:rPr>
                    <w:t>16</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61</w:t>
                  </w:r>
                </w:p>
              </w:tc>
              <w:tc>
                <w:tcPr>
                  <w:tcW w:w="1835" w:type="pct"/>
                  <w:vAlign w:val="center"/>
                </w:tcPr>
                <w:p>
                  <w:pPr>
                    <w:jc w:val="center"/>
                  </w:pPr>
                  <w:r>
                    <w:rPr>
                      <w:rFonts w:hint="eastAsia"/>
                    </w:rPr>
                    <w:t>直流焊机</w:t>
                  </w:r>
                </w:p>
              </w:tc>
              <w:tc>
                <w:tcPr>
                  <w:tcW w:w="1200" w:type="pct"/>
                  <w:vAlign w:val="center"/>
                </w:tcPr>
                <w:p>
                  <w:pPr>
                    <w:jc w:val="center"/>
                  </w:pPr>
                  <w:r>
                    <w:rPr>
                      <w:rFonts w:hint="eastAsia"/>
                    </w:rPr>
                    <w:t>ZX5-630</w:t>
                  </w:r>
                </w:p>
              </w:tc>
              <w:tc>
                <w:tcPr>
                  <w:tcW w:w="726" w:type="pct"/>
                  <w:vAlign w:val="center"/>
                </w:tcPr>
                <w:p>
                  <w:pPr>
                    <w:jc w:val="center"/>
                  </w:pPr>
                  <w:r>
                    <w:rPr>
                      <w:rFonts w:hint="eastAsia"/>
                    </w:rPr>
                    <w:t>13</w:t>
                  </w:r>
                </w:p>
              </w:tc>
              <w:tc>
                <w:tcPr>
                  <w:tcW w:w="474" w:type="pct"/>
                  <w:vAlign w:val="center"/>
                </w:tcPr>
                <w:p>
                  <w:pPr>
                    <w:jc w:val="center"/>
                  </w:pPr>
                  <w:r>
                    <w:rPr>
                      <w:rFonts w:hint="eastAsia"/>
                    </w:rPr>
                    <w:t>13</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62</w:t>
                  </w:r>
                </w:p>
              </w:tc>
              <w:tc>
                <w:tcPr>
                  <w:tcW w:w="1835" w:type="pct"/>
                  <w:vAlign w:val="center"/>
                </w:tcPr>
                <w:p>
                  <w:pPr>
                    <w:jc w:val="center"/>
                  </w:pPr>
                  <w:r>
                    <w:rPr>
                      <w:rFonts w:hint="eastAsia"/>
                    </w:rPr>
                    <w:t>交流焊机</w:t>
                  </w:r>
                </w:p>
              </w:tc>
              <w:tc>
                <w:tcPr>
                  <w:tcW w:w="1200" w:type="pct"/>
                  <w:vAlign w:val="center"/>
                </w:tcPr>
                <w:p>
                  <w:pPr>
                    <w:jc w:val="center"/>
                  </w:pPr>
                  <w:r>
                    <w:rPr>
                      <w:rFonts w:hint="eastAsia"/>
                    </w:rPr>
                    <w:t>BX1-500F-2</w:t>
                  </w:r>
                </w:p>
              </w:tc>
              <w:tc>
                <w:tcPr>
                  <w:tcW w:w="726" w:type="pct"/>
                  <w:vAlign w:val="center"/>
                </w:tcPr>
                <w:p>
                  <w:pPr>
                    <w:jc w:val="center"/>
                  </w:pPr>
                  <w:r>
                    <w:rPr>
                      <w:rFonts w:hint="eastAsia"/>
                    </w:rPr>
                    <w:t>6</w:t>
                  </w:r>
                </w:p>
              </w:tc>
              <w:tc>
                <w:tcPr>
                  <w:tcW w:w="474" w:type="pct"/>
                  <w:vAlign w:val="center"/>
                </w:tcPr>
                <w:p>
                  <w:pPr>
                    <w:jc w:val="center"/>
                  </w:pPr>
                  <w:r>
                    <w:rPr>
                      <w:rFonts w:hint="eastAsia"/>
                    </w:rPr>
                    <w:t>6</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63</w:t>
                  </w:r>
                </w:p>
              </w:tc>
              <w:tc>
                <w:tcPr>
                  <w:tcW w:w="1835" w:type="pct"/>
                  <w:vAlign w:val="center"/>
                </w:tcPr>
                <w:p>
                  <w:pPr>
                    <w:jc w:val="center"/>
                  </w:pPr>
                  <w:r>
                    <w:rPr>
                      <w:rFonts w:hint="eastAsia"/>
                    </w:rPr>
                    <w:t>交流焊机</w:t>
                  </w:r>
                </w:p>
              </w:tc>
              <w:tc>
                <w:tcPr>
                  <w:tcW w:w="1200" w:type="pct"/>
                  <w:vAlign w:val="center"/>
                </w:tcPr>
                <w:p>
                  <w:pPr>
                    <w:jc w:val="center"/>
                  </w:pPr>
                  <w:r>
                    <w:rPr>
                      <w:rFonts w:hint="eastAsia"/>
                    </w:rPr>
                    <w:t>BX3-300-1</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64</w:t>
                  </w:r>
                </w:p>
              </w:tc>
              <w:tc>
                <w:tcPr>
                  <w:tcW w:w="1835" w:type="pct"/>
                  <w:vAlign w:val="center"/>
                </w:tcPr>
                <w:p>
                  <w:pPr>
                    <w:jc w:val="center"/>
                  </w:pPr>
                  <w:r>
                    <w:rPr>
                      <w:rFonts w:hint="eastAsia"/>
                    </w:rPr>
                    <w:t>逆变焊机</w:t>
                  </w:r>
                </w:p>
              </w:tc>
              <w:tc>
                <w:tcPr>
                  <w:tcW w:w="1200" w:type="pct"/>
                  <w:vAlign w:val="center"/>
                </w:tcPr>
                <w:p>
                  <w:pPr>
                    <w:jc w:val="center"/>
                  </w:pPr>
                  <w:r>
                    <w:rPr>
                      <w:rFonts w:hint="eastAsia"/>
                    </w:rPr>
                    <w:t>ZX7-400</w:t>
                  </w:r>
                </w:p>
              </w:tc>
              <w:tc>
                <w:tcPr>
                  <w:tcW w:w="726" w:type="pct"/>
                  <w:vAlign w:val="center"/>
                </w:tcPr>
                <w:p>
                  <w:pPr>
                    <w:jc w:val="center"/>
                  </w:pPr>
                  <w:r>
                    <w:rPr>
                      <w:rFonts w:hint="eastAsia"/>
                    </w:rPr>
                    <w:t>19</w:t>
                  </w:r>
                </w:p>
              </w:tc>
              <w:tc>
                <w:tcPr>
                  <w:tcW w:w="474" w:type="pct"/>
                  <w:vAlign w:val="center"/>
                </w:tcPr>
                <w:p>
                  <w:pPr>
                    <w:jc w:val="center"/>
                  </w:pPr>
                  <w:r>
                    <w:rPr>
                      <w:rFonts w:hint="eastAsia"/>
                    </w:rPr>
                    <w:t>19</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65</w:t>
                  </w:r>
                </w:p>
              </w:tc>
              <w:tc>
                <w:tcPr>
                  <w:tcW w:w="1835" w:type="pct"/>
                  <w:vAlign w:val="center"/>
                </w:tcPr>
                <w:p>
                  <w:pPr>
                    <w:jc w:val="center"/>
                  </w:pPr>
                  <w:r>
                    <w:rPr>
                      <w:rFonts w:hint="eastAsia"/>
                    </w:rPr>
                    <w:t>埋弧焊机</w:t>
                  </w:r>
                </w:p>
              </w:tc>
              <w:tc>
                <w:tcPr>
                  <w:tcW w:w="1200" w:type="pct"/>
                  <w:vAlign w:val="center"/>
                </w:tcPr>
                <w:p>
                  <w:pPr>
                    <w:jc w:val="center"/>
                  </w:pPr>
                  <w:r>
                    <w:rPr>
                      <w:rFonts w:hint="eastAsia"/>
                    </w:rPr>
                    <w:t>MZ-1000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66</w:t>
                  </w:r>
                </w:p>
              </w:tc>
              <w:tc>
                <w:tcPr>
                  <w:tcW w:w="1835" w:type="pct"/>
                  <w:vAlign w:val="center"/>
                </w:tcPr>
                <w:p>
                  <w:pPr>
                    <w:jc w:val="center"/>
                  </w:pPr>
                  <w:r>
                    <w:rPr>
                      <w:rFonts w:hint="eastAsia"/>
                    </w:rPr>
                    <w:t>埋弧焊机</w:t>
                  </w:r>
                </w:p>
              </w:tc>
              <w:tc>
                <w:tcPr>
                  <w:tcW w:w="1200" w:type="pct"/>
                  <w:vAlign w:val="center"/>
                </w:tcPr>
                <w:p>
                  <w:pPr>
                    <w:jc w:val="center"/>
                  </w:pPr>
                  <w:r>
                    <w:rPr>
                      <w:rFonts w:hint="eastAsia"/>
                    </w:rPr>
                    <w:t>MZ-1250</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67</w:t>
                  </w:r>
                </w:p>
              </w:tc>
              <w:tc>
                <w:tcPr>
                  <w:tcW w:w="1835" w:type="pct"/>
                  <w:vAlign w:val="center"/>
                </w:tcPr>
                <w:p>
                  <w:pPr>
                    <w:jc w:val="center"/>
                  </w:pPr>
                  <w:r>
                    <w:rPr>
                      <w:rFonts w:hint="eastAsia"/>
                    </w:rPr>
                    <w:t>小车埋弧焊机</w:t>
                  </w:r>
                </w:p>
              </w:tc>
              <w:tc>
                <w:tcPr>
                  <w:tcW w:w="1200" w:type="pct"/>
                  <w:vAlign w:val="center"/>
                </w:tcPr>
                <w:p>
                  <w:pPr>
                    <w:jc w:val="center"/>
                  </w:pPr>
                  <w:r>
                    <w:rPr>
                      <w:rFonts w:hint="eastAsia"/>
                    </w:rPr>
                    <w:t>MZ-1250</w:t>
                  </w:r>
                </w:p>
              </w:tc>
              <w:tc>
                <w:tcPr>
                  <w:tcW w:w="726" w:type="pct"/>
                  <w:vAlign w:val="center"/>
                </w:tcPr>
                <w:p>
                  <w:pPr>
                    <w:jc w:val="center"/>
                  </w:pPr>
                  <w:r>
                    <w:rPr>
                      <w:rFonts w:hint="eastAsia"/>
                    </w:rPr>
                    <w:t>7</w:t>
                  </w:r>
                </w:p>
              </w:tc>
              <w:tc>
                <w:tcPr>
                  <w:tcW w:w="474" w:type="pct"/>
                  <w:vAlign w:val="center"/>
                </w:tcPr>
                <w:p>
                  <w:pPr>
                    <w:jc w:val="center"/>
                  </w:pPr>
                  <w:r>
                    <w:rPr>
                      <w:rFonts w:hint="eastAsia"/>
                    </w:rPr>
                    <w:t>7</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68</w:t>
                  </w:r>
                </w:p>
              </w:tc>
              <w:tc>
                <w:tcPr>
                  <w:tcW w:w="1835" w:type="pct"/>
                  <w:vAlign w:val="bottom"/>
                </w:tcPr>
                <w:p>
                  <w:pPr>
                    <w:jc w:val="center"/>
                  </w:pPr>
                  <w:r>
                    <w:rPr>
                      <w:rFonts w:hint="eastAsia"/>
                    </w:rPr>
                    <w:t>栓钉焊机</w:t>
                  </w:r>
                </w:p>
              </w:tc>
              <w:tc>
                <w:tcPr>
                  <w:tcW w:w="1200" w:type="pct"/>
                  <w:vAlign w:val="center"/>
                </w:tcPr>
                <w:p>
                  <w:pPr>
                    <w:jc w:val="center"/>
                  </w:pPr>
                  <w:r>
                    <w:rPr>
                      <w:rFonts w:hint="eastAsia"/>
                    </w:rPr>
                    <w:t>RST-3150-3</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69</w:t>
                  </w:r>
                </w:p>
              </w:tc>
              <w:tc>
                <w:tcPr>
                  <w:tcW w:w="1835" w:type="pct"/>
                  <w:vAlign w:val="center"/>
                </w:tcPr>
                <w:p>
                  <w:pPr>
                    <w:jc w:val="center"/>
                  </w:pPr>
                  <w:r>
                    <w:rPr>
                      <w:rFonts w:hint="eastAsia"/>
                    </w:rPr>
                    <w:t>内燃平衡重式叉车</w:t>
                  </w:r>
                </w:p>
              </w:tc>
              <w:tc>
                <w:tcPr>
                  <w:tcW w:w="1200" w:type="pct"/>
                  <w:vAlign w:val="center"/>
                </w:tcPr>
                <w:p>
                  <w:pPr>
                    <w:jc w:val="center"/>
                  </w:pPr>
                  <w:r>
                    <w:rPr>
                      <w:rFonts w:hint="eastAsia"/>
                    </w:rPr>
                    <w:t>CPCD38-AG65J</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70</w:t>
                  </w:r>
                </w:p>
              </w:tc>
              <w:tc>
                <w:tcPr>
                  <w:tcW w:w="1835" w:type="pct"/>
                  <w:vAlign w:val="center"/>
                </w:tcPr>
                <w:p>
                  <w:pPr>
                    <w:jc w:val="center"/>
                  </w:pPr>
                  <w:r>
                    <w:rPr>
                      <w:rFonts w:hint="eastAsia"/>
                    </w:rPr>
                    <w:t>内燃平衡重式叉车</w:t>
                  </w:r>
                </w:p>
              </w:tc>
              <w:tc>
                <w:tcPr>
                  <w:tcW w:w="1200" w:type="pct"/>
                  <w:vAlign w:val="center"/>
                </w:tcPr>
                <w:p>
                  <w:pPr>
                    <w:jc w:val="center"/>
                  </w:pPr>
                  <w:r>
                    <w:rPr>
                      <w:rFonts w:hint="eastAsia"/>
                    </w:rPr>
                    <w:t>CPC50-XC6K2</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71</w:t>
                  </w:r>
                </w:p>
              </w:tc>
              <w:tc>
                <w:tcPr>
                  <w:tcW w:w="1835" w:type="pct"/>
                  <w:vAlign w:val="center"/>
                </w:tcPr>
                <w:p>
                  <w:pPr>
                    <w:jc w:val="center"/>
                  </w:pPr>
                  <w:r>
                    <w:rPr>
                      <w:rFonts w:hint="eastAsia"/>
                    </w:rPr>
                    <w:t>电子汽车衡</w:t>
                  </w:r>
                </w:p>
              </w:tc>
              <w:tc>
                <w:tcPr>
                  <w:tcW w:w="1200" w:type="pct"/>
                  <w:vAlign w:val="center"/>
                </w:tcPr>
                <w:p>
                  <w:pPr>
                    <w:jc w:val="center"/>
                  </w:pPr>
                  <w:r>
                    <w:rPr>
                      <w:rFonts w:hint="eastAsia"/>
                    </w:rPr>
                    <w:t>SCS-100</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72</w:t>
                  </w:r>
                </w:p>
              </w:tc>
              <w:tc>
                <w:tcPr>
                  <w:tcW w:w="1835" w:type="pct"/>
                  <w:vAlign w:val="center"/>
                </w:tcPr>
                <w:p>
                  <w:pPr>
                    <w:jc w:val="center"/>
                  </w:pPr>
                  <w:r>
                    <w:rPr>
                      <w:rFonts w:hint="eastAsia"/>
                    </w:rPr>
                    <w:t>辊道式抛丸清理机</w:t>
                  </w:r>
                </w:p>
              </w:tc>
              <w:tc>
                <w:tcPr>
                  <w:tcW w:w="1200" w:type="pct"/>
                  <w:vAlign w:val="center"/>
                </w:tcPr>
                <w:p>
                  <w:pPr>
                    <w:jc w:val="center"/>
                  </w:pPr>
                  <w:r>
                    <w:rPr>
                      <w:rFonts w:hint="eastAsia"/>
                    </w:rPr>
                    <w:t>QH6922WH</w:t>
                  </w:r>
                </w:p>
              </w:tc>
              <w:tc>
                <w:tcPr>
                  <w:tcW w:w="726" w:type="pct"/>
                  <w:vAlign w:val="center"/>
                </w:tcPr>
                <w:p>
                  <w:pPr>
                    <w:jc w:val="center"/>
                  </w:pPr>
                  <w:r>
                    <w:rPr>
                      <w:rFonts w:hint="eastAsia"/>
                    </w:rPr>
                    <w:t>1</w:t>
                  </w:r>
                </w:p>
              </w:tc>
              <w:tc>
                <w:tcPr>
                  <w:tcW w:w="474"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pPr>
                    <w:jc w:val="center"/>
                  </w:pPr>
                  <w:r>
                    <w:rPr>
                      <w:rFonts w:hint="eastAsia"/>
                    </w:rPr>
                    <w:t>73</w:t>
                  </w:r>
                </w:p>
              </w:tc>
              <w:tc>
                <w:tcPr>
                  <w:tcW w:w="1835" w:type="pct"/>
                  <w:vAlign w:val="center"/>
                </w:tcPr>
                <w:p>
                  <w:pPr>
                    <w:jc w:val="center"/>
                  </w:pPr>
                  <w:r>
                    <w:rPr>
                      <w:rFonts w:hint="eastAsia"/>
                    </w:rPr>
                    <w:t>空气压缩机</w:t>
                  </w:r>
                </w:p>
              </w:tc>
              <w:tc>
                <w:tcPr>
                  <w:tcW w:w="1200" w:type="pct"/>
                  <w:vAlign w:val="center"/>
                </w:tcPr>
                <w:p>
                  <w:pPr>
                    <w:jc w:val="center"/>
                  </w:pPr>
                  <w:r>
                    <w:rPr>
                      <w:rFonts w:hint="eastAsia"/>
                    </w:rPr>
                    <w:t>SA60A-8</w:t>
                  </w:r>
                </w:p>
              </w:tc>
              <w:tc>
                <w:tcPr>
                  <w:tcW w:w="726" w:type="pct"/>
                  <w:vAlign w:val="center"/>
                </w:tcPr>
                <w:p>
                  <w:pPr>
                    <w:jc w:val="center"/>
                  </w:pPr>
                  <w:r>
                    <w:rPr>
                      <w:rFonts w:hint="eastAsia"/>
                    </w:rPr>
                    <w:t>2</w:t>
                  </w:r>
                </w:p>
              </w:tc>
              <w:tc>
                <w:tcPr>
                  <w:tcW w:w="474" w:type="pct"/>
                  <w:vAlign w:val="center"/>
                </w:tcPr>
                <w:p>
                  <w:pPr>
                    <w:jc w:val="center"/>
                  </w:pPr>
                  <w:r>
                    <w:rPr>
                      <w:rFonts w:hint="eastAsia"/>
                    </w:rPr>
                    <w:t>2</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r>
                    <w:rPr>
                      <w:rFonts w:hint="eastAsia"/>
                    </w:rPr>
                    <w:t>74</w:t>
                  </w:r>
                </w:p>
              </w:tc>
              <w:tc>
                <w:tcPr>
                  <w:tcW w:w="1835" w:type="pct"/>
                  <w:vAlign w:val="center"/>
                </w:tcPr>
                <w:p>
                  <w:pPr>
                    <w:jc w:val="center"/>
                  </w:pPr>
                  <w:r>
                    <w:rPr>
                      <w:rFonts w:hint="eastAsia"/>
                    </w:rPr>
                    <w:t>小型喷砂机</w:t>
                  </w:r>
                </w:p>
              </w:tc>
              <w:tc>
                <w:tcPr>
                  <w:tcW w:w="1200" w:type="pct"/>
                  <w:vAlign w:val="center"/>
                </w:tcPr>
                <w:p>
                  <w:pPr>
                    <w:jc w:val="center"/>
                  </w:pPr>
                  <w:r>
                    <w:rPr>
                      <w:rFonts w:hint="eastAsia"/>
                    </w:rPr>
                    <w:t>/</w:t>
                  </w:r>
                </w:p>
              </w:tc>
              <w:tc>
                <w:tcPr>
                  <w:tcW w:w="726" w:type="pct"/>
                  <w:vAlign w:val="center"/>
                </w:tcPr>
                <w:p>
                  <w:pPr>
                    <w:jc w:val="center"/>
                  </w:pPr>
                  <w:r>
                    <w:rPr>
                      <w:rFonts w:hint="eastAsia"/>
                    </w:rPr>
                    <w:t>0</w:t>
                  </w:r>
                </w:p>
              </w:tc>
              <w:tc>
                <w:tcPr>
                  <w:tcW w:w="474" w:type="pct"/>
                </w:tcPr>
                <w:p>
                  <w:pPr>
                    <w:widowControl/>
                    <w:jc w:val="center"/>
                    <w:textAlignment w:val="center"/>
                    <w:rPr>
                      <w:color w:val="000000"/>
                      <w:kern w:val="0"/>
                      <w:szCs w:val="21"/>
                      <w:lang w:bidi="ar"/>
                    </w:rPr>
                  </w:pPr>
                  <w:r>
                    <w:rPr>
                      <w:rFonts w:hint="eastAsia"/>
                      <w:color w:val="000000"/>
                      <w:kern w:val="0"/>
                      <w:szCs w:val="21"/>
                      <w:lang w:bidi="ar"/>
                    </w:rPr>
                    <w:t>2</w:t>
                  </w:r>
                </w:p>
              </w:tc>
              <w:tc>
                <w:tcPr>
                  <w:tcW w:w="474" w:type="pct"/>
                </w:tcPr>
                <w:p>
                  <w:pPr>
                    <w:widowControl/>
                    <w:jc w:val="center"/>
                    <w:textAlignment w:val="center"/>
                    <w:rPr>
                      <w:color w:val="000000"/>
                      <w:kern w:val="0"/>
                      <w:szCs w:val="21"/>
                      <w:lang w:bidi="ar"/>
                    </w:rPr>
                  </w:pPr>
                  <w:r>
                    <w:rPr>
                      <w:rFonts w:hint="eastAsia"/>
                      <w:color w:val="000000"/>
                      <w:kern w:val="0"/>
                      <w:szCs w:val="21"/>
                      <w:lang w:bidi="ar"/>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r>
                    <w:rPr>
                      <w:rFonts w:hint="eastAsia"/>
                    </w:rPr>
                    <w:t>75</w:t>
                  </w:r>
                </w:p>
              </w:tc>
              <w:tc>
                <w:tcPr>
                  <w:tcW w:w="1835" w:type="pct"/>
                  <w:vAlign w:val="center"/>
                </w:tcPr>
                <w:p>
                  <w:pPr>
                    <w:jc w:val="center"/>
                  </w:pPr>
                  <w:r>
                    <w:rPr>
                      <w:rFonts w:hint="eastAsia"/>
                    </w:rPr>
                    <w:t>蓄电池平车</w:t>
                  </w:r>
                </w:p>
              </w:tc>
              <w:tc>
                <w:tcPr>
                  <w:tcW w:w="1200" w:type="pct"/>
                  <w:vAlign w:val="center"/>
                </w:tcPr>
                <w:p>
                  <w:pPr>
                    <w:jc w:val="center"/>
                  </w:pPr>
                  <w:r>
                    <w:rPr>
                      <w:rFonts w:hint="eastAsia"/>
                    </w:rPr>
                    <w:t>3500*4500*650/2720/30T</w:t>
                  </w:r>
                </w:p>
              </w:tc>
              <w:tc>
                <w:tcPr>
                  <w:tcW w:w="726"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r>
                    <w:rPr>
                      <w:rFonts w:hint="eastAsia"/>
                    </w:rPr>
                    <w:t>76</w:t>
                  </w:r>
                </w:p>
              </w:tc>
              <w:tc>
                <w:tcPr>
                  <w:tcW w:w="1835" w:type="pct"/>
                  <w:vAlign w:val="center"/>
                </w:tcPr>
                <w:p>
                  <w:pPr>
                    <w:jc w:val="center"/>
                  </w:pPr>
                  <w:r>
                    <w:rPr>
                      <w:rFonts w:hint="eastAsia"/>
                    </w:rPr>
                    <w:t>蓄电池平车</w:t>
                  </w:r>
                </w:p>
              </w:tc>
              <w:tc>
                <w:tcPr>
                  <w:tcW w:w="1200" w:type="pct"/>
                  <w:vAlign w:val="center"/>
                </w:tcPr>
                <w:p>
                  <w:pPr>
                    <w:jc w:val="center"/>
                  </w:pPr>
                  <w:r>
                    <w:rPr>
                      <w:rFonts w:hint="eastAsia"/>
                    </w:rPr>
                    <w:t>2200*4000//1435/25T</w:t>
                  </w:r>
                </w:p>
              </w:tc>
              <w:tc>
                <w:tcPr>
                  <w:tcW w:w="726" w:type="pct"/>
                  <w:vAlign w:val="center"/>
                </w:tcPr>
                <w:p>
                  <w:pPr>
                    <w:jc w:val="center"/>
                  </w:pPr>
                  <w:r>
                    <w:rPr>
                      <w:rFonts w:hint="eastAsia"/>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1</w:t>
                  </w:r>
                </w:p>
              </w:tc>
              <w:tc>
                <w:tcPr>
                  <w:tcW w:w="474" w:type="pct"/>
                </w:tcPr>
                <w:p>
                  <w:pPr>
                    <w:widowControl/>
                    <w:jc w:val="center"/>
                    <w:textAlignment w:val="center"/>
                    <w:rPr>
                      <w:color w:val="000000"/>
                      <w:kern w:val="0"/>
                      <w:szCs w:val="21"/>
                      <w:lang w:bidi="ar"/>
                    </w:rPr>
                  </w:pPr>
                  <w:r>
                    <w:rPr>
                      <w:rFonts w:hint="eastAsia"/>
                      <w:color w:val="000000"/>
                      <w:kern w:val="0"/>
                      <w:szCs w:val="21"/>
                      <w:lang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trPr>
              <w:tc>
                <w:tcPr>
                  <w:tcW w:w="289" w:type="pct"/>
                  <w:vAlign w:val="center"/>
                </w:tcPr>
                <w:p>
                  <w:r>
                    <w:rPr>
                      <w:rFonts w:hint="eastAsia"/>
                    </w:rPr>
                    <w:t>77</w:t>
                  </w:r>
                </w:p>
              </w:tc>
              <w:tc>
                <w:tcPr>
                  <w:tcW w:w="1835" w:type="pct"/>
                  <w:vAlign w:val="center"/>
                </w:tcPr>
                <w:p>
                  <w:pPr>
                    <w:jc w:val="center"/>
                  </w:pPr>
                  <w:r>
                    <w:rPr>
                      <w:rFonts w:hint="eastAsia"/>
                    </w:rPr>
                    <w:t>无动力平车</w:t>
                  </w:r>
                </w:p>
              </w:tc>
              <w:tc>
                <w:tcPr>
                  <w:tcW w:w="1200" w:type="pct"/>
                  <w:vAlign w:val="center"/>
                </w:tcPr>
                <w:p>
                  <w:pPr>
                    <w:jc w:val="center"/>
                  </w:pPr>
                  <w:r>
                    <w:rPr>
                      <w:rFonts w:hint="eastAsia"/>
                    </w:rPr>
                    <w:t>3500*4300*760/1810/50T</w:t>
                  </w:r>
                </w:p>
              </w:tc>
              <w:tc>
                <w:tcPr>
                  <w:tcW w:w="726" w:type="pct"/>
                  <w:vAlign w:val="center"/>
                </w:tcPr>
                <w:p>
                  <w:pPr>
                    <w:jc w:val="center"/>
                  </w:pPr>
                  <w:r>
                    <w:rPr>
                      <w:rFonts w:hint="eastAsia"/>
                    </w:rPr>
                    <w:t>2</w:t>
                  </w:r>
                </w:p>
              </w:tc>
              <w:tc>
                <w:tcPr>
                  <w:tcW w:w="474" w:type="pct"/>
                </w:tcPr>
                <w:p>
                  <w:pPr>
                    <w:widowControl/>
                    <w:jc w:val="center"/>
                    <w:textAlignment w:val="center"/>
                    <w:rPr>
                      <w:color w:val="000000"/>
                      <w:kern w:val="0"/>
                      <w:szCs w:val="21"/>
                      <w:lang w:bidi="ar"/>
                    </w:rPr>
                  </w:pPr>
                  <w:r>
                    <w:rPr>
                      <w:rFonts w:hint="eastAsia"/>
                      <w:color w:val="000000"/>
                      <w:kern w:val="0"/>
                      <w:szCs w:val="21"/>
                      <w:lang w:bidi="ar"/>
                    </w:rPr>
                    <w:t>3</w:t>
                  </w:r>
                </w:p>
              </w:tc>
              <w:tc>
                <w:tcPr>
                  <w:tcW w:w="474" w:type="pct"/>
                </w:tcPr>
                <w:p>
                  <w:pPr>
                    <w:widowControl/>
                    <w:jc w:val="center"/>
                    <w:textAlignment w:val="center"/>
                    <w:rPr>
                      <w:color w:val="000000"/>
                      <w:kern w:val="0"/>
                      <w:szCs w:val="21"/>
                      <w:lang w:bidi="ar"/>
                    </w:rPr>
                  </w:pPr>
                  <w:r>
                    <w:rPr>
                      <w:rFonts w:hint="eastAsia"/>
                      <w:color w:val="000000"/>
                      <w:kern w:val="0"/>
                      <w:szCs w:val="21"/>
                      <w:lang w:bidi="ar"/>
                    </w:rPr>
                    <w:t>+1</w:t>
                  </w:r>
                </w:p>
              </w:tc>
            </w:tr>
          </w:tbl>
          <w:p>
            <w:pPr>
              <w:spacing w:before="120" w:beforeLines="50"/>
              <w:ind w:firstLine="602" w:firstLineChars="250"/>
              <w:rPr>
                <w:b/>
                <w:color w:val="000000"/>
                <w:kern w:val="0"/>
                <w:sz w:val="24"/>
              </w:rPr>
            </w:pPr>
            <w:r>
              <w:rPr>
                <w:rFonts w:hint="eastAsia"/>
                <w:b/>
                <w:color w:val="000000"/>
                <w:kern w:val="0"/>
                <w:sz w:val="24"/>
              </w:rPr>
              <w:t>5、主要原辅材料及能源消耗</w:t>
            </w:r>
          </w:p>
          <w:p>
            <w:pPr>
              <w:spacing w:line="400" w:lineRule="exact"/>
              <w:ind w:firstLine="480" w:firstLineChars="200"/>
              <w:rPr>
                <w:rFonts w:hAnsi="宋体"/>
                <w:kern w:val="24"/>
                <w:sz w:val="24"/>
              </w:rPr>
            </w:pPr>
            <w:r>
              <w:rPr>
                <w:rFonts w:hint="eastAsia" w:hAnsi="宋体"/>
                <w:kern w:val="24"/>
                <w:sz w:val="24"/>
              </w:rPr>
              <w:t>（1）原辅材料用量</w:t>
            </w:r>
          </w:p>
          <w:p>
            <w:pPr>
              <w:spacing w:line="400" w:lineRule="exact"/>
              <w:ind w:firstLine="480" w:firstLineChars="200"/>
              <w:rPr>
                <w:rFonts w:hAnsi="宋体"/>
                <w:kern w:val="24"/>
                <w:sz w:val="24"/>
              </w:rPr>
            </w:pPr>
            <w:r>
              <w:rPr>
                <w:rFonts w:hAnsi="宋体"/>
                <w:kern w:val="24"/>
                <w:sz w:val="24"/>
              </w:rPr>
              <w:t>项目原辅材料消耗见表</w:t>
            </w:r>
            <w:r>
              <w:rPr>
                <w:rFonts w:hint="eastAsia" w:hAnsi="宋体"/>
                <w:kern w:val="24"/>
                <w:sz w:val="24"/>
              </w:rPr>
              <w:t>2-4</w:t>
            </w:r>
            <w:r>
              <w:rPr>
                <w:rFonts w:hAnsi="宋体"/>
                <w:kern w:val="24"/>
                <w:sz w:val="24"/>
              </w:rPr>
              <w:t>。</w:t>
            </w:r>
          </w:p>
          <w:p>
            <w:pPr>
              <w:spacing w:before="120" w:beforeLines="50"/>
              <w:jc w:val="center"/>
              <w:rPr>
                <w:rFonts w:hAnsi="宋体"/>
                <w:b/>
                <w:kern w:val="24"/>
                <w:sz w:val="24"/>
              </w:rPr>
            </w:pPr>
            <w:r>
              <w:rPr>
                <w:rFonts w:hAnsi="宋体"/>
                <w:b/>
                <w:kern w:val="24"/>
                <w:sz w:val="24"/>
              </w:rPr>
              <w:t>表</w:t>
            </w:r>
            <w:r>
              <w:rPr>
                <w:rFonts w:hint="eastAsia" w:hAnsi="宋体"/>
                <w:b/>
                <w:kern w:val="24"/>
                <w:sz w:val="24"/>
              </w:rPr>
              <w:t>2-4</w:t>
            </w:r>
            <w:r>
              <w:rPr>
                <w:rFonts w:hAnsi="宋体"/>
                <w:b/>
                <w:kern w:val="24"/>
                <w:sz w:val="24"/>
              </w:rPr>
              <w:t xml:space="preserve"> 项目原辅材料消耗表</w:t>
            </w:r>
          </w:p>
          <w:tbl>
            <w:tblPr>
              <w:tblStyle w:val="5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6" w:type="dxa"/>
                <w:bottom w:w="0" w:type="dxa"/>
                <w:right w:w="56" w:type="dxa"/>
              </w:tblCellMar>
            </w:tblPr>
            <w:tblGrid>
              <w:gridCol w:w="505"/>
              <w:gridCol w:w="424"/>
              <w:gridCol w:w="665"/>
              <w:gridCol w:w="1876"/>
              <w:gridCol w:w="1000"/>
              <w:gridCol w:w="923"/>
              <w:gridCol w:w="906"/>
              <w:gridCol w:w="1116"/>
              <w:gridCol w:w="10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505" w:hRule="atLeast"/>
                <w:jc w:val="center"/>
              </w:trPr>
              <w:tc>
                <w:tcPr>
                  <w:tcW w:w="314" w:type="pct"/>
                  <w:vAlign w:val="center"/>
                </w:tcPr>
                <w:p>
                  <w:pPr>
                    <w:ind w:left="-105" w:leftChars="-50" w:right="-105" w:rightChars="-50"/>
                    <w:jc w:val="center"/>
                    <w:rPr>
                      <w:rFonts w:hAnsi="宋体"/>
                      <w:b/>
                      <w:kern w:val="24"/>
                      <w:szCs w:val="21"/>
                    </w:rPr>
                  </w:pPr>
                  <w:r>
                    <w:rPr>
                      <w:rFonts w:hAnsi="宋体"/>
                      <w:b/>
                      <w:kern w:val="24"/>
                      <w:szCs w:val="21"/>
                    </w:rPr>
                    <w:t>序号</w:t>
                  </w:r>
                </w:p>
              </w:tc>
              <w:tc>
                <w:tcPr>
                  <w:tcW w:w="266" w:type="pct"/>
                  <w:vAlign w:val="center"/>
                </w:tcPr>
                <w:p>
                  <w:pPr>
                    <w:jc w:val="center"/>
                    <w:rPr>
                      <w:rFonts w:hAnsi="宋体"/>
                      <w:b/>
                      <w:kern w:val="24"/>
                      <w:szCs w:val="21"/>
                    </w:rPr>
                  </w:pPr>
                  <w:r>
                    <w:rPr>
                      <w:rFonts w:hint="eastAsia" w:hAnsi="宋体"/>
                      <w:b/>
                      <w:kern w:val="24"/>
                      <w:szCs w:val="21"/>
                    </w:rPr>
                    <w:t>类别</w:t>
                  </w:r>
                </w:p>
              </w:tc>
              <w:tc>
                <w:tcPr>
                  <w:tcW w:w="1396" w:type="pct"/>
                  <w:gridSpan w:val="2"/>
                  <w:vAlign w:val="center"/>
                </w:tcPr>
                <w:p>
                  <w:pPr>
                    <w:jc w:val="center"/>
                    <w:rPr>
                      <w:rFonts w:hAnsi="宋体"/>
                      <w:b/>
                      <w:kern w:val="24"/>
                      <w:szCs w:val="21"/>
                    </w:rPr>
                  </w:pPr>
                  <w:r>
                    <w:rPr>
                      <w:rFonts w:hint="eastAsia" w:hAnsi="宋体"/>
                      <w:b/>
                      <w:kern w:val="24"/>
                      <w:szCs w:val="21"/>
                    </w:rPr>
                    <w:t>名称</w:t>
                  </w:r>
                </w:p>
              </w:tc>
              <w:tc>
                <w:tcPr>
                  <w:tcW w:w="606" w:type="pct"/>
                  <w:vAlign w:val="center"/>
                </w:tcPr>
                <w:p>
                  <w:pPr>
                    <w:jc w:val="center"/>
                    <w:rPr>
                      <w:rFonts w:hAnsi="宋体"/>
                      <w:b/>
                      <w:kern w:val="24"/>
                      <w:szCs w:val="21"/>
                    </w:rPr>
                  </w:pPr>
                  <w:r>
                    <w:rPr>
                      <w:rFonts w:hint="eastAsia" w:hAnsi="宋体"/>
                      <w:b/>
                      <w:kern w:val="24"/>
                      <w:szCs w:val="21"/>
                    </w:rPr>
                    <w:t>改扩建前年用量</w:t>
                  </w:r>
                </w:p>
              </w:tc>
              <w:tc>
                <w:tcPr>
                  <w:tcW w:w="560" w:type="pct"/>
                  <w:vAlign w:val="center"/>
                </w:tcPr>
                <w:p>
                  <w:pPr>
                    <w:jc w:val="center"/>
                    <w:rPr>
                      <w:rFonts w:hAnsi="宋体"/>
                      <w:b/>
                      <w:kern w:val="24"/>
                      <w:szCs w:val="21"/>
                    </w:rPr>
                  </w:pPr>
                  <w:r>
                    <w:rPr>
                      <w:rFonts w:hAnsi="宋体"/>
                      <w:b/>
                      <w:kern w:val="24"/>
                      <w:szCs w:val="21"/>
                    </w:rPr>
                    <w:t>最大</w:t>
                  </w:r>
                </w:p>
                <w:p>
                  <w:pPr>
                    <w:jc w:val="center"/>
                    <w:rPr>
                      <w:rFonts w:hAnsi="宋体"/>
                      <w:b/>
                      <w:kern w:val="24"/>
                      <w:szCs w:val="21"/>
                    </w:rPr>
                  </w:pPr>
                  <w:r>
                    <w:rPr>
                      <w:rFonts w:hAnsi="宋体"/>
                      <w:b/>
                      <w:kern w:val="24"/>
                      <w:szCs w:val="21"/>
                    </w:rPr>
                    <w:t>储存量</w:t>
                  </w:r>
                </w:p>
              </w:tc>
              <w:tc>
                <w:tcPr>
                  <w:tcW w:w="550" w:type="pct"/>
                  <w:vAlign w:val="center"/>
                </w:tcPr>
                <w:p>
                  <w:pPr>
                    <w:jc w:val="center"/>
                    <w:rPr>
                      <w:rFonts w:hAnsi="宋体"/>
                      <w:b/>
                      <w:kern w:val="24"/>
                      <w:szCs w:val="21"/>
                    </w:rPr>
                  </w:pPr>
                  <w:r>
                    <w:rPr>
                      <w:rFonts w:hAnsi="宋体"/>
                      <w:b/>
                      <w:kern w:val="24"/>
                      <w:szCs w:val="21"/>
                    </w:rPr>
                    <w:t>储存方式</w:t>
                  </w:r>
                </w:p>
              </w:tc>
              <w:tc>
                <w:tcPr>
                  <w:tcW w:w="674" w:type="pct"/>
                  <w:vAlign w:val="center"/>
                </w:tcPr>
                <w:p>
                  <w:pPr>
                    <w:jc w:val="center"/>
                    <w:rPr>
                      <w:rFonts w:hAnsi="宋体"/>
                      <w:b/>
                      <w:kern w:val="24"/>
                      <w:szCs w:val="21"/>
                    </w:rPr>
                  </w:pPr>
                  <w:r>
                    <w:rPr>
                      <w:rFonts w:hint="eastAsia" w:hAnsi="宋体"/>
                      <w:b/>
                      <w:kern w:val="24"/>
                      <w:szCs w:val="21"/>
                    </w:rPr>
                    <w:t>改扩建后年用量</w:t>
                  </w:r>
                </w:p>
              </w:tc>
              <w:tc>
                <w:tcPr>
                  <w:tcW w:w="629" w:type="pct"/>
                  <w:vAlign w:val="center"/>
                </w:tcPr>
                <w:p>
                  <w:pPr>
                    <w:jc w:val="center"/>
                    <w:rPr>
                      <w:rFonts w:hAnsi="宋体"/>
                      <w:b/>
                      <w:kern w:val="24"/>
                      <w:szCs w:val="21"/>
                    </w:rPr>
                  </w:pPr>
                  <w:r>
                    <w:rPr>
                      <w:rFonts w:hint="eastAsia" w:hAnsi="宋体"/>
                      <w:b/>
                      <w:kern w:val="24"/>
                      <w:szCs w:val="21"/>
                    </w:rPr>
                    <w:t>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61" w:hRule="atLeast"/>
                <w:jc w:val="center"/>
              </w:trPr>
              <w:tc>
                <w:tcPr>
                  <w:tcW w:w="314" w:type="pct"/>
                  <w:vAlign w:val="center"/>
                </w:tcPr>
                <w:p>
                  <w:pPr>
                    <w:jc w:val="center"/>
                    <w:rPr>
                      <w:rFonts w:hAnsi="宋体"/>
                      <w:kern w:val="24"/>
                      <w:szCs w:val="21"/>
                    </w:rPr>
                  </w:pPr>
                  <w:r>
                    <w:rPr>
                      <w:rFonts w:hAnsi="宋体"/>
                      <w:kern w:val="24"/>
                      <w:szCs w:val="21"/>
                    </w:rPr>
                    <w:t>1</w:t>
                  </w:r>
                </w:p>
              </w:tc>
              <w:tc>
                <w:tcPr>
                  <w:tcW w:w="266" w:type="pct"/>
                  <w:vMerge w:val="restart"/>
                  <w:vAlign w:val="center"/>
                </w:tcPr>
                <w:p>
                  <w:pPr>
                    <w:jc w:val="center"/>
                    <w:rPr>
                      <w:rFonts w:hAnsi="宋体"/>
                      <w:kern w:val="24"/>
                      <w:szCs w:val="21"/>
                    </w:rPr>
                  </w:pPr>
                  <w:r>
                    <w:rPr>
                      <w:rFonts w:hint="eastAsia" w:hAnsi="宋体"/>
                      <w:kern w:val="24"/>
                      <w:szCs w:val="21"/>
                    </w:rPr>
                    <w:t>原</w:t>
                  </w:r>
                </w:p>
                <w:p>
                  <w:pPr>
                    <w:jc w:val="center"/>
                    <w:rPr>
                      <w:rFonts w:hAnsi="宋体"/>
                      <w:kern w:val="24"/>
                      <w:szCs w:val="21"/>
                    </w:rPr>
                  </w:pPr>
                  <w:r>
                    <w:rPr>
                      <w:rFonts w:hint="eastAsia" w:hAnsi="宋体"/>
                      <w:kern w:val="24"/>
                      <w:szCs w:val="21"/>
                    </w:rPr>
                    <w:t>辅</w:t>
                  </w:r>
                </w:p>
                <w:p>
                  <w:pPr>
                    <w:jc w:val="center"/>
                    <w:rPr>
                      <w:rFonts w:hAnsi="宋体"/>
                      <w:kern w:val="24"/>
                      <w:szCs w:val="21"/>
                    </w:rPr>
                  </w:pPr>
                  <w:r>
                    <w:rPr>
                      <w:rFonts w:hint="eastAsia" w:hAnsi="宋体"/>
                      <w:kern w:val="24"/>
                      <w:szCs w:val="21"/>
                    </w:rPr>
                    <w:t>料</w:t>
                  </w:r>
                </w:p>
              </w:tc>
              <w:tc>
                <w:tcPr>
                  <w:tcW w:w="1396" w:type="pct"/>
                  <w:gridSpan w:val="2"/>
                </w:tcPr>
                <w:p>
                  <w:pPr>
                    <w:pStyle w:val="217"/>
                    <w:spacing w:before="37"/>
                    <w:ind w:left="177" w:right="166"/>
                    <w:rPr>
                      <w:sz w:val="21"/>
                    </w:rPr>
                  </w:pPr>
                  <w:r>
                    <w:rPr>
                      <w:sz w:val="21"/>
                    </w:rPr>
                    <w:t>钢板</w:t>
                  </w:r>
                </w:p>
              </w:tc>
              <w:tc>
                <w:tcPr>
                  <w:tcW w:w="606" w:type="pct"/>
                  <w:vAlign w:val="center"/>
                </w:tcPr>
                <w:p>
                  <w:pPr>
                    <w:spacing w:line="320" w:lineRule="exact"/>
                    <w:jc w:val="center"/>
                    <w:rPr>
                      <w:kern w:val="0"/>
                      <w:szCs w:val="21"/>
                    </w:rPr>
                  </w:pPr>
                  <w:r>
                    <w:rPr>
                      <w:rFonts w:hint="eastAsia"/>
                      <w:kern w:val="0"/>
                      <w:szCs w:val="21"/>
                    </w:rPr>
                    <w:t>31800t</w:t>
                  </w:r>
                </w:p>
              </w:tc>
              <w:tc>
                <w:tcPr>
                  <w:tcW w:w="560" w:type="pct"/>
                  <w:vAlign w:val="center"/>
                </w:tcPr>
                <w:p>
                  <w:pPr>
                    <w:jc w:val="center"/>
                    <w:rPr>
                      <w:rFonts w:hAnsi="宋体"/>
                      <w:kern w:val="24"/>
                      <w:szCs w:val="21"/>
                    </w:rPr>
                  </w:pPr>
                  <w:r>
                    <w:rPr>
                      <w:rFonts w:hint="eastAsia" w:hAnsi="宋体"/>
                      <w:kern w:val="24"/>
                      <w:szCs w:val="21"/>
                    </w:rPr>
                    <w:t>2000t</w:t>
                  </w:r>
                </w:p>
              </w:tc>
              <w:tc>
                <w:tcPr>
                  <w:tcW w:w="550" w:type="pct"/>
                  <w:vAlign w:val="center"/>
                </w:tcPr>
                <w:p>
                  <w:pPr>
                    <w:jc w:val="center"/>
                    <w:rPr>
                      <w:rFonts w:hAnsi="宋体"/>
                      <w:kern w:val="24"/>
                      <w:szCs w:val="21"/>
                    </w:rPr>
                  </w:pPr>
                  <w:r>
                    <w:rPr>
                      <w:rFonts w:hint="eastAsia" w:hAnsi="宋体"/>
                      <w:kern w:val="24"/>
                      <w:szCs w:val="21"/>
                    </w:rPr>
                    <w:t>/</w:t>
                  </w:r>
                </w:p>
              </w:tc>
              <w:tc>
                <w:tcPr>
                  <w:tcW w:w="674" w:type="pct"/>
                  <w:vAlign w:val="center"/>
                </w:tcPr>
                <w:p>
                  <w:pPr>
                    <w:jc w:val="center"/>
                    <w:rPr>
                      <w:rFonts w:hAnsi="宋体"/>
                      <w:kern w:val="24"/>
                      <w:szCs w:val="21"/>
                    </w:rPr>
                  </w:pPr>
                  <w:r>
                    <w:rPr>
                      <w:rFonts w:hint="eastAsia" w:hAnsi="宋体"/>
                      <w:kern w:val="24"/>
                      <w:szCs w:val="21"/>
                    </w:rPr>
                    <w:t>31800t</w:t>
                  </w:r>
                </w:p>
              </w:tc>
              <w:tc>
                <w:tcPr>
                  <w:tcW w:w="629" w:type="pct"/>
                  <w:vAlign w:val="center"/>
                </w:tcPr>
                <w:p>
                  <w:pPr>
                    <w:jc w:val="center"/>
                    <w:rPr>
                      <w:rFonts w:hAnsi="宋体"/>
                      <w:kern w:val="24"/>
                      <w:szCs w:val="21"/>
                    </w:rPr>
                  </w:pPr>
                  <w:r>
                    <w:rPr>
                      <w:rFonts w:hint="eastAsia" w:hAnsi="宋体"/>
                      <w:kern w:val="24"/>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37" w:hRule="atLeast"/>
                <w:jc w:val="center"/>
              </w:trPr>
              <w:tc>
                <w:tcPr>
                  <w:tcW w:w="314" w:type="pct"/>
                  <w:vAlign w:val="center"/>
                </w:tcPr>
                <w:p>
                  <w:pPr>
                    <w:jc w:val="center"/>
                    <w:rPr>
                      <w:rFonts w:hAnsi="宋体"/>
                      <w:kern w:val="24"/>
                      <w:szCs w:val="21"/>
                    </w:rPr>
                  </w:pPr>
                  <w:r>
                    <w:rPr>
                      <w:rFonts w:hint="eastAsia" w:hAnsi="宋体"/>
                      <w:kern w:val="24"/>
                      <w:szCs w:val="21"/>
                    </w:rPr>
                    <w:t>2</w:t>
                  </w:r>
                </w:p>
              </w:tc>
              <w:tc>
                <w:tcPr>
                  <w:tcW w:w="266" w:type="pct"/>
                  <w:vMerge w:val="continue"/>
                  <w:vAlign w:val="center"/>
                </w:tcPr>
                <w:p>
                  <w:pPr>
                    <w:jc w:val="center"/>
                    <w:rPr>
                      <w:rFonts w:hAnsi="宋体"/>
                      <w:kern w:val="24"/>
                      <w:szCs w:val="21"/>
                    </w:rPr>
                  </w:pPr>
                </w:p>
              </w:tc>
              <w:tc>
                <w:tcPr>
                  <w:tcW w:w="1396" w:type="pct"/>
                  <w:gridSpan w:val="2"/>
                </w:tcPr>
                <w:p>
                  <w:pPr>
                    <w:pStyle w:val="217"/>
                    <w:spacing w:before="37"/>
                    <w:ind w:left="177" w:right="166"/>
                    <w:rPr>
                      <w:sz w:val="21"/>
                    </w:rPr>
                  </w:pPr>
                  <w:r>
                    <w:rPr>
                      <w:sz w:val="21"/>
                    </w:rPr>
                    <w:t>型钢</w:t>
                  </w:r>
                </w:p>
              </w:tc>
              <w:tc>
                <w:tcPr>
                  <w:tcW w:w="606" w:type="pct"/>
                  <w:vAlign w:val="center"/>
                </w:tcPr>
                <w:p>
                  <w:pPr>
                    <w:spacing w:line="320" w:lineRule="exact"/>
                    <w:jc w:val="center"/>
                    <w:rPr>
                      <w:kern w:val="0"/>
                      <w:szCs w:val="21"/>
                    </w:rPr>
                  </w:pPr>
                  <w:r>
                    <w:rPr>
                      <w:rFonts w:hint="eastAsia"/>
                      <w:kern w:val="0"/>
                      <w:szCs w:val="21"/>
                    </w:rPr>
                    <w:t>18150t</w:t>
                  </w:r>
                </w:p>
              </w:tc>
              <w:tc>
                <w:tcPr>
                  <w:tcW w:w="560" w:type="pct"/>
                  <w:vAlign w:val="center"/>
                </w:tcPr>
                <w:p>
                  <w:pPr>
                    <w:jc w:val="center"/>
                    <w:rPr>
                      <w:rFonts w:hAnsi="宋体"/>
                      <w:kern w:val="24"/>
                      <w:szCs w:val="21"/>
                    </w:rPr>
                  </w:pPr>
                  <w:r>
                    <w:rPr>
                      <w:rFonts w:hint="eastAsia" w:hAnsi="宋体"/>
                      <w:kern w:val="24"/>
                      <w:szCs w:val="21"/>
                    </w:rPr>
                    <w:t>1000t</w:t>
                  </w:r>
                </w:p>
              </w:tc>
              <w:tc>
                <w:tcPr>
                  <w:tcW w:w="550" w:type="pct"/>
                  <w:vAlign w:val="center"/>
                </w:tcPr>
                <w:p>
                  <w:pPr>
                    <w:jc w:val="center"/>
                    <w:rPr>
                      <w:rFonts w:hAnsi="宋体"/>
                      <w:kern w:val="24"/>
                      <w:szCs w:val="21"/>
                    </w:rPr>
                  </w:pPr>
                  <w:r>
                    <w:rPr>
                      <w:rFonts w:hint="eastAsia" w:hAnsi="宋体"/>
                      <w:kern w:val="24"/>
                      <w:szCs w:val="21"/>
                    </w:rPr>
                    <w:t>/</w:t>
                  </w:r>
                </w:p>
              </w:tc>
              <w:tc>
                <w:tcPr>
                  <w:tcW w:w="674" w:type="pct"/>
                  <w:vAlign w:val="center"/>
                </w:tcPr>
                <w:p>
                  <w:pPr>
                    <w:jc w:val="center"/>
                    <w:rPr>
                      <w:rFonts w:hAnsi="宋体"/>
                      <w:kern w:val="24"/>
                      <w:szCs w:val="21"/>
                    </w:rPr>
                  </w:pPr>
                  <w:r>
                    <w:rPr>
                      <w:rFonts w:hint="eastAsia" w:hAnsi="宋体"/>
                      <w:kern w:val="24"/>
                      <w:szCs w:val="21"/>
                    </w:rPr>
                    <w:t>18150t</w:t>
                  </w:r>
                </w:p>
              </w:tc>
              <w:tc>
                <w:tcPr>
                  <w:tcW w:w="629" w:type="pct"/>
                  <w:vAlign w:val="center"/>
                </w:tcPr>
                <w:p>
                  <w:pPr>
                    <w:jc w:val="center"/>
                    <w:rPr>
                      <w:rFonts w:hAnsi="宋体"/>
                      <w:kern w:val="24"/>
                      <w:szCs w:val="21"/>
                    </w:rPr>
                  </w:pPr>
                  <w:r>
                    <w:rPr>
                      <w:rFonts w:hint="eastAsia" w:hAnsi="宋体"/>
                      <w:kern w:val="24"/>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14" w:type="pct"/>
                  <w:vAlign w:val="center"/>
                </w:tcPr>
                <w:p>
                  <w:pPr>
                    <w:jc w:val="center"/>
                    <w:rPr>
                      <w:rFonts w:hAnsi="宋体"/>
                      <w:kern w:val="24"/>
                      <w:szCs w:val="21"/>
                    </w:rPr>
                  </w:pPr>
                  <w:r>
                    <w:rPr>
                      <w:rFonts w:hint="eastAsia" w:hAnsi="宋体"/>
                      <w:kern w:val="24"/>
                      <w:szCs w:val="21"/>
                    </w:rPr>
                    <w:t>3</w:t>
                  </w:r>
                </w:p>
              </w:tc>
              <w:tc>
                <w:tcPr>
                  <w:tcW w:w="266" w:type="pct"/>
                  <w:vMerge w:val="continue"/>
                  <w:vAlign w:val="center"/>
                </w:tcPr>
                <w:p>
                  <w:pPr>
                    <w:jc w:val="center"/>
                    <w:rPr>
                      <w:rFonts w:hAnsi="宋体"/>
                      <w:kern w:val="24"/>
                      <w:szCs w:val="21"/>
                    </w:rPr>
                  </w:pPr>
                </w:p>
              </w:tc>
              <w:tc>
                <w:tcPr>
                  <w:tcW w:w="1396" w:type="pct"/>
                  <w:gridSpan w:val="2"/>
                </w:tcPr>
                <w:p>
                  <w:pPr>
                    <w:pStyle w:val="217"/>
                    <w:spacing w:before="37"/>
                    <w:ind w:left="177" w:right="166"/>
                    <w:rPr>
                      <w:sz w:val="21"/>
                    </w:rPr>
                  </w:pPr>
                  <w:r>
                    <w:rPr>
                      <w:sz w:val="21"/>
                    </w:rPr>
                    <w:t>焊条</w:t>
                  </w:r>
                </w:p>
              </w:tc>
              <w:tc>
                <w:tcPr>
                  <w:tcW w:w="606" w:type="pct"/>
                  <w:vAlign w:val="center"/>
                </w:tcPr>
                <w:p>
                  <w:pPr>
                    <w:spacing w:line="320" w:lineRule="exact"/>
                    <w:jc w:val="center"/>
                    <w:rPr>
                      <w:kern w:val="0"/>
                      <w:szCs w:val="21"/>
                    </w:rPr>
                  </w:pPr>
                  <w:r>
                    <w:rPr>
                      <w:rFonts w:hint="eastAsia"/>
                      <w:kern w:val="0"/>
                      <w:szCs w:val="21"/>
                    </w:rPr>
                    <w:t>15t</w:t>
                  </w:r>
                </w:p>
              </w:tc>
              <w:tc>
                <w:tcPr>
                  <w:tcW w:w="560" w:type="pct"/>
                  <w:vAlign w:val="center"/>
                </w:tcPr>
                <w:p>
                  <w:pPr>
                    <w:jc w:val="center"/>
                    <w:rPr>
                      <w:rFonts w:hAnsi="宋体"/>
                      <w:kern w:val="24"/>
                      <w:szCs w:val="21"/>
                    </w:rPr>
                  </w:pPr>
                  <w:r>
                    <w:rPr>
                      <w:rFonts w:hint="eastAsia" w:hAnsi="宋体"/>
                      <w:kern w:val="24"/>
                      <w:szCs w:val="21"/>
                    </w:rPr>
                    <w:t>1t</w:t>
                  </w:r>
                </w:p>
              </w:tc>
              <w:tc>
                <w:tcPr>
                  <w:tcW w:w="550" w:type="pct"/>
                  <w:vAlign w:val="center"/>
                </w:tcPr>
                <w:p>
                  <w:pPr>
                    <w:jc w:val="center"/>
                    <w:rPr>
                      <w:rFonts w:hAnsi="宋体"/>
                      <w:kern w:val="24"/>
                      <w:szCs w:val="21"/>
                    </w:rPr>
                  </w:pPr>
                  <w:r>
                    <w:rPr>
                      <w:rFonts w:hint="eastAsia" w:hAnsi="宋体"/>
                      <w:kern w:val="24"/>
                      <w:szCs w:val="21"/>
                    </w:rPr>
                    <w:t>箱</w:t>
                  </w:r>
                  <w:r>
                    <w:rPr>
                      <w:rFonts w:hAnsi="宋体"/>
                      <w:kern w:val="24"/>
                      <w:szCs w:val="21"/>
                    </w:rPr>
                    <w:t>装</w:t>
                  </w:r>
                </w:p>
              </w:tc>
              <w:tc>
                <w:tcPr>
                  <w:tcW w:w="674" w:type="pct"/>
                  <w:vAlign w:val="center"/>
                </w:tcPr>
                <w:p>
                  <w:pPr>
                    <w:jc w:val="center"/>
                    <w:rPr>
                      <w:rFonts w:hAnsi="宋体"/>
                      <w:kern w:val="24"/>
                      <w:szCs w:val="21"/>
                    </w:rPr>
                  </w:pPr>
                  <w:r>
                    <w:rPr>
                      <w:rFonts w:hint="eastAsia" w:hAnsi="宋体"/>
                      <w:kern w:val="24"/>
                      <w:szCs w:val="21"/>
                    </w:rPr>
                    <w:t>15t</w:t>
                  </w:r>
                </w:p>
              </w:tc>
              <w:tc>
                <w:tcPr>
                  <w:tcW w:w="629" w:type="pct"/>
                  <w:vAlign w:val="center"/>
                </w:tcPr>
                <w:p>
                  <w:pPr>
                    <w:jc w:val="center"/>
                    <w:rPr>
                      <w:rFonts w:hAnsi="宋体"/>
                      <w:kern w:val="24"/>
                      <w:szCs w:val="21"/>
                    </w:rPr>
                  </w:pPr>
                  <w:r>
                    <w:rPr>
                      <w:rFonts w:hint="eastAsia" w:hAnsi="宋体"/>
                      <w:kern w:val="24"/>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14" w:type="pct"/>
                  <w:vAlign w:val="center"/>
                </w:tcPr>
                <w:p>
                  <w:pPr>
                    <w:jc w:val="center"/>
                    <w:rPr>
                      <w:rFonts w:hAnsi="宋体"/>
                      <w:kern w:val="24"/>
                      <w:szCs w:val="21"/>
                    </w:rPr>
                  </w:pPr>
                  <w:r>
                    <w:rPr>
                      <w:rFonts w:hint="eastAsia" w:hAnsi="宋体"/>
                      <w:kern w:val="24"/>
                      <w:szCs w:val="21"/>
                    </w:rPr>
                    <w:t>4</w:t>
                  </w:r>
                </w:p>
              </w:tc>
              <w:tc>
                <w:tcPr>
                  <w:tcW w:w="266" w:type="pct"/>
                  <w:vMerge w:val="continue"/>
                  <w:vAlign w:val="center"/>
                </w:tcPr>
                <w:p>
                  <w:pPr>
                    <w:jc w:val="center"/>
                    <w:rPr>
                      <w:rFonts w:hAnsi="宋体"/>
                      <w:kern w:val="24"/>
                      <w:szCs w:val="21"/>
                    </w:rPr>
                  </w:pPr>
                </w:p>
              </w:tc>
              <w:tc>
                <w:tcPr>
                  <w:tcW w:w="1396" w:type="pct"/>
                  <w:gridSpan w:val="2"/>
                </w:tcPr>
                <w:p>
                  <w:pPr>
                    <w:pStyle w:val="217"/>
                    <w:spacing w:before="37"/>
                    <w:ind w:left="177" w:right="166"/>
                    <w:rPr>
                      <w:sz w:val="21"/>
                    </w:rPr>
                  </w:pPr>
                  <w:r>
                    <w:rPr>
                      <w:sz w:val="21"/>
                    </w:rPr>
                    <w:t>焊丝</w:t>
                  </w:r>
                </w:p>
              </w:tc>
              <w:tc>
                <w:tcPr>
                  <w:tcW w:w="606"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36t</w:t>
                  </w:r>
                </w:p>
              </w:tc>
              <w:tc>
                <w:tcPr>
                  <w:tcW w:w="560" w:type="pct"/>
                  <w:vAlign w:val="center"/>
                </w:tcPr>
                <w:p>
                  <w:pPr>
                    <w:jc w:val="center"/>
                    <w:rPr>
                      <w:rFonts w:hAnsi="宋体"/>
                      <w:kern w:val="24"/>
                      <w:szCs w:val="21"/>
                    </w:rPr>
                  </w:pPr>
                  <w:r>
                    <w:rPr>
                      <w:rFonts w:hint="eastAsia" w:hAnsi="宋体"/>
                      <w:kern w:val="24"/>
                      <w:szCs w:val="21"/>
                    </w:rPr>
                    <w:t>3t</w:t>
                  </w:r>
                </w:p>
              </w:tc>
              <w:tc>
                <w:tcPr>
                  <w:tcW w:w="550" w:type="pct"/>
                  <w:vAlign w:val="center"/>
                </w:tcPr>
                <w:p>
                  <w:pPr>
                    <w:jc w:val="center"/>
                    <w:rPr>
                      <w:rFonts w:hAnsi="宋体"/>
                      <w:kern w:val="24"/>
                      <w:szCs w:val="21"/>
                    </w:rPr>
                  </w:pPr>
                  <w:r>
                    <w:rPr>
                      <w:rFonts w:hint="eastAsia" w:hAnsi="宋体"/>
                      <w:kern w:val="24"/>
                      <w:szCs w:val="21"/>
                    </w:rPr>
                    <w:t>箱</w:t>
                  </w:r>
                  <w:r>
                    <w:rPr>
                      <w:rFonts w:hAnsi="宋体"/>
                      <w:kern w:val="24"/>
                      <w:szCs w:val="21"/>
                    </w:rPr>
                    <w:t>装</w:t>
                  </w:r>
                </w:p>
              </w:tc>
              <w:tc>
                <w:tcPr>
                  <w:tcW w:w="674" w:type="pct"/>
                  <w:vAlign w:val="center"/>
                </w:tcPr>
                <w:p>
                  <w:pPr>
                    <w:jc w:val="center"/>
                    <w:rPr>
                      <w:rFonts w:hAnsi="宋体"/>
                      <w:kern w:val="24"/>
                      <w:szCs w:val="21"/>
                    </w:rPr>
                  </w:pPr>
                  <w:r>
                    <w:rPr>
                      <w:rFonts w:hint="eastAsia" w:hAnsi="宋体"/>
                      <w:kern w:val="24"/>
                      <w:szCs w:val="21"/>
                    </w:rPr>
                    <w:t>36t</w:t>
                  </w:r>
                </w:p>
              </w:tc>
              <w:tc>
                <w:tcPr>
                  <w:tcW w:w="629" w:type="pct"/>
                  <w:vAlign w:val="center"/>
                </w:tcPr>
                <w:p>
                  <w:pPr>
                    <w:jc w:val="center"/>
                    <w:rPr>
                      <w:rFonts w:hAnsi="宋体"/>
                      <w:kern w:val="24"/>
                      <w:szCs w:val="21"/>
                    </w:rPr>
                  </w:pPr>
                  <w:r>
                    <w:rPr>
                      <w:rFonts w:hint="eastAsia" w:hAnsi="宋体"/>
                      <w:kern w:val="24"/>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8" w:hRule="atLeast"/>
                <w:jc w:val="center"/>
              </w:trPr>
              <w:tc>
                <w:tcPr>
                  <w:tcW w:w="314" w:type="pct"/>
                  <w:vAlign w:val="center"/>
                </w:tcPr>
                <w:p>
                  <w:pPr>
                    <w:jc w:val="center"/>
                    <w:rPr>
                      <w:rFonts w:hAnsi="宋体"/>
                      <w:kern w:val="24"/>
                      <w:szCs w:val="21"/>
                    </w:rPr>
                  </w:pPr>
                  <w:r>
                    <w:rPr>
                      <w:rFonts w:hint="eastAsia" w:hAnsi="宋体"/>
                      <w:kern w:val="24"/>
                      <w:szCs w:val="21"/>
                    </w:rPr>
                    <w:t>5</w:t>
                  </w:r>
                </w:p>
              </w:tc>
              <w:tc>
                <w:tcPr>
                  <w:tcW w:w="266" w:type="pct"/>
                  <w:vMerge w:val="continue"/>
                  <w:vAlign w:val="center"/>
                </w:tcPr>
                <w:p>
                  <w:pPr>
                    <w:jc w:val="center"/>
                    <w:rPr>
                      <w:rFonts w:hAnsi="宋体"/>
                      <w:kern w:val="24"/>
                      <w:szCs w:val="21"/>
                    </w:rPr>
                  </w:pPr>
                </w:p>
              </w:tc>
              <w:tc>
                <w:tcPr>
                  <w:tcW w:w="1396" w:type="pct"/>
                  <w:gridSpan w:val="2"/>
                </w:tcPr>
                <w:p>
                  <w:pPr>
                    <w:pStyle w:val="217"/>
                    <w:spacing w:before="37"/>
                    <w:ind w:left="177" w:right="166"/>
                    <w:rPr>
                      <w:sz w:val="21"/>
                    </w:rPr>
                  </w:pPr>
                  <w:r>
                    <w:rPr>
                      <w:sz w:val="21"/>
                    </w:rPr>
                    <w:t>液氧</w:t>
                  </w:r>
                </w:p>
              </w:tc>
              <w:tc>
                <w:tcPr>
                  <w:tcW w:w="606" w:type="pct"/>
                  <w:vAlign w:val="center"/>
                </w:tcPr>
                <w:p>
                  <w:pPr>
                    <w:spacing w:line="320" w:lineRule="exact"/>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35</w:t>
                  </w:r>
                  <w:r>
                    <w:rPr>
                      <w:rFonts w:hint="eastAsia" w:hAnsi="宋体"/>
                      <w:kern w:val="24"/>
                      <w:szCs w:val="21"/>
                    </w:rPr>
                    <w:t>m</w:t>
                  </w:r>
                  <w:r>
                    <w:rPr>
                      <w:rFonts w:hint="eastAsia" w:hAnsi="宋体"/>
                      <w:kern w:val="24"/>
                      <w:szCs w:val="21"/>
                      <w:vertAlign w:val="superscript"/>
                    </w:rPr>
                    <w:t>3</w:t>
                  </w:r>
                </w:p>
              </w:tc>
              <w:tc>
                <w:tcPr>
                  <w:tcW w:w="560" w:type="pct"/>
                  <w:vAlign w:val="center"/>
                </w:tcPr>
                <w:p>
                  <w:pPr>
                    <w:jc w:val="center"/>
                    <w:rPr>
                      <w:rFonts w:hAnsi="宋体"/>
                      <w:kern w:val="24"/>
                      <w:szCs w:val="21"/>
                    </w:rPr>
                  </w:pPr>
                  <w:r>
                    <w:rPr>
                      <w:rFonts w:hint="eastAsia" w:hAnsi="宋体"/>
                      <w:kern w:val="24"/>
                      <w:szCs w:val="21"/>
                    </w:rPr>
                    <w:t>5m</w:t>
                  </w:r>
                  <w:r>
                    <w:rPr>
                      <w:rFonts w:hint="eastAsia" w:hAnsi="宋体"/>
                      <w:kern w:val="24"/>
                      <w:szCs w:val="21"/>
                      <w:vertAlign w:val="superscript"/>
                    </w:rPr>
                    <w:t>3</w:t>
                  </w:r>
                </w:p>
              </w:tc>
              <w:tc>
                <w:tcPr>
                  <w:tcW w:w="550" w:type="pct"/>
                  <w:vAlign w:val="center"/>
                </w:tcPr>
                <w:p>
                  <w:pPr>
                    <w:jc w:val="center"/>
                    <w:rPr>
                      <w:rFonts w:hAnsi="宋体"/>
                      <w:kern w:val="24"/>
                      <w:szCs w:val="21"/>
                    </w:rPr>
                  </w:pPr>
                  <w:r>
                    <w:rPr>
                      <w:rFonts w:hint="eastAsia" w:hAnsi="宋体"/>
                      <w:kern w:val="24"/>
                      <w:szCs w:val="21"/>
                    </w:rPr>
                    <w:t>厂内集中供气</w:t>
                  </w:r>
                </w:p>
              </w:tc>
              <w:tc>
                <w:tcPr>
                  <w:tcW w:w="674" w:type="pct"/>
                  <w:vAlign w:val="center"/>
                </w:tcPr>
                <w:p>
                  <w:pPr>
                    <w:jc w:val="center"/>
                    <w:rPr>
                      <w:rFonts w:hAnsi="宋体"/>
                      <w:kern w:val="24"/>
                      <w:szCs w:val="21"/>
                    </w:rPr>
                  </w:pPr>
                  <w:r>
                    <w:rPr>
                      <w:rFonts w:hint="eastAsia" w:hAnsi="宋体"/>
                      <w:kern w:val="24"/>
                      <w:szCs w:val="21"/>
                    </w:rPr>
                    <w:t>35m</w:t>
                  </w:r>
                  <w:r>
                    <w:rPr>
                      <w:rFonts w:hint="eastAsia" w:hAnsi="宋体"/>
                      <w:kern w:val="24"/>
                      <w:szCs w:val="21"/>
                      <w:vertAlign w:val="superscript"/>
                    </w:rPr>
                    <w:t>3</w:t>
                  </w:r>
                </w:p>
              </w:tc>
              <w:tc>
                <w:tcPr>
                  <w:tcW w:w="629" w:type="pct"/>
                  <w:vAlign w:val="center"/>
                </w:tcPr>
                <w:p>
                  <w:pPr>
                    <w:jc w:val="center"/>
                    <w:rPr>
                      <w:rFonts w:hAnsi="宋体"/>
                      <w:kern w:val="24"/>
                      <w:szCs w:val="21"/>
                    </w:rPr>
                  </w:pPr>
                  <w:r>
                    <w:rPr>
                      <w:rFonts w:hint="eastAsia" w:hAnsi="宋体"/>
                      <w:kern w:val="24"/>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8" w:hRule="atLeast"/>
                <w:jc w:val="center"/>
              </w:trPr>
              <w:tc>
                <w:tcPr>
                  <w:tcW w:w="314" w:type="pct"/>
                  <w:vAlign w:val="center"/>
                </w:tcPr>
                <w:p>
                  <w:pPr>
                    <w:jc w:val="center"/>
                    <w:rPr>
                      <w:rFonts w:hAnsi="宋体"/>
                      <w:kern w:val="24"/>
                      <w:szCs w:val="21"/>
                    </w:rPr>
                  </w:pPr>
                  <w:r>
                    <w:rPr>
                      <w:rFonts w:hint="eastAsia" w:hAnsi="宋体"/>
                      <w:kern w:val="24"/>
                      <w:szCs w:val="21"/>
                    </w:rPr>
                    <w:t>6</w:t>
                  </w:r>
                </w:p>
              </w:tc>
              <w:tc>
                <w:tcPr>
                  <w:tcW w:w="266" w:type="pct"/>
                  <w:vMerge w:val="continue"/>
                  <w:vAlign w:val="center"/>
                </w:tcPr>
                <w:p>
                  <w:pPr>
                    <w:jc w:val="center"/>
                    <w:rPr>
                      <w:rFonts w:hAnsi="宋体"/>
                      <w:kern w:val="24"/>
                      <w:szCs w:val="21"/>
                    </w:rPr>
                  </w:pPr>
                </w:p>
              </w:tc>
              <w:tc>
                <w:tcPr>
                  <w:tcW w:w="1396" w:type="pct"/>
                  <w:gridSpan w:val="2"/>
                </w:tcPr>
                <w:p>
                  <w:pPr>
                    <w:pStyle w:val="217"/>
                    <w:spacing w:before="37"/>
                    <w:ind w:left="177" w:right="163"/>
                    <w:rPr>
                      <w:sz w:val="21"/>
                      <w:highlight w:val="yellow"/>
                    </w:rPr>
                  </w:pPr>
                  <w:r>
                    <w:rPr>
                      <w:rFonts w:hint="eastAsia"/>
                      <w:sz w:val="21"/>
                      <w:lang w:val="en-US"/>
                    </w:rPr>
                    <w:t>天然气</w:t>
                  </w:r>
                </w:p>
              </w:tc>
              <w:tc>
                <w:tcPr>
                  <w:tcW w:w="606" w:type="pct"/>
                  <w:vAlign w:val="center"/>
                </w:tcPr>
                <w:p>
                  <w:pPr>
                    <w:spacing w:line="320" w:lineRule="exact"/>
                    <w:jc w:val="center"/>
                    <w:rPr>
                      <w:color w:val="0D0D0D" w:themeColor="text1" w:themeTint="F2"/>
                      <w:kern w:val="0"/>
                      <w:szCs w:val="21"/>
                      <w:highlight w:val="yellow"/>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20</w:t>
                  </w:r>
                  <w:r>
                    <w:rPr>
                      <w:rFonts w:hint="eastAsia" w:hAnsi="宋体"/>
                      <w:kern w:val="24"/>
                      <w:szCs w:val="21"/>
                    </w:rPr>
                    <w:t>m</w:t>
                  </w:r>
                  <w:r>
                    <w:rPr>
                      <w:rFonts w:hint="eastAsia" w:hAnsi="宋体"/>
                      <w:kern w:val="24"/>
                      <w:szCs w:val="21"/>
                      <w:vertAlign w:val="superscript"/>
                    </w:rPr>
                    <w:t>3</w:t>
                  </w:r>
                </w:p>
              </w:tc>
              <w:tc>
                <w:tcPr>
                  <w:tcW w:w="560" w:type="pct"/>
                  <w:vAlign w:val="center"/>
                </w:tcPr>
                <w:p>
                  <w:pPr>
                    <w:jc w:val="center"/>
                    <w:rPr>
                      <w:rFonts w:hAnsi="宋体"/>
                      <w:kern w:val="24"/>
                      <w:szCs w:val="21"/>
                    </w:rPr>
                  </w:pPr>
                  <w:r>
                    <w:rPr>
                      <w:rFonts w:hint="eastAsia" w:hAnsi="宋体"/>
                      <w:kern w:val="24"/>
                      <w:szCs w:val="21"/>
                    </w:rPr>
                    <w:t>0.5m</w:t>
                  </w:r>
                  <w:r>
                    <w:rPr>
                      <w:rFonts w:hint="eastAsia" w:hAnsi="宋体"/>
                      <w:kern w:val="24"/>
                      <w:szCs w:val="21"/>
                      <w:vertAlign w:val="superscript"/>
                    </w:rPr>
                    <w:t>3</w:t>
                  </w:r>
                </w:p>
              </w:tc>
              <w:tc>
                <w:tcPr>
                  <w:tcW w:w="550" w:type="pct"/>
                  <w:vAlign w:val="center"/>
                </w:tcPr>
                <w:p>
                  <w:pPr>
                    <w:jc w:val="center"/>
                    <w:rPr>
                      <w:rFonts w:hAnsi="宋体"/>
                      <w:kern w:val="24"/>
                      <w:szCs w:val="21"/>
                    </w:rPr>
                  </w:pPr>
                  <w:r>
                    <w:rPr>
                      <w:rFonts w:hint="eastAsia" w:hAnsi="宋体"/>
                      <w:kern w:val="24"/>
                      <w:szCs w:val="21"/>
                    </w:rPr>
                    <w:t>厂内集中供气</w:t>
                  </w:r>
                </w:p>
              </w:tc>
              <w:tc>
                <w:tcPr>
                  <w:tcW w:w="674" w:type="pct"/>
                  <w:vAlign w:val="center"/>
                </w:tcPr>
                <w:p>
                  <w:pPr>
                    <w:jc w:val="center"/>
                    <w:rPr>
                      <w:rFonts w:hAnsi="宋体"/>
                      <w:kern w:val="24"/>
                      <w:szCs w:val="21"/>
                    </w:rPr>
                  </w:pPr>
                  <w:r>
                    <w:rPr>
                      <w:rFonts w:hint="eastAsia" w:hAnsi="宋体"/>
                      <w:kern w:val="24"/>
                      <w:szCs w:val="21"/>
                    </w:rPr>
                    <w:t>20m</w:t>
                  </w:r>
                  <w:r>
                    <w:rPr>
                      <w:rFonts w:hint="eastAsia" w:hAnsi="宋体"/>
                      <w:kern w:val="24"/>
                      <w:szCs w:val="21"/>
                      <w:vertAlign w:val="superscript"/>
                    </w:rPr>
                    <w:t>3</w:t>
                  </w:r>
                </w:p>
              </w:tc>
              <w:tc>
                <w:tcPr>
                  <w:tcW w:w="629" w:type="pct"/>
                  <w:vAlign w:val="center"/>
                </w:tcPr>
                <w:p>
                  <w:pPr>
                    <w:jc w:val="center"/>
                    <w:rPr>
                      <w:rFonts w:hAnsi="宋体"/>
                      <w:kern w:val="24"/>
                      <w:szCs w:val="21"/>
                    </w:rPr>
                  </w:pPr>
                  <w:r>
                    <w:rPr>
                      <w:rFonts w:hint="eastAsia" w:hAnsi="宋体"/>
                      <w:kern w:val="24"/>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8" w:hRule="atLeast"/>
                <w:jc w:val="center"/>
              </w:trPr>
              <w:tc>
                <w:tcPr>
                  <w:tcW w:w="314" w:type="pct"/>
                  <w:vMerge w:val="restart"/>
                  <w:vAlign w:val="center"/>
                </w:tcPr>
                <w:p>
                  <w:pPr>
                    <w:jc w:val="center"/>
                    <w:rPr>
                      <w:rFonts w:hAnsi="宋体"/>
                      <w:kern w:val="24"/>
                      <w:szCs w:val="21"/>
                    </w:rPr>
                  </w:pPr>
                  <w:r>
                    <w:rPr>
                      <w:rFonts w:hint="eastAsia" w:hAnsi="宋体"/>
                      <w:kern w:val="24"/>
                      <w:szCs w:val="21"/>
                    </w:rPr>
                    <w:t>7</w:t>
                  </w:r>
                </w:p>
              </w:tc>
              <w:tc>
                <w:tcPr>
                  <w:tcW w:w="266" w:type="pct"/>
                  <w:vMerge w:val="continue"/>
                  <w:vAlign w:val="center"/>
                </w:tcPr>
                <w:p>
                  <w:pPr>
                    <w:jc w:val="center"/>
                    <w:rPr>
                      <w:rFonts w:hAnsi="宋体"/>
                      <w:kern w:val="24"/>
                      <w:szCs w:val="21"/>
                    </w:rPr>
                  </w:pPr>
                </w:p>
              </w:tc>
              <w:tc>
                <w:tcPr>
                  <w:tcW w:w="1396" w:type="pct"/>
                  <w:gridSpan w:val="2"/>
                </w:tcPr>
                <w:p>
                  <w:pPr>
                    <w:pStyle w:val="217"/>
                    <w:spacing w:before="43"/>
                    <w:ind w:left="177" w:right="166"/>
                    <w:rPr>
                      <w:sz w:val="21"/>
                      <w:lang w:val="en-US"/>
                    </w:rPr>
                  </w:pPr>
                  <w:r>
                    <w:rPr>
                      <w:rFonts w:hint="eastAsia"/>
                      <w:sz w:val="21"/>
                      <w:lang w:val="en-US"/>
                    </w:rPr>
                    <w:t>油性漆</w:t>
                  </w:r>
                </w:p>
              </w:tc>
              <w:tc>
                <w:tcPr>
                  <w:tcW w:w="606" w:type="pct"/>
                  <w:vAlign w:val="center"/>
                </w:tcPr>
                <w:p>
                  <w:pPr>
                    <w:spacing w:line="320" w:lineRule="exact"/>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48.67t</w:t>
                  </w:r>
                </w:p>
              </w:tc>
              <w:tc>
                <w:tcPr>
                  <w:tcW w:w="560" w:type="pct"/>
                  <w:vAlign w:val="center"/>
                </w:tcPr>
                <w:p>
                  <w:pPr>
                    <w:jc w:val="center"/>
                    <w:rPr>
                      <w:rFonts w:hAnsi="宋体"/>
                      <w:kern w:val="24"/>
                      <w:szCs w:val="21"/>
                    </w:rPr>
                  </w:pPr>
                  <w:r>
                    <w:rPr>
                      <w:rFonts w:hint="eastAsia" w:hAnsi="宋体"/>
                      <w:kern w:val="24"/>
                      <w:szCs w:val="21"/>
                    </w:rPr>
                    <w:t>1.2t</w:t>
                  </w:r>
                </w:p>
              </w:tc>
              <w:tc>
                <w:tcPr>
                  <w:tcW w:w="550" w:type="pct"/>
                  <w:vAlign w:val="center"/>
                </w:tcPr>
                <w:p>
                  <w:pPr>
                    <w:jc w:val="center"/>
                    <w:rPr>
                      <w:rFonts w:hAnsi="宋体"/>
                      <w:kern w:val="24"/>
                      <w:szCs w:val="21"/>
                    </w:rPr>
                  </w:pPr>
                  <w:r>
                    <w:rPr>
                      <w:rFonts w:hint="eastAsia" w:hAnsi="宋体"/>
                      <w:kern w:val="24"/>
                      <w:szCs w:val="21"/>
                    </w:rPr>
                    <w:t>桶</w:t>
                  </w:r>
                  <w:r>
                    <w:rPr>
                      <w:rFonts w:hAnsi="宋体"/>
                      <w:kern w:val="24"/>
                      <w:szCs w:val="21"/>
                    </w:rPr>
                    <w:t>装</w:t>
                  </w:r>
                </w:p>
              </w:tc>
              <w:tc>
                <w:tcPr>
                  <w:tcW w:w="674" w:type="pct"/>
                  <w:vAlign w:val="center"/>
                </w:tcPr>
                <w:p>
                  <w:pPr>
                    <w:jc w:val="center"/>
                    <w:rPr>
                      <w:rFonts w:hAnsi="宋体"/>
                      <w:kern w:val="24"/>
                      <w:szCs w:val="21"/>
                    </w:rPr>
                  </w:pPr>
                  <w:r>
                    <w:rPr>
                      <w:rFonts w:hint="eastAsia" w:hAnsi="宋体"/>
                      <w:kern w:val="24"/>
                      <w:szCs w:val="21"/>
                    </w:rPr>
                    <w:t>54.11t</w:t>
                  </w:r>
                </w:p>
              </w:tc>
              <w:tc>
                <w:tcPr>
                  <w:tcW w:w="629" w:type="pct"/>
                  <w:vAlign w:val="center"/>
                </w:tcPr>
                <w:p>
                  <w:pPr>
                    <w:jc w:val="center"/>
                    <w:rPr>
                      <w:rFonts w:hAnsi="宋体"/>
                      <w:kern w:val="24"/>
                      <w:szCs w:val="21"/>
                    </w:rPr>
                  </w:pPr>
                  <w:r>
                    <w:rPr>
                      <w:rFonts w:hint="eastAsia" w:hAnsi="宋体"/>
                      <w:kern w:val="24"/>
                      <w:szCs w:val="21"/>
                    </w:rPr>
                    <w:t>+5.44t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8" w:hRule="atLeast"/>
                <w:jc w:val="center"/>
              </w:trPr>
              <w:tc>
                <w:tcPr>
                  <w:tcW w:w="314" w:type="pct"/>
                  <w:vMerge w:val="continue"/>
                  <w:vAlign w:val="center"/>
                </w:tcPr>
                <w:p>
                  <w:pPr>
                    <w:jc w:val="center"/>
                    <w:rPr>
                      <w:rFonts w:hAnsi="宋体"/>
                      <w:kern w:val="24"/>
                      <w:szCs w:val="21"/>
                    </w:rPr>
                  </w:pPr>
                </w:p>
              </w:tc>
              <w:tc>
                <w:tcPr>
                  <w:tcW w:w="266" w:type="pct"/>
                  <w:vMerge w:val="continue"/>
                  <w:vAlign w:val="center"/>
                </w:tcPr>
                <w:p>
                  <w:pPr>
                    <w:jc w:val="center"/>
                    <w:rPr>
                      <w:rFonts w:hAnsi="宋体"/>
                      <w:kern w:val="24"/>
                      <w:szCs w:val="21"/>
                    </w:rPr>
                  </w:pPr>
                </w:p>
              </w:tc>
              <w:tc>
                <w:tcPr>
                  <w:tcW w:w="272" w:type="pct"/>
                  <w:vMerge w:val="restart"/>
                  <w:vAlign w:val="center"/>
                </w:tcPr>
                <w:p>
                  <w:pPr>
                    <w:pStyle w:val="217"/>
                    <w:spacing w:before="43"/>
                    <w:ind w:left="177" w:right="166"/>
                    <w:rPr>
                      <w:sz w:val="21"/>
                      <w:lang w:val="en-US"/>
                    </w:rPr>
                  </w:pPr>
                  <w:r>
                    <w:rPr>
                      <w:sz w:val="21"/>
                      <w:lang w:val="en-US"/>
                    </w:rPr>
                    <w:t>其中</w:t>
                  </w:r>
                </w:p>
              </w:tc>
              <w:tc>
                <w:tcPr>
                  <w:tcW w:w="1124" w:type="pct"/>
                </w:tcPr>
                <w:p>
                  <w:pPr>
                    <w:pStyle w:val="217"/>
                    <w:spacing w:before="25"/>
                    <w:ind w:left="177" w:right="166"/>
                    <w:rPr>
                      <w:sz w:val="21"/>
                    </w:rPr>
                  </w:pPr>
                  <w:r>
                    <w:rPr>
                      <w:sz w:val="21"/>
                    </w:rPr>
                    <w:t>环氧富锌防腐底漆</w:t>
                  </w:r>
                </w:p>
              </w:tc>
              <w:tc>
                <w:tcPr>
                  <w:tcW w:w="606" w:type="pct"/>
                  <w:vAlign w:val="center"/>
                </w:tcPr>
                <w:p>
                  <w:pPr>
                    <w:spacing w:line="320" w:lineRule="exact"/>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8.68t</w:t>
                  </w:r>
                </w:p>
              </w:tc>
              <w:tc>
                <w:tcPr>
                  <w:tcW w:w="560" w:type="pct"/>
                  <w:vAlign w:val="center"/>
                </w:tcPr>
                <w:p>
                  <w:pPr>
                    <w:jc w:val="center"/>
                    <w:rPr>
                      <w:rFonts w:hAnsi="宋体"/>
                      <w:kern w:val="24"/>
                      <w:szCs w:val="21"/>
                    </w:rPr>
                  </w:pPr>
                  <w:r>
                    <w:rPr>
                      <w:rFonts w:hint="eastAsia" w:hAnsi="宋体"/>
                      <w:kern w:val="24"/>
                      <w:szCs w:val="21"/>
                    </w:rPr>
                    <w:t>0.2t</w:t>
                  </w:r>
                </w:p>
              </w:tc>
              <w:tc>
                <w:tcPr>
                  <w:tcW w:w="550" w:type="pct"/>
                  <w:vAlign w:val="center"/>
                </w:tcPr>
                <w:p>
                  <w:pPr>
                    <w:jc w:val="center"/>
                    <w:rPr>
                      <w:rFonts w:hAnsi="宋体"/>
                      <w:kern w:val="24"/>
                      <w:szCs w:val="21"/>
                    </w:rPr>
                  </w:pPr>
                  <w:r>
                    <w:rPr>
                      <w:rFonts w:hint="eastAsia" w:hAnsi="宋体"/>
                      <w:kern w:val="24"/>
                      <w:szCs w:val="21"/>
                    </w:rPr>
                    <w:t>桶</w:t>
                  </w:r>
                  <w:r>
                    <w:rPr>
                      <w:rFonts w:hAnsi="宋体"/>
                      <w:kern w:val="24"/>
                      <w:szCs w:val="21"/>
                    </w:rPr>
                    <w:t>装</w:t>
                  </w:r>
                </w:p>
              </w:tc>
              <w:tc>
                <w:tcPr>
                  <w:tcW w:w="674" w:type="pct"/>
                  <w:vAlign w:val="center"/>
                </w:tcPr>
                <w:p>
                  <w:pPr>
                    <w:jc w:val="center"/>
                    <w:rPr>
                      <w:rFonts w:hAnsi="宋体"/>
                      <w:kern w:val="24"/>
                      <w:szCs w:val="21"/>
                    </w:rPr>
                  </w:pPr>
                  <w:r>
                    <w:rPr>
                      <w:rFonts w:hint="eastAsia" w:hAnsi="宋体"/>
                      <w:kern w:val="24"/>
                      <w:szCs w:val="21"/>
                    </w:rPr>
                    <w:t>9.64t</w:t>
                  </w:r>
                </w:p>
              </w:tc>
              <w:tc>
                <w:tcPr>
                  <w:tcW w:w="629" w:type="pct"/>
                  <w:vAlign w:val="center"/>
                </w:tcPr>
                <w:p>
                  <w:pPr>
                    <w:jc w:val="center"/>
                    <w:rPr>
                      <w:rFonts w:hAnsi="宋体"/>
                      <w:kern w:val="24"/>
                      <w:szCs w:val="21"/>
                    </w:rPr>
                  </w:pPr>
                  <w:r>
                    <w:rPr>
                      <w:rFonts w:hint="eastAsia" w:hAnsi="宋体"/>
                      <w:kern w:val="24"/>
                      <w:szCs w:val="21"/>
                    </w:rPr>
                    <w:t>+0.96t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314" w:type="pct"/>
                  <w:vMerge w:val="continue"/>
                  <w:vAlign w:val="center"/>
                </w:tcPr>
                <w:p>
                  <w:pPr>
                    <w:jc w:val="center"/>
                    <w:rPr>
                      <w:rFonts w:hAnsi="宋体"/>
                      <w:kern w:val="24"/>
                      <w:szCs w:val="21"/>
                    </w:rPr>
                  </w:pPr>
                </w:p>
              </w:tc>
              <w:tc>
                <w:tcPr>
                  <w:tcW w:w="266" w:type="pct"/>
                  <w:vMerge w:val="continue"/>
                  <w:vAlign w:val="center"/>
                </w:tcPr>
                <w:p>
                  <w:pPr>
                    <w:jc w:val="center"/>
                    <w:rPr>
                      <w:rFonts w:hAnsi="宋体"/>
                      <w:kern w:val="24"/>
                      <w:szCs w:val="21"/>
                    </w:rPr>
                  </w:pPr>
                </w:p>
              </w:tc>
              <w:tc>
                <w:tcPr>
                  <w:tcW w:w="272" w:type="pct"/>
                  <w:vMerge w:val="continue"/>
                </w:tcPr>
                <w:p>
                  <w:pPr>
                    <w:pStyle w:val="217"/>
                    <w:spacing w:before="43"/>
                    <w:ind w:left="177" w:right="166"/>
                    <w:rPr>
                      <w:sz w:val="21"/>
                    </w:rPr>
                  </w:pPr>
                </w:p>
              </w:tc>
              <w:tc>
                <w:tcPr>
                  <w:tcW w:w="1124" w:type="pct"/>
                </w:tcPr>
                <w:p>
                  <w:pPr>
                    <w:pStyle w:val="217"/>
                    <w:spacing w:before="22"/>
                    <w:ind w:left="177" w:right="166"/>
                    <w:rPr>
                      <w:sz w:val="21"/>
                    </w:rPr>
                  </w:pPr>
                  <w:r>
                    <w:rPr>
                      <w:sz w:val="21"/>
                    </w:rPr>
                    <w:t>铁红醇酸防锈底漆</w:t>
                  </w:r>
                </w:p>
              </w:tc>
              <w:tc>
                <w:tcPr>
                  <w:tcW w:w="606" w:type="pct"/>
                  <w:vAlign w:val="center"/>
                </w:tcPr>
                <w:p>
                  <w:pPr>
                    <w:spacing w:line="320" w:lineRule="exact"/>
                    <w:jc w:val="center"/>
                    <w:rPr>
                      <w:kern w:val="0"/>
                      <w:szCs w:val="21"/>
                    </w:rPr>
                  </w:pPr>
                  <w:r>
                    <w:rPr>
                      <w:rFonts w:hint="eastAsia"/>
                      <w:kern w:val="0"/>
                      <w:szCs w:val="21"/>
                    </w:rPr>
                    <w:t>8.55t</w:t>
                  </w:r>
                </w:p>
              </w:tc>
              <w:tc>
                <w:tcPr>
                  <w:tcW w:w="560" w:type="pct"/>
                  <w:vAlign w:val="center"/>
                </w:tcPr>
                <w:p>
                  <w:pPr>
                    <w:jc w:val="center"/>
                    <w:rPr>
                      <w:rFonts w:hAnsi="宋体"/>
                      <w:kern w:val="24"/>
                      <w:szCs w:val="21"/>
                    </w:rPr>
                  </w:pPr>
                  <w:r>
                    <w:rPr>
                      <w:rFonts w:hint="eastAsia" w:hAnsi="宋体"/>
                      <w:kern w:val="24"/>
                      <w:szCs w:val="21"/>
                    </w:rPr>
                    <w:t>0.2t</w:t>
                  </w:r>
                </w:p>
              </w:tc>
              <w:tc>
                <w:tcPr>
                  <w:tcW w:w="550" w:type="pct"/>
                  <w:vAlign w:val="center"/>
                </w:tcPr>
                <w:p>
                  <w:pPr>
                    <w:jc w:val="center"/>
                    <w:rPr>
                      <w:rFonts w:hAnsi="宋体"/>
                      <w:kern w:val="24"/>
                      <w:szCs w:val="21"/>
                    </w:rPr>
                  </w:pPr>
                  <w:r>
                    <w:rPr>
                      <w:rFonts w:hint="eastAsia" w:hAnsi="宋体"/>
                      <w:kern w:val="24"/>
                      <w:szCs w:val="21"/>
                    </w:rPr>
                    <w:t>桶</w:t>
                  </w:r>
                  <w:r>
                    <w:rPr>
                      <w:rFonts w:hAnsi="宋体"/>
                      <w:kern w:val="24"/>
                      <w:szCs w:val="21"/>
                    </w:rPr>
                    <w:t>装</w:t>
                  </w:r>
                </w:p>
              </w:tc>
              <w:tc>
                <w:tcPr>
                  <w:tcW w:w="674" w:type="pct"/>
                  <w:vAlign w:val="center"/>
                </w:tcPr>
                <w:p>
                  <w:pPr>
                    <w:jc w:val="center"/>
                    <w:rPr>
                      <w:rFonts w:hAnsi="宋体"/>
                      <w:kern w:val="24"/>
                      <w:szCs w:val="21"/>
                    </w:rPr>
                  </w:pPr>
                  <w:r>
                    <w:rPr>
                      <w:rFonts w:hint="eastAsia" w:hAnsi="宋体"/>
                      <w:kern w:val="24"/>
                      <w:szCs w:val="21"/>
                    </w:rPr>
                    <w:t>9.5785t</w:t>
                  </w:r>
                </w:p>
              </w:tc>
              <w:tc>
                <w:tcPr>
                  <w:tcW w:w="629" w:type="pct"/>
                  <w:vAlign w:val="center"/>
                </w:tcPr>
                <w:p>
                  <w:pPr>
                    <w:jc w:val="center"/>
                    <w:rPr>
                      <w:rFonts w:hAnsi="宋体"/>
                      <w:kern w:val="24"/>
                      <w:szCs w:val="21"/>
                    </w:rPr>
                  </w:pPr>
                  <w:r>
                    <w:rPr>
                      <w:rFonts w:hint="eastAsia" w:hAnsi="宋体"/>
                      <w:kern w:val="24"/>
                      <w:szCs w:val="21"/>
                    </w:rPr>
                    <w:t>+1.0285t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314" w:type="pct"/>
                  <w:vMerge w:val="continue"/>
                  <w:vAlign w:val="center"/>
                </w:tcPr>
                <w:p>
                  <w:pPr>
                    <w:jc w:val="center"/>
                    <w:rPr>
                      <w:rFonts w:hAnsi="宋体"/>
                      <w:kern w:val="24"/>
                      <w:szCs w:val="21"/>
                    </w:rPr>
                  </w:pPr>
                </w:p>
              </w:tc>
              <w:tc>
                <w:tcPr>
                  <w:tcW w:w="266" w:type="pct"/>
                  <w:vMerge w:val="continue"/>
                  <w:vAlign w:val="center"/>
                </w:tcPr>
                <w:p>
                  <w:pPr>
                    <w:jc w:val="center"/>
                    <w:rPr>
                      <w:rFonts w:hAnsi="宋体"/>
                      <w:kern w:val="24"/>
                      <w:szCs w:val="21"/>
                    </w:rPr>
                  </w:pPr>
                </w:p>
              </w:tc>
              <w:tc>
                <w:tcPr>
                  <w:tcW w:w="272" w:type="pct"/>
                  <w:vMerge w:val="continue"/>
                </w:tcPr>
                <w:p>
                  <w:pPr>
                    <w:pStyle w:val="217"/>
                    <w:spacing w:before="43"/>
                    <w:ind w:left="177" w:right="166"/>
                    <w:rPr>
                      <w:sz w:val="21"/>
                    </w:rPr>
                  </w:pPr>
                </w:p>
              </w:tc>
              <w:tc>
                <w:tcPr>
                  <w:tcW w:w="1124" w:type="pct"/>
                </w:tcPr>
                <w:p>
                  <w:pPr>
                    <w:pStyle w:val="217"/>
                    <w:spacing w:before="22"/>
                    <w:ind w:left="177" w:right="166"/>
                    <w:rPr>
                      <w:sz w:val="21"/>
                    </w:rPr>
                  </w:pPr>
                  <w:r>
                    <w:rPr>
                      <w:sz w:val="21"/>
                    </w:rPr>
                    <w:t>丙烯酸聚氨酯面漆</w:t>
                  </w:r>
                </w:p>
              </w:tc>
              <w:tc>
                <w:tcPr>
                  <w:tcW w:w="606" w:type="pct"/>
                  <w:vAlign w:val="center"/>
                </w:tcPr>
                <w:p>
                  <w:pPr>
                    <w:spacing w:line="320" w:lineRule="exact"/>
                    <w:jc w:val="center"/>
                    <w:rPr>
                      <w:kern w:val="0"/>
                      <w:szCs w:val="21"/>
                    </w:rPr>
                  </w:pPr>
                  <w:r>
                    <w:rPr>
                      <w:rFonts w:hint="eastAsia"/>
                      <w:kern w:val="0"/>
                      <w:szCs w:val="21"/>
                    </w:rPr>
                    <w:t>20.28t</w:t>
                  </w:r>
                </w:p>
              </w:tc>
              <w:tc>
                <w:tcPr>
                  <w:tcW w:w="560" w:type="pct"/>
                  <w:vAlign w:val="center"/>
                </w:tcPr>
                <w:p>
                  <w:pPr>
                    <w:jc w:val="center"/>
                    <w:rPr>
                      <w:rFonts w:hAnsi="宋体"/>
                      <w:kern w:val="24"/>
                      <w:szCs w:val="21"/>
                    </w:rPr>
                  </w:pPr>
                  <w:r>
                    <w:rPr>
                      <w:rFonts w:hint="eastAsia" w:hAnsi="宋体"/>
                      <w:kern w:val="24"/>
                      <w:szCs w:val="21"/>
                    </w:rPr>
                    <w:t>0.5t</w:t>
                  </w:r>
                </w:p>
              </w:tc>
              <w:tc>
                <w:tcPr>
                  <w:tcW w:w="550" w:type="pct"/>
                  <w:vAlign w:val="center"/>
                </w:tcPr>
                <w:p>
                  <w:pPr>
                    <w:jc w:val="center"/>
                    <w:rPr>
                      <w:rFonts w:hAnsi="宋体"/>
                      <w:kern w:val="24"/>
                      <w:szCs w:val="21"/>
                    </w:rPr>
                  </w:pPr>
                  <w:r>
                    <w:rPr>
                      <w:rFonts w:hint="eastAsia" w:hAnsi="宋体"/>
                      <w:kern w:val="24"/>
                      <w:szCs w:val="21"/>
                    </w:rPr>
                    <w:t>桶</w:t>
                  </w:r>
                  <w:r>
                    <w:rPr>
                      <w:rFonts w:hAnsi="宋体"/>
                      <w:kern w:val="24"/>
                      <w:szCs w:val="21"/>
                    </w:rPr>
                    <w:t>装</w:t>
                  </w:r>
                </w:p>
              </w:tc>
              <w:tc>
                <w:tcPr>
                  <w:tcW w:w="674" w:type="pct"/>
                  <w:vAlign w:val="center"/>
                </w:tcPr>
                <w:p>
                  <w:pPr>
                    <w:jc w:val="center"/>
                    <w:rPr>
                      <w:rFonts w:hAnsi="宋体"/>
                      <w:kern w:val="24"/>
                      <w:szCs w:val="21"/>
                    </w:rPr>
                  </w:pPr>
                  <w:r>
                    <w:rPr>
                      <w:rFonts w:hint="eastAsia" w:hAnsi="宋体"/>
                      <w:kern w:val="24"/>
                      <w:szCs w:val="21"/>
                    </w:rPr>
                    <w:t>22.4925t</w:t>
                  </w:r>
                </w:p>
              </w:tc>
              <w:tc>
                <w:tcPr>
                  <w:tcW w:w="629" w:type="pct"/>
                  <w:vAlign w:val="center"/>
                </w:tcPr>
                <w:p>
                  <w:pPr>
                    <w:jc w:val="center"/>
                    <w:rPr>
                      <w:rFonts w:hAnsi="宋体"/>
                      <w:kern w:val="24"/>
                      <w:szCs w:val="21"/>
                    </w:rPr>
                  </w:pPr>
                  <w:r>
                    <w:rPr>
                      <w:rFonts w:hint="eastAsia" w:hAnsi="宋体"/>
                      <w:kern w:val="24"/>
                      <w:szCs w:val="21"/>
                    </w:rPr>
                    <w:t>+2.2125t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232" w:hRule="atLeast"/>
                <w:jc w:val="center"/>
              </w:trPr>
              <w:tc>
                <w:tcPr>
                  <w:tcW w:w="314" w:type="pct"/>
                  <w:vMerge w:val="continue"/>
                  <w:vAlign w:val="center"/>
                </w:tcPr>
                <w:p>
                  <w:pPr>
                    <w:jc w:val="center"/>
                    <w:rPr>
                      <w:rFonts w:hAnsi="宋体"/>
                      <w:kern w:val="24"/>
                      <w:szCs w:val="21"/>
                    </w:rPr>
                  </w:pPr>
                </w:p>
              </w:tc>
              <w:tc>
                <w:tcPr>
                  <w:tcW w:w="266" w:type="pct"/>
                  <w:vMerge w:val="continue"/>
                  <w:vAlign w:val="center"/>
                </w:tcPr>
                <w:p>
                  <w:pPr>
                    <w:jc w:val="center"/>
                    <w:rPr>
                      <w:rFonts w:hAnsi="宋体"/>
                      <w:kern w:val="24"/>
                      <w:szCs w:val="21"/>
                    </w:rPr>
                  </w:pPr>
                </w:p>
              </w:tc>
              <w:tc>
                <w:tcPr>
                  <w:tcW w:w="272" w:type="pct"/>
                  <w:vMerge w:val="continue"/>
                </w:tcPr>
                <w:p>
                  <w:pPr>
                    <w:pStyle w:val="217"/>
                    <w:spacing w:before="43"/>
                    <w:ind w:left="177" w:right="166"/>
                    <w:rPr>
                      <w:sz w:val="21"/>
                    </w:rPr>
                  </w:pPr>
                </w:p>
              </w:tc>
              <w:tc>
                <w:tcPr>
                  <w:tcW w:w="1124" w:type="pct"/>
                </w:tcPr>
                <w:p>
                  <w:pPr>
                    <w:pStyle w:val="217"/>
                    <w:spacing w:before="22"/>
                    <w:ind w:left="177" w:right="166"/>
                    <w:rPr>
                      <w:sz w:val="21"/>
                      <w:lang w:val="en-US"/>
                    </w:rPr>
                  </w:pPr>
                  <w:r>
                    <w:rPr>
                      <w:rFonts w:hint="eastAsia"/>
                      <w:sz w:val="21"/>
                      <w:lang w:val="en-US"/>
                    </w:rPr>
                    <w:t>固化剂</w:t>
                  </w:r>
                </w:p>
              </w:tc>
              <w:tc>
                <w:tcPr>
                  <w:tcW w:w="606" w:type="pct"/>
                  <w:vAlign w:val="center"/>
                </w:tcPr>
                <w:p>
                  <w:pPr>
                    <w:spacing w:line="320" w:lineRule="exact"/>
                    <w:jc w:val="center"/>
                    <w:rPr>
                      <w:kern w:val="0"/>
                      <w:szCs w:val="21"/>
                    </w:rPr>
                  </w:pPr>
                  <w:r>
                    <w:rPr>
                      <w:rFonts w:hint="eastAsia"/>
                      <w:kern w:val="0"/>
                      <w:szCs w:val="21"/>
                    </w:rPr>
                    <w:t>3.86t</w:t>
                  </w:r>
                </w:p>
              </w:tc>
              <w:tc>
                <w:tcPr>
                  <w:tcW w:w="560" w:type="pct"/>
                  <w:vAlign w:val="center"/>
                </w:tcPr>
                <w:p>
                  <w:pPr>
                    <w:jc w:val="center"/>
                    <w:rPr>
                      <w:rFonts w:hAnsi="宋体"/>
                      <w:kern w:val="24"/>
                      <w:szCs w:val="21"/>
                    </w:rPr>
                  </w:pPr>
                  <w:r>
                    <w:rPr>
                      <w:rFonts w:hint="eastAsia" w:hAnsi="宋体"/>
                      <w:kern w:val="24"/>
                      <w:szCs w:val="21"/>
                    </w:rPr>
                    <w:t>0.1t</w:t>
                  </w:r>
                </w:p>
              </w:tc>
              <w:tc>
                <w:tcPr>
                  <w:tcW w:w="550" w:type="pct"/>
                  <w:vAlign w:val="center"/>
                </w:tcPr>
                <w:p>
                  <w:pPr>
                    <w:jc w:val="center"/>
                    <w:rPr>
                      <w:rFonts w:hAnsi="宋体"/>
                      <w:kern w:val="24"/>
                      <w:szCs w:val="21"/>
                    </w:rPr>
                  </w:pPr>
                  <w:r>
                    <w:rPr>
                      <w:rFonts w:hint="eastAsia" w:hAnsi="宋体"/>
                      <w:kern w:val="24"/>
                      <w:szCs w:val="21"/>
                    </w:rPr>
                    <w:t>桶装</w:t>
                  </w:r>
                </w:p>
              </w:tc>
              <w:tc>
                <w:tcPr>
                  <w:tcW w:w="674" w:type="pct"/>
                  <w:vAlign w:val="center"/>
                </w:tcPr>
                <w:p>
                  <w:pPr>
                    <w:jc w:val="center"/>
                    <w:rPr>
                      <w:rFonts w:hAnsi="宋体"/>
                      <w:kern w:val="24"/>
                      <w:szCs w:val="21"/>
                    </w:rPr>
                  </w:pPr>
                  <w:r>
                    <w:rPr>
                      <w:rFonts w:hint="eastAsia" w:hAnsi="宋体"/>
                      <w:kern w:val="24"/>
                      <w:szCs w:val="21"/>
                    </w:rPr>
                    <w:t>4.109t</w:t>
                  </w:r>
                </w:p>
              </w:tc>
              <w:tc>
                <w:tcPr>
                  <w:tcW w:w="629" w:type="pct"/>
                  <w:vAlign w:val="center"/>
                </w:tcPr>
                <w:p>
                  <w:pPr>
                    <w:jc w:val="center"/>
                    <w:rPr>
                      <w:rFonts w:hAnsi="宋体"/>
                      <w:kern w:val="24"/>
                      <w:szCs w:val="21"/>
                    </w:rPr>
                  </w:pPr>
                  <w:r>
                    <w:rPr>
                      <w:rFonts w:hint="eastAsia" w:hAnsi="宋体"/>
                      <w:kern w:val="24"/>
                      <w:szCs w:val="21"/>
                    </w:rPr>
                    <w:t>+0.423t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314" w:type="pct"/>
                  <w:vMerge w:val="continue"/>
                  <w:vAlign w:val="center"/>
                </w:tcPr>
                <w:p>
                  <w:pPr>
                    <w:jc w:val="center"/>
                    <w:rPr>
                      <w:rFonts w:hAnsi="宋体"/>
                      <w:kern w:val="24"/>
                      <w:szCs w:val="21"/>
                    </w:rPr>
                  </w:pPr>
                </w:p>
              </w:tc>
              <w:tc>
                <w:tcPr>
                  <w:tcW w:w="266" w:type="pct"/>
                  <w:vMerge w:val="continue"/>
                  <w:vAlign w:val="center"/>
                </w:tcPr>
                <w:p>
                  <w:pPr>
                    <w:jc w:val="center"/>
                    <w:rPr>
                      <w:rFonts w:hAnsi="宋体"/>
                      <w:kern w:val="24"/>
                      <w:szCs w:val="21"/>
                    </w:rPr>
                  </w:pPr>
                </w:p>
              </w:tc>
              <w:tc>
                <w:tcPr>
                  <w:tcW w:w="272" w:type="pct"/>
                  <w:vMerge w:val="continue"/>
                </w:tcPr>
                <w:p>
                  <w:pPr>
                    <w:pStyle w:val="217"/>
                    <w:spacing w:before="37"/>
                    <w:ind w:left="177" w:right="166"/>
                    <w:rPr>
                      <w:sz w:val="21"/>
                    </w:rPr>
                  </w:pPr>
                </w:p>
              </w:tc>
              <w:tc>
                <w:tcPr>
                  <w:tcW w:w="1124" w:type="pct"/>
                  <w:vAlign w:val="center"/>
                </w:tcPr>
                <w:p>
                  <w:pPr>
                    <w:pStyle w:val="217"/>
                    <w:spacing w:before="22"/>
                    <w:ind w:left="177" w:right="166"/>
                    <w:rPr>
                      <w:sz w:val="21"/>
                    </w:rPr>
                  </w:pPr>
                  <w:r>
                    <w:rPr>
                      <w:rFonts w:hint="eastAsia"/>
                      <w:sz w:val="21"/>
                      <w:lang w:val="en-US"/>
                    </w:rPr>
                    <w:t>稀释剂</w:t>
                  </w:r>
                </w:p>
              </w:tc>
              <w:tc>
                <w:tcPr>
                  <w:tcW w:w="606"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7.3t</w:t>
                  </w:r>
                </w:p>
              </w:tc>
              <w:tc>
                <w:tcPr>
                  <w:tcW w:w="560" w:type="pct"/>
                  <w:vAlign w:val="center"/>
                </w:tcPr>
                <w:p>
                  <w:pPr>
                    <w:jc w:val="center"/>
                    <w:rPr>
                      <w:rFonts w:hAnsi="宋体"/>
                      <w:kern w:val="24"/>
                      <w:szCs w:val="21"/>
                    </w:rPr>
                  </w:pPr>
                  <w:r>
                    <w:rPr>
                      <w:rFonts w:hint="eastAsia" w:hAnsi="宋体"/>
                      <w:kern w:val="24"/>
                      <w:szCs w:val="21"/>
                    </w:rPr>
                    <w:t>0.2t</w:t>
                  </w:r>
                </w:p>
              </w:tc>
              <w:tc>
                <w:tcPr>
                  <w:tcW w:w="550" w:type="pct"/>
                  <w:vAlign w:val="center"/>
                </w:tcPr>
                <w:p>
                  <w:pPr>
                    <w:jc w:val="center"/>
                    <w:rPr>
                      <w:rFonts w:hAnsi="宋体"/>
                      <w:kern w:val="24"/>
                      <w:szCs w:val="21"/>
                    </w:rPr>
                  </w:pPr>
                  <w:r>
                    <w:rPr>
                      <w:rFonts w:hint="eastAsia" w:hAnsi="宋体"/>
                      <w:kern w:val="24"/>
                      <w:szCs w:val="21"/>
                    </w:rPr>
                    <w:t>桶</w:t>
                  </w:r>
                  <w:r>
                    <w:rPr>
                      <w:rFonts w:hAnsi="宋体"/>
                      <w:kern w:val="24"/>
                      <w:szCs w:val="21"/>
                    </w:rPr>
                    <w:t>装</w:t>
                  </w:r>
                </w:p>
              </w:tc>
              <w:tc>
                <w:tcPr>
                  <w:tcW w:w="674" w:type="pct"/>
                  <w:vAlign w:val="center"/>
                </w:tcPr>
                <w:p>
                  <w:pPr>
                    <w:jc w:val="center"/>
                    <w:rPr>
                      <w:rFonts w:hAnsi="宋体"/>
                      <w:kern w:val="24"/>
                      <w:szCs w:val="21"/>
                    </w:rPr>
                  </w:pPr>
                  <w:r>
                    <w:rPr>
                      <w:rFonts w:hint="eastAsia" w:hAnsi="宋体"/>
                      <w:kern w:val="24"/>
                      <w:szCs w:val="21"/>
                    </w:rPr>
                    <w:t>8.116t</w:t>
                  </w:r>
                </w:p>
              </w:tc>
              <w:tc>
                <w:tcPr>
                  <w:tcW w:w="629" w:type="pct"/>
                  <w:vAlign w:val="center"/>
                </w:tcPr>
                <w:p>
                  <w:pPr>
                    <w:jc w:val="center"/>
                    <w:rPr>
                      <w:rFonts w:hAnsi="宋体"/>
                      <w:kern w:val="24"/>
                      <w:szCs w:val="21"/>
                    </w:rPr>
                  </w:pPr>
                  <w:r>
                    <w:rPr>
                      <w:rFonts w:hint="eastAsia" w:hAnsi="宋体"/>
                      <w:kern w:val="24"/>
                      <w:szCs w:val="21"/>
                    </w:rPr>
                    <w:t>+0.816t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314" w:type="pct"/>
                  <w:vMerge w:val="restart"/>
                  <w:vAlign w:val="center"/>
                </w:tcPr>
                <w:p>
                  <w:pPr>
                    <w:jc w:val="center"/>
                    <w:rPr>
                      <w:rFonts w:hAnsi="宋体"/>
                      <w:kern w:val="24"/>
                      <w:szCs w:val="21"/>
                    </w:rPr>
                  </w:pPr>
                  <w:r>
                    <w:rPr>
                      <w:rFonts w:hint="eastAsia" w:hAnsi="宋体"/>
                      <w:kern w:val="24"/>
                      <w:szCs w:val="21"/>
                    </w:rPr>
                    <w:t>8</w:t>
                  </w:r>
                </w:p>
              </w:tc>
              <w:tc>
                <w:tcPr>
                  <w:tcW w:w="266" w:type="pct"/>
                  <w:vMerge w:val="continue"/>
                  <w:vAlign w:val="center"/>
                </w:tcPr>
                <w:p>
                  <w:pPr>
                    <w:jc w:val="center"/>
                    <w:rPr>
                      <w:rFonts w:hAnsi="宋体"/>
                      <w:kern w:val="24"/>
                      <w:szCs w:val="21"/>
                    </w:rPr>
                  </w:pPr>
                </w:p>
              </w:tc>
              <w:tc>
                <w:tcPr>
                  <w:tcW w:w="1396" w:type="pct"/>
                  <w:gridSpan w:val="2"/>
                </w:tcPr>
                <w:p>
                  <w:pPr>
                    <w:pStyle w:val="217"/>
                    <w:spacing w:before="43"/>
                    <w:ind w:left="177" w:right="166"/>
                    <w:rPr>
                      <w:sz w:val="21"/>
                      <w:lang w:val="en-US"/>
                    </w:rPr>
                  </w:pPr>
                  <w:r>
                    <w:rPr>
                      <w:rFonts w:hint="eastAsia"/>
                      <w:sz w:val="21"/>
                      <w:lang w:val="en-US"/>
                    </w:rPr>
                    <w:t>水性漆</w:t>
                  </w:r>
                </w:p>
              </w:tc>
              <w:tc>
                <w:tcPr>
                  <w:tcW w:w="606"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kern w:val="24"/>
                      <w:szCs w:val="21"/>
                    </w:rPr>
                    <w:t>26.62t</w:t>
                  </w:r>
                </w:p>
              </w:tc>
              <w:tc>
                <w:tcPr>
                  <w:tcW w:w="560"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4t</w:t>
                  </w:r>
                </w:p>
              </w:tc>
              <w:tc>
                <w:tcPr>
                  <w:tcW w:w="550" w:type="pct"/>
                  <w:vAlign w:val="center"/>
                </w:tcPr>
                <w:p>
                  <w:pPr>
                    <w:jc w:val="center"/>
                    <w:rPr>
                      <w:rFonts w:hAnsi="宋体"/>
                      <w:kern w:val="24"/>
                      <w:szCs w:val="21"/>
                    </w:rPr>
                  </w:pPr>
                  <w:r>
                    <w:rPr>
                      <w:rFonts w:hint="eastAsia" w:hAnsi="宋体"/>
                      <w:kern w:val="24"/>
                      <w:szCs w:val="21"/>
                    </w:rPr>
                    <w:t>桶</w:t>
                  </w:r>
                  <w:r>
                    <w:rPr>
                      <w:rFonts w:hAnsi="宋体"/>
                      <w:kern w:val="24"/>
                      <w:szCs w:val="21"/>
                    </w:rPr>
                    <w:t>装</w:t>
                  </w:r>
                </w:p>
              </w:tc>
              <w:tc>
                <w:tcPr>
                  <w:tcW w:w="674" w:type="pct"/>
                  <w:vAlign w:val="center"/>
                </w:tcPr>
                <w:p>
                  <w:pPr>
                    <w:jc w:val="center"/>
                    <w:rPr>
                      <w:rFonts w:hAnsi="宋体"/>
                      <w:kern w:val="24"/>
                      <w:szCs w:val="21"/>
                    </w:rPr>
                  </w:pPr>
                  <w:r>
                    <w:rPr>
                      <w:rFonts w:hint="eastAsia" w:hAnsi="宋体"/>
                      <w:kern w:val="24"/>
                      <w:szCs w:val="21"/>
                    </w:rPr>
                    <w:t>29.82t</w:t>
                  </w:r>
                </w:p>
              </w:tc>
              <w:tc>
                <w:tcPr>
                  <w:tcW w:w="629" w:type="pct"/>
                  <w:vAlign w:val="center"/>
                </w:tcPr>
                <w:p>
                  <w:pPr>
                    <w:jc w:val="center"/>
                    <w:rPr>
                      <w:rFonts w:hAnsi="宋体"/>
                      <w:kern w:val="24"/>
                      <w:szCs w:val="21"/>
                    </w:rPr>
                  </w:pPr>
                  <w:r>
                    <w:rPr>
                      <w:rFonts w:hint="eastAsia" w:hAnsi="宋体"/>
                      <w:kern w:val="24"/>
                      <w:szCs w:val="21"/>
                    </w:rPr>
                    <w:t>+3.2t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314" w:type="pct"/>
                  <w:vMerge w:val="continue"/>
                  <w:vAlign w:val="center"/>
                </w:tcPr>
                <w:p>
                  <w:pPr>
                    <w:jc w:val="center"/>
                    <w:rPr>
                      <w:rFonts w:hAnsi="宋体"/>
                      <w:kern w:val="24"/>
                      <w:szCs w:val="21"/>
                    </w:rPr>
                  </w:pPr>
                </w:p>
              </w:tc>
              <w:tc>
                <w:tcPr>
                  <w:tcW w:w="266" w:type="pct"/>
                  <w:vMerge w:val="continue"/>
                  <w:vAlign w:val="center"/>
                </w:tcPr>
                <w:p>
                  <w:pPr>
                    <w:jc w:val="center"/>
                    <w:rPr>
                      <w:rFonts w:hAnsi="宋体"/>
                      <w:kern w:val="24"/>
                      <w:szCs w:val="21"/>
                    </w:rPr>
                  </w:pPr>
                </w:p>
              </w:tc>
              <w:tc>
                <w:tcPr>
                  <w:tcW w:w="272" w:type="pct"/>
                  <w:vMerge w:val="restart"/>
                </w:tcPr>
                <w:p>
                  <w:pPr>
                    <w:pStyle w:val="217"/>
                    <w:spacing w:before="43"/>
                    <w:ind w:left="177" w:right="166"/>
                    <w:rPr>
                      <w:sz w:val="21"/>
                      <w:lang w:val="en-US"/>
                    </w:rPr>
                  </w:pPr>
                  <w:r>
                    <w:rPr>
                      <w:rFonts w:hint="eastAsia"/>
                      <w:sz w:val="21"/>
                      <w:lang w:val="en-US"/>
                    </w:rPr>
                    <w:t>其中</w:t>
                  </w:r>
                </w:p>
              </w:tc>
              <w:tc>
                <w:tcPr>
                  <w:tcW w:w="1124" w:type="pct"/>
                </w:tcPr>
                <w:p>
                  <w:pPr>
                    <w:pStyle w:val="217"/>
                    <w:spacing w:before="43"/>
                    <w:ind w:left="177" w:right="166"/>
                    <w:rPr>
                      <w:sz w:val="21"/>
                    </w:rPr>
                  </w:pPr>
                  <w:r>
                    <w:rPr>
                      <w:sz w:val="21"/>
                    </w:rPr>
                    <w:t>水性丙烯酸防锈底漆</w:t>
                  </w:r>
                </w:p>
              </w:tc>
              <w:tc>
                <w:tcPr>
                  <w:tcW w:w="606"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kern w:val="24"/>
                      <w:szCs w:val="21"/>
                    </w:rPr>
                    <w:t>10.65t</w:t>
                  </w:r>
                </w:p>
              </w:tc>
              <w:tc>
                <w:tcPr>
                  <w:tcW w:w="560"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2t</w:t>
                  </w:r>
                </w:p>
              </w:tc>
              <w:tc>
                <w:tcPr>
                  <w:tcW w:w="550" w:type="pct"/>
                  <w:vAlign w:val="center"/>
                </w:tcPr>
                <w:p>
                  <w:pPr>
                    <w:jc w:val="center"/>
                    <w:rPr>
                      <w:rFonts w:hAnsi="宋体"/>
                      <w:kern w:val="24"/>
                      <w:szCs w:val="21"/>
                    </w:rPr>
                  </w:pPr>
                  <w:r>
                    <w:rPr>
                      <w:rFonts w:hint="eastAsia" w:hAnsi="宋体"/>
                      <w:kern w:val="24"/>
                      <w:szCs w:val="21"/>
                    </w:rPr>
                    <w:t>桶</w:t>
                  </w:r>
                  <w:r>
                    <w:rPr>
                      <w:rFonts w:hAnsi="宋体"/>
                      <w:kern w:val="24"/>
                      <w:szCs w:val="21"/>
                    </w:rPr>
                    <w:t>装</w:t>
                  </w:r>
                </w:p>
              </w:tc>
              <w:tc>
                <w:tcPr>
                  <w:tcW w:w="674" w:type="pct"/>
                  <w:vAlign w:val="center"/>
                </w:tcPr>
                <w:p>
                  <w:pPr>
                    <w:jc w:val="center"/>
                    <w:rPr>
                      <w:rFonts w:hAnsi="宋体"/>
                      <w:kern w:val="24"/>
                      <w:szCs w:val="21"/>
                    </w:rPr>
                  </w:pPr>
                  <w:r>
                    <w:rPr>
                      <w:rFonts w:hint="eastAsia" w:hAnsi="宋体"/>
                      <w:kern w:val="24"/>
                      <w:szCs w:val="21"/>
                    </w:rPr>
                    <w:t>11.93t</w:t>
                  </w:r>
                </w:p>
              </w:tc>
              <w:tc>
                <w:tcPr>
                  <w:tcW w:w="629" w:type="pct"/>
                  <w:vAlign w:val="center"/>
                </w:tcPr>
                <w:p>
                  <w:pPr>
                    <w:jc w:val="center"/>
                    <w:rPr>
                      <w:rFonts w:hAnsi="宋体"/>
                      <w:kern w:val="24"/>
                      <w:szCs w:val="21"/>
                    </w:rPr>
                  </w:pPr>
                  <w:r>
                    <w:rPr>
                      <w:rFonts w:hint="eastAsia" w:hAnsi="宋体"/>
                      <w:kern w:val="24"/>
                      <w:szCs w:val="21"/>
                    </w:rPr>
                    <w:t>+1.28t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314" w:type="pct"/>
                  <w:vMerge w:val="continue"/>
                  <w:vAlign w:val="center"/>
                </w:tcPr>
                <w:p>
                  <w:pPr>
                    <w:jc w:val="center"/>
                    <w:rPr>
                      <w:rFonts w:hAnsi="宋体"/>
                      <w:kern w:val="24"/>
                      <w:szCs w:val="21"/>
                    </w:rPr>
                  </w:pPr>
                </w:p>
              </w:tc>
              <w:tc>
                <w:tcPr>
                  <w:tcW w:w="266" w:type="pct"/>
                  <w:vMerge w:val="continue"/>
                  <w:vAlign w:val="center"/>
                </w:tcPr>
                <w:p>
                  <w:pPr>
                    <w:jc w:val="center"/>
                    <w:rPr>
                      <w:rFonts w:hAnsi="宋体"/>
                      <w:kern w:val="24"/>
                      <w:szCs w:val="21"/>
                    </w:rPr>
                  </w:pPr>
                </w:p>
              </w:tc>
              <w:tc>
                <w:tcPr>
                  <w:tcW w:w="272" w:type="pct"/>
                  <w:vMerge w:val="continue"/>
                </w:tcPr>
                <w:p>
                  <w:pPr>
                    <w:pStyle w:val="217"/>
                    <w:spacing w:before="43"/>
                    <w:ind w:left="177" w:right="166"/>
                    <w:rPr>
                      <w:sz w:val="21"/>
                    </w:rPr>
                  </w:pPr>
                </w:p>
              </w:tc>
              <w:tc>
                <w:tcPr>
                  <w:tcW w:w="1124" w:type="pct"/>
                </w:tcPr>
                <w:p>
                  <w:pPr>
                    <w:pStyle w:val="217"/>
                    <w:spacing w:before="22"/>
                    <w:ind w:left="177" w:right="166"/>
                    <w:rPr>
                      <w:sz w:val="21"/>
                    </w:rPr>
                  </w:pPr>
                  <w:r>
                    <w:rPr>
                      <w:sz w:val="21"/>
                    </w:rPr>
                    <w:t>水性丙烯酸防锈面漆</w:t>
                  </w:r>
                </w:p>
              </w:tc>
              <w:tc>
                <w:tcPr>
                  <w:tcW w:w="606"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kern w:val="24"/>
                      <w:szCs w:val="21"/>
                    </w:rPr>
                    <w:t>10.65t</w:t>
                  </w:r>
                </w:p>
              </w:tc>
              <w:tc>
                <w:tcPr>
                  <w:tcW w:w="560"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2t</w:t>
                  </w:r>
                </w:p>
              </w:tc>
              <w:tc>
                <w:tcPr>
                  <w:tcW w:w="550" w:type="pct"/>
                  <w:vAlign w:val="center"/>
                </w:tcPr>
                <w:p>
                  <w:pPr>
                    <w:jc w:val="center"/>
                    <w:rPr>
                      <w:rFonts w:hAnsi="宋体"/>
                      <w:kern w:val="24"/>
                      <w:szCs w:val="21"/>
                    </w:rPr>
                  </w:pPr>
                  <w:r>
                    <w:rPr>
                      <w:rFonts w:hint="eastAsia" w:hAnsi="宋体"/>
                      <w:kern w:val="24"/>
                      <w:szCs w:val="21"/>
                    </w:rPr>
                    <w:t>桶</w:t>
                  </w:r>
                  <w:r>
                    <w:rPr>
                      <w:rFonts w:hAnsi="宋体"/>
                      <w:kern w:val="24"/>
                      <w:szCs w:val="21"/>
                    </w:rPr>
                    <w:t>装</w:t>
                  </w:r>
                </w:p>
              </w:tc>
              <w:tc>
                <w:tcPr>
                  <w:tcW w:w="674" w:type="pct"/>
                  <w:vAlign w:val="center"/>
                </w:tcPr>
                <w:p>
                  <w:pPr>
                    <w:jc w:val="center"/>
                    <w:rPr>
                      <w:rFonts w:hAnsi="宋体"/>
                      <w:kern w:val="24"/>
                      <w:szCs w:val="21"/>
                    </w:rPr>
                  </w:pPr>
                  <w:r>
                    <w:rPr>
                      <w:rFonts w:hint="eastAsia" w:hAnsi="宋体"/>
                      <w:kern w:val="24"/>
                      <w:szCs w:val="21"/>
                    </w:rPr>
                    <w:t>11.93t</w:t>
                  </w:r>
                </w:p>
              </w:tc>
              <w:tc>
                <w:tcPr>
                  <w:tcW w:w="629" w:type="pct"/>
                  <w:vAlign w:val="center"/>
                </w:tcPr>
                <w:p>
                  <w:pPr>
                    <w:jc w:val="center"/>
                    <w:rPr>
                      <w:rFonts w:hAnsi="宋体"/>
                      <w:kern w:val="24"/>
                      <w:szCs w:val="21"/>
                    </w:rPr>
                  </w:pPr>
                  <w:r>
                    <w:rPr>
                      <w:rFonts w:hint="eastAsia" w:hAnsi="宋体"/>
                      <w:kern w:val="24"/>
                      <w:szCs w:val="21"/>
                    </w:rPr>
                    <w:t>+1.28t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314" w:type="pct"/>
                  <w:vMerge w:val="continue"/>
                  <w:vAlign w:val="center"/>
                </w:tcPr>
                <w:p>
                  <w:pPr>
                    <w:jc w:val="center"/>
                    <w:rPr>
                      <w:rFonts w:hAnsi="宋体"/>
                      <w:kern w:val="24"/>
                      <w:szCs w:val="21"/>
                    </w:rPr>
                  </w:pPr>
                </w:p>
              </w:tc>
              <w:tc>
                <w:tcPr>
                  <w:tcW w:w="266" w:type="pct"/>
                  <w:vMerge w:val="continue"/>
                  <w:vAlign w:val="center"/>
                </w:tcPr>
                <w:p>
                  <w:pPr>
                    <w:jc w:val="center"/>
                    <w:rPr>
                      <w:rFonts w:hAnsi="宋体"/>
                      <w:kern w:val="24"/>
                      <w:szCs w:val="21"/>
                    </w:rPr>
                  </w:pPr>
                </w:p>
              </w:tc>
              <w:tc>
                <w:tcPr>
                  <w:tcW w:w="272" w:type="pct"/>
                  <w:vMerge w:val="continue"/>
                </w:tcPr>
                <w:p>
                  <w:pPr>
                    <w:pStyle w:val="217"/>
                    <w:spacing w:before="43"/>
                    <w:ind w:left="177" w:right="166"/>
                    <w:rPr>
                      <w:sz w:val="21"/>
                      <w:lang w:val="en-US"/>
                    </w:rPr>
                  </w:pPr>
                </w:p>
              </w:tc>
              <w:tc>
                <w:tcPr>
                  <w:tcW w:w="1124" w:type="pct"/>
                </w:tcPr>
                <w:p>
                  <w:pPr>
                    <w:pStyle w:val="217"/>
                    <w:spacing w:before="43"/>
                    <w:ind w:left="177" w:right="166"/>
                    <w:jc w:val="both"/>
                    <w:rPr>
                      <w:sz w:val="21"/>
                      <w:lang w:val="en-US"/>
                    </w:rPr>
                  </w:pPr>
                  <w:r>
                    <w:rPr>
                      <w:rFonts w:hint="eastAsia"/>
                      <w:sz w:val="21"/>
                      <w:lang w:val="en-US"/>
                    </w:rPr>
                    <w:t>稀释剂（水）</w:t>
                  </w:r>
                </w:p>
              </w:tc>
              <w:tc>
                <w:tcPr>
                  <w:tcW w:w="606"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kern w:val="24"/>
                      <w:szCs w:val="21"/>
                    </w:rPr>
                    <w:t>5.33t</w:t>
                  </w:r>
                </w:p>
              </w:tc>
              <w:tc>
                <w:tcPr>
                  <w:tcW w:w="560"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w:t>
                  </w:r>
                </w:p>
              </w:tc>
              <w:tc>
                <w:tcPr>
                  <w:tcW w:w="550" w:type="pct"/>
                  <w:vAlign w:val="center"/>
                </w:tcPr>
                <w:p>
                  <w:pPr>
                    <w:jc w:val="center"/>
                    <w:rPr>
                      <w:rFonts w:hAnsi="宋体"/>
                      <w:kern w:val="24"/>
                      <w:szCs w:val="21"/>
                    </w:rPr>
                  </w:pPr>
                  <w:r>
                    <w:rPr>
                      <w:rFonts w:hint="eastAsia" w:hAnsi="宋体"/>
                      <w:kern w:val="24"/>
                      <w:szCs w:val="21"/>
                    </w:rPr>
                    <w:t>桶</w:t>
                  </w:r>
                  <w:r>
                    <w:rPr>
                      <w:rFonts w:hAnsi="宋体"/>
                      <w:kern w:val="24"/>
                      <w:szCs w:val="21"/>
                    </w:rPr>
                    <w:t>装</w:t>
                  </w:r>
                </w:p>
              </w:tc>
              <w:tc>
                <w:tcPr>
                  <w:tcW w:w="674" w:type="pct"/>
                  <w:vAlign w:val="center"/>
                </w:tcPr>
                <w:p>
                  <w:pPr>
                    <w:jc w:val="center"/>
                    <w:rPr>
                      <w:rFonts w:hAnsi="宋体"/>
                      <w:kern w:val="24"/>
                      <w:szCs w:val="21"/>
                    </w:rPr>
                  </w:pPr>
                  <w:r>
                    <w:rPr>
                      <w:rFonts w:hint="eastAsia" w:hAnsi="宋体"/>
                      <w:kern w:val="24"/>
                      <w:szCs w:val="21"/>
                    </w:rPr>
                    <w:t>5.97t</w:t>
                  </w:r>
                </w:p>
              </w:tc>
              <w:tc>
                <w:tcPr>
                  <w:tcW w:w="629" w:type="pct"/>
                  <w:vAlign w:val="center"/>
                </w:tcPr>
                <w:p>
                  <w:pPr>
                    <w:jc w:val="center"/>
                    <w:rPr>
                      <w:rFonts w:hAnsi="宋体"/>
                      <w:kern w:val="24"/>
                      <w:szCs w:val="21"/>
                    </w:rPr>
                  </w:pPr>
                  <w:r>
                    <w:rPr>
                      <w:rFonts w:hint="eastAsia" w:hAnsi="宋体"/>
                      <w:kern w:val="24"/>
                      <w:szCs w:val="21"/>
                    </w:rPr>
                    <w:t>+0.64t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314" w:type="pct"/>
                  <w:vAlign w:val="center"/>
                </w:tcPr>
                <w:p>
                  <w:pPr>
                    <w:jc w:val="center"/>
                    <w:rPr>
                      <w:rFonts w:hAnsi="宋体"/>
                      <w:kern w:val="24"/>
                      <w:szCs w:val="21"/>
                    </w:rPr>
                  </w:pPr>
                  <w:r>
                    <w:rPr>
                      <w:rFonts w:hint="eastAsia" w:hAnsi="宋体"/>
                      <w:kern w:val="24"/>
                      <w:szCs w:val="21"/>
                    </w:rPr>
                    <w:t>9</w:t>
                  </w:r>
                </w:p>
              </w:tc>
              <w:tc>
                <w:tcPr>
                  <w:tcW w:w="266" w:type="pct"/>
                  <w:vMerge w:val="continue"/>
                  <w:vAlign w:val="center"/>
                </w:tcPr>
                <w:p>
                  <w:pPr>
                    <w:jc w:val="center"/>
                    <w:rPr>
                      <w:rFonts w:hAnsi="宋体"/>
                      <w:kern w:val="24"/>
                      <w:szCs w:val="21"/>
                    </w:rPr>
                  </w:pPr>
                </w:p>
              </w:tc>
              <w:tc>
                <w:tcPr>
                  <w:tcW w:w="1396" w:type="pct"/>
                  <w:gridSpan w:val="2"/>
                </w:tcPr>
                <w:p>
                  <w:pPr>
                    <w:pStyle w:val="217"/>
                    <w:spacing w:before="37"/>
                    <w:ind w:left="177" w:right="166"/>
                    <w:rPr>
                      <w:sz w:val="21"/>
                    </w:rPr>
                  </w:pPr>
                  <w:r>
                    <w:rPr>
                      <w:sz w:val="21"/>
                    </w:rPr>
                    <w:t>钢丸</w:t>
                  </w:r>
                </w:p>
              </w:tc>
              <w:tc>
                <w:tcPr>
                  <w:tcW w:w="606"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kern w:val="24"/>
                      <w:szCs w:val="21"/>
                    </w:rPr>
                    <w:t>6t</w:t>
                  </w:r>
                </w:p>
              </w:tc>
              <w:tc>
                <w:tcPr>
                  <w:tcW w:w="560"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5t</w:t>
                  </w:r>
                </w:p>
              </w:tc>
              <w:tc>
                <w:tcPr>
                  <w:tcW w:w="550" w:type="pct"/>
                  <w:vAlign w:val="center"/>
                </w:tcPr>
                <w:p>
                  <w:pPr>
                    <w:jc w:val="center"/>
                    <w:rPr>
                      <w:rFonts w:hAnsi="宋体"/>
                      <w:kern w:val="24"/>
                      <w:szCs w:val="21"/>
                    </w:rPr>
                  </w:pPr>
                  <w:r>
                    <w:rPr>
                      <w:rFonts w:hint="eastAsia" w:hAnsi="宋体"/>
                      <w:kern w:val="24"/>
                      <w:szCs w:val="21"/>
                    </w:rPr>
                    <w:t>桶</w:t>
                  </w:r>
                  <w:r>
                    <w:rPr>
                      <w:rFonts w:hAnsi="宋体"/>
                      <w:kern w:val="24"/>
                      <w:szCs w:val="21"/>
                    </w:rPr>
                    <w:t>装</w:t>
                  </w:r>
                </w:p>
              </w:tc>
              <w:tc>
                <w:tcPr>
                  <w:tcW w:w="674" w:type="pct"/>
                  <w:vAlign w:val="center"/>
                </w:tcPr>
                <w:p>
                  <w:pPr>
                    <w:jc w:val="center"/>
                    <w:rPr>
                      <w:rFonts w:hAnsi="宋体"/>
                      <w:kern w:val="24"/>
                      <w:szCs w:val="21"/>
                    </w:rPr>
                  </w:pPr>
                  <w:r>
                    <w:rPr>
                      <w:rFonts w:hint="eastAsia" w:hAnsi="宋体"/>
                      <w:kern w:val="24"/>
                      <w:szCs w:val="21"/>
                    </w:rPr>
                    <w:t>6t</w:t>
                  </w:r>
                </w:p>
              </w:tc>
              <w:tc>
                <w:tcPr>
                  <w:tcW w:w="629" w:type="pct"/>
                  <w:vAlign w:val="center"/>
                </w:tcPr>
                <w:p>
                  <w:pPr>
                    <w:jc w:val="center"/>
                    <w:rPr>
                      <w:rFonts w:hAnsi="宋体"/>
                      <w:kern w:val="24"/>
                      <w:szCs w:val="21"/>
                    </w:rPr>
                  </w:pPr>
                  <w:r>
                    <w:rPr>
                      <w:rFonts w:hint="eastAsia" w:hAnsi="宋体"/>
                      <w:kern w:val="24"/>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415" w:hRule="atLeast"/>
                <w:jc w:val="center"/>
              </w:trPr>
              <w:tc>
                <w:tcPr>
                  <w:tcW w:w="314" w:type="pct"/>
                  <w:vAlign w:val="center"/>
                </w:tcPr>
                <w:p>
                  <w:pPr>
                    <w:jc w:val="center"/>
                    <w:rPr>
                      <w:rFonts w:hAnsi="宋体"/>
                      <w:kern w:val="24"/>
                      <w:szCs w:val="21"/>
                    </w:rPr>
                  </w:pPr>
                  <w:r>
                    <w:rPr>
                      <w:rFonts w:hint="eastAsia" w:hAnsi="宋体"/>
                      <w:kern w:val="24"/>
                      <w:szCs w:val="21"/>
                    </w:rPr>
                    <w:t>10</w:t>
                  </w:r>
                </w:p>
              </w:tc>
              <w:tc>
                <w:tcPr>
                  <w:tcW w:w="266" w:type="pct"/>
                  <w:vMerge w:val="continue"/>
                  <w:vAlign w:val="center"/>
                </w:tcPr>
                <w:p>
                  <w:pPr>
                    <w:jc w:val="center"/>
                    <w:rPr>
                      <w:rFonts w:hAnsi="宋体"/>
                      <w:kern w:val="24"/>
                      <w:szCs w:val="21"/>
                    </w:rPr>
                  </w:pPr>
                </w:p>
              </w:tc>
              <w:tc>
                <w:tcPr>
                  <w:tcW w:w="1396" w:type="pct"/>
                  <w:gridSpan w:val="2"/>
                </w:tcPr>
                <w:p>
                  <w:pPr>
                    <w:pStyle w:val="217"/>
                    <w:spacing w:before="37"/>
                    <w:ind w:left="177" w:right="166"/>
                    <w:rPr>
                      <w:sz w:val="21"/>
                      <w:lang w:val="en-US"/>
                    </w:rPr>
                  </w:pPr>
                  <w:r>
                    <w:rPr>
                      <w:rFonts w:hint="eastAsia"/>
                      <w:sz w:val="21"/>
                      <w:lang w:val="en-US"/>
                    </w:rPr>
                    <w:t>钢砂</w:t>
                  </w:r>
                </w:p>
              </w:tc>
              <w:tc>
                <w:tcPr>
                  <w:tcW w:w="606" w:type="pct"/>
                  <w:vAlign w:val="center"/>
                </w:tcPr>
                <w:p>
                  <w:pPr>
                    <w:jc w:val="center"/>
                    <w:rPr>
                      <w:rFonts w:hAnsi="宋体"/>
                      <w:kern w:val="24"/>
                      <w:szCs w:val="21"/>
                    </w:rPr>
                  </w:pPr>
                  <w:r>
                    <w:rPr>
                      <w:rFonts w:hint="eastAsia" w:hAnsi="宋体"/>
                      <w:kern w:val="24"/>
                      <w:szCs w:val="21"/>
                    </w:rPr>
                    <w:t>0</w:t>
                  </w:r>
                </w:p>
              </w:tc>
              <w:tc>
                <w:tcPr>
                  <w:tcW w:w="560"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0</w:t>
                  </w:r>
                </w:p>
              </w:tc>
              <w:tc>
                <w:tcPr>
                  <w:tcW w:w="550" w:type="pct"/>
                  <w:vAlign w:val="center"/>
                </w:tcPr>
                <w:p>
                  <w:pPr>
                    <w:jc w:val="center"/>
                    <w:rPr>
                      <w:rFonts w:hAnsi="宋体"/>
                      <w:kern w:val="24"/>
                      <w:szCs w:val="21"/>
                    </w:rPr>
                  </w:pPr>
                  <w:r>
                    <w:rPr>
                      <w:rFonts w:hint="eastAsia" w:hAnsi="宋体"/>
                      <w:kern w:val="24"/>
                      <w:szCs w:val="21"/>
                    </w:rPr>
                    <w:t>桶装</w:t>
                  </w:r>
                </w:p>
              </w:tc>
              <w:tc>
                <w:tcPr>
                  <w:tcW w:w="674" w:type="pct"/>
                  <w:vAlign w:val="center"/>
                </w:tcPr>
                <w:p>
                  <w:pPr>
                    <w:jc w:val="center"/>
                    <w:rPr>
                      <w:rFonts w:hAnsi="宋体"/>
                      <w:kern w:val="24"/>
                      <w:szCs w:val="21"/>
                    </w:rPr>
                  </w:pPr>
                  <w:r>
                    <w:rPr>
                      <w:rFonts w:hint="eastAsia" w:hAnsi="宋体"/>
                      <w:kern w:val="24"/>
                      <w:szCs w:val="21"/>
                    </w:rPr>
                    <w:t>2t</w:t>
                  </w:r>
                </w:p>
              </w:tc>
              <w:tc>
                <w:tcPr>
                  <w:tcW w:w="629"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314" w:type="pct"/>
                  <w:vAlign w:val="center"/>
                </w:tcPr>
                <w:p>
                  <w:pPr>
                    <w:jc w:val="center"/>
                    <w:rPr>
                      <w:rFonts w:hAnsi="宋体"/>
                      <w:kern w:val="24"/>
                      <w:szCs w:val="21"/>
                    </w:rPr>
                  </w:pPr>
                  <w:r>
                    <w:rPr>
                      <w:rFonts w:hint="eastAsia" w:hAnsi="宋体"/>
                      <w:kern w:val="24"/>
                      <w:szCs w:val="21"/>
                    </w:rPr>
                    <w:t>11</w:t>
                  </w:r>
                </w:p>
              </w:tc>
              <w:tc>
                <w:tcPr>
                  <w:tcW w:w="266" w:type="pct"/>
                  <w:vMerge w:val="continue"/>
                  <w:vAlign w:val="center"/>
                </w:tcPr>
                <w:p>
                  <w:pPr>
                    <w:jc w:val="center"/>
                    <w:rPr>
                      <w:rFonts w:hAnsi="宋体"/>
                      <w:kern w:val="24"/>
                      <w:szCs w:val="21"/>
                    </w:rPr>
                  </w:pPr>
                </w:p>
              </w:tc>
              <w:tc>
                <w:tcPr>
                  <w:tcW w:w="1396" w:type="pct"/>
                  <w:gridSpan w:val="2"/>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Ansi="宋体"/>
                      <w:color w:val="0D0D0D" w:themeColor="text1" w:themeTint="F2"/>
                      <w:kern w:val="24"/>
                      <w:szCs w:val="21"/>
                      <w14:textFill>
                        <w14:solidFill>
                          <w14:schemeClr w14:val="tx1">
                            <w14:lumMod w14:val="95000"/>
                            <w14:lumOff w14:val="5000"/>
                          </w14:schemeClr>
                        </w14:solidFill>
                      </w14:textFill>
                    </w:rPr>
                    <w:t>活性炭</w:t>
                  </w:r>
                </w:p>
              </w:tc>
              <w:tc>
                <w:tcPr>
                  <w:tcW w:w="606"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36.5t</w:t>
                  </w:r>
                </w:p>
              </w:tc>
              <w:tc>
                <w:tcPr>
                  <w:tcW w:w="560"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6t</w:t>
                  </w:r>
                </w:p>
              </w:tc>
              <w:tc>
                <w:tcPr>
                  <w:tcW w:w="550" w:type="pct"/>
                  <w:vAlign w:val="center"/>
                </w:tcPr>
                <w:p>
                  <w:pPr>
                    <w:jc w:val="center"/>
                    <w:rPr>
                      <w:rFonts w:hAnsi="宋体"/>
                      <w:kern w:val="24"/>
                      <w:szCs w:val="21"/>
                    </w:rPr>
                  </w:pPr>
                  <w:r>
                    <w:rPr>
                      <w:rFonts w:hint="eastAsia" w:hAnsi="宋体"/>
                      <w:kern w:val="24"/>
                      <w:szCs w:val="21"/>
                    </w:rPr>
                    <w:t>袋装</w:t>
                  </w:r>
                </w:p>
              </w:tc>
              <w:tc>
                <w:tcPr>
                  <w:tcW w:w="674" w:type="pct"/>
                  <w:vAlign w:val="center"/>
                </w:tcPr>
                <w:p>
                  <w:pPr>
                    <w:jc w:val="center"/>
                    <w:rPr>
                      <w:rFonts w:hAnsi="宋体"/>
                      <w:kern w:val="24"/>
                      <w:szCs w:val="21"/>
                    </w:rPr>
                  </w:pPr>
                  <w:r>
                    <w:rPr>
                      <w:rFonts w:hint="eastAsia" w:hAnsi="宋体"/>
                      <w:kern w:val="24"/>
                      <w:szCs w:val="21"/>
                    </w:rPr>
                    <w:t>41t</w:t>
                  </w:r>
                </w:p>
              </w:tc>
              <w:tc>
                <w:tcPr>
                  <w:tcW w:w="629" w:type="pct"/>
                  <w:vAlign w:val="center"/>
                </w:tcPr>
                <w:p>
                  <w:pPr>
                    <w:jc w:val="center"/>
                    <w:rPr>
                      <w:rFonts w:hAnsi="宋体"/>
                      <w:kern w:val="24"/>
                      <w:szCs w:val="21"/>
                    </w:rPr>
                  </w:pPr>
                  <w:r>
                    <w:rPr>
                      <w:rFonts w:hint="eastAsia" w:hAnsi="宋体"/>
                      <w:kern w:val="24"/>
                      <w:szCs w:val="21"/>
                    </w:rPr>
                    <w:t>+4.5t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5" w:hRule="atLeast"/>
                <w:jc w:val="center"/>
              </w:trPr>
              <w:tc>
                <w:tcPr>
                  <w:tcW w:w="314" w:type="pct"/>
                  <w:vAlign w:val="center"/>
                </w:tcPr>
                <w:p>
                  <w:pPr>
                    <w:jc w:val="center"/>
                    <w:rPr>
                      <w:rFonts w:hAnsi="宋体"/>
                      <w:kern w:val="24"/>
                      <w:szCs w:val="21"/>
                    </w:rPr>
                  </w:pPr>
                  <w:r>
                    <w:rPr>
                      <w:rFonts w:hint="eastAsia" w:hAnsi="宋体"/>
                      <w:kern w:val="24"/>
                      <w:szCs w:val="21"/>
                    </w:rPr>
                    <w:t>12</w:t>
                  </w:r>
                </w:p>
              </w:tc>
              <w:tc>
                <w:tcPr>
                  <w:tcW w:w="266" w:type="pct"/>
                  <w:vMerge w:val="continue"/>
                  <w:vAlign w:val="center"/>
                </w:tcPr>
                <w:p>
                  <w:pPr>
                    <w:jc w:val="center"/>
                    <w:rPr>
                      <w:rFonts w:hAnsi="宋体"/>
                      <w:kern w:val="24"/>
                      <w:szCs w:val="21"/>
                    </w:rPr>
                  </w:pPr>
                </w:p>
              </w:tc>
              <w:tc>
                <w:tcPr>
                  <w:tcW w:w="1396" w:type="pct"/>
                  <w:gridSpan w:val="2"/>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润滑油</w:t>
                  </w:r>
                </w:p>
              </w:tc>
              <w:tc>
                <w:tcPr>
                  <w:tcW w:w="606"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0.1t</w:t>
                  </w:r>
                </w:p>
              </w:tc>
              <w:tc>
                <w:tcPr>
                  <w:tcW w:w="560"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0.05t</w:t>
                  </w:r>
                </w:p>
              </w:tc>
              <w:tc>
                <w:tcPr>
                  <w:tcW w:w="550" w:type="pct"/>
                  <w:vAlign w:val="center"/>
                </w:tcPr>
                <w:p>
                  <w:pPr>
                    <w:jc w:val="center"/>
                    <w:rPr>
                      <w:rFonts w:hAnsi="宋体"/>
                      <w:kern w:val="24"/>
                      <w:szCs w:val="21"/>
                    </w:rPr>
                  </w:pPr>
                  <w:r>
                    <w:rPr>
                      <w:rFonts w:hint="eastAsia" w:hAnsi="宋体"/>
                      <w:kern w:val="24"/>
                      <w:szCs w:val="21"/>
                    </w:rPr>
                    <w:t>桶装</w:t>
                  </w:r>
                </w:p>
              </w:tc>
              <w:tc>
                <w:tcPr>
                  <w:tcW w:w="674" w:type="pct"/>
                  <w:vAlign w:val="center"/>
                </w:tcPr>
                <w:p>
                  <w:pPr>
                    <w:jc w:val="center"/>
                    <w:rPr>
                      <w:rFonts w:hAnsi="宋体"/>
                      <w:kern w:val="24"/>
                      <w:szCs w:val="21"/>
                    </w:rPr>
                  </w:pPr>
                  <w:r>
                    <w:rPr>
                      <w:rFonts w:hint="eastAsia" w:hAnsi="宋体"/>
                      <w:kern w:val="24"/>
                      <w:szCs w:val="21"/>
                    </w:rPr>
                    <w:t>0.12t</w:t>
                  </w:r>
                </w:p>
              </w:tc>
              <w:tc>
                <w:tcPr>
                  <w:tcW w:w="629" w:type="pct"/>
                  <w:vAlign w:val="center"/>
                </w:tcPr>
                <w:p>
                  <w:pPr>
                    <w:jc w:val="center"/>
                    <w:rPr>
                      <w:rFonts w:hAnsi="宋体"/>
                      <w:kern w:val="24"/>
                      <w:szCs w:val="21"/>
                    </w:rPr>
                  </w:pPr>
                  <w:r>
                    <w:rPr>
                      <w:rFonts w:hint="eastAsia" w:hAnsi="宋体"/>
                      <w:kern w:val="24"/>
                      <w:szCs w:val="21"/>
                    </w:rPr>
                    <w:t>+0.02t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411" w:hRule="atLeast"/>
                <w:jc w:val="center"/>
              </w:trPr>
              <w:tc>
                <w:tcPr>
                  <w:tcW w:w="314" w:type="pct"/>
                  <w:vAlign w:val="center"/>
                </w:tcPr>
                <w:p>
                  <w:pPr>
                    <w:jc w:val="center"/>
                    <w:rPr>
                      <w:rFonts w:hAnsi="宋体"/>
                      <w:kern w:val="24"/>
                      <w:szCs w:val="21"/>
                    </w:rPr>
                  </w:pPr>
                  <w:r>
                    <w:rPr>
                      <w:rFonts w:hint="eastAsia" w:hAnsi="宋体"/>
                      <w:kern w:val="24"/>
                      <w:szCs w:val="21"/>
                    </w:rPr>
                    <w:t>13</w:t>
                  </w:r>
                </w:p>
              </w:tc>
              <w:tc>
                <w:tcPr>
                  <w:tcW w:w="266" w:type="pct"/>
                  <w:vMerge w:val="restart"/>
                  <w:vAlign w:val="center"/>
                </w:tcPr>
                <w:p>
                  <w:pPr>
                    <w:jc w:val="center"/>
                    <w:rPr>
                      <w:rFonts w:hAnsi="宋体"/>
                      <w:kern w:val="24"/>
                      <w:szCs w:val="21"/>
                    </w:rPr>
                  </w:pPr>
                  <w:r>
                    <w:rPr>
                      <w:rFonts w:hint="eastAsia" w:hAnsi="宋体"/>
                      <w:kern w:val="24"/>
                      <w:szCs w:val="21"/>
                    </w:rPr>
                    <w:t>能源</w:t>
                  </w:r>
                </w:p>
              </w:tc>
              <w:tc>
                <w:tcPr>
                  <w:tcW w:w="1396" w:type="pct"/>
                  <w:gridSpan w:val="2"/>
                  <w:vAlign w:val="center"/>
                </w:tcPr>
                <w:p>
                  <w:pPr>
                    <w:jc w:val="center"/>
                    <w:rPr>
                      <w:rFonts w:hAnsi="宋体"/>
                      <w:kern w:val="24"/>
                      <w:szCs w:val="21"/>
                    </w:rPr>
                  </w:pPr>
                  <w:r>
                    <w:rPr>
                      <w:rFonts w:hint="eastAsia" w:hAnsi="宋体"/>
                      <w:kern w:val="24"/>
                      <w:szCs w:val="21"/>
                    </w:rPr>
                    <w:t>电</w:t>
                  </w:r>
                </w:p>
              </w:tc>
              <w:tc>
                <w:tcPr>
                  <w:tcW w:w="606" w:type="pct"/>
                  <w:vAlign w:val="center"/>
                </w:tcPr>
                <w:p>
                  <w:pPr>
                    <w:spacing w:line="320" w:lineRule="exact"/>
                    <w:jc w:val="center"/>
                    <w:rPr>
                      <w:color w:val="262626" w:themeColor="text1" w:themeTint="D9"/>
                      <w:kern w:val="0"/>
                      <w:szCs w:val="21"/>
                      <w14:textFill>
                        <w14:solidFill>
                          <w14:schemeClr w14:val="tx1">
                            <w14:lumMod w14:val="85000"/>
                            <w14:lumOff w14:val="15000"/>
                          </w14:schemeClr>
                        </w14:solidFill>
                      </w14:textFill>
                    </w:rPr>
                  </w:pPr>
                  <w:r>
                    <w:rPr>
                      <w:rFonts w:hint="eastAsia"/>
                      <w:color w:val="262626" w:themeColor="text1" w:themeTint="D9"/>
                      <w:kern w:val="0"/>
                      <w:szCs w:val="21"/>
                      <w14:textFill>
                        <w14:solidFill>
                          <w14:schemeClr w14:val="tx1">
                            <w14:lumMod w14:val="85000"/>
                            <w14:lumOff w14:val="15000"/>
                          </w14:schemeClr>
                        </w14:solidFill>
                      </w14:textFill>
                    </w:rPr>
                    <w:t>340</w:t>
                  </w:r>
                  <w:r>
                    <w:rPr>
                      <w:color w:val="262626" w:themeColor="text1" w:themeTint="D9"/>
                      <w:kern w:val="0"/>
                      <w:szCs w:val="21"/>
                      <w14:textFill>
                        <w14:solidFill>
                          <w14:schemeClr w14:val="tx1">
                            <w14:lumMod w14:val="85000"/>
                            <w14:lumOff w14:val="15000"/>
                          </w14:schemeClr>
                        </w14:solidFill>
                      </w14:textFill>
                    </w:rPr>
                    <w:t>万</w:t>
                  </w:r>
                </w:p>
              </w:tc>
              <w:tc>
                <w:tcPr>
                  <w:tcW w:w="560" w:type="pct"/>
                  <w:vAlign w:val="center"/>
                </w:tcPr>
                <w:p>
                  <w:pPr>
                    <w:jc w:val="center"/>
                    <w:rPr>
                      <w:rFonts w:hAnsi="宋体"/>
                      <w:kern w:val="24"/>
                      <w:szCs w:val="21"/>
                    </w:rPr>
                  </w:pPr>
                  <w:r>
                    <w:rPr>
                      <w:rFonts w:hint="eastAsia" w:hAnsi="宋体"/>
                      <w:kern w:val="24"/>
                      <w:szCs w:val="21"/>
                    </w:rPr>
                    <w:t>/</w:t>
                  </w:r>
                </w:p>
              </w:tc>
              <w:tc>
                <w:tcPr>
                  <w:tcW w:w="550" w:type="pct"/>
                  <w:vAlign w:val="center"/>
                </w:tcPr>
                <w:p>
                  <w:pPr>
                    <w:jc w:val="center"/>
                    <w:rPr>
                      <w:rFonts w:hAnsi="宋体"/>
                      <w:kern w:val="24"/>
                      <w:szCs w:val="21"/>
                    </w:rPr>
                  </w:pPr>
                  <w:r>
                    <w:rPr>
                      <w:rFonts w:hint="eastAsia" w:hAnsi="宋体"/>
                      <w:kern w:val="24"/>
                      <w:szCs w:val="21"/>
                    </w:rPr>
                    <w:t>/</w:t>
                  </w:r>
                </w:p>
              </w:tc>
              <w:tc>
                <w:tcPr>
                  <w:tcW w:w="674" w:type="pct"/>
                  <w:vAlign w:val="center"/>
                </w:tcPr>
                <w:p>
                  <w:pPr>
                    <w:jc w:val="center"/>
                    <w:rPr>
                      <w:rFonts w:hAnsi="宋体"/>
                      <w:kern w:val="24"/>
                      <w:szCs w:val="21"/>
                    </w:rPr>
                  </w:pPr>
                  <w:r>
                    <w:rPr>
                      <w:rFonts w:hint="eastAsia" w:hAnsi="宋体"/>
                      <w:kern w:val="24"/>
                      <w:szCs w:val="21"/>
                    </w:rPr>
                    <w:t>400万</w:t>
                  </w:r>
                </w:p>
              </w:tc>
              <w:tc>
                <w:tcPr>
                  <w:tcW w:w="629" w:type="pct"/>
                  <w:vAlign w:val="center"/>
                </w:tcPr>
                <w:p>
                  <w:pPr>
                    <w:jc w:val="center"/>
                    <w:rPr>
                      <w:rFonts w:hAnsi="宋体"/>
                      <w:kern w:val="24"/>
                      <w:szCs w:val="21"/>
                    </w:rPr>
                  </w:pPr>
                  <w:r>
                    <w:rPr>
                      <w:rFonts w:hint="eastAsia" w:hAnsi="宋体"/>
                      <w:kern w:val="24"/>
                      <w:szCs w:val="21"/>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40" w:hRule="atLeast"/>
                <w:jc w:val="center"/>
              </w:trPr>
              <w:tc>
                <w:tcPr>
                  <w:tcW w:w="314" w:type="pct"/>
                  <w:vAlign w:val="center"/>
                </w:tcPr>
                <w:p>
                  <w:pPr>
                    <w:jc w:val="center"/>
                    <w:rPr>
                      <w:rFonts w:hAnsi="宋体"/>
                      <w:kern w:val="24"/>
                      <w:szCs w:val="21"/>
                    </w:rPr>
                  </w:pPr>
                  <w:r>
                    <w:rPr>
                      <w:rFonts w:hint="eastAsia" w:hAnsi="宋体"/>
                      <w:kern w:val="24"/>
                      <w:szCs w:val="21"/>
                    </w:rPr>
                    <w:t>14</w:t>
                  </w:r>
                </w:p>
              </w:tc>
              <w:tc>
                <w:tcPr>
                  <w:tcW w:w="266" w:type="pct"/>
                  <w:vMerge w:val="continue"/>
                  <w:vAlign w:val="center"/>
                </w:tcPr>
                <w:p>
                  <w:pPr>
                    <w:jc w:val="center"/>
                    <w:rPr>
                      <w:rFonts w:hAnsi="宋体"/>
                      <w:kern w:val="24"/>
                      <w:szCs w:val="21"/>
                    </w:rPr>
                  </w:pPr>
                </w:p>
              </w:tc>
              <w:tc>
                <w:tcPr>
                  <w:tcW w:w="1396" w:type="pct"/>
                  <w:gridSpan w:val="2"/>
                  <w:vAlign w:val="center"/>
                </w:tcPr>
                <w:p>
                  <w:pPr>
                    <w:jc w:val="center"/>
                    <w:rPr>
                      <w:rFonts w:hAnsi="宋体"/>
                      <w:kern w:val="24"/>
                      <w:szCs w:val="21"/>
                    </w:rPr>
                  </w:pPr>
                  <w:r>
                    <w:rPr>
                      <w:rFonts w:hint="eastAsia" w:hAnsi="宋体"/>
                      <w:kern w:val="24"/>
                      <w:szCs w:val="21"/>
                    </w:rPr>
                    <w:t>水</w:t>
                  </w:r>
                </w:p>
              </w:tc>
              <w:tc>
                <w:tcPr>
                  <w:tcW w:w="606" w:type="pct"/>
                  <w:vAlign w:val="center"/>
                </w:tcPr>
                <w:p>
                  <w:pPr>
                    <w:spacing w:line="320" w:lineRule="exact"/>
                    <w:jc w:val="center"/>
                    <w:rPr>
                      <w:color w:val="262626" w:themeColor="text1" w:themeTint="D9"/>
                      <w:szCs w:val="21"/>
                      <w:highlight w:val="yellow"/>
                      <w14:textFill>
                        <w14:solidFill>
                          <w14:schemeClr w14:val="tx1">
                            <w14:lumMod w14:val="85000"/>
                            <w14:lumOff w14:val="15000"/>
                          </w14:schemeClr>
                        </w14:solidFill>
                      </w14:textFill>
                    </w:rPr>
                  </w:pPr>
                  <w:r>
                    <w:rPr>
                      <w:rFonts w:hint="eastAsia"/>
                      <w:color w:val="262626" w:themeColor="text1" w:themeTint="D9"/>
                      <w:szCs w:val="21"/>
                      <w14:textFill>
                        <w14:solidFill>
                          <w14:schemeClr w14:val="tx1">
                            <w14:lumMod w14:val="85000"/>
                            <w14:lumOff w14:val="15000"/>
                          </w14:schemeClr>
                        </w14:solidFill>
                      </w14:textFill>
                    </w:rPr>
                    <w:t>1600t</w:t>
                  </w:r>
                </w:p>
              </w:tc>
              <w:tc>
                <w:tcPr>
                  <w:tcW w:w="560"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w:t>
                  </w:r>
                </w:p>
              </w:tc>
              <w:tc>
                <w:tcPr>
                  <w:tcW w:w="550" w:type="pct"/>
                  <w:vAlign w:val="center"/>
                </w:tcPr>
                <w:p>
                  <w:pPr>
                    <w:jc w:val="center"/>
                    <w:rPr>
                      <w:rFonts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w:t>
                  </w:r>
                </w:p>
              </w:tc>
              <w:tc>
                <w:tcPr>
                  <w:tcW w:w="674" w:type="pct"/>
                  <w:vAlign w:val="center"/>
                </w:tcPr>
                <w:p>
                  <w:pPr>
                    <w:jc w:val="center"/>
                    <w:rPr>
                      <w:rFonts w:hAnsi="宋体"/>
                      <w:color w:val="0D0D0D"/>
                      <w:kern w:val="24"/>
                      <w:szCs w:val="21"/>
                    </w:rPr>
                  </w:pPr>
                  <w:r>
                    <w:rPr>
                      <w:rFonts w:hint="eastAsia" w:hAnsi="宋体"/>
                      <w:color w:val="0D0D0D"/>
                      <w:kern w:val="24"/>
                      <w:szCs w:val="21"/>
                    </w:rPr>
                    <w:t>16</w:t>
                  </w:r>
                  <w:r>
                    <w:rPr>
                      <w:rFonts w:hint="eastAsia" w:hAnsi="宋体"/>
                      <w:color w:val="0D0D0D"/>
                      <w:kern w:val="24"/>
                      <w:szCs w:val="21"/>
                      <w:lang w:val="en-US" w:eastAsia="zh-CN"/>
                    </w:rPr>
                    <w:t>02</w:t>
                  </w:r>
                  <w:r>
                    <w:rPr>
                      <w:rFonts w:hint="eastAsia" w:hAnsi="宋体"/>
                      <w:color w:val="0D0D0D"/>
                      <w:kern w:val="24"/>
                      <w:szCs w:val="21"/>
                    </w:rPr>
                    <w:t>t</w:t>
                  </w:r>
                </w:p>
              </w:tc>
              <w:tc>
                <w:tcPr>
                  <w:tcW w:w="629" w:type="pct"/>
                  <w:vAlign w:val="center"/>
                </w:tcPr>
                <w:p>
                  <w:pPr>
                    <w:jc w:val="center"/>
                    <w:rPr>
                      <w:rFonts w:hint="eastAsia" w:hAnsi="宋体" w:eastAsia="宋体"/>
                      <w:color w:val="0D0D0D"/>
                      <w:kern w:val="24"/>
                      <w:szCs w:val="21"/>
                      <w:lang w:eastAsia="zh-CN"/>
                    </w:rPr>
                  </w:pPr>
                  <w:r>
                    <w:rPr>
                      <w:rFonts w:hint="eastAsia" w:hAnsi="宋体"/>
                      <w:color w:val="0D0D0D"/>
                      <w:kern w:val="24"/>
                      <w:szCs w:val="21"/>
                    </w:rPr>
                    <w:t>+</w:t>
                  </w:r>
                  <w:r>
                    <w:rPr>
                      <w:rFonts w:hint="eastAsia" w:hAnsi="宋体"/>
                      <w:color w:val="0D0D0D"/>
                      <w:kern w:val="24"/>
                      <w:szCs w:val="21"/>
                      <w:lang w:val="en-US" w:eastAsia="zh-CN"/>
                    </w:rPr>
                    <w:t>2</w:t>
                  </w:r>
                </w:p>
              </w:tc>
            </w:tr>
          </w:tbl>
          <w:p>
            <w:pPr>
              <w:spacing w:line="400" w:lineRule="exact"/>
              <w:ind w:firstLine="482" w:firstLineChars="200"/>
              <w:jc w:val="center"/>
              <w:rPr>
                <w:b/>
                <w:kern w:val="0"/>
                <w:sz w:val="24"/>
                <w:szCs w:val="20"/>
              </w:rPr>
            </w:pPr>
            <w:r>
              <w:rPr>
                <w:b/>
                <w:kern w:val="0"/>
                <w:sz w:val="24"/>
                <w:szCs w:val="20"/>
              </w:rPr>
              <w:t>表</w:t>
            </w:r>
            <w:r>
              <w:rPr>
                <w:rFonts w:hint="eastAsia"/>
                <w:b/>
                <w:kern w:val="0"/>
                <w:sz w:val="24"/>
                <w:szCs w:val="20"/>
              </w:rPr>
              <w:t>2-5</w:t>
            </w:r>
            <w:r>
              <w:rPr>
                <w:b/>
                <w:kern w:val="0"/>
                <w:sz w:val="24"/>
                <w:szCs w:val="20"/>
              </w:rPr>
              <w:t xml:space="preserve"> </w:t>
            </w:r>
            <w:r>
              <w:rPr>
                <w:rFonts w:hint="eastAsia"/>
                <w:b/>
                <w:kern w:val="0"/>
                <w:sz w:val="24"/>
                <w:szCs w:val="20"/>
              </w:rPr>
              <w:t>主要原辅材料理化特性</w:t>
            </w:r>
          </w:p>
          <w:tbl>
            <w:tblPr>
              <w:tblStyle w:val="5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443"/>
              <w:gridCol w:w="2234"/>
              <w:gridCol w:w="4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Align w:val="center"/>
                </w:tcPr>
                <w:p>
                  <w:pPr>
                    <w:widowControl/>
                    <w:spacing w:line="320" w:lineRule="exact"/>
                    <w:jc w:val="center"/>
                    <w:rPr>
                      <w:b/>
                      <w:bCs/>
                      <w:szCs w:val="21"/>
                    </w:rPr>
                  </w:pPr>
                  <w:r>
                    <w:rPr>
                      <w:rFonts w:hint="eastAsia"/>
                      <w:b/>
                      <w:bCs/>
                      <w:szCs w:val="21"/>
                    </w:rPr>
                    <w:t>序号</w:t>
                  </w:r>
                </w:p>
              </w:tc>
              <w:tc>
                <w:tcPr>
                  <w:tcW w:w="854" w:type="pct"/>
                  <w:vAlign w:val="center"/>
                </w:tcPr>
                <w:p>
                  <w:pPr>
                    <w:widowControl/>
                    <w:spacing w:line="320" w:lineRule="exact"/>
                    <w:jc w:val="center"/>
                    <w:rPr>
                      <w:b/>
                      <w:bCs/>
                      <w:szCs w:val="21"/>
                    </w:rPr>
                  </w:pPr>
                  <w:r>
                    <w:rPr>
                      <w:rFonts w:hint="eastAsia"/>
                      <w:b/>
                      <w:bCs/>
                      <w:szCs w:val="21"/>
                    </w:rPr>
                    <w:t>名称</w:t>
                  </w:r>
                </w:p>
              </w:tc>
              <w:tc>
                <w:tcPr>
                  <w:tcW w:w="3724" w:type="pct"/>
                  <w:gridSpan w:val="2"/>
                  <w:vAlign w:val="center"/>
                </w:tcPr>
                <w:p>
                  <w:pPr>
                    <w:widowControl/>
                    <w:spacing w:line="320" w:lineRule="exact"/>
                    <w:jc w:val="center"/>
                    <w:rPr>
                      <w:b/>
                      <w:bCs/>
                      <w:szCs w:val="21"/>
                    </w:rPr>
                  </w:pPr>
                  <w:r>
                    <w:rPr>
                      <w:rFonts w:hint="eastAsia"/>
                      <w:b/>
                      <w:bCs/>
                      <w:szCs w:val="21"/>
                    </w:rPr>
                    <w:t>理化性质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restart"/>
                  <w:vAlign w:val="center"/>
                </w:tcPr>
                <w:p>
                  <w:pPr>
                    <w:widowControl/>
                    <w:spacing w:line="320" w:lineRule="exact"/>
                    <w:jc w:val="center"/>
                    <w:rPr>
                      <w:szCs w:val="21"/>
                    </w:rPr>
                  </w:pPr>
                  <w:r>
                    <w:rPr>
                      <w:rFonts w:hint="eastAsia"/>
                      <w:szCs w:val="21"/>
                    </w:rPr>
                    <w:t>1</w:t>
                  </w:r>
                </w:p>
              </w:tc>
              <w:tc>
                <w:tcPr>
                  <w:tcW w:w="854" w:type="pct"/>
                  <w:vMerge w:val="restart"/>
                  <w:vAlign w:val="center"/>
                </w:tcPr>
                <w:p>
                  <w:pPr>
                    <w:widowControl/>
                    <w:spacing w:line="320" w:lineRule="exact"/>
                    <w:jc w:val="center"/>
                    <w:rPr>
                      <w:szCs w:val="21"/>
                    </w:rPr>
                  </w:pPr>
                  <w:r>
                    <w:rPr>
                      <w:szCs w:val="21"/>
                    </w:rPr>
                    <w:t>丙烯酸聚氨酯面漆</w:t>
                  </w:r>
                </w:p>
              </w:tc>
              <w:tc>
                <w:tcPr>
                  <w:tcW w:w="1322" w:type="pct"/>
                  <w:vAlign w:val="center"/>
                </w:tcPr>
                <w:p>
                  <w:pPr>
                    <w:widowControl/>
                    <w:spacing w:line="320" w:lineRule="exact"/>
                    <w:jc w:val="center"/>
                    <w:rPr>
                      <w:szCs w:val="21"/>
                    </w:rPr>
                  </w:pPr>
                  <w:r>
                    <w:rPr>
                      <w:rFonts w:hint="eastAsia"/>
                      <w:szCs w:val="21"/>
                    </w:rPr>
                    <w:t>丙烯酸树脂25-50%</w:t>
                  </w:r>
                </w:p>
              </w:tc>
              <w:tc>
                <w:tcPr>
                  <w:tcW w:w="2402" w:type="pct"/>
                  <w:vAlign w:val="center"/>
                </w:tcPr>
                <w:p>
                  <w:pPr>
                    <w:widowControl/>
                    <w:spacing w:line="320" w:lineRule="exact"/>
                    <w:jc w:val="center"/>
                    <w:rPr>
                      <w:szCs w:val="21"/>
                    </w:rPr>
                  </w:pPr>
                  <w:r>
                    <w:rPr>
                      <w:szCs w:val="21"/>
                    </w:rPr>
                    <w:t>分子式为(C</w:t>
                  </w:r>
                  <w:r>
                    <w:rPr>
                      <w:szCs w:val="21"/>
                      <w:vertAlign w:val="subscript"/>
                    </w:rPr>
                    <w:t>3</w:t>
                  </w:r>
                  <w:r>
                    <w:rPr>
                      <w:szCs w:val="21"/>
                    </w:rPr>
                    <w:t>H</w:t>
                  </w:r>
                  <w:r>
                    <w:rPr>
                      <w:szCs w:val="21"/>
                      <w:vertAlign w:val="subscript"/>
                    </w:rPr>
                    <w:t>4</w:t>
                  </w:r>
                  <w:r>
                    <w:rPr>
                      <w:szCs w:val="21"/>
                    </w:rPr>
                    <w:t>O</w:t>
                  </w:r>
                  <w:r>
                    <w:rPr>
                      <w:szCs w:val="21"/>
                      <w:vertAlign w:val="subscript"/>
                    </w:rPr>
                    <w:t>2</w:t>
                  </w:r>
                  <w:r>
                    <w:rPr>
                      <w:szCs w:val="21"/>
                    </w:rPr>
                    <w:t>)n，</w:t>
                  </w:r>
                  <w:r>
                    <w:rPr>
                      <w:rFonts w:hint="eastAsia"/>
                      <w:szCs w:val="21"/>
                    </w:rPr>
                    <w:t>无色溶液，相对密度为1.07.易燃遇明火、高热酸性较强，有腐蚀性，化学性质活泼。能引起燃烧爆炸。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二氧化钛及防锈颜料6%</w:t>
                  </w:r>
                </w:p>
              </w:tc>
              <w:tc>
                <w:tcPr>
                  <w:tcW w:w="2402" w:type="pct"/>
                  <w:vAlign w:val="center"/>
                </w:tcPr>
                <w:p>
                  <w:pPr>
                    <w:widowControl/>
                    <w:spacing w:line="320" w:lineRule="exact"/>
                    <w:jc w:val="center"/>
                    <w:rPr>
                      <w:szCs w:val="21"/>
                    </w:rPr>
                  </w:pPr>
                  <w:r>
                    <w:rPr>
                      <w:rFonts w:hint="eastAsia"/>
                      <w:szCs w:val="21"/>
                    </w:rPr>
                    <w:t>二氧化钛：分子式为TiO</w:t>
                  </w:r>
                  <w:r>
                    <w:rPr>
                      <w:rFonts w:hint="eastAsia"/>
                      <w:szCs w:val="21"/>
                      <w:vertAlign w:val="subscript"/>
                    </w:rPr>
                    <w:t>2</w:t>
                  </w:r>
                  <w:r>
                    <w:rPr>
                      <w:rFonts w:hint="eastAsia"/>
                      <w:szCs w:val="21"/>
                    </w:rPr>
                    <w:t>，分子量为79.87，溶于热硫酸、盐酸、硝酸。用作油漆、纸张、橡胶、塑料、搪瓷、玻璃、化妆品、油墨、水彩和油彩的颜料，可用于冶金、无线电、陶瓷、电焊条。</w:t>
                  </w:r>
                </w:p>
                <w:p>
                  <w:pPr>
                    <w:widowControl/>
                    <w:spacing w:line="320" w:lineRule="exact"/>
                    <w:jc w:val="center"/>
                    <w:rPr>
                      <w:szCs w:val="21"/>
                    </w:rPr>
                  </w:pPr>
                  <w:r>
                    <w:rPr>
                      <w:rFonts w:hint="eastAsia"/>
                      <w:szCs w:val="21"/>
                    </w:rPr>
                    <w:t>防锈颜料：主要功能是防止金属腐蚀、提高漆膜对金属表面的保护作用。防锈颜料的作用可以分为两类:物理性防锈和化学性防锈，其中化学性防锈颜料又可以分为缓蚀性和电化学作用型两种。物理性防锈颜料是借助其细密的颗粒填充漆膜结构，提高了漆膜的致密性，起到了屏蔽作用，降低了漆膜渗透性，从而起到了防锈作用，如氧化铁红、铝粉、玻璃鳞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固化剂15-25%</w:t>
                  </w:r>
                </w:p>
              </w:tc>
              <w:tc>
                <w:tcPr>
                  <w:tcW w:w="2402" w:type="pct"/>
                  <w:vAlign w:val="center"/>
                </w:tcPr>
                <w:p>
                  <w:pPr>
                    <w:widowControl/>
                    <w:spacing w:line="320" w:lineRule="exact"/>
                    <w:jc w:val="center"/>
                    <w:rPr>
                      <w:szCs w:val="21"/>
                    </w:rPr>
                  </w:pPr>
                  <w:r>
                    <w:rPr>
                      <w:rFonts w:hint="eastAsia"/>
                      <w:szCs w:val="21"/>
                    </w:rPr>
                    <w:t>聚氨酯固化剂是指双组分聚氨酯漆中含多异氰酸酯酸脂基的组分，能使涂料在常温下迅速固化。一般有机溶剂含量为80%。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二甲苯7.5%</w:t>
                  </w:r>
                </w:p>
              </w:tc>
              <w:tc>
                <w:tcPr>
                  <w:tcW w:w="2402" w:type="pct"/>
                  <w:vAlign w:val="center"/>
                </w:tcPr>
                <w:p>
                  <w:pPr>
                    <w:widowControl/>
                    <w:spacing w:line="320" w:lineRule="exact"/>
                    <w:jc w:val="center"/>
                    <w:rPr>
                      <w:b/>
                      <w:bCs/>
                      <w:szCs w:val="21"/>
                    </w:rPr>
                  </w:pPr>
                  <w:r>
                    <w:rPr>
                      <w:rFonts w:hint="eastAsia"/>
                      <w:szCs w:val="21"/>
                    </w:rPr>
                    <w:t>化学式C</w:t>
                  </w:r>
                  <w:r>
                    <w:rPr>
                      <w:rFonts w:hint="eastAsia"/>
                      <w:szCs w:val="21"/>
                      <w:vertAlign w:val="subscript"/>
                    </w:rPr>
                    <w:t>8</w:t>
                  </w:r>
                  <w:r>
                    <w:rPr>
                      <w:rFonts w:hint="eastAsia"/>
                      <w:szCs w:val="21"/>
                    </w:rPr>
                    <w:t>H</w:t>
                  </w:r>
                  <w:r>
                    <w:rPr>
                      <w:rFonts w:hint="eastAsia"/>
                      <w:szCs w:val="21"/>
                      <w:vertAlign w:val="subscript"/>
                    </w:rPr>
                    <w:t>10</w:t>
                  </w:r>
                  <w:r>
                    <w:rPr>
                      <w:rFonts w:hint="eastAsia"/>
                      <w:szCs w:val="21"/>
                    </w:rPr>
                    <w:t>，</w:t>
                  </w:r>
                  <w:r>
                    <w:fldChar w:fldCharType="begin"/>
                  </w:r>
                  <w:r>
                    <w:instrText xml:space="preserve"> HYPERLINK "https://baike.so.com/doc/24730265-25639771.html" \t "https://baike.so.com/doc/_blank" </w:instrText>
                  </w:r>
                  <w:r>
                    <w:fldChar w:fldCharType="separate"/>
                  </w:r>
                  <w:r>
                    <w:rPr>
                      <w:rFonts w:hint="eastAsia"/>
                      <w:szCs w:val="21"/>
                    </w:rPr>
                    <w:t>无色透明</w:t>
                  </w:r>
                  <w:r>
                    <w:rPr>
                      <w:rFonts w:hint="eastAsia"/>
                      <w:szCs w:val="21"/>
                    </w:rPr>
                    <w:fldChar w:fldCharType="end"/>
                  </w:r>
                  <w:r>
                    <w:rPr>
                      <w:rFonts w:hint="eastAsia"/>
                      <w:szCs w:val="21"/>
                    </w:rPr>
                    <w:t>液体，分子量为106.17，具有刺激性气味，相对密度约0.86，沸点为138.35～144.42℃，易燃，熔点为-47.9-13.2℃，与乙醇、氯仿或乙醚能任意混合，不溶于水。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丁醇7.5%</w:t>
                  </w:r>
                </w:p>
              </w:tc>
              <w:tc>
                <w:tcPr>
                  <w:tcW w:w="2402" w:type="pct"/>
                  <w:vAlign w:val="center"/>
                </w:tcPr>
                <w:p>
                  <w:pPr>
                    <w:widowControl/>
                    <w:spacing w:line="320" w:lineRule="exact"/>
                    <w:jc w:val="center"/>
                    <w:rPr>
                      <w:szCs w:val="21"/>
                    </w:rPr>
                  </w:pPr>
                  <w:r>
                    <w:fldChar w:fldCharType="begin"/>
                  </w:r>
                  <w:r>
                    <w:instrText xml:space="preserve"> HYPERLINK "https://baike.so.com/doc/2365910.html" \t "https://baike.so.com/doc/_blank" </w:instrText>
                  </w:r>
                  <w:r>
                    <w:fldChar w:fldCharType="separate"/>
                  </w:r>
                  <w:r>
                    <w:rPr>
                      <w:szCs w:val="21"/>
                    </w:rPr>
                    <w:t>分子</w:t>
                  </w:r>
                  <w:r>
                    <w:rPr>
                      <w:szCs w:val="21"/>
                    </w:rPr>
                    <w:fldChar w:fldCharType="end"/>
                  </w:r>
                  <w:r>
                    <w:rPr>
                      <w:szCs w:val="21"/>
                    </w:rPr>
                    <w:t>式C</w:t>
                  </w:r>
                  <w:r>
                    <w:rPr>
                      <w:szCs w:val="21"/>
                      <w:vertAlign w:val="subscript"/>
                    </w:rPr>
                    <w:t>4</w:t>
                  </w:r>
                  <w:r>
                    <w:rPr>
                      <w:szCs w:val="21"/>
                    </w:rPr>
                    <w:t>H</w:t>
                  </w:r>
                  <w:r>
                    <w:rPr>
                      <w:szCs w:val="21"/>
                      <w:vertAlign w:val="subscript"/>
                    </w:rPr>
                    <w:t>9</w:t>
                  </w:r>
                  <w:r>
                    <w:rPr>
                      <w:szCs w:val="21"/>
                    </w:rPr>
                    <w:t>OH</w:t>
                  </w:r>
                  <w:r>
                    <w:rPr>
                      <w:rFonts w:hint="eastAsia"/>
                      <w:szCs w:val="21"/>
                    </w:rPr>
                    <w:t>，</w:t>
                  </w:r>
                  <w:r>
                    <w:rPr>
                      <w:szCs w:val="21"/>
                    </w:rPr>
                    <w:t>丁醇</w:t>
                  </w:r>
                  <w:r>
                    <w:fldChar w:fldCharType="begin"/>
                  </w:r>
                  <w:r>
                    <w:instrText xml:space="preserve"> HYPERLINK "https://baike.so.com/doc/2751462-2903816.html" \t "https://baike.so.com/doc/_blank" </w:instrText>
                  </w:r>
                  <w:r>
                    <w:fldChar w:fldCharType="separate"/>
                  </w:r>
                  <w:r>
                    <w:rPr>
                      <w:szCs w:val="21"/>
                    </w:rPr>
                    <w:t>相对密度</w:t>
                  </w:r>
                  <w:r>
                    <w:rPr>
                      <w:szCs w:val="21"/>
                    </w:rPr>
                    <w:fldChar w:fldCharType="end"/>
                  </w:r>
                  <w:r>
                    <w:rPr>
                      <w:szCs w:val="21"/>
                    </w:rPr>
                    <w:t>0.8109，沸点117.7℃，熔点--90.2℃，</w:t>
                  </w:r>
                  <w:r>
                    <w:rPr>
                      <w:rFonts w:hint="eastAsia"/>
                      <w:szCs w:val="21"/>
                    </w:rPr>
                    <w:t>无色液体，有酒味，易燃，与乙醇、乙醚及其他多种有机溶剂混溶，蒸汽与空气形成爆炸性混合物，爆炸极限1.45-11.25（体积）。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restart"/>
                  <w:vAlign w:val="center"/>
                </w:tcPr>
                <w:p>
                  <w:pPr>
                    <w:widowControl/>
                    <w:spacing w:line="320" w:lineRule="exact"/>
                    <w:jc w:val="center"/>
                    <w:rPr>
                      <w:szCs w:val="21"/>
                    </w:rPr>
                  </w:pPr>
                  <w:r>
                    <w:rPr>
                      <w:rFonts w:hint="eastAsia"/>
                      <w:szCs w:val="21"/>
                    </w:rPr>
                    <w:t>2</w:t>
                  </w:r>
                </w:p>
              </w:tc>
              <w:tc>
                <w:tcPr>
                  <w:tcW w:w="854" w:type="pct"/>
                  <w:vMerge w:val="restart"/>
                  <w:vAlign w:val="center"/>
                </w:tcPr>
                <w:p>
                  <w:pPr>
                    <w:widowControl/>
                    <w:spacing w:line="320" w:lineRule="exact"/>
                    <w:jc w:val="center"/>
                    <w:rPr>
                      <w:szCs w:val="21"/>
                    </w:rPr>
                  </w:pPr>
                  <w:r>
                    <w:t>环氧富锌防腐底漆</w:t>
                  </w:r>
                </w:p>
              </w:tc>
              <w:tc>
                <w:tcPr>
                  <w:tcW w:w="1322" w:type="pct"/>
                  <w:vAlign w:val="center"/>
                </w:tcPr>
                <w:p>
                  <w:pPr>
                    <w:widowControl/>
                    <w:spacing w:line="320" w:lineRule="exact"/>
                    <w:jc w:val="center"/>
                    <w:rPr>
                      <w:szCs w:val="21"/>
                    </w:rPr>
                  </w:pPr>
                  <w:r>
                    <w:rPr>
                      <w:rFonts w:hint="eastAsia"/>
                      <w:szCs w:val="21"/>
                    </w:rPr>
                    <w:t>锌粉15%</w:t>
                  </w:r>
                </w:p>
              </w:tc>
              <w:tc>
                <w:tcPr>
                  <w:tcW w:w="2402" w:type="pct"/>
                  <w:vAlign w:val="center"/>
                </w:tcPr>
                <w:p>
                  <w:pPr>
                    <w:widowControl/>
                    <w:spacing w:line="320" w:lineRule="exact"/>
                    <w:jc w:val="center"/>
                    <w:rPr>
                      <w:szCs w:val="21"/>
                    </w:rPr>
                  </w:pPr>
                  <w:r>
                    <w:rPr>
                      <w:szCs w:val="21"/>
                    </w:rPr>
                    <w:t>分子式: Zn</w:t>
                  </w:r>
                  <w:r>
                    <w:rPr>
                      <w:rFonts w:hint="eastAsia"/>
                      <w:szCs w:val="21"/>
                    </w:rPr>
                    <w:t>，深灰色的粉末状的金属锌﹐可作颜料﹐遮盖力极强。具有很好的防锈及耐大气侵蚀的作用。</w:t>
                  </w:r>
                  <w:r>
                    <w:fldChar w:fldCharType="begin"/>
                  </w:r>
                  <w:r>
                    <w:instrText xml:space="preserve"> HYPERLINK "https://baike.so.com/doc/3197109-3369312.html" \t "https://baike.so.com/doc/_blank" </w:instrText>
                  </w:r>
                  <w:r>
                    <w:fldChar w:fldCharType="separate"/>
                  </w:r>
                  <w:r>
                    <w:rPr>
                      <w:rFonts w:hint="eastAsia"/>
                      <w:szCs w:val="21"/>
                    </w:rPr>
                    <w:t>常用</w:t>
                  </w:r>
                  <w:r>
                    <w:rPr>
                      <w:rFonts w:hint="eastAsia"/>
                      <w:szCs w:val="21"/>
                    </w:rPr>
                    <w:fldChar w:fldCharType="end"/>
                  </w:r>
                  <w:r>
                    <w:rPr>
                      <w:rFonts w:hint="eastAsia"/>
                      <w:szCs w:val="21"/>
                    </w:rPr>
                    <w:t>以制造</w:t>
                  </w:r>
                  <w:r>
                    <w:fldChar w:fldCharType="begin"/>
                  </w:r>
                  <w:r>
                    <w:instrText xml:space="preserve"> HYPERLINK "https://baike.so.com/doc/623161-659642.html" \t "https://baike.so.com/doc/_blank" </w:instrText>
                  </w:r>
                  <w:r>
                    <w:fldChar w:fldCharType="separate"/>
                  </w:r>
                  <w:r>
                    <w:rPr>
                      <w:rFonts w:hint="eastAsia"/>
                      <w:szCs w:val="21"/>
                    </w:rPr>
                    <w:t>防锈漆</w:t>
                  </w:r>
                  <w:r>
                    <w:rPr>
                      <w:rFonts w:hint="eastAsia"/>
                      <w:szCs w:val="21"/>
                    </w:rPr>
                    <w:fldChar w:fldCharType="end"/>
                  </w:r>
                  <w:r>
                    <w:rPr>
                      <w:rFonts w:hint="eastAsia"/>
                      <w:szCs w:val="21"/>
                    </w:rPr>
                    <w:t>﹑强</w:t>
                  </w:r>
                  <w:r>
                    <w:fldChar w:fldCharType="begin"/>
                  </w:r>
                  <w:r>
                    <w:instrText xml:space="preserve"> HYPERLINK "https://baike.so.com/doc/722002-764387.html" \t "https://baike.so.com/doc/_blank" </w:instrText>
                  </w:r>
                  <w:r>
                    <w:fldChar w:fldCharType="separate"/>
                  </w:r>
                  <w:r>
                    <w:rPr>
                      <w:rFonts w:hint="eastAsia"/>
                      <w:szCs w:val="21"/>
                    </w:rPr>
                    <w:t>还原剂</w:t>
                  </w:r>
                  <w:r>
                    <w:rPr>
                      <w:rFonts w:hint="eastAsia"/>
                      <w:szCs w:val="21"/>
                    </w:rPr>
                    <w:fldChar w:fldCharType="end"/>
                  </w:r>
                  <w:r>
                    <w:rPr>
                      <w:rFonts w:hint="eastAsia"/>
                      <w:szCs w:val="21"/>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防锈颜料15-25%</w:t>
                  </w:r>
                </w:p>
              </w:tc>
              <w:tc>
                <w:tcPr>
                  <w:tcW w:w="2402" w:type="pct"/>
                  <w:vAlign w:val="center"/>
                </w:tcPr>
                <w:p>
                  <w:pPr>
                    <w:widowControl/>
                    <w:spacing w:line="320" w:lineRule="exact"/>
                    <w:jc w:val="center"/>
                    <w:rPr>
                      <w:szCs w:val="21"/>
                    </w:rPr>
                  </w:pPr>
                  <w:r>
                    <w:rPr>
                      <w:rFonts w:hint="eastAsia"/>
                      <w:szCs w:val="21"/>
                    </w:rPr>
                    <w:t>见上文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二甲苯7.5%</w:t>
                  </w:r>
                </w:p>
              </w:tc>
              <w:tc>
                <w:tcPr>
                  <w:tcW w:w="2402" w:type="pct"/>
                  <w:vAlign w:val="center"/>
                </w:tcPr>
                <w:p>
                  <w:pPr>
                    <w:widowControl/>
                    <w:spacing w:line="320" w:lineRule="exact"/>
                    <w:jc w:val="center"/>
                    <w:rPr>
                      <w:szCs w:val="21"/>
                    </w:rPr>
                  </w:pPr>
                  <w:r>
                    <w:rPr>
                      <w:rFonts w:hint="eastAsia"/>
                      <w:szCs w:val="21"/>
                    </w:rPr>
                    <w:t>见上文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丁醇7.5%</w:t>
                  </w:r>
                </w:p>
              </w:tc>
              <w:tc>
                <w:tcPr>
                  <w:tcW w:w="2402" w:type="pct"/>
                  <w:vAlign w:val="center"/>
                </w:tcPr>
                <w:p>
                  <w:pPr>
                    <w:widowControl/>
                    <w:spacing w:line="320" w:lineRule="exact"/>
                    <w:jc w:val="center"/>
                    <w:rPr>
                      <w:szCs w:val="21"/>
                    </w:rPr>
                  </w:pPr>
                  <w:r>
                    <w:rPr>
                      <w:rFonts w:hint="eastAsia"/>
                      <w:szCs w:val="21"/>
                    </w:rPr>
                    <w:t>见上文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环氧树脂25-35%</w:t>
                  </w:r>
                </w:p>
              </w:tc>
              <w:tc>
                <w:tcPr>
                  <w:tcW w:w="2402" w:type="pct"/>
                  <w:vAlign w:val="center"/>
                </w:tcPr>
                <w:p>
                  <w:pPr>
                    <w:widowControl/>
                    <w:spacing w:line="320" w:lineRule="exact"/>
                    <w:jc w:val="center"/>
                    <w:rPr>
                      <w:szCs w:val="21"/>
                    </w:rPr>
                  </w:pPr>
                  <w:r>
                    <w:rPr>
                      <w:szCs w:val="21"/>
                    </w:rPr>
                    <w:t>环氧树脂是一种</w:t>
                  </w:r>
                  <w:r>
                    <w:fldChar w:fldCharType="begin"/>
                  </w:r>
                  <w:r>
                    <w:instrText xml:space="preserve"> HYPERLINK "https://baike.so.com/doc/6178721-6391965.html" \t "https://baike.so.com/doc/_blank" </w:instrText>
                  </w:r>
                  <w:r>
                    <w:fldChar w:fldCharType="separate"/>
                  </w:r>
                  <w:r>
                    <w:rPr>
                      <w:szCs w:val="21"/>
                    </w:rPr>
                    <w:t>高分子聚合物</w:t>
                  </w:r>
                  <w:r>
                    <w:rPr>
                      <w:szCs w:val="21"/>
                    </w:rPr>
                    <w:fldChar w:fldCharType="end"/>
                  </w:r>
                  <w:r>
                    <w:rPr>
                      <w:szCs w:val="21"/>
                    </w:rPr>
                    <w:t>，分子式为(C</w:t>
                  </w:r>
                  <w:r>
                    <w:rPr>
                      <w:szCs w:val="21"/>
                      <w:vertAlign w:val="subscript"/>
                    </w:rPr>
                    <w:t>11</w:t>
                  </w:r>
                  <w:r>
                    <w:rPr>
                      <w:szCs w:val="21"/>
                    </w:rPr>
                    <w:t>H</w:t>
                  </w:r>
                  <w:r>
                    <w:rPr>
                      <w:szCs w:val="21"/>
                      <w:vertAlign w:val="subscript"/>
                    </w:rPr>
                    <w:t>12</w:t>
                  </w:r>
                  <w:r>
                    <w:rPr>
                      <w:szCs w:val="21"/>
                    </w:rPr>
                    <w:t>O</w:t>
                  </w:r>
                  <w:r>
                    <w:rPr>
                      <w:szCs w:val="21"/>
                      <w:vertAlign w:val="subscript"/>
                    </w:rPr>
                    <w:t>3</w:t>
                  </w:r>
                  <w:r>
                    <w:rPr>
                      <w:szCs w:val="21"/>
                    </w:rPr>
                    <w:t>)n，是指分子中含有两个以上环氧基团的一类聚合物的总称。它是</w:t>
                  </w:r>
                  <w:r>
                    <w:fldChar w:fldCharType="begin"/>
                  </w:r>
                  <w:r>
                    <w:instrText xml:space="preserve"> HYPERLINK "https://baike.so.com/doc/5086008-5313974.html" \t "https://baike.so.com/doc/_blank" </w:instrText>
                  </w:r>
                  <w:r>
                    <w:fldChar w:fldCharType="separate"/>
                  </w:r>
                  <w:r>
                    <w:rPr>
                      <w:szCs w:val="21"/>
                    </w:rPr>
                    <w:t>环氧氯丙烷</w:t>
                  </w:r>
                  <w:r>
                    <w:rPr>
                      <w:szCs w:val="21"/>
                    </w:rPr>
                    <w:fldChar w:fldCharType="end"/>
                  </w:r>
                  <w:r>
                    <w:rPr>
                      <w:szCs w:val="21"/>
                    </w:rPr>
                    <w:t>与</w:t>
                  </w:r>
                  <w:r>
                    <w:fldChar w:fldCharType="begin"/>
                  </w:r>
                  <w:r>
                    <w:instrText xml:space="preserve"> HYPERLINK "https://baike.so.com/doc/1603311-1694895.html" \t "https://baike.so.com/doc/_blank" </w:instrText>
                  </w:r>
                  <w:r>
                    <w:fldChar w:fldCharType="separate"/>
                  </w:r>
                  <w:r>
                    <w:rPr>
                      <w:szCs w:val="21"/>
                    </w:rPr>
                    <w:t>双酚A</w:t>
                  </w:r>
                  <w:r>
                    <w:rPr>
                      <w:szCs w:val="21"/>
                    </w:rPr>
                    <w:fldChar w:fldCharType="end"/>
                  </w:r>
                  <w:r>
                    <w:rPr>
                      <w:szCs w:val="21"/>
                    </w:rPr>
                    <w:t>或</w:t>
                  </w:r>
                  <w:r>
                    <w:fldChar w:fldCharType="begin"/>
                  </w:r>
                  <w:r>
                    <w:instrText xml:space="preserve"> HYPERLINK "https://baike.so.com/doc/6298382-6511905.html" \t "https://baike.so.com/doc/_blank" </w:instrText>
                  </w:r>
                  <w:r>
                    <w:fldChar w:fldCharType="separate"/>
                  </w:r>
                  <w:r>
                    <w:rPr>
                      <w:szCs w:val="21"/>
                    </w:rPr>
                    <w:t>多元醇</w:t>
                  </w:r>
                  <w:r>
                    <w:rPr>
                      <w:szCs w:val="21"/>
                    </w:rPr>
                    <w:fldChar w:fldCharType="end"/>
                  </w:r>
                  <w:r>
                    <w:rPr>
                      <w:szCs w:val="21"/>
                    </w:rPr>
                    <w:t>的缩聚产物。由于环氧基的化学活性，可用多种含有活泼氢的化合物使其开环，固化交联生成网状结构，因此它是一种</w:t>
                  </w:r>
                  <w:r>
                    <w:fldChar w:fldCharType="begin"/>
                  </w:r>
                  <w:r>
                    <w:instrText xml:space="preserve"> HYPERLINK "https://baike.so.com/doc/6334978-6548590.html" \t "https://baike.so.com/doc/_blank" </w:instrText>
                  </w:r>
                  <w:r>
                    <w:fldChar w:fldCharType="separate"/>
                  </w:r>
                  <w:r>
                    <w:rPr>
                      <w:szCs w:val="21"/>
                    </w:rPr>
                    <w:t>热固性树脂</w:t>
                  </w:r>
                  <w:r>
                    <w:rPr>
                      <w:szCs w:val="21"/>
                    </w:rPr>
                    <w:fldChar w:fldCharType="end"/>
                  </w:r>
                  <w:r>
                    <w:rPr>
                      <w:szCs w:val="21"/>
                    </w:rPr>
                    <w:t>。双酚A型环氧树脂不仅产量最大，品种最全，而且新的改性品种仍在不断增加，质量正在不断提高。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固化剂5%</w:t>
                  </w:r>
                </w:p>
              </w:tc>
              <w:tc>
                <w:tcPr>
                  <w:tcW w:w="2402" w:type="pct"/>
                  <w:vAlign w:val="center"/>
                </w:tcPr>
                <w:p>
                  <w:pPr>
                    <w:widowControl/>
                    <w:spacing w:line="320" w:lineRule="exact"/>
                    <w:jc w:val="center"/>
                    <w:rPr>
                      <w:szCs w:val="21"/>
                    </w:rPr>
                  </w:pPr>
                  <w:r>
                    <w:rPr>
                      <w:rFonts w:hint="eastAsia"/>
                      <w:szCs w:val="21"/>
                    </w:rPr>
                    <w:t>见上文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restart"/>
                  <w:vAlign w:val="center"/>
                </w:tcPr>
                <w:p>
                  <w:pPr>
                    <w:widowControl/>
                    <w:spacing w:line="320" w:lineRule="exact"/>
                    <w:jc w:val="center"/>
                    <w:rPr>
                      <w:szCs w:val="21"/>
                    </w:rPr>
                  </w:pPr>
                  <w:r>
                    <w:rPr>
                      <w:rFonts w:hint="eastAsia"/>
                      <w:szCs w:val="21"/>
                    </w:rPr>
                    <w:t>3</w:t>
                  </w:r>
                </w:p>
              </w:tc>
              <w:tc>
                <w:tcPr>
                  <w:tcW w:w="854" w:type="pct"/>
                  <w:vMerge w:val="restart"/>
                  <w:vAlign w:val="center"/>
                </w:tcPr>
                <w:p>
                  <w:pPr>
                    <w:widowControl/>
                    <w:spacing w:line="320" w:lineRule="exact"/>
                    <w:jc w:val="center"/>
                    <w:rPr>
                      <w:szCs w:val="21"/>
                    </w:rPr>
                  </w:pPr>
                  <w:r>
                    <w:rPr>
                      <w:szCs w:val="21"/>
                    </w:rPr>
                    <w:t>铁红醇酸防锈底漆</w:t>
                  </w:r>
                </w:p>
              </w:tc>
              <w:tc>
                <w:tcPr>
                  <w:tcW w:w="1322" w:type="pct"/>
                  <w:vAlign w:val="center"/>
                </w:tcPr>
                <w:p>
                  <w:pPr>
                    <w:widowControl/>
                    <w:spacing w:line="320" w:lineRule="exact"/>
                    <w:jc w:val="center"/>
                    <w:rPr>
                      <w:szCs w:val="21"/>
                    </w:rPr>
                  </w:pPr>
                  <w:r>
                    <w:rPr>
                      <w:rFonts w:hint="eastAsia"/>
                      <w:szCs w:val="21"/>
                    </w:rPr>
                    <w:t>醇酸树脂50%</w:t>
                  </w:r>
                </w:p>
              </w:tc>
              <w:tc>
                <w:tcPr>
                  <w:tcW w:w="2402" w:type="pct"/>
                  <w:vAlign w:val="center"/>
                </w:tcPr>
                <w:p>
                  <w:pPr>
                    <w:widowControl/>
                    <w:spacing w:line="320" w:lineRule="exact"/>
                    <w:jc w:val="center"/>
                    <w:rPr>
                      <w:szCs w:val="21"/>
                    </w:rPr>
                  </w:pPr>
                  <w:r>
                    <w:rPr>
                      <w:szCs w:val="21"/>
                    </w:rPr>
                    <w:t>醇酸树脂由</w:t>
                  </w:r>
                  <w:r>
                    <w:fldChar w:fldCharType="begin"/>
                  </w:r>
                  <w:r>
                    <w:instrText xml:space="preserve"> HYPERLINK "https://baike.so.com/doc/6298382.html" \t "https://baike.so.com/doc/_blank" </w:instrText>
                  </w:r>
                  <w:r>
                    <w:fldChar w:fldCharType="separate"/>
                  </w:r>
                  <w:r>
                    <w:rPr>
                      <w:szCs w:val="21"/>
                    </w:rPr>
                    <w:t>多元醇</w:t>
                  </w:r>
                  <w:r>
                    <w:rPr>
                      <w:szCs w:val="21"/>
                    </w:rPr>
                    <w:fldChar w:fldCharType="end"/>
                  </w:r>
                  <w:r>
                    <w:rPr>
                      <w:szCs w:val="21"/>
                    </w:rPr>
                    <w:t>、邻苯二甲酸酐和脂肪酸或油（甘油三脂肪酸酯）缩合聚合而成的油改性聚酯树脂。醇酸树脂固化成膜后，有光泽和韧性，附着力强，并具有良好的耐磨性、</w:t>
                  </w:r>
                  <w:r>
                    <w:fldChar w:fldCharType="begin"/>
                  </w:r>
                  <w:r>
                    <w:instrText xml:space="preserve"> HYPERLINK "https://baike.so.com/doc/1556490-1645348.html" \t "https://baike.so.com/doc/_blank" </w:instrText>
                  </w:r>
                  <w:r>
                    <w:fldChar w:fldCharType="separate"/>
                  </w:r>
                  <w:r>
                    <w:rPr>
                      <w:szCs w:val="21"/>
                    </w:rPr>
                    <w:t>耐候性</w:t>
                  </w:r>
                  <w:r>
                    <w:rPr>
                      <w:szCs w:val="21"/>
                    </w:rPr>
                    <w:fldChar w:fldCharType="end"/>
                  </w:r>
                  <w:r>
                    <w:rPr>
                      <w:szCs w:val="21"/>
                    </w:rPr>
                    <w:t>和绝缘性等。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氧化铁红防锈颜料15-25%</w:t>
                  </w:r>
                </w:p>
              </w:tc>
              <w:tc>
                <w:tcPr>
                  <w:tcW w:w="2402" w:type="pct"/>
                  <w:vAlign w:val="center"/>
                </w:tcPr>
                <w:p>
                  <w:pPr>
                    <w:widowControl/>
                    <w:spacing w:line="320" w:lineRule="exact"/>
                    <w:jc w:val="center"/>
                    <w:rPr>
                      <w:szCs w:val="21"/>
                    </w:rPr>
                  </w:pPr>
                  <w:r>
                    <w:fldChar w:fldCharType="begin"/>
                  </w:r>
                  <w:r>
                    <w:instrText xml:space="preserve"> HYPERLINK "https://baike.so.com/doc/6746773-6961319.html" \t "https://baike.so.com/doc/_blank" </w:instrText>
                  </w:r>
                  <w:r>
                    <w:fldChar w:fldCharType="separate"/>
                  </w:r>
                  <w:r>
                    <w:rPr>
                      <w:szCs w:val="21"/>
                    </w:rPr>
                    <w:t>分子式</w:t>
                  </w:r>
                  <w:r>
                    <w:rPr>
                      <w:szCs w:val="21"/>
                    </w:rPr>
                    <w:fldChar w:fldCharType="end"/>
                  </w:r>
                  <w:r>
                    <w:rPr>
                      <w:szCs w:val="21"/>
                    </w:rPr>
                    <w:t>: Fe</w:t>
                  </w:r>
                  <w:r>
                    <w:rPr>
                      <w:szCs w:val="21"/>
                      <w:vertAlign w:val="subscript"/>
                    </w:rPr>
                    <w:t>2</w:t>
                  </w:r>
                  <w:r>
                    <w:rPr>
                      <w:szCs w:val="21"/>
                    </w:rPr>
                    <w:t>O</w:t>
                  </w:r>
                  <w:r>
                    <w:rPr>
                      <w:szCs w:val="21"/>
                      <w:vertAlign w:val="subscript"/>
                    </w:rPr>
                    <w:t>3</w:t>
                  </w:r>
                  <w:r>
                    <w:rPr>
                      <w:rFonts w:hint="eastAsia"/>
                      <w:szCs w:val="21"/>
                    </w:rPr>
                    <w:t>，红棕色粉末，熔点为1565℃，沸点为3414℃，密度5.24g/cm</w:t>
                  </w:r>
                  <w:r>
                    <w:rPr>
                      <w:rFonts w:hint="eastAsia"/>
                      <w:szCs w:val="21"/>
                      <w:vertAlign w:val="superscript"/>
                    </w:rPr>
                    <w:t>3</w:t>
                  </w:r>
                  <w:r>
                    <w:rPr>
                      <w:rFonts w:hint="eastAsia"/>
                      <w:szCs w:val="21"/>
                    </w:rPr>
                    <w:t>，分子量159.6882，溶于酸，与酸反应，不溶于水。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二甲苯7.5%</w:t>
                  </w:r>
                </w:p>
              </w:tc>
              <w:tc>
                <w:tcPr>
                  <w:tcW w:w="2402" w:type="pct"/>
                  <w:vAlign w:val="center"/>
                </w:tcPr>
                <w:p>
                  <w:pPr>
                    <w:widowControl/>
                    <w:spacing w:line="320" w:lineRule="exact"/>
                    <w:jc w:val="center"/>
                    <w:rPr>
                      <w:szCs w:val="21"/>
                    </w:rPr>
                  </w:pPr>
                  <w:r>
                    <w:rPr>
                      <w:rFonts w:hint="eastAsia"/>
                      <w:szCs w:val="21"/>
                    </w:rPr>
                    <w:t>见上文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丁醇7.5%</w:t>
                  </w:r>
                </w:p>
              </w:tc>
              <w:tc>
                <w:tcPr>
                  <w:tcW w:w="2402" w:type="pct"/>
                  <w:vAlign w:val="center"/>
                </w:tcPr>
                <w:p>
                  <w:pPr>
                    <w:widowControl/>
                    <w:spacing w:line="320" w:lineRule="exact"/>
                    <w:jc w:val="center"/>
                    <w:rPr>
                      <w:szCs w:val="21"/>
                    </w:rPr>
                  </w:pPr>
                  <w:r>
                    <w:rPr>
                      <w:rFonts w:hint="eastAsia"/>
                      <w:szCs w:val="21"/>
                    </w:rPr>
                    <w:t>见上文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0" w:type="pct"/>
                  <w:vAlign w:val="center"/>
                </w:tcPr>
                <w:p>
                  <w:pPr>
                    <w:widowControl/>
                    <w:spacing w:line="320" w:lineRule="exact"/>
                    <w:jc w:val="center"/>
                    <w:rPr>
                      <w:szCs w:val="21"/>
                    </w:rPr>
                  </w:pPr>
                  <w:r>
                    <w:rPr>
                      <w:rFonts w:hint="eastAsia"/>
                      <w:szCs w:val="21"/>
                    </w:rPr>
                    <w:t>4</w:t>
                  </w:r>
                </w:p>
              </w:tc>
              <w:tc>
                <w:tcPr>
                  <w:tcW w:w="854" w:type="pct"/>
                  <w:vAlign w:val="center"/>
                </w:tcPr>
                <w:p>
                  <w:pPr>
                    <w:widowControl/>
                    <w:spacing w:line="320" w:lineRule="exact"/>
                    <w:jc w:val="center"/>
                    <w:rPr>
                      <w:szCs w:val="21"/>
                    </w:rPr>
                  </w:pPr>
                  <w:r>
                    <w:rPr>
                      <w:rFonts w:hint="eastAsia"/>
                      <w:szCs w:val="21"/>
                    </w:rPr>
                    <w:t>固化剂</w:t>
                  </w:r>
                </w:p>
              </w:tc>
              <w:tc>
                <w:tcPr>
                  <w:tcW w:w="3724" w:type="pct"/>
                  <w:gridSpan w:val="2"/>
                  <w:vAlign w:val="center"/>
                </w:tcPr>
                <w:p>
                  <w:pPr>
                    <w:widowControl/>
                    <w:spacing w:line="320" w:lineRule="exact"/>
                    <w:jc w:val="center"/>
                    <w:rPr>
                      <w:szCs w:val="21"/>
                    </w:rPr>
                  </w:pPr>
                  <w:r>
                    <w:rPr>
                      <w:rFonts w:hint="eastAsia"/>
                      <w:szCs w:val="21"/>
                    </w:rPr>
                    <w:t>见上文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restart"/>
                  <w:vAlign w:val="center"/>
                </w:tcPr>
                <w:p>
                  <w:pPr>
                    <w:widowControl/>
                    <w:spacing w:line="320" w:lineRule="exact"/>
                    <w:jc w:val="center"/>
                    <w:rPr>
                      <w:szCs w:val="21"/>
                    </w:rPr>
                  </w:pPr>
                  <w:r>
                    <w:rPr>
                      <w:rFonts w:hint="eastAsia"/>
                      <w:szCs w:val="21"/>
                    </w:rPr>
                    <w:t>5</w:t>
                  </w:r>
                </w:p>
              </w:tc>
              <w:tc>
                <w:tcPr>
                  <w:tcW w:w="854" w:type="pct"/>
                  <w:vMerge w:val="restart"/>
                  <w:vAlign w:val="center"/>
                </w:tcPr>
                <w:p>
                  <w:pPr>
                    <w:widowControl/>
                    <w:spacing w:line="320" w:lineRule="exact"/>
                    <w:jc w:val="center"/>
                    <w:rPr>
                      <w:szCs w:val="21"/>
                    </w:rPr>
                  </w:pPr>
                  <w:r>
                    <w:rPr>
                      <w:rFonts w:hint="eastAsia"/>
                      <w:szCs w:val="21"/>
                    </w:rPr>
                    <w:t>稀释剂</w:t>
                  </w:r>
                </w:p>
              </w:tc>
              <w:tc>
                <w:tcPr>
                  <w:tcW w:w="1322" w:type="pct"/>
                  <w:vAlign w:val="center"/>
                </w:tcPr>
                <w:p>
                  <w:pPr>
                    <w:widowControl/>
                    <w:spacing w:line="320" w:lineRule="exact"/>
                    <w:jc w:val="center"/>
                    <w:rPr>
                      <w:szCs w:val="21"/>
                    </w:rPr>
                  </w:pPr>
                  <w:r>
                    <w:rPr>
                      <w:rFonts w:hint="eastAsia"/>
                      <w:szCs w:val="21"/>
                    </w:rPr>
                    <w:t>乙酸正丁酯15%</w:t>
                  </w:r>
                </w:p>
              </w:tc>
              <w:tc>
                <w:tcPr>
                  <w:tcW w:w="2402" w:type="pct"/>
                  <w:vAlign w:val="center"/>
                </w:tcPr>
                <w:p>
                  <w:pPr>
                    <w:widowControl/>
                    <w:spacing w:line="320" w:lineRule="exact"/>
                    <w:jc w:val="center"/>
                    <w:rPr>
                      <w:szCs w:val="21"/>
                    </w:rPr>
                  </w:pPr>
                  <w:r>
                    <w:rPr>
                      <w:szCs w:val="21"/>
                    </w:rPr>
                    <w:t>乙酸正丁酯，简称乙酸丁酯。无色透明有愉快果香气味的液体。较低级同系物难溶于水;与醇、醚、酮等</w:t>
                  </w:r>
                  <w:r>
                    <w:fldChar w:fldCharType="begin"/>
                  </w:r>
                  <w:r>
                    <w:instrText xml:space="preserve"> HYPERLINK "https://baike.so.com/doc/4792021-5008084.html" \t "https://baike.so.com/doc/_blank" </w:instrText>
                  </w:r>
                  <w:r>
                    <w:fldChar w:fldCharType="separate"/>
                  </w:r>
                  <w:r>
                    <w:rPr>
                      <w:szCs w:val="21"/>
                    </w:rPr>
                    <w:t>有机溶剂</w:t>
                  </w:r>
                  <w:r>
                    <w:rPr>
                      <w:szCs w:val="21"/>
                    </w:rPr>
                    <w:fldChar w:fldCharType="end"/>
                  </w:r>
                  <w:r>
                    <w:rPr>
                      <w:szCs w:val="21"/>
                    </w:rPr>
                    <w:t>混溶。易燃。急性毒性较小，但对眼鼻有较强的刺激性，而且在高浓度下会引起麻醉。</w:t>
                  </w:r>
                  <w:r>
                    <w:rPr>
                      <w:rFonts w:hint="eastAsia"/>
                      <w:szCs w:val="21"/>
                    </w:rPr>
                    <w:t>化学式CH</w:t>
                  </w:r>
                  <w:r>
                    <w:rPr>
                      <w:rFonts w:hint="eastAsia"/>
                      <w:szCs w:val="21"/>
                      <w:vertAlign w:val="subscript"/>
                    </w:rPr>
                    <w:t>3</w:t>
                  </w:r>
                  <w:r>
                    <w:rPr>
                      <w:rFonts w:hint="eastAsia"/>
                      <w:szCs w:val="21"/>
                    </w:rPr>
                    <w:t>COO(CH</w:t>
                  </w:r>
                  <w:r>
                    <w:rPr>
                      <w:rFonts w:hint="eastAsia"/>
                      <w:szCs w:val="21"/>
                      <w:vertAlign w:val="subscript"/>
                    </w:rPr>
                    <w:t>2</w:t>
                  </w:r>
                  <w:r>
                    <w:rPr>
                      <w:rFonts w:hint="eastAsia"/>
                      <w:szCs w:val="21"/>
                    </w:rPr>
                    <w:t>)</w:t>
                  </w:r>
                  <w:r>
                    <w:rPr>
                      <w:rFonts w:hint="eastAsia"/>
                      <w:szCs w:val="21"/>
                      <w:vertAlign w:val="subscript"/>
                    </w:rPr>
                    <w:t>3</w:t>
                  </w:r>
                  <w:r>
                    <w:rPr>
                      <w:rFonts w:hint="eastAsia"/>
                      <w:szCs w:val="21"/>
                    </w:rPr>
                    <w:t>CH</w:t>
                  </w:r>
                  <w:r>
                    <w:rPr>
                      <w:rFonts w:hint="eastAsia"/>
                      <w:szCs w:val="21"/>
                      <w:vertAlign w:val="subscript"/>
                    </w:rPr>
                    <w:t>3</w:t>
                  </w:r>
                  <w:r>
                    <w:rPr>
                      <w:rFonts w:hint="eastAsia"/>
                      <w:szCs w:val="21"/>
                    </w:rPr>
                    <w:t>。分子量116.16，沸点126.5℃，相对密度0.8825，闪点22℃，燃点421℃，乙酸正丁醇是优良的有机溶剂，对乙基纤维素、醋酸丁酸纤维素、聚苯乙烯、甲基丙烯酸树脂、氯化橡胶以及多种天然树胶均有较好的溶解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乙酸乙酯15%</w:t>
                  </w:r>
                </w:p>
              </w:tc>
              <w:tc>
                <w:tcPr>
                  <w:tcW w:w="2402" w:type="pct"/>
                  <w:vAlign w:val="center"/>
                </w:tcPr>
                <w:p>
                  <w:pPr>
                    <w:widowControl/>
                    <w:spacing w:line="320" w:lineRule="exact"/>
                    <w:jc w:val="center"/>
                    <w:rPr>
                      <w:szCs w:val="21"/>
                    </w:rPr>
                  </w:pPr>
                  <w:r>
                    <w:rPr>
                      <w:szCs w:val="21"/>
                    </w:rPr>
                    <w:t>乙酸乙酯是</w:t>
                  </w:r>
                  <w:r>
                    <w:fldChar w:fldCharType="begin"/>
                  </w:r>
                  <w:r>
                    <w:instrText xml:space="preserve"> HYPERLINK "https://baike.so.com/doc/24730265-25639771.html" \t "https://baike.so.com/doc/_blank" </w:instrText>
                  </w:r>
                  <w:r>
                    <w:fldChar w:fldCharType="separate"/>
                  </w:r>
                  <w:r>
                    <w:rPr>
                      <w:szCs w:val="21"/>
                    </w:rPr>
                    <w:t>无色透明</w:t>
                  </w:r>
                  <w:r>
                    <w:rPr>
                      <w:szCs w:val="21"/>
                    </w:rPr>
                    <w:fldChar w:fldCharType="end"/>
                  </w:r>
                  <w:r>
                    <w:rPr>
                      <w:szCs w:val="21"/>
                    </w:rPr>
                    <w:t>液体，低毒性，有</w:t>
                  </w:r>
                  <w:r>
                    <w:fldChar w:fldCharType="begin"/>
                  </w:r>
                  <w:r>
                    <w:instrText xml:space="preserve"> HYPERLINK "https://baike.so.com/doc/5813587-6026395.html" \t "https://baike.so.com/doc/_blank" </w:instrText>
                  </w:r>
                  <w:r>
                    <w:fldChar w:fldCharType="separate"/>
                  </w:r>
                  <w:r>
                    <w:rPr>
                      <w:szCs w:val="21"/>
                    </w:rPr>
                    <w:t>甜味</w:t>
                  </w:r>
                  <w:r>
                    <w:rPr>
                      <w:szCs w:val="21"/>
                    </w:rPr>
                    <w:fldChar w:fldCharType="end"/>
                  </w:r>
                  <w:r>
                    <w:rPr>
                      <w:szCs w:val="21"/>
                    </w:rPr>
                    <w:t>，浓度较高时有</w:t>
                  </w:r>
                  <w:r>
                    <w:fldChar w:fldCharType="begin"/>
                  </w:r>
                  <w:r>
                    <w:instrText xml:space="preserve"> HYPERLINK "https://baike.so.com/doc/3105569-3273338.html" \t "https://baike.so.com/doc/_blank" </w:instrText>
                  </w:r>
                  <w:r>
                    <w:fldChar w:fldCharType="separate"/>
                  </w:r>
                  <w:r>
                    <w:rPr>
                      <w:szCs w:val="21"/>
                    </w:rPr>
                    <w:t>刺激性</w:t>
                  </w:r>
                  <w:r>
                    <w:rPr>
                      <w:szCs w:val="21"/>
                    </w:rPr>
                    <w:fldChar w:fldCharType="end"/>
                  </w:r>
                  <w:r>
                    <w:rPr>
                      <w:szCs w:val="21"/>
                    </w:rPr>
                    <w:t>气味，易</w:t>
                  </w:r>
                  <w:r>
                    <w:fldChar w:fldCharType="begin"/>
                  </w:r>
                  <w:r>
                    <w:instrText xml:space="preserve"> HYPERLINK "https://baike.so.com/doc/6255410-6468824.html" \t "https://baike.so.com/doc/_blank" </w:instrText>
                  </w:r>
                  <w:r>
                    <w:fldChar w:fldCharType="separate"/>
                  </w:r>
                  <w:r>
                    <w:rPr>
                      <w:szCs w:val="21"/>
                    </w:rPr>
                    <w:t>挥发</w:t>
                  </w:r>
                  <w:r>
                    <w:rPr>
                      <w:szCs w:val="21"/>
                    </w:rPr>
                    <w:fldChar w:fldCharType="end"/>
                  </w:r>
                  <w:r>
                    <w:rPr>
                      <w:szCs w:val="21"/>
                    </w:rPr>
                    <w:t>，对空气敏感，能吸水分，使其缓慢</w:t>
                  </w:r>
                  <w:r>
                    <w:fldChar w:fldCharType="begin"/>
                  </w:r>
                  <w:r>
                    <w:instrText xml:space="preserve"> HYPERLINK "https://baike.so.com/doc/1558182-1647140.html" \t "https://baike.so.com/doc/_blank" </w:instrText>
                  </w:r>
                  <w:r>
                    <w:fldChar w:fldCharType="separate"/>
                  </w:r>
                  <w:r>
                    <w:rPr>
                      <w:szCs w:val="21"/>
                    </w:rPr>
                    <w:t>水解</w:t>
                  </w:r>
                  <w:r>
                    <w:rPr>
                      <w:szCs w:val="21"/>
                    </w:rPr>
                    <w:fldChar w:fldCharType="end"/>
                  </w:r>
                  <w:r>
                    <w:rPr>
                      <w:szCs w:val="21"/>
                    </w:rPr>
                    <w:t>而呈酸性反应。能与氯仿、乙醇、</w:t>
                  </w:r>
                  <w:r>
                    <w:fldChar w:fldCharType="begin"/>
                  </w:r>
                  <w:r>
                    <w:instrText xml:space="preserve"> HYPERLINK "https://baike.so.com/doc/252057-266820.html" \t "https://baike.so.com/doc/_blank" </w:instrText>
                  </w:r>
                  <w:r>
                    <w:fldChar w:fldCharType="separate"/>
                  </w:r>
                  <w:r>
                    <w:rPr>
                      <w:szCs w:val="21"/>
                    </w:rPr>
                    <w:t>丙酮</w:t>
                  </w:r>
                  <w:r>
                    <w:rPr>
                      <w:szCs w:val="21"/>
                    </w:rPr>
                    <w:fldChar w:fldCharType="end"/>
                  </w:r>
                  <w:r>
                    <w:rPr>
                      <w:szCs w:val="21"/>
                    </w:rPr>
                    <w:t>和</w:t>
                  </w:r>
                  <w:r>
                    <w:fldChar w:fldCharType="begin"/>
                  </w:r>
                  <w:r>
                    <w:instrText xml:space="preserve"> HYPERLINK "https://baike.so.com/doc/6744681-6959224.html" \t "https://baike.so.com/doc/_blank" </w:instrText>
                  </w:r>
                  <w:r>
                    <w:fldChar w:fldCharType="separate"/>
                  </w:r>
                  <w:r>
                    <w:rPr>
                      <w:szCs w:val="21"/>
                    </w:rPr>
                    <w:t>乙醚</w:t>
                  </w:r>
                  <w:r>
                    <w:rPr>
                      <w:szCs w:val="21"/>
                    </w:rPr>
                    <w:fldChar w:fldCharType="end"/>
                  </w:r>
                  <w:r>
                    <w:fldChar w:fldCharType="begin"/>
                  </w:r>
                  <w:r>
                    <w:instrText xml:space="preserve"> HYPERLINK "https://baike.so.com/doc/3983144-4179264.html" \t "https://baike.so.com/doc/_blank" </w:instrText>
                  </w:r>
                  <w:r>
                    <w:fldChar w:fldCharType="separate"/>
                  </w:r>
                  <w:r>
                    <w:rPr>
                      <w:szCs w:val="21"/>
                    </w:rPr>
                    <w:t>混溶</w:t>
                  </w:r>
                  <w:r>
                    <w:rPr>
                      <w:szCs w:val="21"/>
                    </w:rPr>
                    <w:fldChar w:fldCharType="end"/>
                  </w:r>
                  <w:r>
                    <w:rPr>
                      <w:szCs w:val="21"/>
                    </w:rPr>
                    <w:t>，溶于水(10%ml/ml)。能溶解某些金属盐类(如</w:t>
                  </w:r>
                  <w:r>
                    <w:fldChar w:fldCharType="begin"/>
                  </w:r>
                  <w:r>
                    <w:instrText xml:space="preserve"> HYPERLINK "https://baike.so.com/doc/5949102-7117321.html" \t "https://baike.so.com/doc/_blank" </w:instrText>
                  </w:r>
                  <w:r>
                    <w:fldChar w:fldCharType="separate"/>
                  </w:r>
                  <w:r>
                    <w:rPr>
                      <w:szCs w:val="21"/>
                    </w:rPr>
                    <w:t>氯化锂</w:t>
                  </w:r>
                  <w:r>
                    <w:rPr>
                      <w:szCs w:val="21"/>
                    </w:rPr>
                    <w:fldChar w:fldCharType="end"/>
                  </w:r>
                  <w:r>
                    <w:rPr>
                      <w:szCs w:val="21"/>
                    </w:rPr>
                    <w:t>、</w:t>
                  </w:r>
                  <w:r>
                    <w:fldChar w:fldCharType="begin"/>
                  </w:r>
                  <w:r>
                    <w:instrText xml:space="preserve"> HYPERLINK "https://baike.so.com/doc/2384265-2521009.html" \t "https://baike.so.com/doc/_blank" </w:instrText>
                  </w:r>
                  <w:r>
                    <w:fldChar w:fldCharType="separate"/>
                  </w:r>
                  <w:r>
                    <w:rPr>
                      <w:szCs w:val="21"/>
                    </w:rPr>
                    <w:t>氯化钴</w:t>
                  </w:r>
                  <w:r>
                    <w:rPr>
                      <w:szCs w:val="21"/>
                    </w:rPr>
                    <w:fldChar w:fldCharType="end"/>
                  </w:r>
                  <w:r>
                    <w:rPr>
                      <w:szCs w:val="21"/>
                    </w:rPr>
                    <w:t>、</w:t>
                  </w:r>
                  <w:r>
                    <w:fldChar w:fldCharType="begin"/>
                  </w:r>
                  <w:r>
                    <w:instrText xml:space="preserve"> HYPERLINK "https://baike.so.com/doc/811651-858449.html" \t "https://baike.so.com/doc/_blank" </w:instrText>
                  </w:r>
                  <w:r>
                    <w:fldChar w:fldCharType="separate"/>
                  </w:r>
                  <w:r>
                    <w:rPr>
                      <w:szCs w:val="21"/>
                    </w:rPr>
                    <w:t>氯化锌</w:t>
                  </w:r>
                  <w:r>
                    <w:rPr>
                      <w:szCs w:val="21"/>
                    </w:rPr>
                    <w:fldChar w:fldCharType="end"/>
                  </w:r>
                  <w:r>
                    <w:rPr>
                      <w:szCs w:val="21"/>
                    </w:rPr>
                    <w:t>、</w:t>
                  </w:r>
                  <w:r>
                    <w:fldChar w:fldCharType="begin"/>
                  </w:r>
                  <w:r>
                    <w:instrText xml:space="preserve"> HYPERLINK "https://baike.so.com/doc/882348-932664.html" \t "https://baike.so.com/doc/_blank" </w:instrText>
                  </w:r>
                  <w:r>
                    <w:fldChar w:fldCharType="separate"/>
                  </w:r>
                  <w:r>
                    <w:rPr>
                      <w:szCs w:val="21"/>
                    </w:rPr>
                    <w:t>氯化铁</w:t>
                  </w:r>
                  <w:r>
                    <w:rPr>
                      <w:szCs w:val="21"/>
                    </w:rPr>
                    <w:fldChar w:fldCharType="end"/>
                  </w:r>
                  <w:r>
                    <w:rPr>
                      <w:szCs w:val="21"/>
                    </w:rPr>
                    <w:t>等)反应。</w:t>
                  </w:r>
                  <w:r>
                    <w:rPr>
                      <w:rFonts w:hint="eastAsia"/>
                      <w:szCs w:val="21"/>
                    </w:rPr>
                    <w:t>化学式C</w:t>
                  </w:r>
                  <w:r>
                    <w:rPr>
                      <w:rFonts w:hint="eastAsia"/>
                      <w:szCs w:val="21"/>
                      <w:vertAlign w:val="subscript"/>
                    </w:rPr>
                    <w:t>4</w:t>
                  </w:r>
                  <w:r>
                    <w:rPr>
                      <w:rFonts w:hint="eastAsia"/>
                      <w:szCs w:val="21"/>
                    </w:rPr>
                    <w:t>H</w:t>
                  </w:r>
                  <w:r>
                    <w:rPr>
                      <w:rFonts w:hint="eastAsia"/>
                      <w:szCs w:val="21"/>
                      <w:vertAlign w:val="subscript"/>
                    </w:rPr>
                    <w:t>8</w:t>
                  </w:r>
                  <w:r>
                    <w:rPr>
                      <w:rFonts w:hint="eastAsia"/>
                      <w:szCs w:val="21"/>
                    </w:rPr>
                    <w:t>O</w:t>
                  </w:r>
                  <w:r>
                    <w:rPr>
                      <w:rFonts w:hint="eastAsia"/>
                      <w:szCs w:val="21"/>
                      <w:vertAlign w:val="subscript"/>
                    </w:rPr>
                    <w:t>2</w:t>
                  </w:r>
                  <w:r>
                    <w:rPr>
                      <w:rFonts w:hint="eastAsia"/>
                      <w:szCs w:val="21"/>
                    </w:rPr>
                    <w:t>，分子量88.11。</w:t>
                  </w:r>
                  <w:r>
                    <w:fldChar w:fldCharType="begin"/>
                  </w:r>
                  <w:r>
                    <w:instrText xml:space="preserve"> HYPERLINK "https://baike.so.com/doc/2751462-2903816.html" \t "https://baike.so.com/doc/_blank" </w:instrText>
                  </w:r>
                  <w:r>
                    <w:fldChar w:fldCharType="separate"/>
                  </w:r>
                  <w:r>
                    <w:rPr>
                      <w:rFonts w:hint="eastAsia"/>
                      <w:szCs w:val="21"/>
                    </w:rPr>
                    <w:t>相对密度</w:t>
                  </w:r>
                  <w:r>
                    <w:rPr>
                      <w:rFonts w:hint="eastAsia"/>
                      <w:szCs w:val="21"/>
                    </w:rPr>
                    <w:fldChar w:fldCharType="end"/>
                  </w:r>
                  <w:r>
                    <w:rPr>
                      <w:rFonts w:hint="eastAsia"/>
                      <w:szCs w:val="21"/>
                    </w:rPr>
                    <w:t>0.902。熔点-83℃。沸点77℃。</w:t>
                  </w:r>
                  <w:r>
                    <w:fldChar w:fldCharType="begin"/>
                  </w:r>
                  <w:r>
                    <w:instrText xml:space="preserve"> HYPERLINK "https://baike.so.com/doc/6175804-6389045.html" \t "https://baike.so.com/doc/_blank" </w:instrText>
                  </w:r>
                  <w:r>
                    <w:fldChar w:fldCharType="separate"/>
                  </w:r>
                  <w:r>
                    <w:rPr>
                      <w:rFonts w:hint="eastAsia"/>
                      <w:szCs w:val="21"/>
                    </w:rPr>
                    <w:t>折光率</w:t>
                  </w:r>
                  <w:r>
                    <w:rPr>
                      <w:rFonts w:hint="eastAsia"/>
                      <w:szCs w:val="21"/>
                    </w:rPr>
                    <w:fldChar w:fldCharType="end"/>
                  </w:r>
                  <w:r>
                    <w:rPr>
                      <w:rFonts w:hint="eastAsia"/>
                      <w:szCs w:val="21"/>
                    </w:rPr>
                    <w:t>1.3719。闪点7.2℃(开杯)。易燃。蒸气能与空气形成</w:t>
                  </w:r>
                  <w:r>
                    <w:fldChar w:fldCharType="begin"/>
                  </w:r>
                  <w:r>
                    <w:instrText xml:space="preserve"> HYPERLINK "https://baike.so.com/doc/5706238-5918957.html" \t "https://baike.so.com/doc/_blank" </w:instrText>
                  </w:r>
                  <w:r>
                    <w:fldChar w:fldCharType="separate"/>
                  </w:r>
                  <w:r>
                    <w:rPr>
                      <w:rFonts w:hint="eastAsia"/>
                      <w:szCs w:val="21"/>
                    </w:rPr>
                    <w:t>爆炸性混合物</w:t>
                  </w:r>
                  <w:r>
                    <w:rPr>
                      <w:rFonts w:hint="eastAsia"/>
                      <w:szCs w:val="21"/>
                    </w:rPr>
                    <w:fldChar w:fldCharType="end"/>
                  </w:r>
                  <w:r>
                    <w:rPr>
                      <w:rFonts w:hint="eastAsia"/>
                      <w:szCs w:val="21"/>
                    </w:rPr>
                    <w:t>。半数致死量(大鼠，经口)11.3ml/kg。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正丁醇10-15%</w:t>
                  </w:r>
                </w:p>
              </w:tc>
              <w:tc>
                <w:tcPr>
                  <w:tcW w:w="2402" w:type="pct"/>
                  <w:vAlign w:val="center"/>
                </w:tcPr>
                <w:p>
                  <w:pPr>
                    <w:widowControl/>
                    <w:spacing w:line="320" w:lineRule="exact"/>
                    <w:jc w:val="center"/>
                    <w:rPr>
                      <w:szCs w:val="21"/>
                    </w:rPr>
                  </w:pPr>
                  <w:r>
                    <w:rPr>
                      <w:rFonts w:hint="eastAsia"/>
                      <w:szCs w:val="21"/>
                    </w:rPr>
                    <w:t>是</w:t>
                  </w:r>
                  <w:r>
                    <w:rPr>
                      <w:szCs w:val="21"/>
                    </w:rPr>
                    <w:t>一种无色、有酒气味的液体，</w:t>
                  </w:r>
                  <w:r>
                    <w:rPr>
                      <w:rFonts w:hint="eastAsia"/>
                      <w:szCs w:val="21"/>
                    </w:rPr>
                    <w:t>分子式CH</w:t>
                  </w:r>
                  <w:r>
                    <w:rPr>
                      <w:rFonts w:hint="eastAsia"/>
                      <w:szCs w:val="21"/>
                      <w:vertAlign w:val="subscript"/>
                    </w:rPr>
                    <w:t>3</w:t>
                  </w:r>
                  <w:r>
                    <w:rPr>
                      <w:rFonts w:hint="eastAsia"/>
                      <w:szCs w:val="21"/>
                    </w:rPr>
                    <w:t>(CH</w:t>
                  </w:r>
                  <w:r>
                    <w:rPr>
                      <w:rFonts w:hint="eastAsia"/>
                      <w:szCs w:val="21"/>
                      <w:vertAlign w:val="subscript"/>
                    </w:rPr>
                    <w:t>2</w:t>
                  </w:r>
                  <w:r>
                    <w:rPr>
                      <w:rFonts w:hint="eastAsia"/>
                      <w:szCs w:val="21"/>
                    </w:rPr>
                    <w:t>)</w:t>
                  </w:r>
                  <w:r>
                    <w:rPr>
                      <w:rFonts w:hint="eastAsia"/>
                      <w:szCs w:val="21"/>
                      <w:vertAlign w:val="subscript"/>
                    </w:rPr>
                    <w:t>3</w:t>
                  </w:r>
                  <w:r>
                    <w:rPr>
                      <w:rFonts w:hint="eastAsia"/>
                      <w:szCs w:val="21"/>
                    </w:rPr>
                    <w:t>OH，分子量74.12，熔点-88.9℃，</w:t>
                  </w:r>
                  <w:r>
                    <w:rPr>
                      <w:szCs w:val="21"/>
                    </w:rPr>
                    <w:t>沸点117.7°C，相对密度:0.8098</w:t>
                  </w:r>
                  <w:r>
                    <w:rPr>
                      <w:rFonts w:hint="eastAsia"/>
                      <w:szCs w:val="21"/>
                    </w:rPr>
                    <w:t>，</w:t>
                  </w:r>
                  <w:r>
                    <w:rPr>
                      <w:szCs w:val="21"/>
                    </w:rPr>
                    <w:t>稍溶于水，闪点</w:t>
                  </w:r>
                  <w:r>
                    <w:rPr>
                      <w:rFonts w:hint="eastAsia"/>
                      <w:szCs w:val="21"/>
                    </w:rPr>
                    <w:t>35</w:t>
                  </w:r>
                  <w:r>
                    <w:rPr>
                      <w:szCs w:val="21"/>
                    </w:rPr>
                    <w:t>℃(</w:t>
                  </w:r>
                  <w:r>
                    <w:rPr>
                      <w:rFonts w:hint="eastAsia"/>
                      <w:szCs w:val="21"/>
                    </w:rPr>
                    <w:t>闭口</w:t>
                  </w:r>
                  <w:r>
                    <w:rPr>
                      <w:szCs w:val="21"/>
                    </w:rPr>
                    <w:t>)</w:t>
                  </w:r>
                  <w:r>
                    <w:rPr>
                      <w:rFonts w:hint="eastAsia"/>
                      <w:szCs w:val="21"/>
                    </w:rPr>
                    <w:t>，40℃（开口）。广泛用于各种塑料和橡胶制品中。属低毒性，急性毒性：LD504360mg/kg（大鼠经口）。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乙醇10%</w:t>
                  </w:r>
                </w:p>
              </w:tc>
              <w:tc>
                <w:tcPr>
                  <w:tcW w:w="2402" w:type="pct"/>
                  <w:vAlign w:val="center"/>
                </w:tcPr>
                <w:p>
                  <w:pPr>
                    <w:widowControl/>
                    <w:spacing w:line="320" w:lineRule="exact"/>
                    <w:jc w:val="center"/>
                    <w:rPr>
                      <w:szCs w:val="21"/>
                    </w:rPr>
                  </w:pPr>
                  <w:r>
                    <w:rPr>
                      <w:szCs w:val="21"/>
                    </w:rPr>
                    <w:t>俗称酒精，</w:t>
                  </w:r>
                  <w:r>
                    <w:fldChar w:fldCharType="begin"/>
                  </w:r>
                  <w:r>
                    <w:instrText xml:space="preserve"> HYPERLINK "https://baike.so.com/doc/804239-850746.html" \t "https://baike.so.com/doc/_blank" </w:instrText>
                  </w:r>
                  <w:r>
                    <w:fldChar w:fldCharType="separate"/>
                  </w:r>
                  <w:r>
                    <w:rPr>
                      <w:szCs w:val="21"/>
                    </w:rPr>
                    <w:t>化学式</w:t>
                  </w:r>
                  <w:r>
                    <w:rPr>
                      <w:szCs w:val="21"/>
                    </w:rPr>
                    <w:fldChar w:fldCharType="end"/>
                  </w:r>
                  <w:r>
                    <w:rPr>
                      <w:szCs w:val="21"/>
                    </w:rPr>
                    <w:t>为CH</w:t>
                  </w:r>
                  <w:r>
                    <w:rPr>
                      <w:szCs w:val="21"/>
                      <w:vertAlign w:val="subscript"/>
                    </w:rPr>
                    <w:t>3</w:t>
                  </w:r>
                  <w:r>
                    <w:rPr>
                      <w:szCs w:val="21"/>
                    </w:rPr>
                    <w:t>CH</w:t>
                  </w:r>
                  <w:r>
                    <w:rPr>
                      <w:szCs w:val="21"/>
                      <w:vertAlign w:val="subscript"/>
                    </w:rPr>
                    <w:t>2</w:t>
                  </w:r>
                  <w:r>
                    <w:rPr>
                      <w:szCs w:val="21"/>
                    </w:rPr>
                    <w:t>OH(C</w:t>
                  </w:r>
                  <w:r>
                    <w:rPr>
                      <w:szCs w:val="21"/>
                      <w:vertAlign w:val="subscript"/>
                    </w:rPr>
                    <w:t>2</w:t>
                  </w:r>
                  <w:r>
                    <w:rPr>
                      <w:szCs w:val="21"/>
                    </w:rPr>
                    <w:t>H</w:t>
                  </w:r>
                  <w:r>
                    <w:rPr>
                      <w:szCs w:val="21"/>
                      <w:vertAlign w:val="subscript"/>
                    </w:rPr>
                    <w:t>6</w:t>
                  </w:r>
                  <w:r>
                    <w:rPr>
                      <w:szCs w:val="21"/>
                    </w:rPr>
                    <w:t>O或C</w:t>
                  </w:r>
                  <w:r>
                    <w:rPr>
                      <w:szCs w:val="21"/>
                      <w:vertAlign w:val="subscript"/>
                    </w:rPr>
                    <w:t>2</w:t>
                  </w:r>
                  <w:r>
                    <w:rPr>
                      <w:szCs w:val="21"/>
                    </w:rPr>
                    <w:t>H</w:t>
                  </w:r>
                  <w:r>
                    <w:rPr>
                      <w:szCs w:val="21"/>
                      <w:vertAlign w:val="subscript"/>
                    </w:rPr>
                    <w:t>5</w:t>
                  </w:r>
                  <w:r>
                    <w:rPr>
                      <w:szCs w:val="21"/>
                    </w:rPr>
                    <w:t>OH)或EtOH，是带有一个羟基的饱和一元醇，在</w:t>
                  </w:r>
                  <w:r>
                    <w:fldChar w:fldCharType="begin"/>
                  </w:r>
                  <w:r>
                    <w:instrText xml:space="preserve"> HYPERLINK "https://baike.so.com/doc/1418085-1499028.html" \t "https://baike.so.com/doc/_blank" </w:instrText>
                  </w:r>
                  <w:r>
                    <w:fldChar w:fldCharType="separate"/>
                  </w:r>
                  <w:r>
                    <w:rPr>
                      <w:szCs w:val="21"/>
                    </w:rPr>
                    <w:t>常温</w:t>
                  </w:r>
                  <w:r>
                    <w:rPr>
                      <w:szCs w:val="21"/>
                    </w:rPr>
                    <w:fldChar w:fldCharType="end"/>
                  </w:r>
                  <w:r>
                    <w:rPr>
                      <w:szCs w:val="21"/>
                    </w:rPr>
                    <w:t>、</w:t>
                  </w:r>
                  <w:r>
                    <w:fldChar w:fldCharType="begin"/>
                  </w:r>
                  <w:r>
                    <w:instrText xml:space="preserve"> HYPERLINK "https://baike.so.com/doc/221095-233877.html" \t "https://baike.so.com/doc/_blank" </w:instrText>
                  </w:r>
                  <w:r>
                    <w:fldChar w:fldCharType="separate"/>
                  </w:r>
                  <w:r>
                    <w:rPr>
                      <w:szCs w:val="21"/>
                    </w:rPr>
                    <w:t>常压</w:t>
                  </w:r>
                  <w:r>
                    <w:rPr>
                      <w:szCs w:val="21"/>
                    </w:rPr>
                    <w:fldChar w:fldCharType="end"/>
                  </w:r>
                  <w:r>
                    <w:rPr>
                      <w:szCs w:val="21"/>
                    </w:rPr>
                    <w:t>下是一种易燃、易挥发的无色透明液体，它的水溶液具有酒香的气味，并略带刺激。有</w:t>
                  </w:r>
                  <w:r>
                    <w:fldChar w:fldCharType="begin"/>
                  </w:r>
                  <w:r>
                    <w:instrText xml:space="preserve"> HYPERLINK "https://baike.so.com/doc/2358857-2494473.html" \t "https://baike.so.com/doc/_blank" </w:instrText>
                  </w:r>
                  <w:r>
                    <w:fldChar w:fldCharType="separate"/>
                  </w:r>
                  <w:r>
                    <w:rPr>
                      <w:szCs w:val="21"/>
                    </w:rPr>
                    <w:t>酒</w:t>
                  </w:r>
                  <w:r>
                    <w:rPr>
                      <w:szCs w:val="21"/>
                    </w:rPr>
                    <w:fldChar w:fldCharType="end"/>
                  </w:r>
                  <w:r>
                    <w:rPr>
                      <w:szCs w:val="21"/>
                    </w:rPr>
                    <w:t>的气味和刺激的辛辣滋味，微甘。乙醇气体密度为1.59kg/m</w:t>
                  </w:r>
                  <w:r>
                    <w:rPr>
                      <w:szCs w:val="21"/>
                      <w:vertAlign w:val="superscript"/>
                    </w:rPr>
                    <w:t>3</w:t>
                  </w:r>
                  <w:r>
                    <w:rPr>
                      <w:szCs w:val="21"/>
                    </w:rPr>
                    <w:t>，沸点是78.3℃，熔点是-114.1℃，易燃，其蒸气能与空气形成爆炸性混合物，能与水以任意比互溶。能与氯仿、乙醚、甲醇、</w:t>
                  </w:r>
                  <w:r>
                    <w:fldChar w:fldCharType="begin"/>
                  </w:r>
                  <w:r>
                    <w:instrText xml:space="preserve"> HYPERLINK "https://baike.so.com/doc/252057-266820.html" \t "https://baike.so.com/doc/_blank" </w:instrText>
                  </w:r>
                  <w:r>
                    <w:fldChar w:fldCharType="separate"/>
                  </w:r>
                  <w:r>
                    <w:rPr>
                      <w:szCs w:val="21"/>
                    </w:rPr>
                    <w:t>丙酮</w:t>
                  </w:r>
                  <w:r>
                    <w:rPr>
                      <w:szCs w:val="21"/>
                    </w:rPr>
                    <w:fldChar w:fldCharType="end"/>
                  </w:r>
                  <w:r>
                    <w:rPr>
                      <w:szCs w:val="21"/>
                    </w:rPr>
                    <w:t>和其他多数</w:t>
                  </w:r>
                  <w:r>
                    <w:fldChar w:fldCharType="begin"/>
                  </w:r>
                  <w:r>
                    <w:instrText xml:space="preserve"> HYPERLINK "https://baike.so.com/doc/4792021-5008084.html" \t "https://baike.so.com/doc/_blank" </w:instrText>
                  </w:r>
                  <w:r>
                    <w:fldChar w:fldCharType="separate"/>
                  </w:r>
                  <w:r>
                    <w:rPr>
                      <w:szCs w:val="21"/>
                    </w:rPr>
                    <w:t>有机溶剂</w:t>
                  </w:r>
                  <w:r>
                    <w:rPr>
                      <w:szCs w:val="21"/>
                    </w:rPr>
                    <w:fldChar w:fldCharType="end"/>
                  </w:r>
                  <w:r>
                    <w:rPr>
                      <w:szCs w:val="21"/>
                    </w:rPr>
                    <w:t>混溶，相对密度</w:t>
                  </w:r>
                  <w:r>
                    <w:rPr>
                      <w:rFonts w:hint="eastAsia"/>
                      <w:szCs w:val="21"/>
                    </w:rPr>
                    <w:t>：</w:t>
                  </w:r>
                  <w:r>
                    <w:rPr>
                      <w:szCs w:val="21"/>
                    </w:rPr>
                    <w:t>0.816。乙醇的用途很广，可用乙醇制造醋酸、饮料、</w:t>
                  </w:r>
                  <w:r>
                    <w:fldChar w:fldCharType="begin"/>
                  </w:r>
                  <w:r>
                    <w:instrText xml:space="preserve"> HYPERLINK "https://baike.so.com/doc/1815888-1920476.html" \t "https://baike.so.com/doc/_blank" </w:instrText>
                  </w:r>
                  <w:r>
                    <w:fldChar w:fldCharType="separate"/>
                  </w:r>
                  <w:r>
                    <w:rPr>
                      <w:szCs w:val="21"/>
                    </w:rPr>
                    <w:t>香精</w:t>
                  </w:r>
                  <w:r>
                    <w:rPr>
                      <w:szCs w:val="21"/>
                    </w:rPr>
                    <w:fldChar w:fldCharType="end"/>
                  </w:r>
                  <w:r>
                    <w:rPr>
                      <w:szCs w:val="21"/>
                    </w:rPr>
                    <w:t>、染料、燃料等。医疗上也常用体积分数为70%-75%的乙醇作消毒剂等，在国防工业、医疗卫生、有机合成、</w:t>
                  </w:r>
                  <w:r>
                    <w:fldChar w:fldCharType="begin"/>
                  </w:r>
                  <w:r>
                    <w:instrText xml:space="preserve"> HYPERLINK "https://baike.so.com/doc/5667566-5880228.html" \t "https://baike.so.com/doc/_blank" </w:instrText>
                  </w:r>
                  <w:r>
                    <w:fldChar w:fldCharType="separate"/>
                  </w:r>
                  <w:r>
                    <w:rPr>
                      <w:szCs w:val="21"/>
                    </w:rPr>
                    <w:t>食品工业</w:t>
                  </w:r>
                  <w:r>
                    <w:rPr>
                      <w:szCs w:val="21"/>
                    </w:rPr>
                    <w:fldChar w:fldCharType="end"/>
                  </w:r>
                  <w:r>
                    <w:rPr>
                      <w:szCs w:val="21"/>
                    </w:rPr>
                    <w:t>、工农业生产中都有广泛的用途。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丙酮5-10%</w:t>
                  </w:r>
                </w:p>
              </w:tc>
              <w:tc>
                <w:tcPr>
                  <w:tcW w:w="2402" w:type="pct"/>
                  <w:vAlign w:val="center"/>
                </w:tcPr>
                <w:p>
                  <w:pPr>
                    <w:widowControl/>
                    <w:spacing w:line="320" w:lineRule="exact"/>
                    <w:jc w:val="center"/>
                    <w:rPr>
                      <w:szCs w:val="21"/>
                    </w:rPr>
                  </w:pPr>
                  <w:r>
                    <w:rPr>
                      <w:rFonts w:hint="eastAsia"/>
                      <w:szCs w:val="21"/>
                    </w:rPr>
                    <w:t>化学式：CH</w:t>
                  </w:r>
                  <w:r>
                    <w:rPr>
                      <w:rFonts w:hint="eastAsia"/>
                      <w:szCs w:val="21"/>
                      <w:vertAlign w:val="subscript"/>
                    </w:rPr>
                    <w:t>3</w:t>
                  </w:r>
                  <w:r>
                    <w:rPr>
                      <w:rFonts w:hint="eastAsia"/>
                      <w:szCs w:val="21"/>
                    </w:rPr>
                    <w:t>COCH</w:t>
                  </w:r>
                  <w:r>
                    <w:rPr>
                      <w:rFonts w:hint="eastAsia"/>
                      <w:szCs w:val="21"/>
                      <w:vertAlign w:val="subscript"/>
                    </w:rPr>
                    <w:t>3</w:t>
                  </w:r>
                  <w:r>
                    <w:rPr>
                      <w:rFonts w:hint="eastAsia"/>
                      <w:szCs w:val="21"/>
                    </w:rPr>
                    <w:t>，是一种无色透明液体，有特殊的辛辣气味。相对密度(水=1):0.788，熔点：−94.9 C (178.2 K)，沸点：56.53 °C (329.4 K)，闪点：-20°C，易溶于水和甲醇、乙醇、</w:t>
                  </w:r>
                  <w:r>
                    <w:fldChar w:fldCharType="begin"/>
                  </w:r>
                  <w:r>
                    <w:instrText xml:space="preserve"> HYPERLINK "https://baike.so.com/doc/1872265-1980372.html" \t "https://baike.so.com/doc/_blank" </w:instrText>
                  </w:r>
                  <w:r>
                    <w:fldChar w:fldCharType="separate"/>
                  </w:r>
                  <w:r>
                    <w:rPr>
                      <w:rFonts w:hint="eastAsia"/>
                      <w:szCs w:val="21"/>
                    </w:rPr>
                    <w:t>乙醚</w:t>
                  </w:r>
                  <w:r>
                    <w:rPr>
                      <w:rFonts w:hint="eastAsia"/>
                      <w:szCs w:val="21"/>
                    </w:rPr>
                    <w:fldChar w:fldCharType="end"/>
                  </w:r>
                  <w:r>
                    <w:rPr>
                      <w:rFonts w:hint="eastAsia"/>
                      <w:szCs w:val="21"/>
                    </w:rPr>
                    <w:t>、氯仿、</w:t>
                  </w:r>
                  <w:r>
                    <w:fldChar w:fldCharType="begin"/>
                  </w:r>
                  <w:r>
                    <w:instrText xml:space="preserve"> HYPERLINK "https://baike.so.com/doc/436355-7116070.html" \t "https://baike.so.com/doc/_blank" </w:instrText>
                  </w:r>
                  <w:r>
                    <w:fldChar w:fldCharType="separate"/>
                  </w:r>
                  <w:r>
                    <w:rPr>
                      <w:rFonts w:hint="eastAsia"/>
                      <w:szCs w:val="21"/>
                    </w:rPr>
                    <w:t>吡啶</w:t>
                  </w:r>
                  <w:r>
                    <w:rPr>
                      <w:rFonts w:hint="eastAsia"/>
                      <w:szCs w:val="21"/>
                    </w:rPr>
                    <w:fldChar w:fldCharType="end"/>
                  </w:r>
                  <w:r>
                    <w:rPr>
                      <w:rFonts w:hint="eastAsia"/>
                      <w:szCs w:val="21"/>
                    </w:rPr>
                    <w:t>等有机溶剂。易燃、易挥发，化学性质较活泼。丙酮在工业上主要作为溶剂用于炸药、塑料、橡胶、纤维、制革、油脂、喷漆等行业中，也可作为合成烯酮、醋酐、碘仿、聚异戊二烯橡胶、</w:t>
                  </w:r>
                  <w:r>
                    <w:fldChar w:fldCharType="begin"/>
                  </w:r>
                  <w:r>
                    <w:instrText xml:space="preserve"> HYPERLINK "https://baike.so.com/doc/5243408-7125655.html" \t "https://baike.so.com/doc/_blank" </w:instrText>
                  </w:r>
                  <w:r>
                    <w:fldChar w:fldCharType="separate"/>
                  </w:r>
                  <w:r>
                    <w:rPr>
                      <w:rFonts w:hint="eastAsia"/>
                      <w:szCs w:val="21"/>
                    </w:rPr>
                    <w:t>甲基丙烯酸</w:t>
                  </w:r>
                  <w:r>
                    <w:rPr>
                      <w:rFonts w:hint="eastAsia"/>
                      <w:szCs w:val="21"/>
                    </w:rPr>
                    <w:fldChar w:fldCharType="end"/>
                  </w:r>
                  <w:r>
                    <w:rPr>
                      <w:rFonts w:hint="eastAsia"/>
                      <w:szCs w:val="21"/>
                    </w:rPr>
                    <w:t>甲酯、氯仿、</w:t>
                  </w:r>
                  <w:r>
                    <w:fldChar w:fldCharType="begin"/>
                  </w:r>
                  <w:r>
                    <w:instrText xml:space="preserve"> HYPERLINK "https://baike.so.com/doc/995574-1052438.html" \t "https://baike.so.com/doc/_blank" </w:instrText>
                  </w:r>
                  <w:r>
                    <w:fldChar w:fldCharType="separate"/>
                  </w:r>
                  <w:r>
                    <w:rPr>
                      <w:rFonts w:hint="eastAsia"/>
                      <w:szCs w:val="21"/>
                    </w:rPr>
                    <w:t>环氧树脂</w:t>
                  </w:r>
                  <w:r>
                    <w:rPr>
                      <w:rFonts w:hint="eastAsia"/>
                      <w:szCs w:val="21"/>
                    </w:rPr>
                    <w:fldChar w:fldCharType="end"/>
                  </w:r>
                  <w:r>
                    <w:rPr>
                      <w:rFonts w:hint="eastAsia"/>
                      <w:szCs w:val="21"/>
                    </w:rPr>
                    <w:t>等物质的重要原料。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甲苯20%</w:t>
                  </w:r>
                </w:p>
              </w:tc>
              <w:tc>
                <w:tcPr>
                  <w:tcW w:w="2402" w:type="pct"/>
                  <w:vAlign w:val="center"/>
                </w:tcPr>
                <w:p>
                  <w:pPr>
                    <w:widowControl/>
                    <w:spacing w:line="320" w:lineRule="exact"/>
                    <w:jc w:val="center"/>
                    <w:rPr>
                      <w:szCs w:val="21"/>
                    </w:rPr>
                  </w:pPr>
                  <w:r>
                    <w:rPr>
                      <w:rFonts w:hint="eastAsia"/>
                      <w:szCs w:val="21"/>
                    </w:rPr>
                    <w:t>分子式：C</w:t>
                  </w:r>
                  <w:r>
                    <w:rPr>
                      <w:rFonts w:hint="eastAsia"/>
                      <w:szCs w:val="21"/>
                      <w:vertAlign w:val="subscript"/>
                    </w:rPr>
                    <w:t>7</w:t>
                  </w:r>
                  <w:r>
                    <w:rPr>
                      <w:rFonts w:hint="eastAsia"/>
                      <w:szCs w:val="21"/>
                    </w:rPr>
                    <w:t>H₈，分子量92.14，</w:t>
                  </w:r>
                  <w:r>
                    <w:fldChar w:fldCharType="begin"/>
                  </w:r>
                  <w:r>
                    <w:instrText xml:space="preserve"> HYPERLINK "https://baike.so.com/doc/2751462-2903816.html" \t "https://baike.so.com/doc/_blank" </w:instrText>
                  </w:r>
                  <w:r>
                    <w:fldChar w:fldCharType="separate"/>
                  </w:r>
                  <w:r>
                    <w:rPr>
                      <w:rFonts w:hint="eastAsia"/>
                      <w:szCs w:val="21"/>
                    </w:rPr>
                    <w:t>相对密度</w:t>
                  </w:r>
                  <w:r>
                    <w:rPr>
                      <w:rFonts w:hint="eastAsia"/>
                      <w:szCs w:val="21"/>
                    </w:rPr>
                    <w:fldChar w:fldCharType="end"/>
                  </w:r>
                  <w:r>
                    <w:rPr>
                      <w:rFonts w:hint="eastAsia"/>
                      <w:szCs w:val="21"/>
                    </w:rPr>
                    <w:t>0.866。</w:t>
                  </w:r>
                  <w:r>
                    <w:fldChar w:fldCharType="begin"/>
                  </w:r>
                  <w:r>
                    <w:instrText xml:space="preserve"> HYPERLINK "https://baike.so.com/doc/6746556-6961102.html" \t "https://baike.so.com/doc/_blank" </w:instrText>
                  </w:r>
                  <w:r>
                    <w:fldChar w:fldCharType="separate"/>
                  </w:r>
                  <w:r>
                    <w:rPr>
                      <w:rFonts w:hint="eastAsia"/>
                      <w:szCs w:val="21"/>
                    </w:rPr>
                    <w:t>凝固点</w:t>
                  </w:r>
                  <w:r>
                    <w:rPr>
                      <w:rFonts w:hint="eastAsia"/>
                      <w:szCs w:val="21"/>
                    </w:rPr>
                    <w:fldChar w:fldCharType="end"/>
                  </w:r>
                  <w:r>
                    <w:rPr>
                      <w:rFonts w:hint="eastAsia"/>
                      <w:szCs w:val="21"/>
                    </w:rPr>
                    <w:t>-95℃。</w:t>
                  </w:r>
                  <w:r>
                    <w:fldChar w:fldCharType="begin"/>
                  </w:r>
                  <w:r>
                    <w:instrText xml:space="preserve"> HYPERLINK "https://baike.so.com/doc/5567907-5783065.html" \t "https://baike.so.com/doc/_blank" </w:instrText>
                  </w:r>
                  <w:r>
                    <w:fldChar w:fldCharType="separate"/>
                  </w:r>
                  <w:r>
                    <w:rPr>
                      <w:rFonts w:hint="eastAsia"/>
                      <w:szCs w:val="21"/>
                    </w:rPr>
                    <w:t>沸点</w:t>
                  </w:r>
                  <w:r>
                    <w:rPr>
                      <w:rFonts w:hint="eastAsia"/>
                      <w:szCs w:val="21"/>
                    </w:rPr>
                    <w:fldChar w:fldCharType="end"/>
                  </w:r>
                  <w:r>
                    <w:rPr>
                      <w:rFonts w:hint="eastAsia"/>
                      <w:szCs w:val="21"/>
                    </w:rPr>
                    <w:t>110.6℃。</w:t>
                  </w:r>
                  <w:r>
                    <w:fldChar w:fldCharType="begin"/>
                  </w:r>
                  <w:r>
                    <w:instrText xml:space="preserve"> HYPERLINK "https://baike.so.com/doc/6175804-6389045.html" \t "https://baike.so.com/doc/_blank" </w:instrText>
                  </w:r>
                  <w:r>
                    <w:fldChar w:fldCharType="separate"/>
                  </w:r>
                  <w:r>
                    <w:rPr>
                      <w:rFonts w:hint="eastAsia"/>
                      <w:szCs w:val="21"/>
                    </w:rPr>
                    <w:t>折光率</w:t>
                  </w:r>
                  <w:r>
                    <w:rPr>
                      <w:rFonts w:hint="eastAsia"/>
                      <w:szCs w:val="21"/>
                    </w:rPr>
                    <w:fldChar w:fldCharType="end"/>
                  </w:r>
                  <w:r>
                    <w:rPr>
                      <w:rFonts w:hint="eastAsia"/>
                      <w:szCs w:val="21"/>
                    </w:rPr>
                    <w:t>1.4967。闪点(闭杯) 4.4℃。无色澄清液体。有苯样气味。有强折光性。能与</w:t>
                  </w:r>
                  <w:r>
                    <w:fldChar w:fldCharType="begin"/>
                  </w:r>
                  <w:r>
                    <w:instrText xml:space="preserve"> HYPERLINK "https://baike.so.com/doc/3036121-3200992.html" \t "https://baike.so.com/doc/_blank" </w:instrText>
                  </w:r>
                  <w:r>
                    <w:fldChar w:fldCharType="separate"/>
                  </w:r>
                  <w:r>
                    <w:rPr>
                      <w:rFonts w:hint="eastAsia"/>
                      <w:szCs w:val="21"/>
                    </w:rPr>
                    <w:t>乙醇</w:t>
                  </w:r>
                  <w:r>
                    <w:rPr>
                      <w:rFonts w:hint="eastAsia"/>
                      <w:szCs w:val="21"/>
                    </w:rPr>
                    <w:fldChar w:fldCharType="end"/>
                  </w:r>
                  <w:r>
                    <w:rPr>
                      <w:rFonts w:hint="eastAsia"/>
                      <w:szCs w:val="21"/>
                    </w:rPr>
                    <w:t>、</w:t>
                  </w:r>
                  <w:r>
                    <w:fldChar w:fldCharType="begin"/>
                  </w:r>
                  <w:r>
                    <w:instrText xml:space="preserve"> HYPERLINK "https://baike.so.com/doc/1872265-1980372.html" \t "https://baike.so.com/doc/_blank" </w:instrText>
                  </w:r>
                  <w:r>
                    <w:fldChar w:fldCharType="separate"/>
                  </w:r>
                  <w:r>
                    <w:rPr>
                      <w:rFonts w:hint="eastAsia"/>
                      <w:szCs w:val="21"/>
                    </w:rPr>
                    <w:t>乙醚</w:t>
                  </w:r>
                  <w:r>
                    <w:rPr>
                      <w:rFonts w:hint="eastAsia"/>
                      <w:szCs w:val="21"/>
                    </w:rPr>
                    <w:fldChar w:fldCharType="end"/>
                  </w:r>
                  <w:r>
                    <w:rPr>
                      <w:rFonts w:hint="eastAsia"/>
                      <w:szCs w:val="21"/>
                    </w:rPr>
                    <w:t>、</w:t>
                  </w:r>
                  <w:r>
                    <w:fldChar w:fldCharType="begin"/>
                  </w:r>
                  <w:r>
                    <w:instrText xml:space="preserve"> HYPERLINK "https://baike.so.com/doc/7098038-7320983.html" \t "https://baike.so.com/doc/_blank" </w:instrText>
                  </w:r>
                  <w:r>
                    <w:fldChar w:fldCharType="separate"/>
                  </w:r>
                  <w:r>
                    <w:rPr>
                      <w:rFonts w:hint="eastAsia"/>
                      <w:szCs w:val="21"/>
                    </w:rPr>
                    <w:t>丙酮</w:t>
                  </w:r>
                  <w:r>
                    <w:rPr>
                      <w:rFonts w:hint="eastAsia"/>
                      <w:szCs w:val="21"/>
                    </w:rPr>
                    <w:fldChar w:fldCharType="end"/>
                  </w:r>
                  <w:r>
                    <w:rPr>
                      <w:rFonts w:hint="eastAsia"/>
                      <w:szCs w:val="21"/>
                    </w:rPr>
                    <w:t>、氯仿、二硫化碳和冰乙酸混溶，极微溶于水。易燃。蒸气能与空气形成爆炸性混合物，</w:t>
                  </w:r>
                  <w:r>
                    <w:fldChar w:fldCharType="begin"/>
                  </w:r>
                  <w:r>
                    <w:instrText xml:space="preserve"> HYPERLINK "https://baike.so.com/doc/625906-662542.html" \t "https://baike.so.com/doc/_blank" </w:instrText>
                  </w:r>
                  <w:r>
                    <w:fldChar w:fldCharType="separate"/>
                  </w:r>
                  <w:r>
                    <w:rPr>
                      <w:rFonts w:hint="eastAsia"/>
                      <w:szCs w:val="21"/>
                    </w:rPr>
                    <w:t>爆炸极限</w:t>
                  </w:r>
                  <w:r>
                    <w:rPr>
                      <w:rFonts w:hint="eastAsia"/>
                      <w:szCs w:val="21"/>
                    </w:rPr>
                    <w:fldChar w:fldCharType="end"/>
                  </w:r>
                  <w:r>
                    <w:rPr>
                      <w:rFonts w:hint="eastAsia"/>
                      <w:szCs w:val="21"/>
                    </w:rPr>
                    <w:t> 1.2%~7.0%(体积)。低毒，半数致死量(大鼠，经口)5000mg/kg。高浓度气体有麻醉性。有刺激性。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Merge w:val="continue"/>
                  <w:vAlign w:val="center"/>
                </w:tcPr>
                <w:p>
                  <w:pPr>
                    <w:widowControl/>
                    <w:spacing w:line="320" w:lineRule="exact"/>
                    <w:jc w:val="center"/>
                    <w:rPr>
                      <w:szCs w:val="21"/>
                    </w:rPr>
                  </w:pPr>
                </w:p>
              </w:tc>
              <w:tc>
                <w:tcPr>
                  <w:tcW w:w="854" w:type="pct"/>
                  <w:vMerge w:val="continue"/>
                  <w:vAlign w:val="center"/>
                </w:tcPr>
                <w:p>
                  <w:pPr>
                    <w:widowControl/>
                    <w:spacing w:line="320" w:lineRule="exact"/>
                    <w:jc w:val="center"/>
                    <w:rPr>
                      <w:szCs w:val="21"/>
                    </w:rPr>
                  </w:pPr>
                </w:p>
              </w:tc>
              <w:tc>
                <w:tcPr>
                  <w:tcW w:w="1322" w:type="pct"/>
                  <w:vAlign w:val="center"/>
                </w:tcPr>
                <w:p>
                  <w:pPr>
                    <w:widowControl/>
                    <w:spacing w:line="320" w:lineRule="exact"/>
                    <w:jc w:val="center"/>
                    <w:rPr>
                      <w:szCs w:val="21"/>
                    </w:rPr>
                  </w:pPr>
                  <w:r>
                    <w:rPr>
                      <w:rFonts w:hint="eastAsia"/>
                      <w:szCs w:val="21"/>
                    </w:rPr>
                    <w:t>二甲苯20%</w:t>
                  </w:r>
                </w:p>
              </w:tc>
              <w:tc>
                <w:tcPr>
                  <w:tcW w:w="2402" w:type="pct"/>
                  <w:vAlign w:val="center"/>
                </w:tcPr>
                <w:p>
                  <w:pPr>
                    <w:widowControl/>
                    <w:spacing w:line="320" w:lineRule="exact"/>
                    <w:jc w:val="center"/>
                    <w:rPr>
                      <w:szCs w:val="21"/>
                    </w:rPr>
                  </w:pPr>
                  <w:r>
                    <w:rPr>
                      <w:rFonts w:hint="eastAsia"/>
                      <w:szCs w:val="21"/>
                    </w:rPr>
                    <w:t>见上文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0" w:type="pct"/>
                  <w:vAlign w:val="center"/>
                </w:tcPr>
                <w:p>
                  <w:pPr>
                    <w:widowControl/>
                    <w:spacing w:line="320" w:lineRule="exact"/>
                    <w:jc w:val="center"/>
                    <w:rPr>
                      <w:szCs w:val="21"/>
                    </w:rPr>
                  </w:pPr>
                  <w:r>
                    <w:rPr>
                      <w:rFonts w:hint="eastAsia"/>
                      <w:szCs w:val="21"/>
                    </w:rPr>
                    <w:t>6</w:t>
                  </w:r>
                </w:p>
              </w:tc>
              <w:tc>
                <w:tcPr>
                  <w:tcW w:w="854" w:type="pct"/>
                  <w:vAlign w:val="center"/>
                </w:tcPr>
                <w:p>
                  <w:pPr>
                    <w:widowControl/>
                    <w:spacing w:line="320" w:lineRule="exact"/>
                    <w:jc w:val="center"/>
                    <w:rPr>
                      <w:szCs w:val="21"/>
                    </w:rPr>
                  </w:pPr>
                  <w:r>
                    <w:rPr>
                      <w:rFonts w:hint="eastAsia"/>
                      <w:szCs w:val="21"/>
                    </w:rPr>
                    <w:t>水性漆</w:t>
                  </w:r>
                </w:p>
              </w:tc>
              <w:tc>
                <w:tcPr>
                  <w:tcW w:w="3724" w:type="pct"/>
                  <w:gridSpan w:val="2"/>
                  <w:vAlign w:val="center"/>
                </w:tcPr>
                <w:p>
                  <w:pPr>
                    <w:widowControl/>
                    <w:spacing w:line="320" w:lineRule="exact"/>
                    <w:rPr>
                      <w:szCs w:val="21"/>
                    </w:rPr>
                  </w:pPr>
                  <w:r>
                    <w:rPr>
                      <w:rFonts w:hint="eastAsia"/>
                      <w:szCs w:val="21"/>
                    </w:rPr>
                    <w:t>本项目使用的水性漆为水性丙烯酸漆，由丙烯酸树脂、防尘剂、填料、颜料组成，使用水稀释。丙烯酸聚合物是丙烯酸及其衍生物的聚合物。沸点126℃。避免与皮肤和眼睛接触。水性漆以水为稀释剂，其挥发性有机物含量较低。</w:t>
                  </w:r>
                </w:p>
              </w:tc>
            </w:tr>
          </w:tbl>
          <w:p>
            <w:pPr>
              <w:spacing w:line="400" w:lineRule="exact"/>
              <w:ind w:firstLine="480" w:firstLineChars="200"/>
              <w:rPr>
                <w:rFonts w:hAnsi="宋体"/>
                <w:kern w:val="24"/>
                <w:sz w:val="24"/>
              </w:rPr>
            </w:pPr>
            <w:r>
              <w:rPr>
                <w:rFonts w:hint="eastAsia" w:hAnsi="宋体"/>
                <w:kern w:val="24"/>
                <w:sz w:val="24"/>
              </w:rPr>
              <w:t>（2）涂料成分</w:t>
            </w:r>
          </w:p>
          <w:p>
            <w:pPr>
              <w:spacing w:before="120" w:beforeLines="50" w:line="343" w:lineRule="auto"/>
              <w:ind w:firstLine="480" w:firstLineChars="200"/>
              <w:rPr>
                <w:color w:val="0D0D0D" w:themeColor="text1" w:themeTint="F2"/>
                <w:sz w:val="24"/>
                <w14:textFill>
                  <w14:solidFill>
                    <w14:schemeClr w14:val="tx1">
                      <w14:lumMod w14:val="95000"/>
                      <w14:lumOff w14:val="5000"/>
                    </w14:schemeClr>
                  </w14:solidFill>
                </w14:textFill>
              </w:rPr>
            </w:pPr>
            <w:r>
              <w:rPr>
                <w:rFonts w:hint="eastAsia"/>
                <w:kern w:val="0"/>
                <w:sz w:val="24"/>
                <w:szCs w:val="20"/>
              </w:rPr>
              <w:t>根据</w:t>
            </w:r>
            <w:r>
              <w:rPr>
                <w:color w:val="0D0D0D" w:themeColor="text1" w:themeTint="F2"/>
                <w:kern w:val="24"/>
                <w:sz w:val="24"/>
                <w14:textFill>
                  <w14:solidFill>
                    <w14:schemeClr w14:val="tx1">
                      <w14:lumMod w14:val="95000"/>
                      <w14:lumOff w14:val="5000"/>
                    </w14:schemeClr>
                  </w14:solidFill>
                </w14:textFill>
              </w:rPr>
              <w:t>涂料厂家提供的涂料VOC含量数据（附件</w:t>
            </w:r>
            <w:r>
              <w:rPr>
                <w:rFonts w:hint="eastAsia"/>
                <w:color w:val="0D0D0D" w:themeColor="text1" w:themeTint="F2"/>
                <w:kern w:val="24"/>
                <w:sz w:val="24"/>
                <w14:textFill>
                  <w14:solidFill>
                    <w14:schemeClr w14:val="tx1">
                      <w14:lumMod w14:val="95000"/>
                      <w14:lumOff w14:val="5000"/>
                    </w14:schemeClr>
                  </w14:solidFill>
                </w14:textFill>
              </w:rPr>
              <w:t>8</w:t>
            </w:r>
            <w:r>
              <w:rPr>
                <w:color w:val="0D0D0D" w:themeColor="text1" w:themeTint="F2"/>
                <w:kern w:val="24"/>
                <w:sz w:val="24"/>
                <w14:textFill>
                  <w14:solidFill>
                    <w14:schemeClr w14:val="tx1">
                      <w14:lumMod w14:val="95000"/>
                      <w14:lumOff w14:val="5000"/>
                    </w14:schemeClr>
                  </w14:solidFill>
                </w14:textFill>
              </w:rPr>
              <w:t>）及涂料</w:t>
            </w:r>
            <w:r>
              <w:rPr>
                <w:rFonts w:hint="eastAsia"/>
                <w:color w:val="0D0D0D" w:themeColor="text1" w:themeTint="F2"/>
                <w:kern w:val="24"/>
                <w:sz w:val="24"/>
                <w14:textFill>
                  <w14:solidFill>
                    <w14:schemeClr w14:val="tx1">
                      <w14:lumMod w14:val="95000"/>
                      <w14:lumOff w14:val="5000"/>
                    </w14:schemeClr>
                  </w14:solidFill>
                </w14:textFill>
              </w:rPr>
              <w:t>MSDS，</w:t>
            </w:r>
            <w:r>
              <w:rPr>
                <w:color w:val="0D0D0D" w:themeColor="text1" w:themeTint="F2"/>
                <w:kern w:val="24"/>
                <w:sz w:val="24"/>
                <w14:textFill>
                  <w14:solidFill>
                    <w14:schemeClr w14:val="tx1">
                      <w14:lumMod w14:val="95000"/>
                      <w14:lumOff w14:val="5000"/>
                    </w14:schemeClr>
                  </w14:solidFill>
                </w14:textFill>
              </w:rPr>
              <w:t>本项目生产所使用</w:t>
            </w:r>
            <w:r>
              <w:rPr>
                <w:color w:val="0D0D0D" w:themeColor="text1" w:themeTint="F2"/>
                <w:sz w:val="24"/>
                <w14:textFill>
                  <w14:solidFill>
                    <w14:schemeClr w14:val="tx1">
                      <w14:lumMod w14:val="95000"/>
                      <w14:lumOff w14:val="5000"/>
                    </w14:schemeClr>
                  </w14:solidFill>
                </w14:textFill>
              </w:rPr>
              <w:t>丙烯酸聚氨酯面漆、环氧富锌防腐底漆</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铁红醇酸防锈底漆</w:t>
            </w:r>
            <w:r>
              <w:rPr>
                <w:rFonts w:hint="eastAsia"/>
                <w:color w:val="0D0D0D" w:themeColor="text1" w:themeTint="F2"/>
                <w:sz w:val="24"/>
                <w14:textFill>
                  <w14:solidFill>
                    <w14:schemeClr w14:val="tx1">
                      <w14:lumMod w14:val="95000"/>
                      <w14:lumOff w14:val="5000"/>
                    </w14:schemeClr>
                  </w14:solidFill>
                </w14:textFill>
              </w:rPr>
              <w:t>、水性丙烯酸防锈底漆、水性丙烯酸防锈面漆</w:t>
            </w:r>
            <w:r>
              <w:rPr>
                <w:color w:val="0D0D0D" w:themeColor="text1" w:themeTint="F2"/>
                <w:sz w:val="24"/>
                <w14:textFill>
                  <w14:solidFill>
                    <w14:schemeClr w14:val="tx1">
                      <w14:lumMod w14:val="95000"/>
                      <w14:lumOff w14:val="5000"/>
                    </w14:schemeClr>
                  </w14:solidFill>
                </w14:textFill>
              </w:rPr>
              <w:t>涂料</w:t>
            </w:r>
            <w:r>
              <w:rPr>
                <w:rFonts w:hint="eastAsia"/>
                <w:color w:val="0D0D0D" w:themeColor="text1" w:themeTint="F2"/>
                <w:sz w:val="24"/>
                <w14:textFill>
                  <w14:solidFill>
                    <w14:schemeClr w14:val="tx1">
                      <w14:lumMod w14:val="95000"/>
                      <w14:lumOff w14:val="5000"/>
                    </w14:schemeClr>
                  </w14:solidFill>
                </w14:textFill>
              </w:rPr>
              <w:t>各主要成分分含量见下表。</w:t>
            </w:r>
            <w:r>
              <w:rPr>
                <w:kern w:val="0"/>
                <w:sz w:val="24"/>
                <w:szCs w:val="20"/>
              </w:rPr>
              <w:t>本项目</w:t>
            </w:r>
            <w:r>
              <w:rPr>
                <w:rFonts w:hint="eastAsia"/>
                <w:kern w:val="0"/>
                <w:sz w:val="24"/>
                <w:szCs w:val="20"/>
              </w:rPr>
              <w:t>涂料成分</w:t>
            </w:r>
            <w:r>
              <w:rPr>
                <w:kern w:val="0"/>
                <w:sz w:val="24"/>
                <w:szCs w:val="20"/>
              </w:rPr>
              <w:t>汇总于表</w:t>
            </w:r>
            <w:r>
              <w:rPr>
                <w:rFonts w:hint="eastAsia"/>
                <w:kern w:val="0"/>
                <w:sz w:val="24"/>
                <w:szCs w:val="20"/>
              </w:rPr>
              <w:t>2-6</w:t>
            </w:r>
            <w:r>
              <w:rPr>
                <w:kern w:val="0"/>
                <w:sz w:val="24"/>
                <w:szCs w:val="20"/>
              </w:rPr>
              <w:t>。</w:t>
            </w:r>
          </w:p>
          <w:p>
            <w:pPr>
              <w:widowControl/>
              <w:jc w:val="center"/>
              <w:rPr>
                <w:b/>
                <w:kern w:val="0"/>
                <w:sz w:val="24"/>
                <w:szCs w:val="20"/>
              </w:rPr>
            </w:pPr>
            <w:r>
              <w:rPr>
                <w:b/>
                <w:kern w:val="0"/>
                <w:sz w:val="24"/>
                <w:szCs w:val="20"/>
              </w:rPr>
              <w:t>表</w:t>
            </w:r>
            <w:r>
              <w:rPr>
                <w:rFonts w:hint="eastAsia"/>
                <w:b/>
                <w:kern w:val="0"/>
                <w:sz w:val="24"/>
                <w:szCs w:val="20"/>
              </w:rPr>
              <w:t>2-6</w:t>
            </w:r>
            <w:r>
              <w:rPr>
                <w:b/>
                <w:kern w:val="0"/>
                <w:sz w:val="24"/>
                <w:szCs w:val="20"/>
              </w:rPr>
              <w:t xml:space="preserve"> </w:t>
            </w:r>
            <w:r>
              <w:rPr>
                <w:rFonts w:hint="eastAsia"/>
                <w:b/>
                <w:kern w:val="0"/>
                <w:sz w:val="24"/>
                <w:szCs w:val="20"/>
              </w:rPr>
              <w:t>涂料</w:t>
            </w:r>
            <w:r>
              <w:rPr>
                <w:b/>
                <w:kern w:val="0"/>
                <w:sz w:val="24"/>
                <w:szCs w:val="20"/>
              </w:rPr>
              <w:t>成分一览表</w:t>
            </w:r>
          </w:p>
          <w:tbl>
            <w:tblPr>
              <w:tblStyle w:val="5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74"/>
              <w:gridCol w:w="1522"/>
              <w:gridCol w:w="1631"/>
              <w:gridCol w:w="1582"/>
              <w:gridCol w:w="14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5" w:hRule="exact"/>
                <w:jc w:val="center"/>
              </w:trPr>
              <w:tc>
                <w:tcPr>
                  <w:tcW w:w="1344" w:type="pct"/>
                  <w:vAlign w:val="center"/>
                </w:tcPr>
                <w:p>
                  <w:pPr>
                    <w:widowControl/>
                    <w:spacing w:line="320" w:lineRule="exact"/>
                    <w:jc w:val="center"/>
                    <w:rPr>
                      <w:b/>
                      <w:bCs/>
                      <w:szCs w:val="21"/>
                    </w:rPr>
                  </w:pPr>
                  <w:r>
                    <w:rPr>
                      <w:b/>
                      <w:bCs/>
                      <w:szCs w:val="21"/>
                    </w:rPr>
                    <w:t>名称</w:t>
                  </w:r>
                </w:p>
              </w:tc>
              <w:tc>
                <w:tcPr>
                  <w:tcW w:w="900" w:type="pct"/>
                  <w:vAlign w:val="center"/>
                </w:tcPr>
                <w:p>
                  <w:pPr>
                    <w:widowControl/>
                    <w:spacing w:line="320" w:lineRule="exact"/>
                    <w:jc w:val="center"/>
                    <w:rPr>
                      <w:b/>
                      <w:bCs/>
                      <w:szCs w:val="21"/>
                    </w:rPr>
                  </w:pPr>
                  <w:r>
                    <w:rPr>
                      <w:b/>
                      <w:bCs/>
                      <w:szCs w:val="21"/>
                    </w:rPr>
                    <w:t>使用量</w:t>
                  </w:r>
                  <w:r>
                    <w:rPr>
                      <w:rFonts w:hint="eastAsia"/>
                      <w:b/>
                      <w:bCs/>
                      <w:szCs w:val="21"/>
                    </w:rPr>
                    <w:t>（t/a）</w:t>
                  </w:r>
                </w:p>
              </w:tc>
              <w:tc>
                <w:tcPr>
                  <w:tcW w:w="1899" w:type="pct"/>
                  <w:gridSpan w:val="2"/>
                  <w:vAlign w:val="center"/>
                </w:tcPr>
                <w:p>
                  <w:pPr>
                    <w:widowControl/>
                    <w:spacing w:line="320" w:lineRule="exact"/>
                    <w:jc w:val="center"/>
                    <w:rPr>
                      <w:b/>
                      <w:bCs/>
                      <w:szCs w:val="21"/>
                    </w:rPr>
                  </w:pPr>
                  <w:r>
                    <w:rPr>
                      <w:b/>
                      <w:bCs/>
                      <w:szCs w:val="21"/>
                    </w:rPr>
                    <w:t>主要成份名称</w:t>
                  </w:r>
                </w:p>
              </w:tc>
              <w:tc>
                <w:tcPr>
                  <w:tcW w:w="855" w:type="pct"/>
                  <w:vAlign w:val="center"/>
                </w:tcPr>
                <w:p>
                  <w:pPr>
                    <w:widowControl/>
                    <w:spacing w:line="320" w:lineRule="exact"/>
                    <w:jc w:val="center"/>
                    <w:rPr>
                      <w:b/>
                      <w:bCs/>
                      <w:szCs w:val="21"/>
                    </w:rPr>
                  </w:pPr>
                  <w:r>
                    <w:rPr>
                      <w:b/>
                      <w:bCs/>
                      <w:szCs w:val="21"/>
                    </w:rPr>
                    <w:t>百</w:t>
                  </w:r>
                  <w:r>
                    <w:rPr>
                      <w:rFonts w:hint="eastAsia"/>
                      <w:b/>
                      <w:bCs/>
                      <w:szCs w:val="21"/>
                    </w:rPr>
                    <w:t>分</w:t>
                  </w:r>
                  <w:r>
                    <w:rPr>
                      <w:b/>
                      <w:bCs/>
                      <w:szCs w:val="21"/>
                    </w:rPr>
                    <w:cr/>
                  </w:r>
                  <w:r>
                    <w:rPr>
                      <w:b/>
                      <w:bCs/>
                      <w:szCs w:val="21"/>
                    </w:rPr>
                    <w:t>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restart"/>
                  <w:vAlign w:val="center"/>
                </w:tcPr>
                <w:p>
                  <w:pPr>
                    <w:spacing w:line="320" w:lineRule="exact"/>
                    <w:jc w:val="center"/>
                    <w:rPr>
                      <w:szCs w:val="21"/>
                    </w:rPr>
                  </w:pPr>
                  <w:r>
                    <w:rPr>
                      <w:rFonts w:hint="eastAsia"/>
                      <w:kern w:val="0"/>
                      <w:szCs w:val="21"/>
                    </w:rPr>
                    <w:t>丙烯酸聚氨酯面漆</w:t>
                  </w:r>
                </w:p>
              </w:tc>
              <w:tc>
                <w:tcPr>
                  <w:tcW w:w="900" w:type="pct"/>
                  <w:vMerge w:val="restart"/>
                  <w:vAlign w:val="center"/>
                </w:tcPr>
                <w:p>
                  <w:pPr>
                    <w:spacing w:line="320" w:lineRule="exact"/>
                    <w:jc w:val="center"/>
                    <w:rPr>
                      <w:szCs w:val="21"/>
                    </w:rPr>
                  </w:pPr>
                  <w:r>
                    <w:rPr>
                      <w:rFonts w:hint="eastAsia"/>
                      <w:szCs w:val="21"/>
                    </w:rPr>
                    <w:t>2.95</w:t>
                  </w:r>
                </w:p>
              </w:tc>
              <w:tc>
                <w:tcPr>
                  <w:tcW w:w="1899" w:type="pct"/>
                  <w:gridSpan w:val="2"/>
                  <w:vAlign w:val="center"/>
                </w:tcPr>
                <w:p>
                  <w:pPr>
                    <w:widowControl/>
                    <w:spacing w:line="320" w:lineRule="exact"/>
                    <w:jc w:val="center"/>
                    <w:rPr>
                      <w:szCs w:val="21"/>
                    </w:rPr>
                  </w:pPr>
                  <w:r>
                    <w:rPr>
                      <w:rFonts w:hint="eastAsia"/>
                      <w:szCs w:val="21"/>
                    </w:rPr>
                    <w:t>丙烯酸聚氨酯</w:t>
                  </w:r>
                  <w:r>
                    <w:rPr>
                      <w:szCs w:val="21"/>
                    </w:rPr>
                    <w:t>树脂</w:t>
                  </w:r>
                </w:p>
              </w:tc>
              <w:tc>
                <w:tcPr>
                  <w:tcW w:w="855" w:type="pct"/>
                  <w:vAlign w:val="center"/>
                </w:tcPr>
                <w:p>
                  <w:pPr>
                    <w:widowControl/>
                    <w:spacing w:line="320" w:lineRule="exact"/>
                    <w:jc w:val="center"/>
                    <w:rPr>
                      <w:szCs w:val="21"/>
                    </w:rPr>
                  </w:pPr>
                  <w:r>
                    <w:rPr>
                      <w:rFonts w:hint="eastAsia"/>
                      <w:szCs w:val="21"/>
                    </w:rPr>
                    <w:t>40</w:t>
                  </w:r>
                  <w:r>
                    <w:rPr>
                      <w:szCs w:val="21"/>
                    </w:rPr>
                    <w:t>%</w:t>
                  </w:r>
                  <w:r>
                    <w:rPr>
                      <w:rFonts w:hint="eastAsia"/>
                      <w:szCs w:val="21"/>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continue"/>
                  <w:vAlign w:val="center"/>
                </w:tcPr>
                <w:p>
                  <w:pPr>
                    <w:widowControl/>
                    <w:spacing w:line="320" w:lineRule="exact"/>
                    <w:jc w:val="center"/>
                    <w:rPr>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szCs w:val="21"/>
                    </w:rPr>
                    <w:t>二甲苯</w:t>
                  </w:r>
                </w:p>
              </w:tc>
              <w:tc>
                <w:tcPr>
                  <w:tcW w:w="855" w:type="pct"/>
                  <w:vAlign w:val="center"/>
                </w:tcPr>
                <w:p>
                  <w:pPr>
                    <w:widowControl/>
                    <w:spacing w:line="320" w:lineRule="exact"/>
                    <w:jc w:val="center"/>
                    <w:rPr>
                      <w:szCs w:val="21"/>
                    </w:rPr>
                  </w:pPr>
                  <w:r>
                    <w:rPr>
                      <w:rFonts w:hint="eastAsia"/>
                      <w:szCs w:val="21"/>
                    </w:rPr>
                    <w:t>2</w:t>
                  </w:r>
                  <w:r>
                    <w:rPr>
                      <w:szCs w:val="21"/>
                    </w:rPr>
                    <w:t>%</w:t>
                  </w:r>
                  <w:r>
                    <w:rPr>
                      <w:rFonts w:hint="eastAsia"/>
                      <w:szCs w:val="21"/>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continue"/>
                  <w:vAlign w:val="center"/>
                </w:tcPr>
                <w:p>
                  <w:pPr>
                    <w:widowControl/>
                    <w:spacing w:line="320" w:lineRule="exact"/>
                    <w:jc w:val="center"/>
                    <w:rPr>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醋酸丁酯</w:t>
                  </w:r>
                </w:p>
              </w:tc>
              <w:tc>
                <w:tcPr>
                  <w:tcW w:w="855" w:type="pct"/>
                  <w:vAlign w:val="center"/>
                </w:tcPr>
                <w:p>
                  <w:pPr>
                    <w:widowControl/>
                    <w:spacing w:line="320" w:lineRule="exact"/>
                    <w:jc w:val="center"/>
                    <w:rPr>
                      <w:szCs w:val="21"/>
                    </w:rPr>
                  </w:pPr>
                  <w:r>
                    <w:rPr>
                      <w:rFonts w:hint="eastAsia"/>
                      <w:szCs w:val="21"/>
                    </w:rPr>
                    <w:t>2</w:t>
                  </w:r>
                  <w:r>
                    <w:rPr>
                      <w:szCs w:val="21"/>
                    </w:rPr>
                    <w:t>%</w:t>
                  </w:r>
                  <w:r>
                    <w:rPr>
                      <w:rFonts w:hint="eastAsia"/>
                      <w:szCs w:val="21"/>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continue"/>
                  <w:vAlign w:val="center"/>
                </w:tcPr>
                <w:p>
                  <w:pPr>
                    <w:spacing w:line="320" w:lineRule="exact"/>
                    <w:ind w:firstLine="420"/>
                    <w:jc w:val="center"/>
                    <w:rPr>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szCs w:val="21"/>
                    </w:rPr>
                    <w:t>硫酸钡</w:t>
                  </w:r>
                </w:p>
              </w:tc>
              <w:tc>
                <w:tcPr>
                  <w:tcW w:w="855" w:type="pct"/>
                  <w:vAlign w:val="center"/>
                </w:tcPr>
                <w:p>
                  <w:pPr>
                    <w:widowControl/>
                    <w:spacing w:line="320" w:lineRule="exact"/>
                    <w:jc w:val="center"/>
                    <w:rPr>
                      <w:szCs w:val="21"/>
                    </w:rPr>
                  </w:pPr>
                  <w:r>
                    <w:rPr>
                      <w:rFonts w:hint="eastAsia"/>
                      <w:szCs w:val="21"/>
                    </w:rPr>
                    <w:t>5</w:t>
                  </w:r>
                  <w:r>
                    <w:rPr>
                      <w:szCs w:val="21"/>
                    </w:rPr>
                    <w:t>%</w:t>
                  </w:r>
                  <w:r>
                    <w:rPr>
                      <w:rFonts w:hint="eastAsia"/>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continue"/>
                  <w:vAlign w:val="center"/>
                </w:tcPr>
                <w:p>
                  <w:pPr>
                    <w:spacing w:line="320" w:lineRule="exact"/>
                    <w:ind w:firstLine="420"/>
                    <w:jc w:val="center"/>
                    <w:rPr>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钛白粉</w:t>
                  </w:r>
                </w:p>
              </w:tc>
              <w:tc>
                <w:tcPr>
                  <w:tcW w:w="855" w:type="pct"/>
                  <w:vAlign w:val="center"/>
                </w:tcPr>
                <w:p>
                  <w:pPr>
                    <w:widowControl/>
                    <w:spacing w:line="320" w:lineRule="exact"/>
                    <w:jc w:val="center"/>
                    <w:rPr>
                      <w:szCs w:val="21"/>
                    </w:rPr>
                  </w:pPr>
                  <w:r>
                    <w:rPr>
                      <w:rFonts w:hint="eastAsia"/>
                      <w:szCs w:val="21"/>
                    </w:rPr>
                    <w:t>5</w:t>
                  </w:r>
                  <w:r>
                    <w:rPr>
                      <w:szCs w:val="21"/>
                    </w:rPr>
                    <w:t>%</w:t>
                  </w:r>
                  <w:r>
                    <w:rPr>
                      <w:rFonts w:hint="eastAsia"/>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continue"/>
                  <w:vAlign w:val="center"/>
                </w:tcPr>
                <w:p>
                  <w:pPr>
                    <w:spacing w:line="320" w:lineRule="exact"/>
                    <w:ind w:firstLine="420"/>
                    <w:jc w:val="center"/>
                    <w:rPr>
                      <w:szCs w:val="21"/>
                    </w:rPr>
                  </w:pPr>
                </w:p>
              </w:tc>
              <w:tc>
                <w:tcPr>
                  <w:tcW w:w="900" w:type="pct"/>
                  <w:vMerge w:val="continue"/>
                  <w:vAlign w:val="center"/>
                </w:tcPr>
                <w:p>
                  <w:pPr>
                    <w:spacing w:line="320" w:lineRule="exact"/>
                    <w:jc w:val="center"/>
                    <w:rPr>
                      <w:szCs w:val="21"/>
                    </w:rPr>
                  </w:pPr>
                </w:p>
              </w:tc>
              <w:tc>
                <w:tcPr>
                  <w:tcW w:w="964" w:type="pct"/>
                  <w:vMerge w:val="restart"/>
                  <w:vAlign w:val="center"/>
                </w:tcPr>
                <w:p>
                  <w:pPr>
                    <w:widowControl/>
                    <w:spacing w:line="320" w:lineRule="exact"/>
                    <w:jc w:val="center"/>
                    <w:rPr>
                      <w:szCs w:val="21"/>
                    </w:rPr>
                  </w:pPr>
                  <w:r>
                    <w:rPr>
                      <w:rFonts w:hint="eastAsia"/>
                      <w:szCs w:val="21"/>
                    </w:rPr>
                    <w:t>固化剂（10%）</w:t>
                  </w:r>
                </w:p>
              </w:tc>
              <w:tc>
                <w:tcPr>
                  <w:tcW w:w="935" w:type="pct"/>
                  <w:vAlign w:val="center"/>
                </w:tcPr>
                <w:p>
                  <w:pPr>
                    <w:widowControl/>
                    <w:spacing w:line="320" w:lineRule="exact"/>
                    <w:jc w:val="center"/>
                    <w:rPr>
                      <w:szCs w:val="21"/>
                    </w:rPr>
                  </w:pPr>
                  <w:r>
                    <w:rPr>
                      <w:rFonts w:hint="eastAsia"/>
                      <w:szCs w:val="21"/>
                    </w:rPr>
                    <w:t>HDI</w:t>
                  </w:r>
                </w:p>
              </w:tc>
              <w:tc>
                <w:tcPr>
                  <w:tcW w:w="855" w:type="pct"/>
                  <w:vAlign w:val="center"/>
                </w:tcPr>
                <w:p>
                  <w:pPr>
                    <w:widowControl/>
                    <w:spacing w:line="320" w:lineRule="exact"/>
                    <w:jc w:val="center"/>
                    <w:rPr>
                      <w:szCs w:val="21"/>
                    </w:rPr>
                  </w:pPr>
                  <w:r>
                    <w:rPr>
                      <w:rFonts w:hint="eastAsia"/>
                      <w:szCs w:val="21"/>
                    </w:rPr>
                    <w:t>10%~25%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continue"/>
                  <w:vAlign w:val="center"/>
                </w:tcPr>
                <w:p>
                  <w:pPr>
                    <w:spacing w:line="320" w:lineRule="exact"/>
                    <w:ind w:firstLine="420"/>
                    <w:jc w:val="center"/>
                    <w:rPr>
                      <w:szCs w:val="21"/>
                    </w:rPr>
                  </w:pPr>
                </w:p>
              </w:tc>
              <w:tc>
                <w:tcPr>
                  <w:tcW w:w="900" w:type="pct"/>
                  <w:vMerge w:val="continue"/>
                  <w:vAlign w:val="center"/>
                </w:tcPr>
                <w:p>
                  <w:pPr>
                    <w:spacing w:line="320" w:lineRule="exact"/>
                    <w:jc w:val="center"/>
                    <w:rPr>
                      <w:szCs w:val="21"/>
                    </w:rPr>
                  </w:pPr>
                </w:p>
              </w:tc>
              <w:tc>
                <w:tcPr>
                  <w:tcW w:w="964" w:type="pct"/>
                  <w:vMerge w:val="continue"/>
                  <w:vAlign w:val="center"/>
                </w:tcPr>
                <w:p>
                  <w:pPr>
                    <w:widowControl/>
                    <w:spacing w:line="320" w:lineRule="exact"/>
                    <w:jc w:val="center"/>
                    <w:rPr>
                      <w:szCs w:val="21"/>
                    </w:rPr>
                  </w:pPr>
                </w:p>
              </w:tc>
              <w:tc>
                <w:tcPr>
                  <w:tcW w:w="935" w:type="pct"/>
                  <w:vAlign w:val="center"/>
                </w:tcPr>
                <w:p>
                  <w:pPr>
                    <w:widowControl/>
                    <w:spacing w:line="320" w:lineRule="exact"/>
                    <w:jc w:val="center"/>
                    <w:rPr>
                      <w:szCs w:val="21"/>
                    </w:rPr>
                  </w:pPr>
                  <w:r>
                    <w:rPr>
                      <w:rFonts w:hint="eastAsia"/>
                      <w:szCs w:val="21"/>
                    </w:rPr>
                    <w:t>TDI</w:t>
                  </w:r>
                </w:p>
              </w:tc>
              <w:tc>
                <w:tcPr>
                  <w:tcW w:w="855" w:type="pct"/>
                  <w:vAlign w:val="center"/>
                </w:tcPr>
                <w:p>
                  <w:pPr>
                    <w:widowControl/>
                    <w:spacing w:line="320" w:lineRule="exact"/>
                    <w:jc w:val="center"/>
                    <w:rPr>
                      <w:szCs w:val="21"/>
                    </w:rPr>
                  </w:pPr>
                  <w:r>
                    <w:rPr>
                      <w:rFonts w:hint="eastAsia"/>
                      <w:szCs w:val="21"/>
                    </w:rPr>
                    <w:t>10%~25%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continue"/>
                  <w:vAlign w:val="center"/>
                </w:tcPr>
                <w:p>
                  <w:pPr>
                    <w:spacing w:line="320" w:lineRule="exact"/>
                    <w:ind w:firstLine="420"/>
                    <w:jc w:val="center"/>
                    <w:rPr>
                      <w:szCs w:val="21"/>
                    </w:rPr>
                  </w:pPr>
                </w:p>
              </w:tc>
              <w:tc>
                <w:tcPr>
                  <w:tcW w:w="900" w:type="pct"/>
                  <w:vMerge w:val="continue"/>
                  <w:vAlign w:val="center"/>
                </w:tcPr>
                <w:p>
                  <w:pPr>
                    <w:spacing w:line="320" w:lineRule="exact"/>
                    <w:jc w:val="center"/>
                    <w:rPr>
                      <w:szCs w:val="21"/>
                    </w:rPr>
                  </w:pPr>
                </w:p>
              </w:tc>
              <w:tc>
                <w:tcPr>
                  <w:tcW w:w="964" w:type="pct"/>
                  <w:vMerge w:val="continue"/>
                  <w:vAlign w:val="center"/>
                </w:tcPr>
                <w:p>
                  <w:pPr>
                    <w:widowControl/>
                    <w:spacing w:line="320" w:lineRule="exact"/>
                    <w:jc w:val="center"/>
                    <w:rPr>
                      <w:szCs w:val="21"/>
                    </w:rPr>
                  </w:pPr>
                </w:p>
              </w:tc>
              <w:tc>
                <w:tcPr>
                  <w:tcW w:w="935" w:type="pct"/>
                  <w:vAlign w:val="center"/>
                </w:tcPr>
                <w:p>
                  <w:pPr>
                    <w:widowControl/>
                    <w:spacing w:line="320" w:lineRule="exact"/>
                    <w:jc w:val="center"/>
                    <w:rPr>
                      <w:szCs w:val="21"/>
                    </w:rPr>
                  </w:pPr>
                  <w:r>
                    <w:rPr>
                      <w:rFonts w:hint="eastAsia"/>
                      <w:szCs w:val="21"/>
                    </w:rPr>
                    <w:t>二甲苯</w:t>
                  </w:r>
                </w:p>
              </w:tc>
              <w:tc>
                <w:tcPr>
                  <w:tcW w:w="855" w:type="pct"/>
                  <w:vAlign w:val="center"/>
                </w:tcPr>
                <w:p>
                  <w:pPr>
                    <w:widowControl/>
                    <w:spacing w:line="320" w:lineRule="exact"/>
                    <w:jc w:val="center"/>
                    <w:rPr>
                      <w:szCs w:val="21"/>
                    </w:rPr>
                  </w:pPr>
                  <w:r>
                    <w:rPr>
                      <w:rFonts w:hint="eastAsia"/>
                      <w:szCs w:val="21"/>
                    </w:rPr>
                    <w:t>5%~20%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continue"/>
                  <w:vAlign w:val="center"/>
                </w:tcPr>
                <w:p>
                  <w:pPr>
                    <w:spacing w:line="320" w:lineRule="exact"/>
                    <w:ind w:firstLine="420"/>
                    <w:jc w:val="center"/>
                    <w:rPr>
                      <w:szCs w:val="21"/>
                    </w:rPr>
                  </w:pPr>
                </w:p>
              </w:tc>
              <w:tc>
                <w:tcPr>
                  <w:tcW w:w="900" w:type="pct"/>
                  <w:vMerge w:val="continue"/>
                  <w:vAlign w:val="center"/>
                </w:tcPr>
                <w:p>
                  <w:pPr>
                    <w:spacing w:line="320" w:lineRule="exact"/>
                    <w:jc w:val="center"/>
                    <w:rPr>
                      <w:szCs w:val="21"/>
                    </w:rPr>
                  </w:pPr>
                </w:p>
              </w:tc>
              <w:tc>
                <w:tcPr>
                  <w:tcW w:w="964" w:type="pct"/>
                  <w:vMerge w:val="continue"/>
                  <w:vAlign w:val="center"/>
                </w:tcPr>
                <w:p>
                  <w:pPr>
                    <w:widowControl/>
                    <w:spacing w:line="320" w:lineRule="exact"/>
                    <w:jc w:val="center"/>
                    <w:rPr>
                      <w:szCs w:val="21"/>
                    </w:rPr>
                  </w:pPr>
                </w:p>
              </w:tc>
              <w:tc>
                <w:tcPr>
                  <w:tcW w:w="935" w:type="pct"/>
                  <w:vAlign w:val="center"/>
                </w:tcPr>
                <w:p>
                  <w:pPr>
                    <w:widowControl/>
                    <w:spacing w:line="320" w:lineRule="exact"/>
                    <w:jc w:val="center"/>
                    <w:rPr>
                      <w:szCs w:val="21"/>
                    </w:rPr>
                  </w:pPr>
                  <w:r>
                    <w:rPr>
                      <w:rFonts w:hint="eastAsia"/>
                      <w:szCs w:val="21"/>
                    </w:rPr>
                    <w:t>乙酸正丁醇</w:t>
                  </w:r>
                </w:p>
              </w:tc>
              <w:tc>
                <w:tcPr>
                  <w:tcW w:w="855" w:type="pct"/>
                  <w:vAlign w:val="center"/>
                </w:tcPr>
                <w:p>
                  <w:pPr>
                    <w:widowControl/>
                    <w:spacing w:line="320" w:lineRule="exact"/>
                    <w:jc w:val="center"/>
                    <w:rPr>
                      <w:szCs w:val="21"/>
                    </w:rPr>
                  </w:pPr>
                  <w:r>
                    <w:rPr>
                      <w:rFonts w:hint="eastAsia"/>
                      <w:szCs w:val="21"/>
                    </w:rPr>
                    <w:t>10%~30%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continue"/>
                  <w:vAlign w:val="center"/>
                </w:tcPr>
                <w:p>
                  <w:pPr>
                    <w:spacing w:line="320" w:lineRule="exact"/>
                    <w:ind w:firstLine="420"/>
                    <w:jc w:val="center"/>
                    <w:rPr>
                      <w:szCs w:val="21"/>
                    </w:rPr>
                  </w:pPr>
                </w:p>
              </w:tc>
              <w:tc>
                <w:tcPr>
                  <w:tcW w:w="900" w:type="pct"/>
                  <w:vMerge w:val="continue"/>
                  <w:vAlign w:val="center"/>
                </w:tcPr>
                <w:p>
                  <w:pPr>
                    <w:spacing w:line="320" w:lineRule="exact"/>
                    <w:jc w:val="center"/>
                    <w:rPr>
                      <w:szCs w:val="21"/>
                    </w:rPr>
                  </w:pPr>
                </w:p>
              </w:tc>
              <w:tc>
                <w:tcPr>
                  <w:tcW w:w="964" w:type="pct"/>
                  <w:vAlign w:val="center"/>
                </w:tcPr>
                <w:p>
                  <w:pPr>
                    <w:widowControl/>
                    <w:spacing w:line="320" w:lineRule="exact"/>
                    <w:jc w:val="center"/>
                    <w:rPr>
                      <w:szCs w:val="21"/>
                    </w:rPr>
                  </w:pPr>
                  <w:r>
                    <w:rPr>
                      <w:rFonts w:hint="eastAsia"/>
                      <w:szCs w:val="21"/>
                    </w:rPr>
                    <w:t>稀释剂（15%）</w:t>
                  </w:r>
                </w:p>
              </w:tc>
              <w:tc>
                <w:tcPr>
                  <w:tcW w:w="935" w:type="pct"/>
                  <w:vAlign w:val="center"/>
                </w:tcPr>
                <w:p>
                  <w:pPr>
                    <w:widowControl/>
                    <w:spacing w:line="320" w:lineRule="exact"/>
                    <w:jc w:val="center"/>
                    <w:rPr>
                      <w:szCs w:val="21"/>
                    </w:rPr>
                  </w:pPr>
                  <w:r>
                    <w:rPr>
                      <w:rFonts w:hint="eastAsia"/>
                      <w:szCs w:val="21"/>
                    </w:rPr>
                    <w:t>二甲苯</w:t>
                  </w:r>
                </w:p>
              </w:tc>
              <w:tc>
                <w:tcPr>
                  <w:tcW w:w="855" w:type="pct"/>
                  <w:vAlign w:val="center"/>
                </w:tcPr>
                <w:p>
                  <w:pPr>
                    <w:widowControl/>
                    <w:spacing w:line="320" w:lineRule="exact"/>
                    <w:jc w:val="center"/>
                    <w:rPr>
                      <w:szCs w:val="21"/>
                    </w:rPr>
                  </w:pPr>
                  <w:r>
                    <w:rPr>
                      <w:rFonts w:hint="eastAsia"/>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restart"/>
                  <w:vAlign w:val="center"/>
                </w:tcPr>
                <w:p>
                  <w:pPr>
                    <w:spacing w:line="320" w:lineRule="exact"/>
                    <w:jc w:val="center"/>
                    <w:rPr>
                      <w:szCs w:val="21"/>
                    </w:rPr>
                  </w:pPr>
                  <w:r>
                    <w:rPr>
                      <w:rFonts w:hint="eastAsia"/>
                      <w:kern w:val="0"/>
                      <w:szCs w:val="21"/>
                    </w:rPr>
                    <w:t>环氧富锌防腐底漆</w:t>
                  </w:r>
                </w:p>
              </w:tc>
              <w:tc>
                <w:tcPr>
                  <w:tcW w:w="900" w:type="pct"/>
                  <w:vMerge w:val="restart"/>
                  <w:vAlign w:val="center"/>
                </w:tcPr>
                <w:p>
                  <w:pPr>
                    <w:spacing w:line="320" w:lineRule="exact"/>
                    <w:jc w:val="center"/>
                    <w:rPr>
                      <w:szCs w:val="21"/>
                    </w:rPr>
                  </w:pPr>
                  <w:r>
                    <w:rPr>
                      <w:rFonts w:hint="eastAsia"/>
                      <w:szCs w:val="21"/>
                    </w:rPr>
                    <w:t>1.28</w:t>
                  </w:r>
                </w:p>
              </w:tc>
              <w:tc>
                <w:tcPr>
                  <w:tcW w:w="1899" w:type="pct"/>
                  <w:gridSpan w:val="2"/>
                  <w:vAlign w:val="center"/>
                </w:tcPr>
                <w:p>
                  <w:pPr>
                    <w:widowControl/>
                    <w:spacing w:line="320" w:lineRule="exact"/>
                    <w:jc w:val="center"/>
                    <w:rPr>
                      <w:szCs w:val="21"/>
                    </w:rPr>
                  </w:pPr>
                  <w:r>
                    <w:rPr>
                      <w:rFonts w:hint="eastAsia"/>
                      <w:szCs w:val="21"/>
                    </w:rPr>
                    <w:t>环氧</w:t>
                  </w:r>
                  <w:r>
                    <w:rPr>
                      <w:szCs w:val="21"/>
                    </w:rPr>
                    <w:t>树脂</w:t>
                  </w:r>
                </w:p>
              </w:tc>
              <w:tc>
                <w:tcPr>
                  <w:tcW w:w="855" w:type="pct"/>
                  <w:vAlign w:val="center"/>
                </w:tcPr>
                <w:p>
                  <w:pPr>
                    <w:widowControl/>
                    <w:spacing w:line="320" w:lineRule="exact"/>
                    <w:jc w:val="center"/>
                    <w:rPr>
                      <w:szCs w:val="21"/>
                    </w:rPr>
                  </w:pPr>
                  <w:r>
                    <w:rPr>
                      <w:rFonts w:hint="eastAsia"/>
                      <w:szCs w:val="21"/>
                    </w:rPr>
                    <w:t>35</w:t>
                  </w:r>
                  <w:r>
                    <w:rPr>
                      <w:szCs w:val="21"/>
                    </w:rPr>
                    <w:t>%</w:t>
                  </w:r>
                  <w:r>
                    <w:rPr>
                      <w:rFonts w:hint="eastAsia"/>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continue"/>
                  <w:vAlign w:val="center"/>
                </w:tcPr>
                <w:p>
                  <w:pPr>
                    <w:spacing w:line="320" w:lineRule="exact"/>
                    <w:jc w:val="center"/>
                    <w:rPr>
                      <w:kern w:val="24"/>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锌粉</w:t>
                  </w:r>
                </w:p>
              </w:tc>
              <w:tc>
                <w:tcPr>
                  <w:tcW w:w="855" w:type="pct"/>
                  <w:vAlign w:val="center"/>
                </w:tcPr>
                <w:p>
                  <w:pPr>
                    <w:widowControl/>
                    <w:spacing w:line="320" w:lineRule="exact"/>
                    <w:jc w:val="center"/>
                    <w:rPr>
                      <w:szCs w:val="21"/>
                    </w:rPr>
                  </w:pPr>
                  <w:r>
                    <w:rPr>
                      <w:rFonts w:hint="eastAsia"/>
                      <w:szCs w:val="21"/>
                    </w:rPr>
                    <w:t>65</w:t>
                  </w:r>
                  <w:r>
                    <w:rPr>
                      <w:szCs w:val="21"/>
                    </w:rPr>
                    <w:t>%</w:t>
                  </w:r>
                  <w:r>
                    <w:rPr>
                      <w:rFonts w:hint="eastAsia"/>
                      <w:szCs w:val="21"/>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continue"/>
                  <w:vAlign w:val="center"/>
                </w:tcPr>
                <w:p>
                  <w:pPr>
                    <w:spacing w:line="320" w:lineRule="exact"/>
                    <w:jc w:val="center"/>
                    <w:rPr>
                      <w:kern w:val="24"/>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二甲苯</w:t>
                  </w:r>
                </w:p>
              </w:tc>
              <w:tc>
                <w:tcPr>
                  <w:tcW w:w="855" w:type="pct"/>
                  <w:vAlign w:val="center"/>
                </w:tcPr>
                <w:p>
                  <w:pPr>
                    <w:widowControl/>
                    <w:spacing w:line="320" w:lineRule="exact"/>
                    <w:jc w:val="center"/>
                    <w:rPr>
                      <w:szCs w:val="21"/>
                    </w:rPr>
                  </w:pPr>
                  <w:r>
                    <w:rPr>
                      <w:rFonts w:hint="eastAsia"/>
                      <w:szCs w:val="21"/>
                    </w:rPr>
                    <w:t>2</w:t>
                  </w:r>
                  <w:r>
                    <w:rPr>
                      <w:szCs w:val="21"/>
                    </w:rPr>
                    <w:t>%</w:t>
                  </w:r>
                  <w:r>
                    <w:rPr>
                      <w:rFonts w:hint="eastAsia"/>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continue"/>
                  <w:vAlign w:val="center"/>
                </w:tcPr>
                <w:p>
                  <w:pPr>
                    <w:spacing w:line="320" w:lineRule="exact"/>
                    <w:jc w:val="center"/>
                    <w:rPr>
                      <w:kern w:val="24"/>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固化剂（10%）</w:t>
                  </w:r>
                </w:p>
              </w:tc>
              <w:tc>
                <w:tcPr>
                  <w:tcW w:w="855" w:type="pct"/>
                  <w:vAlign w:val="center"/>
                </w:tcPr>
                <w:p>
                  <w:pPr>
                    <w:widowControl/>
                    <w:spacing w:line="320" w:lineRule="exact"/>
                    <w:jc w:val="center"/>
                    <w:rPr>
                      <w:szCs w:val="21"/>
                    </w:rPr>
                  </w:pPr>
                  <w:r>
                    <w:rPr>
                      <w:rFonts w:hint="eastAsia"/>
                      <w:szCs w:val="21"/>
                    </w:rPr>
                    <w:t>见上表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344" w:type="pct"/>
                  <w:vMerge w:val="continue"/>
                  <w:vAlign w:val="center"/>
                </w:tcPr>
                <w:p>
                  <w:pPr>
                    <w:spacing w:line="320" w:lineRule="exact"/>
                    <w:jc w:val="center"/>
                    <w:rPr>
                      <w:kern w:val="24"/>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稀释剂（15%）</w:t>
                  </w:r>
                </w:p>
              </w:tc>
              <w:tc>
                <w:tcPr>
                  <w:tcW w:w="855" w:type="pct"/>
                  <w:vAlign w:val="center"/>
                </w:tcPr>
                <w:p>
                  <w:pPr>
                    <w:widowControl/>
                    <w:spacing w:line="320" w:lineRule="exact"/>
                    <w:jc w:val="center"/>
                    <w:rPr>
                      <w:szCs w:val="21"/>
                    </w:rPr>
                  </w:pPr>
                  <w:r>
                    <w:rPr>
                      <w:rFonts w:hint="eastAsia"/>
                      <w:szCs w:val="21"/>
                    </w:rPr>
                    <w:t>见上表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restart"/>
                  <w:vAlign w:val="center"/>
                </w:tcPr>
                <w:p>
                  <w:pPr>
                    <w:spacing w:line="320" w:lineRule="exact"/>
                    <w:jc w:val="center"/>
                    <w:rPr>
                      <w:b/>
                      <w:szCs w:val="21"/>
                    </w:rPr>
                  </w:pPr>
                  <w:r>
                    <w:rPr>
                      <w:rFonts w:hint="eastAsia"/>
                      <w:kern w:val="0"/>
                      <w:szCs w:val="21"/>
                    </w:rPr>
                    <w:t>铁红醇酸防锈底漆</w:t>
                  </w:r>
                </w:p>
              </w:tc>
              <w:tc>
                <w:tcPr>
                  <w:tcW w:w="900" w:type="pct"/>
                  <w:vMerge w:val="restart"/>
                  <w:vAlign w:val="center"/>
                </w:tcPr>
                <w:p>
                  <w:pPr>
                    <w:spacing w:line="320" w:lineRule="exact"/>
                    <w:jc w:val="center"/>
                    <w:rPr>
                      <w:szCs w:val="21"/>
                    </w:rPr>
                  </w:pPr>
                  <w:r>
                    <w:rPr>
                      <w:rFonts w:hint="eastAsia"/>
                      <w:szCs w:val="21"/>
                    </w:rPr>
                    <w:t>1.21</w:t>
                  </w:r>
                </w:p>
              </w:tc>
              <w:tc>
                <w:tcPr>
                  <w:tcW w:w="1899" w:type="pct"/>
                  <w:gridSpan w:val="2"/>
                  <w:vAlign w:val="center"/>
                </w:tcPr>
                <w:p>
                  <w:pPr>
                    <w:widowControl/>
                    <w:spacing w:line="320" w:lineRule="exact"/>
                    <w:jc w:val="center"/>
                    <w:rPr>
                      <w:szCs w:val="21"/>
                    </w:rPr>
                  </w:pPr>
                  <w:r>
                    <w:rPr>
                      <w:szCs w:val="21"/>
                    </w:rPr>
                    <w:t>醇酸树脂</w:t>
                  </w:r>
                </w:p>
              </w:tc>
              <w:tc>
                <w:tcPr>
                  <w:tcW w:w="855" w:type="pct"/>
                  <w:vAlign w:val="center"/>
                </w:tcPr>
                <w:p>
                  <w:pPr>
                    <w:widowControl/>
                    <w:spacing w:line="320" w:lineRule="exact"/>
                    <w:jc w:val="center"/>
                    <w:rPr>
                      <w:szCs w:val="21"/>
                    </w:rPr>
                  </w:pPr>
                  <w:r>
                    <w:rPr>
                      <w:rFonts w:hint="eastAsia"/>
                      <w:szCs w:val="21"/>
                    </w:rPr>
                    <w:t>30%~40%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200#溶剂油</w:t>
                  </w:r>
                </w:p>
              </w:tc>
              <w:tc>
                <w:tcPr>
                  <w:tcW w:w="855" w:type="pct"/>
                  <w:vAlign w:val="center"/>
                </w:tcPr>
                <w:p>
                  <w:pPr>
                    <w:widowControl/>
                    <w:spacing w:line="320" w:lineRule="exact"/>
                    <w:jc w:val="center"/>
                    <w:rPr>
                      <w:szCs w:val="21"/>
                    </w:rPr>
                  </w:pPr>
                  <w:r>
                    <w:rPr>
                      <w:rFonts w:hint="eastAsia"/>
                      <w:szCs w:val="21"/>
                    </w:rPr>
                    <w:t>5%~10%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氧化铁红粉</w:t>
                  </w:r>
                </w:p>
              </w:tc>
              <w:tc>
                <w:tcPr>
                  <w:tcW w:w="855" w:type="pct"/>
                  <w:vAlign w:val="center"/>
                </w:tcPr>
                <w:p>
                  <w:pPr>
                    <w:widowControl/>
                    <w:spacing w:line="320" w:lineRule="exact"/>
                    <w:jc w:val="center"/>
                    <w:rPr>
                      <w:szCs w:val="21"/>
                    </w:rPr>
                  </w:pPr>
                  <w:r>
                    <w:rPr>
                      <w:rFonts w:hint="eastAsia"/>
                      <w:szCs w:val="21"/>
                    </w:rPr>
                    <w:t>10%~25%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szCs w:val="21"/>
                    </w:rPr>
                    <w:t>硫酸钡</w:t>
                  </w:r>
                </w:p>
              </w:tc>
              <w:tc>
                <w:tcPr>
                  <w:tcW w:w="855" w:type="pct"/>
                  <w:vAlign w:val="center"/>
                </w:tcPr>
                <w:p>
                  <w:pPr>
                    <w:widowControl/>
                    <w:spacing w:line="320" w:lineRule="exact"/>
                    <w:jc w:val="center"/>
                    <w:rPr>
                      <w:szCs w:val="21"/>
                    </w:rPr>
                  </w:pPr>
                  <w:r>
                    <w:rPr>
                      <w:rFonts w:hint="eastAsia"/>
                      <w:szCs w:val="21"/>
                    </w:rPr>
                    <w:t>5%~25%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稀释剂（15%）</w:t>
                  </w:r>
                </w:p>
              </w:tc>
              <w:tc>
                <w:tcPr>
                  <w:tcW w:w="855" w:type="pct"/>
                  <w:vAlign w:val="center"/>
                </w:tcPr>
                <w:p>
                  <w:pPr>
                    <w:widowControl/>
                    <w:spacing w:line="320" w:lineRule="exact"/>
                    <w:jc w:val="center"/>
                    <w:rPr>
                      <w:szCs w:val="21"/>
                    </w:rPr>
                  </w:pPr>
                  <w:r>
                    <w:rPr>
                      <w:rFonts w:hint="eastAsia"/>
                      <w:szCs w:val="21"/>
                    </w:rPr>
                    <w:t>见上表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restart"/>
                  <w:vAlign w:val="center"/>
                </w:tcPr>
                <w:p>
                  <w:pPr>
                    <w:spacing w:line="320" w:lineRule="exact"/>
                    <w:jc w:val="center"/>
                    <w:rPr>
                      <w:kern w:val="0"/>
                      <w:szCs w:val="21"/>
                    </w:rPr>
                  </w:pPr>
                  <w:r>
                    <w:rPr>
                      <w:kern w:val="0"/>
                      <w:szCs w:val="21"/>
                    </w:rPr>
                    <w:t>水性丙烯酸防锈底漆</w:t>
                  </w:r>
                </w:p>
              </w:tc>
              <w:tc>
                <w:tcPr>
                  <w:tcW w:w="900" w:type="pct"/>
                  <w:vMerge w:val="restart"/>
                  <w:vAlign w:val="center"/>
                </w:tcPr>
                <w:p>
                  <w:pPr>
                    <w:spacing w:line="320" w:lineRule="exact"/>
                    <w:jc w:val="center"/>
                    <w:rPr>
                      <w:szCs w:val="21"/>
                    </w:rPr>
                  </w:pPr>
                  <w:r>
                    <w:rPr>
                      <w:rFonts w:hint="eastAsia"/>
                      <w:szCs w:val="21"/>
                    </w:rPr>
                    <w:t>1.6</w:t>
                  </w:r>
                </w:p>
              </w:tc>
              <w:tc>
                <w:tcPr>
                  <w:tcW w:w="1899" w:type="pct"/>
                  <w:gridSpan w:val="2"/>
                  <w:vAlign w:val="center"/>
                </w:tcPr>
                <w:p>
                  <w:pPr>
                    <w:widowControl/>
                    <w:spacing w:line="320" w:lineRule="exact"/>
                    <w:jc w:val="center"/>
                    <w:rPr>
                      <w:szCs w:val="21"/>
                    </w:rPr>
                  </w:pPr>
                  <w:r>
                    <w:rPr>
                      <w:szCs w:val="21"/>
                    </w:rPr>
                    <w:t>水性丙烯酸乳液</w:t>
                  </w:r>
                </w:p>
              </w:tc>
              <w:tc>
                <w:tcPr>
                  <w:tcW w:w="855" w:type="pct"/>
                  <w:vAlign w:val="center"/>
                </w:tcPr>
                <w:p>
                  <w:pPr>
                    <w:widowControl/>
                    <w:spacing w:line="320" w:lineRule="exact"/>
                    <w:jc w:val="center"/>
                    <w:rPr>
                      <w:szCs w:val="21"/>
                    </w:rPr>
                  </w:pPr>
                  <w:r>
                    <w:rPr>
                      <w:rFonts w:hint="eastAsia"/>
                      <w:szCs w:val="21"/>
                    </w:rPr>
                    <w:t>40%~50%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szCs w:val="21"/>
                    </w:rPr>
                    <w:t>硫酸钡</w:t>
                  </w:r>
                </w:p>
              </w:tc>
              <w:tc>
                <w:tcPr>
                  <w:tcW w:w="855" w:type="pct"/>
                  <w:vAlign w:val="center"/>
                </w:tcPr>
                <w:p>
                  <w:pPr>
                    <w:widowControl/>
                    <w:spacing w:line="320" w:lineRule="exact"/>
                    <w:jc w:val="center"/>
                    <w:rPr>
                      <w:szCs w:val="21"/>
                    </w:rPr>
                  </w:pPr>
                  <w:r>
                    <w:rPr>
                      <w:rFonts w:hint="eastAsia"/>
                      <w:szCs w:val="21"/>
                    </w:rPr>
                    <w:t>10%~15%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氧化铁红粉</w:t>
                  </w:r>
                </w:p>
              </w:tc>
              <w:tc>
                <w:tcPr>
                  <w:tcW w:w="855" w:type="pct"/>
                  <w:vAlign w:val="center"/>
                </w:tcPr>
                <w:p>
                  <w:pPr>
                    <w:widowControl/>
                    <w:spacing w:line="320" w:lineRule="exact"/>
                    <w:jc w:val="center"/>
                    <w:rPr>
                      <w:szCs w:val="21"/>
                    </w:rPr>
                  </w:pPr>
                  <w:r>
                    <w:rPr>
                      <w:rFonts w:hint="eastAsia"/>
                      <w:szCs w:val="21"/>
                    </w:rPr>
                    <w:t>10%~15%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丙二醇丁醚</w:t>
                  </w:r>
                </w:p>
              </w:tc>
              <w:tc>
                <w:tcPr>
                  <w:tcW w:w="855" w:type="pct"/>
                  <w:vAlign w:val="center"/>
                </w:tcPr>
                <w:p>
                  <w:pPr>
                    <w:widowControl/>
                    <w:spacing w:line="320" w:lineRule="exact"/>
                    <w:jc w:val="center"/>
                    <w:rPr>
                      <w:szCs w:val="21"/>
                    </w:rPr>
                  </w:pPr>
                  <w:r>
                    <w:rPr>
                      <w:rFonts w:hint="eastAsia"/>
                      <w:szCs w:val="21"/>
                    </w:rPr>
                    <w:t>0.1%~0.5%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氨水</w:t>
                  </w:r>
                </w:p>
              </w:tc>
              <w:tc>
                <w:tcPr>
                  <w:tcW w:w="855" w:type="pct"/>
                  <w:vAlign w:val="center"/>
                </w:tcPr>
                <w:p>
                  <w:pPr>
                    <w:widowControl/>
                    <w:spacing w:line="320" w:lineRule="exact"/>
                    <w:jc w:val="center"/>
                    <w:rPr>
                      <w:szCs w:val="21"/>
                    </w:rPr>
                  </w:pPr>
                  <w:r>
                    <w:rPr>
                      <w:rFonts w:hint="eastAsia"/>
                      <w:szCs w:val="21"/>
                    </w:rPr>
                    <w:t>0.05%~0.1%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szCs w:val="21"/>
                    </w:rPr>
                    <w:t>助剂</w:t>
                  </w:r>
                </w:p>
              </w:tc>
              <w:tc>
                <w:tcPr>
                  <w:tcW w:w="855" w:type="pct"/>
                  <w:vAlign w:val="center"/>
                </w:tcPr>
                <w:p>
                  <w:pPr>
                    <w:widowControl/>
                    <w:spacing w:line="320" w:lineRule="exact"/>
                    <w:jc w:val="center"/>
                    <w:rPr>
                      <w:szCs w:val="21"/>
                    </w:rPr>
                  </w:pPr>
                  <w:r>
                    <w:rPr>
                      <w:rFonts w:hint="eastAsia"/>
                      <w:szCs w:val="21"/>
                    </w:rPr>
                    <w:t>0.5%~1%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szCs w:val="21"/>
                    </w:rPr>
                    <w:t>去离子水</w:t>
                  </w:r>
                </w:p>
              </w:tc>
              <w:tc>
                <w:tcPr>
                  <w:tcW w:w="855" w:type="pct"/>
                  <w:vAlign w:val="center"/>
                </w:tcPr>
                <w:p>
                  <w:pPr>
                    <w:widowControl/>
                    <w:spacing w:line="320" w:lineRule="exact"/>
                    <w:jc w:val="center"/>
                    <w:rPr>
                      <w:szCs w:val="21"/>
                    </w:rPr>
                  </w:pPr>
                  <w:r>
                    <w:rPr>
                      <w:rFonts w:hint="eastAsia"/>
                      <w:szCs w:val="21"/>
                    </w:rPr>
                    <w:t>10%~20%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restart"/>
                  <w:vAlign w:val="center"/>
                </w:tcPr>
                <w:p>
                  <w:pPr>
                    <w:spacing w:line="320" w:lineRule="exact"/>
                    <w:jc w:val="center"/>
                    <w:rPr>
                      <w:kern w:val="0"/>
                      <w:szCs w:val="21"/>
                    </w:rPr>
                  </w:pPr>
                  <w:r>
                    <w:rPr>
                      <w:kern w:val="0"/>
                      <w:szCs w:val="21"/>
                    </w:rPr>
                    <w:t>水性丙烯酸防锈面漆</w:t>
                  </w:r>
                </w:p>
              </w:tc>
              <w:tc>
                <w:tcPr>
                  <w:tcW w:w="900" w:type="pct"/>
                  <w:vMerge w:val="restart"/>
                  <w:vAlign w:val="center"/>
                </w:tcPr>
                <w:p>
                  <w:pPr>
                    <w:spacing w:line="320" w:lineRule="exact"/>
                    <w:jc w:val="center"/>
                    <w:rPr>
                      <w:szCs w:val="21"/>
                    </w:rPr>
                  </w:pPr>
                  <w:r>
                    <w:rPr>
                      <w:rFonts w:hint="eastAsia"/>
                      <w:szCs w:val="21"/>
                    </w:rPr>
                    <w:t>1.6</w:t>
                  </w:r>
                </w:p>
              </w:tc>
              <w:tc>
                <w:tcPr>
                  <w:tcW w:w="1899" w:type="pct"/>
                  <w:gridSpan w:val="2"/>
                  <w:vAlign w:val="center"/>
                </w:tcPr>
                <w:p>
                  <w:pPr>
                    <w:widowControl/>
                    <w:spacing w:line="320" w:lineRule="exact"/>
                    <w:jc w:val="center"/>
                    <w:rPr>
                      <w:szCs w:val="21"/>
                    </w:rPr>
                  </w:pPr>
                  <w:r>
                    <w:rPr>
                      <w:rFonts w:hint="eastAsia"/>
                      <w:szCs w:val="21"/>
                    </w:rPr>
                    <w:t>水性丙烯酸乳液</w:t>
                  </w:r>
                </w:p>
              </w:tc>
              <w:tc>
                <w:tcPr>
                  <w:tcW w:w="855" w:type="pct"/>
                  <w:vAlign w:val="center"/>
                </w:tcPr>
                <w:p>
                  <w:pPr>
                    <w:widowControl/>
                    <w:spacing w:line="320" w:lineRule="exact"/>
                    <w:jc w:val="center"/>
                    <w:rPr>
                      <w:szCs w:val="21"/>
                    </w:rPr>
                  </w:pPr>
                  <w:r>
                    <w:rPr>
                      <w:rFonts w:hint="eastAsia"/>
                      <w:szCs w:val="21"/>
                    </w:rPr>
                    <w:t>40%~50%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钛白粉</w:t>
                  </w:r>
                </w:p>
              </w:tc>
              <w:tc>
                <w:tcPr>
                  <w:tcW w:w="855" w:type="pct"/>
                  <w:vAlign w:val="center"/>
                </w:tcPr>
                <w:p>
                  <w:pPr>
                    <w:widowControl/>
                    <w:spacing w:line="320" w:lineRule="exact"/>
                    <w:jc w:val="center"/>
                    <w:rPr>
                      <w:szCs w:val="21"/>
                    </w:rPr>
                  </w:pPr>
                  <w:r>
                    <w:rPr>
                      <w:rFonts w:hint="eastAsia"/>
                      <w:szCs w:val="21"/>
                    </w:rPr>
                    <w:t>15%~20%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滑石粉</w:t>
                  </w:r>
                </w:p>
              </w:tc>
              <w:tc>
                <w:tcPr>
                  <w:tcW w:w="855" w:type="pct"/>
                  <w:vAlign w:val="center"/>
                </w:tcPr>
                <w:p>
                  <w:pPr>
                    <w:widowControl/>
                    <w:spacing w:line="320" w:lineRule="exact"/>
                    <w:jc w:val="center"/>
                    <w:rPr>
                      <w:szCs w:val="21"/>
                    </w:rPr>
                  </w:pPr>
                  <w:r>
                    <w:rPr>
                      <w:rFonts w:hint="eastAsia"/>
                      <w:szCs w:val="21"/>
                    </w:rPr>
                    <w:t>10%~15%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丙二醇丁醚</w:t>
                  </w:r>
                </w:p>
              </w:tc>
              <w:tc>
                <w:tcPr>
                  <w:tcW w:w="855" w:type="pct"/>
                  <w:vAlign w:val="center"/>
                </w:tcPr>
                <w:p>
                  <w:pPr>
                    <w:widowControl/>
                    <w:spacing w:line="320" w:lineRule="exact"/>
                    <w:jc w:val="center"/>
                    <w:rPr>
                      <w:szCs w:val="21"/>
                    </w:rPr>
                  </w:pPr>
                  <w:r>
                    <w:rPr>
                      <w:rFonts w:hint="eastAsia"/>
                      <w:szCs w:val="21"/>
                    </w:rPr>
                    <w:t>0.1%~0.5%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rFonts w:hint="eastAsia"/>
                      <w:szCs w:val="21"/>
                    </w:rPr>
                    <w:t>氨水</w:t>
                  </w:r>
                </w:p>
              </w:tc>
              <w:tc>
                <w:tcPr>
                  <w:tcW w:w="855" w:type="pct"/>
                  <w:vAlign w:val="center"/>
                </w:tcPr>
                <w:p>
                  <w:pPr>
                    <w:widowControl/>
                    <w:spacing w:line="320" w:lineRule="exact"/>
                    <w:jc w:val="center"/>
                    <w:rPr>
                      <w:szCs w:val="21"/>
                    </w:rPr>
                  </w:pPr>
                  <w:r>
                    <w:rPr>
                      <w:rFonts w:hint="eastAsia"/>
                      <w:szCs w:val="21"/>
                    </w:rPr>
                    <w:t>0.05%~0.1%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szCs w:val="21"/>
                    </w:rPr>
                    <w:t>助剂</w:t>
                  </w:r>
                </w:p>
              </w:tc>
              <w:tc>
                <w:tcPr>
                  <w:tcW w:w="855" w:type="pct"/>
                  <w:vAlign w:val="center"/>
                </w:tcPr>
                <w:p>
                  <w:pPr>
                    <w:widowControl/>
                    <w:spacing w:line="320" w:lineRule="exact"/>
                    <w:jc w:val="center"/>
                    <w:rPr>
                      <w:szCs w:val="21"/>
                    </w:rPr>
                  </w:pPr>
                  <w:r>
                    <w:rPr>
                      <w:rFonts w:hint="eastAsia"/>
                      <w:szCs w:val="21"/>
                    </w:rPr>
                    <w:t>0.5%~1%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344" w:type="pct"/>
                  <w:vMerge w:val="continue"/>
                  <w:vAlign w:val="center"/>
                </w:tcPr>
                <w:p>
                  <w:pPr>
                    <w:spacing w:line="320" w:lineRule="exact"/>
                    <w:jc w:val="center"/>
                    <w:rPr>
                      <w:kern w:val="0"/>
                      <w:szCs w:val="21"/>
                    </w:rPr>
                  </w:pPr>
                </w:p>
              </w:tc>
              <w:tc>
                <w:tcPr>
                  <w:tcW w:w="900" w:type="pct"/>
                  <w:vMerge w:val="continue"/>
                  <w:vAlign w:val="center"/>
                </w:tcPr>
                <w:p>
                  <w:pPr>
                    <w:spacing w:line="320" w:lineRule="exact"/>
                    <w:jc w:val="center"/>
                    <w:rPr>
                      <w:szCs w:val="21"/>
                    </w:rPr>
                  </w:pPr>
                </w:p>
              </w:tc>
              <w:tc>
                <w:tcPr>
                  <w:tcW w:w="1899" w:type="pct"/>
                  <w:gridSpan w:val="2"/>
                  <w:vAlign w:val="center"/>
                </w:tcPr>
                <w:p>
                  <w:pPr>
                    <w:widowControl/>
                    <w:spacing w:line="320" w:lineRule="exact"/>
                    <w:jc w:val="center"/>
                    <w:rPr>
                      <w:szCs w:val="21"/>
                    </w:rPr>
                  </w:pPr>
                  <w:r>
                    <w:rPr>
                      <w:szCs w:val="21"/>
                    </w:rPr>
                    <w:t>去离子水</w:t>
                  </w:r>
                </w:p>
              </w:tc>
              <w:tc>
                <w:tcPr>
                  <w:tcW w:w="855" w:type="pct"/>
                  <w:vAlign w:val="center"/>
                </w:tcPr>
                <w:p>
                  <w:pPr>
                    <w:widowControl/>
                    <w:spacing w:line="320" w:lineRule="exact"/>
                    <w:jc w:val="center"/>
                    <w:rPr>
                      <w:szCs w:val="21"/>
                    </w:rPr>
                  </w:pPr>
                  <w:r>
                    <w:rPr>
                      <w:rFonts w:hint="eastAsia"/>
                      <w:szCs w:val="21"/>
                    </w:rPr>
                    <w:t>10%~20%</w:t>
                  </w:r>
                </w:p>
              </w:tc>
            </w:tr>
          </w:tbl>
          <w:p>
            <w:pPr>
              <w:spacing w:before="120" w:beforeLines="50" w:line="343" w:lineRule="auto"/>
              <w:ind w:firstLine="480" w:firstLineChars="200"/>
              <w:rPr>
                <w:kern w:val="0"/>
                <w:sz w:val="24"/>
                <w:szCs w:val="20"/>
              </w:rPr>
            </w:pPr>
            <w:r>
              <w:rPr>
                <w:kern w:val="0"/>
                <w:sz w:val="24"/>
                <w:szCs w:val="20"/>
              </w:rPr>
              <w:t>根据《低挥发性有机化合物含量涂料产品技术要求》（GB/T 38597-2020），该标准规定了低挥发性有机化合物含量涂料产品为施工状态下涂料产品中存在的挥发性有机物的质量符合标准相应产品的挥发性有机物含量限值要求的涂料产品。低挥发性有机化合物涂料产品的标准限值如下：</w:t>
            </w:r>
          </w:p>
          <w:p>
            <w:pPr>
              <w:widowControl/>
              <w:jc w:val="center"/>
              <w:rPr>
                <w:b/>
                <w:kern w:val="0"/>
                <w:sz w:val="24"/>
                <w:szCs w:val="20"/>
              </w:rPr>
            </w:pPr>
            <w:r>
              <w:rPr>
                <w:b/>
                <w:kern w:val="0"/>
                <w:sz w:val="24"/>
                <w:szCs w:val="20"/>
              </w:rPr>
              <w:t>表2-</w:t>
            </w:r>
            <w:r>
              <w:rPr>
                <w:rFonts w:hint="eastAsia"/>
                <w:b/>
                <w:kern w:val="0"/>
                <w:sz w:val="24"/>
                <w:szCs w:val="20"/>
              </w:rPr>
              <w:t>7</w:t>
            </w:r>
            <w:r>
              <w:rPr>
                <w:b/>
                <w:kern w:val="0"/>
                <w:sz w:val="24"/>
                <w:szCs w:val="20"/>
              </w:rPr>
              <w:t xml:space="preserve"> 低挥发性有机化合物涂料产品VOC含量要求一览表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23"/>
              <w:gridCol w:w="1132"/>
              <w:gridCol w:w="1612"/>
              <w:gridCol w:w="1291"/>
              <w:gridCol w:w="807"/>
              <w:gridCol w:w="809"/>
              <w:gridCol w:w="10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23" w:hRule="exact"/>
                <w:jc w:val="center"/>
              </w:trPr>
              <w:tc>
                <w:tcPr>
                  <w:tcW w:w="1019" w:type="pct"/>
                  <w:vAlign w:val="center"/>
                </w:tcPr>
                <w:p>
                  <w:pPr>
                    <w:spacing w:line="32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涂料类型</w:t>
                  </w:r>
                </w:p>
              </w:tc>
              <w:tc>
                <w:tcPr>
                  <w:tcW w:w="669" w:type="pct"/>
                  <w:vAlign w:val="center"/>
                </w:tcPr>
                <w:p>
                  <w:pPr>
                    <w:spacing w:line="32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产品</w:t>
                  </w:r>
                </w:p>
                <w:p>
                  <w:pPr>
                    <w:spacing w:line="32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类别</w:t>
                  </w:r>
                </w:p>
              </w:tc>
              <w:tc>
                <w:tcPr>
                  <w:tcW w:w="2671" w:type="pct"/>
                  <w:gridSpan w:val="4"/>
                  <w:vAlign w:val="center"/>
                </w:tcPr>
                <w:p>
                  <w:pPr>
                    <w:spacing w:line="32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主要产品类型</w:t>
                  </w:r>
                </w:p>
              </w:tc>
              <w:tc>
                <w:tcPr>
                  <w:tcW w:w="641" w:type="pct"/>
                  <w:vAlign w:val="center"/>
                </w:tcPr>
                <w:p>
                  <w:pPr>
                    <w:spacing w:line="32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限量值</w:t>
                  </w:r>
                </w:p>
                <w:p>
                  <w:pPr>
                    <w:spacing w:line="32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39" w:hRule="exact"/>
                <w:jc w:val="center"/>
              </w:trPr>
              <w:tc>
                <w:tcPr>
                  <w:tcW w:w="1019" w:type="pct"/>
                  <w:vMerge w:val="restar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水性涂料</w:t>
                  </w:r>
                </w:p>
              </w:tc>
              <w:tc>
                <w:tcPr>
                  <w:tcW w:w="669" w:type="pct"/>
                  <w:vMerge w:val="restar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工业</w:t>
                  </w:r>
                  <w:r>
                    <w:rPr>
                      <w:color w:val="0D0D0D" w:themeColor="text1" w:themeTint="F2"/>
                      <w:szCs w:val="21"/>
                      <w14:textFill>
                        <w14:solidFill>
                          <w14:schemeClr w14:val="tx1">
                            <w14:lumMod w14:val="95000"/>
                            <w14:lumOff w14:val="5000"/>
                          </w14:schemeClr>
                        </w14:solidFill>
                      </w14:textFill>
                    </w:rPr>
                    <w:t>防护涂料</w:t>
                  </w:r>
                </w:p>
              </w:tc>
              <w:tc>
                <w:tcPr>
                  <w:tcW w:w="953" w:type="pct"/>
                  <w:vMerge w:val="restar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建筑物</w:t>
                  </w:r>
                  <w:r>
                    <w:rPr>
                      <w:color w:val="0D0D0D" w:themeColor="text1" w:themeTint="F2"/>
                      <w:szCs w:val="21"/>
                      <w14:textFill>
                        <w14:solidFill>
                          <w14:schemeClr w14:val="tx1">
                            <w14:lumMod w14:val="95000"/>
                            <w14:lumOff w14:val="5000"/>
                          </w14:schemeClr>
                        </w14:solidFill>
                      </w14:textFill>
                    </w:rPr>
                    <w:t>和构筑物防护涂料</w:t>
                  </w:r>
                </w:p>
              </w:tc>
              <w:tc>
                <w:tcPr>
                  <w:tcW w:w="763" w:type="pct"/>
                  <w:vMerge w:val="restar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金属</w:t>
                  </w:r>
                  <w:r>
                    <w:rPr>
                      <w:color w:val="0D0D0D" w:themeColor="text1" w:themeTint="F2"/>
                      <w:szCs w:val="21"/>
                      <w14:textFill>
                        <w14:solidFill>
                          <w14:schemeClr w14:val="tx1">
                            <w14:lumMod w14:val="95000"/>
                            <w14:lumOff w14:val="5000"/>
                          </w14:schemeClr>
                        </w14:solidFill>
                      </w14:textFill>
                    </w:rPr>
                    <w:t>基材防腐涂料</w:t>
                  </w:r>
                </w:p>
              </w:tc>
              <w:tc>
                <w:tcPr>
                  <w:tcW w:w="477" w:type="pct"/>
                  <w:vMerge w:val="restar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单组分</w:t>
                  </w:r>
                </w:p>
              </w:tc>
              <w:tc>
                <w:tcPr>
                  <w:tcW w:w="478"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底漆</w:t>
                  </w:r>
                </w:p>
              </w:tc>
              <w:tc>
                <w:tcPr>
                  <w:tcW w:w="641"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200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3" w:hRule="exact"/>
                <w:jc w:val="center"/>
              </w:trPr>
              <w:tc>
                <w:tcPr>
                  <w:tcW w:w="1019" w:type="pct"/>
                  <w:vMerge w:val="continue"/>
                  <w:vAlign w:val="center"/>
                </w:tcPr>
                <w:p>
                  <w:pPr>
                    <w:spacing w:line="320" w:lineRule="exact"/>
                    <w:ind w:firstLine="210" w:firstLineChars="100"/>
                    <w:jc w:val="center"/>
                    <w:rPr>
                      <w:color w:val="0D0D0D" w:themeColor="text1" w:themeTint="F2"/>
                      <w:szCs w:val="21"/>
                      <w14:textFill>
                        <w14:solidFill>
                          <w14:schemeClr w14:val="tx1">
                            <w14:lumMod w14:val="95000"/>
                            <w14:lumOff w14:val="5000"/>
                          </w14:schemeClr>
                        </w14:solidFill>
                      </w14:textFill>
                    </w:rPr>
                  </w:pPr>
                </w:p>
              </w:tc>
              <w:tc>
                <w:tcPr>
                  <w:tcW w:w="669" w:type="pct"/>
                  <w:vMerge w:val="continue"/>
                  <w:vAlign w:val="center"/>
                </w:tcPr>
                <w:p>
                  <w:pPr>
                    <w:spacing w:line="320" w:lineRule="exact"/>
                    <w:ind w:firstLine="210" w:firstLineChars="100"/>
                    <w:jc w:val="center"/>
                    <w:rPr>
                      <w:color w:val="0D0D0D" w:themeColor="text1" w:themeTint="F2"/>
                      <w:szCs w:val="21"/>
                      <w14:textFill>
                        <w14:solidFill>
                          <w14:schemeClr w14:val="tx1">
                            <w14:lumMod w14:val="95000"/>
                            <w14:lumOff w14:val="5000"/>
                          </w14:schemeClr>
                        </w14:solidFill>
                      </w14:textFill>
                    </w:rPr>
                  </w:pPr>
                </w:p>
              </w:tc>
              <w:tc>
                <w:tcPr>
                  <w:tcW w:w="953" w:type="pct"/>
                  <w:vMerge w:val="continue"/>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p>
              </w:tc>
              <w:tc>
                <w:tcPr>
                  <w:tcW w:w="763" w:type="pct"/>
                  <w:vMerge w:val="continue"/>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p>
              </w:tc>
              <w:tc>
                <w:tcPr>
                  <w:tcW w:w="477" w:type="pct"/>
                  <w:vMerge w:val="continue"/>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p>
              </w:tc>
              <w:tc>
                <w:tcPr>
                  <w:tcW w:w="478"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面漆</w:t>
                  </w:r>
                </w:p>
              </w:tc>
              <w:tc>
                <w:tcPr>
                  <w:tcW w:w="641"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25</w:t>
                  </w:r>
                  <w:r>
                    <w:rPr>
                      <w:color w:val="0D0D0D" w:themeColor="text1" w:themeTint="F2"/>
                      <w:szCs w:val="21"/>
                      <w14:textFill>
                        <w14:solidFill>
                          <w14:schemeClr w14:val="tx1">
                            <w14:lumMod w14:val="95000"/>
                            <w14:lumOff w14:val="5000"/>
                          </w14:schemeClr>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89" w:hRule="exact"/>
                <w:jc w:val="center"/>
              </w:trPr>
              <w:tc>
                <w:tcPr>
                  <w:tcW w:w="1019"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溶剂型涂料</w:t>
                  </w:r>
                </w:p>
              </w:tc>
              <w:tc>
                <w:tcPr>
                  <w:tcW w:w="669" w:type="pct"/>
                  <w:vMerge w:val="continue"/>
                  <w:vAlign w:val="center"/>
                </w:tcPr>
                <w:p>
                  <w:pPr>
                    <w:spacing w:line="320" w:lineRule="exact"/>
                    <w:ind w:firstLine="210" w:firstLineChars="100"/>
                    <w:jc w:val="center"/>
                    <w:rPr>
                      <w:color w:val="0D0D0D" w:themeColor="text1" w:themeTint="F2"/>
                      <w:szCs w:val="21"/>
                      <w14:textFill>
                        <w14:solidFill>
                          <w14:schemeClr w14:val="tx1">
                            <w14:lumMod w14:val="95000"/>
                            <w14:lumOff w14:val="5000"/>
                          </w14:schemeClr>
                        </w14:solidFill>
                      </w14:textFill>
                    </w:rPr>
                  </w:pPr>
                </w:p>
              </w:tc>
              <w:tc>
                <w:tcPr>
                  <w:tcW w:w="953" w:type="pct"/>
                  <w:vMerge w:val="continue"/>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p>
              </w:tc>
              <w:tc>
                <w:tcPr>
                  <w:tcW w:w="763" w:type="pct"/>
                  <w:vMerge w:val="continue"/>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p>
              </w:tc>
              <w:tc>
                <w:tcPr>
                  <w:tcW w:w="477"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单组分</w:t>
                  </w:r>
                </w:p>
              </w:tc>
              <w:tc>
                <w:tcPr>
                  <w:tcW w:w="478"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641" w:type="pct"/>
                  <w:vAlign w:val="center"/>
                </w:tcPr>
                <w:p>
                  <w:pPr>
                    <w:spacing w:line="320" w:lineRule="exact"/>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50</w:t>
                  </w:r>
                  <w:r>
                    <w:rPr>
                      <w:color w:val="0D0D0D" w:themeColor="text1" w:themeTint="F2"/>
                      <w:szCs w:val="21"/>
                      <w14:textFill>
                        <w14:solidFill>
                          <w14:schemeClr w14:val="tx1">
                            <w14:lumMod w14:val="95000"/>
                            <w14:lumOff w14:val="5000"/>
                          </w14:schemeClr>
                        </w14:solidFill>
                      </w14:textFill>
                    </w:rPr>
                    <w:t>0</w:t>
                  </w:r>
                </w:p>
              </w:tc>
            </w:tr>
          </w:tbl>
          <w:p>
            <w:pPr>
              <w:spacing w:line="343" w:lineRule="auto"/>
              <w:ind w:firstLine="480" w:firstLineChars="200"/>
              <w:rPr>
                <w:kern w:val="24"/>
                <w:sz w:val="24"/>
              </w:rPr>
            </w:pPr>
            <w:r>
              <w:rPr>
                <w:color w:val="0D0D0D" w:themeColor="text1" w:themeTint="F2"/>
                <w:kern w:val="24"/>
                <w:sz w:val="24"/>
                <w14:textFill>
                  <w14:solidFill>
                    <w14:schemeClr w14:val="tx1">
                      <w14:lumMod w14:val="95000"/>
                      <w14:lumOff w14:val="5000"/>
                    </w14:schemeClr>
                  </w14:solidFill>
                </w14:textFill>
              </w:rPr>
              <w:t>根据涂料厂家提供的涂料VOC含量</w:t>
            </w:r>
            <w:r>
              <w:rPr>
                <w:rFonts w:hint="eastAsia"/>
                <w:color w:val="0D0D0D" w:themeColor="text1" w:themeTint="F2"/>
                <w:kern w:val="24"/>
                <w:sz w:val="24"/>
                <w14:textFill>
                  <w14:solidFill>
                    <w14:schemeClr w14:val="tx1">
                      <w14:lumMod w14:val="95000"/>
                      <w14:lumOff w14:val="5000"/>
                    </w14:schemeClr>
                  </w14:solidFill>
                </w14:textFill>
              </w:rPr>
              <w:t>检测</w:t>
            </w:r>
            <w:r>
              <w:rPr>
                <w:color w:val="0D0D0D" w:themeColor="text1" w:themeTint="F2"/>
                <w:kern w:val="24"/>
                <w:sz w:val="24"/>
                <w14:textFill>
                  <w14:solidFill>
                    <w14:schemeClr w14:val="tx1">
                      <w14:lumMod w14:val="95000"/>
                      <w14:lumOff w14:val="5000"/>
                    </w14:schemeClr>
                  </w14:solidFill>
                </w14:textFill>
              </w:rPr>
              <w:t>报告（附件</w:t>
            </w:r>
            <w:r>
              <w:rPr>
                <w:rFonts w:hint="eastAsia"/>
                <w:color w:val="0D0D0D" w:themeColor="text1" w:themeTint="F2"/>
                <w:kern w:val="24"/>
                <w:sz w:val="24"/>
                <w14:textFill>
                  <w14:solidFill>
                    <w14:schemeClr w14:val="tx1">
                      <w14:lumMod w14:val="95000"/>
                      <w14:lumOff w14:val="5000"/>
                    </w14:schemeClr>
                  </w14:solidFill>
                </w14:textFill>
              </w:rPr>
              <w:t>8</w:t>
            </w:r>
            <w:r>
              <w:rPr>
                <w:color w:val="0D0D0D" w:themeColor="text1" w:themeTint="F2"/>
                <w:kern w:val="24"/>
                <w:sz w:val="24"/>
                <w14:textFill>
                  <w14:solidFill>
                    <w14:schemeClr w14:val="tx1">
                      <w14:lumMod w14:val="95000"/>
                      <w14:lumOff w14:val="5000"/>
                    </w14:schemeClr>
                  </w14:solidFill>
                </w14:textFill>
              </w:rPr>
              <w:t>）及涂料</w:t>
            </w:r>
            <w:r>
              <w:rPr>
                <w:rFonts w:hint="eastAsia"/>
                <w:color w:val="0D0D0D" w:themeColor="text1" w:themeTint="F2"/>
                <w:kern w:val="24"/>
                <w:sz w:val="24"/>
                <w14:textFill>
                  <w14:solidFill>
                    <w14:schemeClr w14:val="tx1">
                      <w14:lumMod w14:val="95000"/>
                      <w14:lumOff w14:val="5000"/>
                    </w14:schemeClr>
                  </w14:solidFill>
                </w14:textFill>
              </w:rPr>
              <w:t>MSDS</w:t>
            </w:r>
            <w:r>
              <w:rPr>
                <w:color w:val="0D0D0D" w:themeColor="text1" w:themeTint="F2"/>
                <w:kern w:val="24"/>
                <w:sz w:val="24"/>
                <w14:textFill>
                  <w14:solidFill>
                    <w14:schemeClr w14:val="tx1">
                      <w14:lumMod w14:val="95000"/>
                      <w14:lumOff w14:val="5000"/>
                    </w14:schemeClr>
                  </w14:solidFill>
                </w14:textFill>
              </w:rPr>
              <w:t>，本项目生产所使用</w:t>
            </w:r>
            <w:r>
              <w:rPr>
                <w:rFonts w:hint="eastAsia"/>
                <w:color w:val="0D0D0D" w:themeColor="text1" w:themeTint="F2"/>
                <w:kern w:val="24"/>
                <w:sz w:val="24"/>
                <w14:textFill>
                  <w14:solidFill>
                    <w14:schemeClr w14:val="tx1">
                      <w14:lumMod w14:val="95000"/>
                      <w14:lumOff w14:val="5000"/>
                    </w14:schemeClr>
                  </w14:solidFill>
                </w14:textFill>
              </w:rPr>
              <w:t>的</w:t>
            </w:r>
            <w:r>
              <w:rPr>
                <w:rFonts w:hint="eastAsia"/>
                <w:color w:val="0D0D0D" w:themeColor="text1" w:themeTint="F2"/>
                <w:sz w:val="24"/>
                <w14:textFill>
                  <w14:solidFill>
                    <w14:schemeClr w14:val="tx1">
                      <w14:lumMod w14:val="95000"/>
                      <w14:lumOff w14:val="5000"/>
                    </w14:schemeClr>
                  </w14:solidFill>
                </w14:textFill>
              </w:rPr>
              <w:t>环氧富锌底漆、醇酸防锈漆、丙烯酸聚氨酯面漆、水性丙烯酸防锈底漆以及水性丙烯酸防锈面漆</w:t>
            </w:r>
            <w:r>
              <w:rPr>
                <w:color w:val="0D0D0D" w:themeColor="text1" w:themeTint="F2"/>
                <w:sz w:val="24"/>
                <w14:textFill>
                  <w14:solidFill>
                    <w14:schemeClr w14:val="tx1">
                      <w14:lumMod w14:val="95000"/>
                      <w14:lumOff w14:val="5000"/>
                    </w14:schemeClr>
                  </w14:solidFill>
                </w14:textFill>
              </w:rPr>
              <w:t>挥发性有机物含量分别为</w:t>
            </w:r>
            <w:r>
              <w:rPr>
                <w:rFonts w:hint="eastAsia"/>
                <w:color w:val="0D0D0D" w:themeColor="text1" w:themeTint="F2"/>
                <w:sz w:val="24"/>
                <w14:textFill>
                  <w14:solidFill>
                    <w14:schemeClr w14:val="tx1">
                      <w14:lumMod w14:val="95000"/>
                      <w14:lumOff w14:val="5000"/>
                    </w14:schemeClr>
                  </w14:solidFill>
                </w14:textFill>
              </w:rPr>
              <w:t>412</w:t>
            </w:r>
            <w:r>
              <w:rPr>
                <w:color w:val="0D0D0D" w:themeColor="text1" w:themeTint="F2"/>
                <w:sz w:val="24"/>
                <w14:textFill>
                  <w14:solidFill>
                    <w14:schemeClr w14:val="tx1">
                      <w14:lumMod w14:val="95000"/>
                      <w14:lumOff w14:val="5000"/>
                    </w14:schemeClr>
                  </w14:solidFill>
                </w14:textFill>
              </w:rPr>
              <w:t>g/L</w:t>
            </w:r>
            <w:r>
              <w:rPr>
                <w:rFonts w:hint="eastAsia"/>
                <w:color w:val="0D0D0D" w:themeColor="text1" w:themeTint="F2"/>
                <w:sz w:val="24"/>
                <w14:textFill>
                  <w14:solidFill>
                    <w14:schemeClr w14:val="tx1">
                      <w14:lumMod w14:val="95000"/>
                      <w14:lumOff w14:val="5000"/>
                    </w14:schemeClr>
                  </w14:solidFill>
                </w14:textFill>
              </w:rPr>
              <w:t>、418</w:t>
            </w:r>
            <w:r>
              <w:rPr>
                <w:color w:val="0D0D0D" w:themeColor="text1" w:themeTint="F2"/>
                <w:sz w:val="24"/>
                <w14:textFill>
                  <w14:solidFill>
                    <w14:schemeClr w14:val="tx1">
                      <w14:lumMod w14:val="95000"/>
                      <w14:lumOff w14:val="5000"/>
                    </w14:schemeClr>
                  </w14:solidFill>
                </w14:textFill>
              </w:rPr>
              <w:t>g/</w:t>
            </w:r>
            <w:r>
              <w:rPr>
                <w:rFonts w:hint="eastAsia"/>
                <w:color w:val="0D0D0D" w:themeColor="text1" w:themeTint="F2"/>
                <w:sz w:val="24"/>
                <w14:textFill>
                  <w14:solidFill>
                    <w14:schemeClr w14:val="tx1">
                      <w14:lumMod w14:val="95000"/>
                      <w14:lumOff w14:val="5000"/>
                    </w14:schemeClr>
                  </w14:solidFill>
                </w14:textFill>
              </w:rPr>
              <w:t>、425g/L、186g/L以及195g/L，</w:t>
            </w:r>
            <w:r>
              <w:rPr>
                <w:color w:val="0D0D0D"/>
                <w:kern w:val="24"/>
                <w:sz w:val="24"/>
              </w:rPr>
              <w:t>满足GB/T 38597-2020规定的低挥发性有机化合物含量要求，属于鼓励</w:t>
            </w:r>
            <w:r>
              <w:rPr>
                <w:kern w:val="24"/>
                <w:sz w:val="24"/>
              </w:rPr>
              <w:t>使用的低VOCs含量涂料。</w:t>
            </w:r>
          </w:p>
          <w:p>
            <w:pPr>
              <w:spacing w:line="360" w:lineRule="auto"/>
              <w:ind w:firstLine="482" w:firstLineChars="200"/>
              <w:rPr>
                <w:b/>
                <w:bCs/>
                <w:sz w:val="24"/>
              </w:rPr>
            </w:pPr>
            <w:r>
              <w:rPr>
                <w:rFonts w:hint="eastAsia"/>
                <w:b/>
                <w:bCs/>
                <w:sz w:val="24"/>
              </w:rPr>
              <w:t>涂料</w:t>
            </w:r>
            <w:r>
              <w:rPr>
                <w:rFonts w:hint="eastAsia"/>
                <w:b/>
                <w:bCs/>
                <w:sz w:val="24"/>
                <w:lang w:val="en-US" w:eastAsia="zh-CN"/>
              </w:rPr>
              <w:t>配比及</w:t>
            </w:r>
            <w:r>
              <w:rPr>
                <w:rFonts w:hint="eastAsia"/>
                <w:b/>
                <w:bCs/>
                <w:sz w:val="24"/>
              </w:rPr>
              <w:t>用量核算：</w:t>
            </w:r>
          </w:p>
          <w:p>
            <w:pPr>
              <w:spacing w:line="360" w:lineRule="auto"/>
              <w:ind w:firstLine="480"/>
              <w:rPr>
                <w:bCs/>
                <w:color w:val="000000"/>
                <w:sz w:val="24"/>
              </w:rPr>
            </w:pPr>
            <w:r>
              <w:rPr>
                <w:rFonts w:hint="eastAsia" w:ascii="宋体" w:hAnsi="宋体"/>
                <w:bCs/>
                <w:color w:val="000000"/>
                <w:sz w:val="24"/>
              </w:rPr>
              <w:t>建设单位提供的资料和涂料</w:t>
            </w:r>
            <w:r>
              <w:rPr>
                <w:rFonts w:hint="eastAsia" w:ascii="宋体" w:hAnsi="宋体"/>
                <w:bCs/>
                <w:color w:val="000000"/>
                <w:sz w:val="24"/>
                <w:lang w:val="en-US" w:eastAsia="zh-CN"/>
              </w:rPr>
              <w:t>配比及</w:t>
            </w:r>
            <w:r>
              <w:rPr>
                <w:rFonts w:hint="eastAsia" w:ascii="宋体" w:hAnsi="宋体"/>
                <w:bCs/>
                <w:color w:val="000000"/>
                <w:sz w:val="24"/>
              </w:rPr>
              <w:t>用量计算结果</w:t>
            </w:r>
            <w:r>
              <w:rPr>
                <w:bCs/>
                <w:color w:val="000000"/>
                <w:sz w:val="24"/>
              </w:rPr>
              <w:t>详见</w:t>
            </w:r>
            <w:r>
              <w:rPr>
                <w:rFonts w:hint="eastAsia"/>
                <w:bCs/>
                <w:color w:val="000000"/>
                <w:sz w:val="24"/>
              </w:rPr>
              <w:t>下表</w:t>
            </w:r>
            <w:r>
              <w:rPr>
                <w:bCs/>
                <w:color w:val="000000"/>
                <w:sz w:val="24"/>
              </w:rPr>
              <w:t>。</w:t>
            </w:r>
          </w:p>
          <w:p>
            <w:pPr>
              <w:jc w:val="center"/>
              <w:rPr>
                <w:b/>
                <w:sz w:val="24"/>
              </w:rPr>
            </w:pPr>
            <w:r>
              <w:rPr>
                <w:b/>
                <w:sz w:val="24"/>
              </w:rPr>
              <w:t>表2</w:t>
            </w:r>
            <w:r>
              <w:rPr>
                <w:rFonts w:hint="eastAsia"/>
                <w:b/>
                <w:sz w:val="24"/>
              </w:rPr>
              <w:t>-</w:t>
            </w:r>
            <w:r>
              <w:rPr>
                <w:rFonts w:hint="eastAsia"/>
                <w:b/>
                <w:sz w:val="24"/>
                <w:lang w:val="en-US" w:eastAsia="zh-CN"/>
              </w:rPr>
              <w:t>8</w:t>
            </w:r>
            <w:r>
              <w:rPr>
                <w:b/>
                <w:sz w:val="24"/>
              </w:rPr>
              <w:t xml:space="preserve">  </w:t>
            </w:r>
            <w:r>
              <w:rPr>
                <w:rFonts w:hint="eastAsia"/>
                <w:b/>
                <w:sz w:val="24"/>
              </w:rPr>
              <w:t>漆料</w:t>
            </w:r>
            <w:r>
              <w:rPr>
                <w:rFonts w:hint="eastAsia"/>
                <w:b/>
                <w:sz w:val="24"/>
                <w:lang w:val="en-US" w:eastAsia="zh-CN"/>
              </w:rPr>
              <w:t>配比</w:t>
            </w:r>
            <w:r>
              <w:rPr>
                <w:b/>
                <w:sz w:val="24"/>
              </w:rPr>
              <w:t>核算一览表</w:t>
            </w:r>
            <w:r>
              <w:rPr>
                <w:rFonts w:hint="eastAsia"/>
                <w:b/>
                <w:sz w:val="24"/>
                <w:lang w:val="en-US" w:eastAsia="zh-CN"/>
              </w:rPr>
              <w:t xml:space="preserve">     单位：t</w:t>
            </w:r>
          </w:p>
          <w:tbl>
            <w:tblPr>
              <w:tblStyle w:val="5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542"/>
              <w:gridCol w:w="1678"/>
              <w:gridCol w:w="1730"/>
              <w:gridCol w:w="15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60" w:hRule="atLeast"/>
              </w:trPr>
              <w:tc>
                <w:tcPr>
                  <w:tcW w:w="2094" w:type="pct"/>
                  <w:tcBorders>
                    <w:tl2br w:val="nil"/>
                    <w:tr2bl w:val="nil"/>
                  </w:tcBorders>
                  <w:vAlign w:val="center"/>
                </w:tcPr>
                <w:p>
                  <w:pPr>
                    <w:spacing w:line="360" w:lineRule="auto"/>
                    <w:jc w:val="center"/>
                    <w:rPr>
                      <w:rFonts w:hint="default" w:eastAsia="宋体"/>
                      <w:b/>
                      <w:bCs w:val="0"/>
                      <w:color w:val="000000"/>
                      <w:sz w:val="21"/>
                      <w:szCs w:val="21"/>
                      <w:vertAlign w:val="baseline"/>
                      <w:lang w:val="en-US" w:eastAsia="zh-CN"/>
                    </w:rPr>
                  </w:pPr>
                  <w:r>
                    <w:rPr>
                      <w:rFonts w:hint="eastAsia" w:ascii="Times New Roman" w:eastAsia="宋体"/>
                      <w:b/>
                      <w:bCs w:val="0"/>
                      <w:color w:val="000000"/>
                      <w:sz w:val="21"/>
                      <w:szCs w:val="21"/>
                      <w:vertAlign w:val="baseline"/>
                      <w:lang w:val="en-US" w:eastAsia="zh-CN"/>
                    </w:rPr>
                    <w:t>漆料名称</w:t>
                  </w:r>
                </w:p>
              </w:tc>
              <w:tc>
                <w:tcPr>
                  <w:tcW w:w="992" w:type="pct"/>
                  <w:tcBorders>
                    <w:tl2br w:val="nil"/>
                    <w:tr2bl w:val="nil"/>
                  </w:tcBorders>
                  <w:vAlign w:val="center"/>
                </w:tcPr>
                <w:p>
                  <w:pPr>
                    <w:spacing w:line="360" w:lineRule="auto"/>
                    <w:jc w:val="center"/>
                    <w:rPr>
                      <w:rFonts w:hint="default" w:eastAsia="宋体"/>
                      <w:b/>
                      <w:bCs w:val="0"/>
                      <w:color w:val="000000"/>
                      <w:sz w:val="21"/>
                      <w:szCs w:val="21"/>
                      <w:vertAlign w:val="baseline"/>
                      <w:lang w:val="en-US" w:eastAsia="zh-CN"/>
                    </w:rPr>
                  </w:pPr>
                  <w:r>
                    <w:rPr>
                      <w:rFonts w:hint="eastAsia" w:ascii="Times New Roman" w:eastAsia="宋体"/>
                      <w:b/>
                      <w:bCs w:val="0"/>
                      <w:color w:val="000000"/>
                      <w:sz w:val="21"/>
                      <w:szCs w:val="21"/>
                      <w:vertAlign w:val="baseline"/>
                      <w:lang w:val="en-US" w:eastAsia="zh-CN"/>
                    </w:rPr>
                    <w:t>漆用量</w:t>
                  </w:r>
                  <w:r>
                    <w:rPr>
                      <w:rFonts w:hint="eastAsia"/>
                      <w:b/>
                      <w:bCs w:val="0"/>
                      <w:color w:val="000000"/>
                      <w:sz w:val="21"/>
                      <w:szCs w:val="21"/>
                      <w:vertAlign w:val="baseline"/>
                      <w:lang w:val="en-US" w:eastAsia="zh-CN"/>
                    </w:rPr>
                    <w:t>(80%)</w:t>
                  </w:r>
                </w:p>
              </w:tc>
              <w:tc>
                <w:tcPr>
                  <w:tcW w:w="1023" w:type="pct"/>
                  <w:tcBorders>
                    <w:tl2br w:val="nil"/>
                    <w:tr2bl w:val="nil"/>
                  </w:tcBorders>
                  <w:vAlign w:val="center"/>
                </w:tcPr>
                <w:p>
                  <w:pPr>
                    <w:spacing w:line="360" w:lineRule="auto"/>
                    <w:jc w:val="center"/>
                    <w:rPr>
                      <w:rFonts w:hint="default" w:eastAsia="宋体"/>
                      <w:b/>
                      <w:bCs w:val="0"/>
                      <w:color w:val="000000"/>
                      <w:sz w:val="21"/>
                      <w:szCs w:val="21"/>
                      <w:vertAlign w:val="baseline"/>
                      <w:lang w:val="en-US" w:eastAsia="zh-CN"/>
                    </w:rPr>
                  </w:pPr>
                  <w:r>
                    <w:rPr>
                      <w:rFonts w:hint="eastAsia" w:ascii="Times New Roman" w:eastAsia="宋体"/>
                      <w:b/>
                      <w:bCs w:val="0"/>
                      <w:color w:val="000000"/>
                      <w:sz w:val="21"/>
                      <w:szCs w:val="21"/>
                      <w:vertAlign w:val="baseline"/>
                      <w:lang w:val="en-US" w:eastAsia="zh-CN"/>
                    </w:rPr>
                    <w:t>稀释剂</w:t>
                  </w:r>
                  <w:r>
                    <w:rPr>
                      <w:rFonts w:hint="eastAsia"/>
                      <w:b/>
                      <w:bCs w:val="0"/>
                      <w:color w:val="000000"/>
                      <w:sz w:val="21"/>
                      <w:szCs w:val="21"/>
                      <w:vertAlign w:val="baseline"/>
                      <w:lang w:val="en-US" w:eastAsia="zh-CN"/>
                    </w:rPr>
                    <w:t>(20%)</w:t>
                  </w:r>
                </w:p>
              </w:tc>
              <w:tc>
                <w:tcPr>
                  <w:tcW w:w="890" w:type="pct"/>
                  <w:tcBorders>
                    <w:tl2br w:val="nil"/>
                    <w:tr2bl w:val="nil"/>
                  </w:tcBorders>
                  <w:vAlign w:val="center"/>
                </w:tcPr>
                <w:p>
                  <w:pPr>
                    <w:spacing w:line="360" w:lineRule="auto"/>
                    <w:jc w:val="center"/>
                    <w:rPr>
                      <w:rFonts w:hint="eastAsia" w:eastAsia="宋体"/>
                      <w:b/>
                      <w:bCs w:val="0"/>
                      <w:color w:val="000000"/>
                      <w:sz w:val="21"/>
                      <w:szCs w:val="21"/>
                      <w:vertAlign w:val="baseline"/>
                      <w:lang w:val="en-US" w:eastAsia="zh-CN"/>
                    </w:rPr>
                  </w:pPr>
                  <w:r>
                    <w:rPr>
                      <w:rFonts w:hint="eastAsia" w:ascii="Times New Roman" w:eastAsia="宋体"/>
                      <w:b/>
                      <w:bCs w:val="0"/>
                      <w:color w:val="000000"/>
                      <w:sz w:val="21"/>
                      <w:szCs w:val="21"/>
                      <w:vertAlign w:val="baseline"/>
                      <w:lang w:val="en-US" w:eastAsia="zh-CN"/>
                    </w:rPr>
                    <w:t>总用量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94" w:type="pct"/>
                  <w:tcBorders>
                    <w:tl2br w:val="nil"/>
                    <w:tr2bl w:val="nil"/>
                  </w:tcBorders>
                  <w:vAlign w:val="center"/>
                </w:tcPr>
                <w:p>
                  <w:pPr>
                    <w:spacing w:line="360" w:lineRule="auto"/>
                    <w:jc w:val="center"/>
                    <w:rPr>
                      <w:bCs/>
                      <w:color w:val="000000"/>
                      <w:sz w:val="21"/>
                      <w:szCs w:val="21"/>
                      <w:vertAlign w:val="baseline"/>
                    </w:rPr>
                  </w:pPr>
                  <w:r>
                    <w:rPr>
                      <w:rFonts w:hint="eastAsia"/>
                      <w:bCs/>
                      <w:color w:val="000000"/>
                      <w:sz w:val="21"/>
                      <w:szCs w:val="21"/>
                      <w:vertAlign w:val="baseline"/>
                    </w:rPr>
                    <w:t>水性丙烯酸防锈底漆</w:t>
                  </w:r>
                </w:p>
              </w:tc>
              <w:tc>
                <w:tcPr>
                  <w:tcW w:w="992"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bCs/>
                      <w:color w:val="000000"/>
                      <w:sz w:val="21"/>
                      <w:szCs w:val="21"/>
                      <w:vertAlign w:val="baseline"/>
                      <w:lang w:val="en-US" w:eastAsia="zh-CN"/>
                    </w:rPr>
                    <w:t>1.28</w:t>
                  </w:r>
                </w:p>
              </w:tc>
              <w:tc>
                <w:tcPr>
                  <w:tcW w:w="1023"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bCs/>
                      <w:color w:val="000000"/>
                      <w:sz w:val="21"/>
                      <w:szCs w:val="21"/>
                      <w:vertAlign w:val="baseline"/>
                      <w:lang w:val="en-US" w:eastAsia="zh-CN"/>
                    </w:rPr>
                    <w:t>0.32</w:t>
                  </w:r>
                </w:p>
              </w:tc>
              <w:tc>
                <w:tcPr>
                  <w:tcW w:w="890"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bCs/>
                      <w:color w:val="000000"/>
                      <w:sz w:val="21"/>
                      <w:szCs w:val="21"/>
                      <w:vertAlign w:val="baseline"/>
                      <w:lang w:val="en-US" w:eastAsia="zh-CN"/>
                    </w:rPr>
                    <w:t>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094" w:type="pct"/>
                  <w:tcBorders>
                    <w:tl2br w:val="nil"/>
                    <w:tr2bl w:val="nil"/>
                  </w:tcBorders>
                  <w:vAlign w:val="center"/>
                </w:tcPr>
                <w:p>
                  <w:pPr>
                    <w:spacing w:line="360" w:lineRule="auto"/>
                    <w:jc w:val="center"/>
                    <w:rPr>
                      <w:bCs/>
                      <w:color w:val="000000"/>
                      <w:sz w:val="21"/>
                      <w:szCs w:val="21"/>
                      <w:vertAlign w:val="baseline"/>
                    </w:rPr>
                  </w:pPr>
                  <w:r>
                    <w:rPr>
                      <w:rFonts w:hint="eastAsia"/>
                      <w:bCs/>
                      <w:color w:val="000000"/>
                      <w:sz w:val="21"/>
                      <w:szCs w:val="21"/>
                      <w:vertAlign w:val="baseline"/>
                    </w:rPr>
                    <w:t>水性丙烯酸防锈面漆</w:t>
                  </w:r>
                </w:p>
              </w:tc>
              <w:tc>
                <w:tcPr>
                  <w:tcW w:w="992"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bCs/>
                      <w:color w:val="000000"/>
                      <w:sz w:val="21"/>
                      <w:szCs w:val="21"/>
                      <w:vertAlign w:val="baseline"/>
                      <w:lang w:val="en-US" w:eastAsia="zh-CN"/>
                    </w:rPr>
                    <w:t>1.28</w:t>
                  </w:r>
                </w:p>
              </w:tc>
              <w:tc>
                <w:tcPr>
                  <w:tcW w:w="1023"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bCs/>
                      <w:color w:val="000000"/>
                      <w:sz w:val="21"/>
                      <w:szCs w:val="21"/>
                      <w:vertAlign w:val="baseline"/>
                      <w:lang w:val="en-US" w:eastAsia="zh-CN"/>
                    </w:rPr>
                    <w:t>0.32</w:t>
                  </w:r>
                </w:p>
              </w:tc>
              <w:tc>
                <w:tcPr>
                  <w:tcW w:w="890"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bCs/>
                      <w:color w:val="000000"/>
                      <w:sz w:val="21"/>
                      <w:szCs w:val="21"/>
                      <w:vertAlign w:val="baseline"/>
                      <w:lang w:val="en-US" w:eastAsia="zh-CN"/>
                    </w:rPr>
                    <w:t>1.6</w:t>
                  </w:r>
                </w:p>
              </w:tc>
            </w:tr>
          </w:tbl>
          <w:p>
            <w:pPr>
              <w:spacing w:line="360" w:lineRule="auto"/>
              <w:ind w:firstLine="480"/>
              <w:rPr>
                <w:bCs/>
                <w:color w:val="000000"/>
                <w:sz w:val="24"/>
              </w:rPr>
            </w:pPr>
          </w:p>
          <w:p>
            <w:pPr>
              <w:jc w:val="center"/>
              <w:rPr>
                <w:rFonts w:hint="default" w:eastAsia="宋体"/>
                <w:b/>
                <w:sz w:val="24"/>
                <w:lang w:val="en-US" w:eastAsia="zh-CN"/>
              </w:rPr>
            </w:pPr>
            <w:r>
              <w:rPr>
                <w:b/>
                <w:sz w:val="24"/>
              </w:rPr>
              <w:t>表2</w:t>
            </w:r>
            <w:r>
              <w:rPr>
                <w:rFonts w:hint="eastAsia"/>
                <w:b/>
                <w:sz w:val="24"/>
              </w:rPr>
              <w:t>-</w:t>
            </w:r>
            <w:r>
              <w:rPr>
                <w:rFonts w:hint="eastAsia"/>
                <w:b/>
                <w:sz w:val="24"/>
                <w:lang w:val="en-US" w:eastAsia="zh-CN"/>
              </w:rPr>
              <w:t>9</w:t>
            </w:r>
            <w:r>
              <w:rPr>
                <w:b/>
                <w:sz w:val="24"/>
              </w:rPr>
              <w:t xml:space="preserve">  </w:t>
            </w:r>
            <w:r>
              <w:rPr>
                <w:rFonts w:hint="eastAsia"/>
                <w:b/>
                <w:sz w:val="24"/>
              </w:rPr>
              <w:t>漆料</w:t>
            </w:r>
            <w:r>
              <w:rPr>
                <w:rFonts w:hint="eastAsia" w:ascii="Times New Roman" w:eastAsia="宋体"/>
                <w:b/>
                <w:sz w:val="24"/>
                <w:lang w:val="en-US" w:eastAsia="zh-CN"/>
              </w:rPr>
              <w:t>配比</w:t>
            </w:r>
            <w:r>
              <w:rPr>
                <w:b/>
                <w:sz w:val="24"/>
              </w:rPr>
              <w:t>核算一览表</w:t>
            </w:r>
            <w:r>
              <w:rPr>
                <w:rFonts w:hint="eastAsia" w:ascii="Times New Roman" w:eastAsia="宋体"/>
                <w:b/>
                <w:sz w:val="24"/>
                <w:lang w:val="en-US" w:eastAsia="zh-CN"/>
              </w:rPr>
              <w:t xml:space="preserve">     单位：t</w:t>
            </w:r>
          </w:p>
          <w:tbl>
            <w:tblPr>
              <w:tblStyle w:val="59"/>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985"/>
              <w:gridCol w:w="1416"/>
              <w:gridCol w:w="1551"/>
              <w:gridCol w:w="1292"/>
              <w:gridCol w:w="12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765" w:type="pct"/>
                  <w:tcBorders>
                    <w:tl2br w:val="nil"/>
                    <w:tr2bl w:val="nil"/>
                  </w:tcBorders>
                  <w:vAlign w:val="center"/>
                </w:tcPr>
                <w:p>
                  <w:pPr>
                    <w:spacing w:line="360" w:lineRule="auto"/>
                    <w:jc w:val="center"/>
                    <w:rPr>
                      <w:rFonts w:hint="default" w:eastAsia="宋体"/>
                      <w:b/>
                      <w:bCs w:val="0"/>
                      <w:color w:val="000000"/>
                      <w:sz w:val="21"/>
                      <w:szCs w:val="21"/>
                      <w:vertAlign w:val="baseline"/>
                      <w:lang w:val="en-US" w:eastAsia="zh-CN"/>
                    </w:rPr>
                  </w:pPr>
                  <w:r>
                    <w:rPr>
                      <w:rFonts w:hint="eastAsia" w:ascii="Times New Roman" w:eastAsia="宋体"/>
                      <w:b/>
                      <w:bCs w:val="0"/>
                      <w:color w:val="000000"/>
                      <w:sz w:val="21"/>
                      <w:szCs w:val="21"/>
                      <w:vertAlign w:val="baseline"/>
                      <w:lang w:val="en-US" w:eastAsia="zh-CN"/>
                    </w:rPr>
                    <w:t>漆料名称</w:t>
                  </w:r>
                </w:p>
              </w:tc>
              <w:tc>
                <w:tcPr>
                  <w:tcW w:w="837" w:type="pct"/>
                  <w:tcBorders>
                    <w:tl2br w:val="nil"/>
                    <w:tr2bl w:val="nil"/>
                  </w:tcBorders>
                  <w:vAlign w:val="center"/>
                </w:tcPr>
                <w:p>
                  <w:pPr>
                    <w:spacing w:line="360" w:lineRule="auto"/>
                    <w:jc w:val="center"/>
                    <w:rPr>
                      <w:rFonts w:hint="default" w:eastAsia="宋体"/>
                      <w:b/>
                      <w:bCs w:val="0"/>
                      <w:color w:val="000000"/>
                      <w:sz w:val="21"/>
                      <w:szCs w:val="21"/>
                      <w:vertAlign w:val="baseline"/>
                      <w:lang w:val="en-US" w:eastAsia="zh-CN"/>
                    </w:rPr>
                  </w:pPr>
                  <w:r>
                    <w:rPr>
                      <w:rFonts w:hint="eastAsia" w:ascii="Times New Roman" w:eastAsia="宋体"/>
                      <w:b/>
                      <w:bCs w:val="0"/>
                      <w:color w:val="000000"/>
                      <w:sz w:val="21"/>
                      <w:szCs w:val="21"/>
                      <w:vertAlign w:val="baseline"/>
                      <w:lang w:val="en-US" w:eastAsia="zh-CN"/>
                    </w:rPr>
                    <w:t>漆用量</w:t>
                  </w:r>
                </w:p>
              </w:tc>
              <w:tc>
                <w:tcPr>
                  <w:tcW w:w="917" w:type="pct"/>
                  <w:tcBorders>
                    <w:tl2br w:val="nil"/>
                    <w:tr2bl w:val="nil"/>
                  </w:tcBorders>
                  <w:vAlign w:val="center"/>
                </w:tcPr>
                <w:p>
                  <w:pPr>
                    <w:spacing w:line="360" w:lineRule="auto"/>
                    <w:jc w:val="center"/>
                    <w:rPr>
                      <w:rFonts w:hint="eastAsia" w:eastAsia="宋体"/>
                      <w:b/>
                      <w:bCs w:val="0"/>
                      <w:color w:val="000000"/>
                      <w:sz w:val="21"/>
                      <w:szCs w:val="21"/>
                      <w:vertAlign w:val="baseline"/>
                      <w:lang w:val="en-US" w:eastAsia="zh-CN"/>
                    </w:rPr>
                  </w:pPr>
                  <w:r>
                    <w:rPr>
                      <w:rFonts w:hint="eastAsia" w:ascii="Times New Roman" w:eastAsia="宋体"/>
                      <w:b/>
                      <w:bCs w:val="0"/>
                      <w:color w:val="000000"/>
                      <w:sz w:val="21"/>
                      <w:szCs w:val="21"/>
                      <w:vertAlign w:val="baseline"/>
                      <w:lang w:val="en-US" w:eastAsia="zh-CN"/>
                    </w:rPr>
                    <w:t>稀释剂</w:t>
                  </w:r>
                </w:p>
              </w:tc>
              <w:tc>
                <w:tcPr>
                  <w:tcW w:w="764" w:type="pct"/>
                  <w:tcBorders>
                    <w:tl2br w:val="nil"/>
                    <w:tr2bl w:val="nil"/>
                  </w:tcBorders>
                  <w:vAlign w:val="center"/>
                </w:tcPr>
                <w:p>
                  <w:pPr>
                    <w:spacing w:line="360" w:lineRule="auto"/>
                    <w:jc w:val="center"/>
                    <w:rPr>
                      <w:rFonts w:hint="default" w:eastAsia="宋体"/>
                      <w:b/>
                      <w:bCs w:val="0"/>
                      <w:color w:val="000000"/>
                      <w:sz w:val="21"/>
                      <w:szCs w:val="21"/>
                      <w:vertAlign w:val="baseline"/>
                      <w:lang w:val="en-US" w:eastAsia="zh-CN"/>
                    </w:rPr>
                  </w:pPr>
                  <w:r>
                    <w:rPr>
                      <w:rFonts w:hint="eastAsia" w:ascii="Times New Roman" w:eastAsia="宋体"/>
                      <w:b/>
                      <w:bCs w:val="0"/>
                      <w:color w:val="000000"/>
                      <w:sz w:val="21"/>
                      <w:szCs w:val="21"/>
                      <w:vertAlign w:val="baseline"/>
                      <w:lang w:val="en-US" w:eastAsia="zh-CN"/>
                    </w:rPr>
                    <w:t>固化剂</w:t>
                  </w:r>
                </w:p>
              </w:tc>
              <w:tc>
                <w:tcPr>
                  <w:tcW w:w="716" w:type="pct"/>
                  <w:tcBorders>
                    <w:tl2br w:val="nil"/>
                    <w:tr2bl w:val="nil"/>
                  </w:tcBorders>
                  <w:vAlign w:val="center"/>
                </w:tcPr>
                <w:p>
                  <w:pPr>
                    <w:spacing w:line="360" w:lineRule="auto"/>
                    <w:jc w:val="center"/>
                    <w:rPr>
                      <w:rFonts w:hint="eastAsia" w:eastAsia="宋体"/>
                      <w:b/>
                      <w:bCs w:val="0"/>
                      <w:color w:val="000000"/>
                      <w:sz w:val="21"/>
                      <w:szCs w:val="21"/>
                      <w:vertAlign w:val="baseline"/>
                      <w:lang w:val="en-US" w:eastAsia="zh-CN"/>
                    </w:rPr>
                  </w:pPr>
                  <w:r>
                    <w:rPr>
                      <w:rFonts w:hint="eastAsia" w:ascii="Times New Roman" w:eastAsia="宋体"/>
                      <w:b/>
                      <w:bCs w:val="0"/>
                      <w:color w:val="000000"/>
                      <w:sz w:val="21"/>
                      <w:szCs w:val="21"/>
                      <w:vertAlign w:val="baseline"/>
                      <w:lang w:val="en-US" w:eastAsia="zh-CN"/>
                    </w:rPr>
                    <w:t>总用量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65" w:type="pct"/>
                  <w:tcBorders>
                    <w:tl2br w:val="nil"/>
                    <w:tr2bl w:val="nil"/>
                  </w:tcBorders>
                  <w:vAlign w:val="center"/>
                </w:tcPr>
                <w:p>
                  <w:pPr>
                    <w:spacing w:line="360" w:lineRule="auto"/>
                    <w:jc w:val="center"/>
                    <w:rPr>
                      <w:rFonts w:hint="eastAsia"/>
                      <w:bCs/>
                      <w:color w:val="000000"/>
                      <w:sz w:val="21"/>
                      <w:szCs w:val="21"/>
                      <w:vertAlign w:val="baseline"/>
                    </w:rPr>
                  </w:pPr>
                  <w:r>
                    <w:rPr>
                      <w:rFonts w:hint="eastAsia"/>
                      <w:bCs/>
                      <w:color w:val="000000"/>
                      <w:sz w:val="21"/>
                      <w:szCs w:val="21"/>
                      <w:vertAlign w:val="baseline"/>
                    </w:rPr>
                    <w:t>环氧富锌防腐底漆</w:t>
                  </w:r>
                </w:p>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75:15:10</w:t>
                  </w:r>
                </w:p>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(漆：稀释剂：固化剂）</w:t>
                  </w:r>
                </w:p>
              </w:tc>
              <w:tc>
                <w:tcPr>
                  <w:tcW w:w="837"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0.96</w:t>
                  </w:r>
                </w:p>
              </w:tc>
              <w:tc>
                <w:tcPr>
                  <w:tcW w:w="917"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0.192</w:t>
                  </w:r>
                </w:p>
              </w:tc>
              <w:tc>
                <w:tcPr>
                  <w:tcW w:w="764"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0.128</w:t>
                  </w:r>
                </w:p>
              </w:tc>
              <w:tc>
                <w:tcPr>
                  <w:tcW w:w="716"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1.28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65" w:type="pct"/>
                  <w:tcBorders>
                    <w:tl2br w:val="nil"/>
                    <w:tr2bl w:val="nil"/>
                  </w:tcBorders>
                  <w:vAlign w:val="center"/>
                </w:tcPr>
                <w:p>
                  <w:pPr>
                    <w:spacing w:line="360" w:lineRule="auto"/>
                    <w:jc w:val="center"/>
                    <w:rPr>
                      <w:rFonts w:hint="eastAsia"/>
                      <w:bCs/>
                      <w:color w:val="000000"/>
                      <w:sz w:val="21"/>
                      <w:szCs w:val="21"/>
                      <w:vertAlign w:val="baseline"/>
                    </w:rPr>
                  </w:pPr>
                  <w:r>
                    <w:rPr>
                      <w:rFonts w:hint="eastAsia"/>
                      <w:bCs/>
                      <w:color w:val="000000"/>
                      <w:sz w:val="21"/>
                      <w:szCs w:val="21"/>
                      <w:vertAlign w:val="baseline"/>
                    </w:rPr>
                    <w:t>铁红醇酸防锈底漆</w:t>
                  </w:r>
                </w:p>
                <w:p>
                  <w:pPr>
                    <w:spacing w:line="360" w:lineRule="auto"/>
                    <w:jc w:val="center"/>
                    <w:rPr>
                      <w:rFonts w:hint="eastAsia"/>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85:15</w:t>
                  </w:r>
                </w:p>
                <w:p>
                  <w:pPr>
                    <w:spacing w:line="360" w:lineRule="auto"/>
                    <w:jc w:val="center"/>
                    <w:rPr>
                      <w:rFonts w:ascii="Times New Roman" w:hAnsi="Times New Roman" w:eastAsia="宋体" w:cs="Times New Roman"/>
                      <w:bCs/>
                      <w:color w:val="000000"/>
                      <w:kern w:val="2"/>
                      <w:sz w:val="21"/>
                      <w:szCs w:val="21"/>
                      <w:vertAlign w:val="baseline"/>
                      <w:lang w:val="en-US" w:eastAsia="zh-CN" w:bidi="ar-SA"/>
                    </w:rPr>
                  </w:pPr>
                  <w:r>
                    <w:rPr>
                      <w:rFonts w:hint="eastAsia" w:ascii="Times New Roman" w:eastAsia="宋体"/>
                      <w:bCs/>
                      <w:color w:val="000000"/>
                      <w:sz w:val="21"/>
                      <w:szCs w:val="21"/>
                      <w:vertAlign w:val="baseline"/>
                      <w:lang w:val="en-US" w:eastAsia="zh-CN"/>
                    </w:rPr>
                    <w:t>(漆：稀释剂）</w:t>
                  </w:r>
                </w:p>
              </w:tc>
              <w:tc>
                <w:tcPr>
                  <w:tcW w:w="837"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1.0285</w:t>
                  </w:r>
                </w:p>
              </w:tc>
              <w:tc>
                <w:tcPr>
                  <w:tcW w:w="917"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0.1815</w:t>
                  </w:r>
                </w:p>
              </w:tc>
              <w:tc>
                <w:tcPr>
                  <w:tcW w:w="764"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w:t>
                  </w:r>
                </w:p>
              </w:tc>
              <w:tc>
                <w:tcPr>
                  <w:tcW w:w="716"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1.21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65" w:type="pct"/>
                  <w:tcBorders>
                    <w:tl2br w:val="nil"/>
                    <w:tr2bl w:val="nil"/>
                  </w:tcBorders>
                  <w:vAlign w:val="center"/>
                </w:tcPr>
                <w:p>
                  <w:pPr>
                    <w:spacing w:line="360" w:lineRule="auto"/>
                    <w:jc w:val="center"/>
                    <w:rPr>
                      <w:rFonts w:hint="eastAsia"/>
                      <w:bCs/>
                      <w:color w:val="000000"/>
                      <w:sz w:val="21"/>
                      <w:szCs w:val="21"/>
                      <w:vertAlign w:val="baseline"/>
                    </w:rPr>
                  </w:pPr>
                  <w:r>
                    <w:rPr>
                      <w:rFonts w:hint="eastAsia"/>
                      <w:bCs/>
                      <w:color w:val="000000"/>
                      <w:sz w:val="21"/>
                      <w:szCs w:val="21"/>
                      <w:vertAlign w:val="baseline"/>
                    </w:rPr>
                    <w:t>丙烯酸聚氨酯面漆</w:t>
                  </w:r>
                </w:p>
                <w:p>
                  <w:pPr>
                    <w:spacing w:line="360" w:lineRule="auto"/>
                    <w:jc w:val="center"/>
                    <w:rPr>
                      <w:rFonts w:hint="eastAsia"/>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75:15:10</w:t>
                  </w:r>
                </w:p>
                <w:p>
                  <w:pPr>
                    <w:spacing w:line="360" w:lineRule="auto"/>
                    <w:jc w:val="center"/>
                    <w:rPr>
                      <w:rFonts w:ascii="Times New Roman" w:hAnsi="Times New Roman" w:eastAsia="宋体" w:cs="Times New Roman"/>
                      <w:bCs/>
                      <w:color w:val="000000"/>
                      <w:kern w:val="2"/>
                      <w:sz w:val="21"/>
                      <w:szCs w:val="21"/>
                      <w:vertAlign w:val="baseline"/>
                      <w:lang w:val="en-US" w:eastAsia="zh-CN" w:bidi="ar-SA"/>
                    </w:rPr>
                  </w:pPr>
                  <w:r>
                    <w:rPr>
                      <w:rFonts w:hint="eastAsia" w:ascii="Times New Roman" w:eastAsia="宋体"/>
                      <w:bCs/>
                      <w:color w:val="000000"/>
                      <w:sz w:val="21"/>
                      <w:szCs w:val="21"/>
                      <w:vertAlign w:val="baseline"/>
                      <w:lang w:val="en-US" w:eastAsia="zh-CN"/>
                    </w:rPr>
                    <w:t>(漆：稀释剂：固化剂）</w:t>
                  </w:r>
                </w:p>
              </w:tc>
              <w:tc>
                <w:tcPr>
                  <w:tcW w:w="837"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2.2125</w:t>
                  </w:r>
                </w:p>
              </w:tc>
              <w:tc>
                <w:tcPr>
                  <w:tcW w:w="917"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0.4425</w:t>
                  </w:r>
                </w:p>
              </w:tc>
              <w:tc>
                <w:tcPr>
                  <w:tcW w:w="764"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0.295</w:t>
                  </w:r>
                </w:p>
              </w:tc>
              <w:tc>
                <w:tcPr>
                  <w:tcW w:w="716" w:type="pct"/>
                  <w:tcBorders>
                    <w:tl2br w:val="nil"/>
                    <w:tr2bl w:val="nil"/>
                  </w:tcBorders>
                  <w:vAlign w:val="center"/>
                </w:tcPr>
                <w:p>
                  <w:pPr>
                    <w:spacing w:line="360" w:lineRule="auto"/>
                    <w:jc w:val="center"/>
                    <w:rPr>
                      <w:rFonts w:hint="default" w:eastAsia="宋体"/>
                      <w:bCs/>
                      <w:color w:val="000000"/>
                      <w:sz w:val="21"/>
                      <w:szCs w:val="21"/>
                      <w:vertAlign w:val="baseline"/>
                      <w:lang w:val="en-US" w:eastAsia="zh-CN"/>
                    </w:rPr>
                  </w:pPr>
                  <w:r>
                    <w:rPr>
                      <w:rFonts w:hint="eastAsia" w:ascii="Times New Roman" w:eastAsia="宋体"/>
                      <w:bCs/>
                      <w:color w:val="000000"/>
                      <w:sz w:val="21"/>
                      <w:szCs w:val="21"/>
                      <w:vertAlign w:val="baseline"/>
                      <w:lang w:val="en-US" w:eastAsia="zh-CN"/>
                    </w:rPr>
                    <w:t>2.95</w:t>
                  </w:r>
                </w:p>
              </w:tc>
            </w:tr>
          </w:tbl>
          <w:p>
            <w:pPr>
              <w:jc w:val="center"/>
              <w:rPr>
                <w:b/>
                <w:sz w:val="24"/>
              </w:rPr>
            </w:pPr>
            <w:r>
              <w:rPr>
                <w:b/>
                <w:sz w:val="24"/>
              </w:rPr>
              <w:t>表2</w:t>
            </w:r>
            <w:r>
              <w:rPr>
                <w:rFonts w:hint="eastAsia"/>
                <w:b/>
                <w:sz w:val="24"/>
              </w:rPr>
              <w:t>-</w:t>
            </w:r>
            <w:r>
              <w:rPr>
                <w:rFonts w:hint="eastAsia"/>
                <w:b/>
                <w:sz w:val="24"/>
                <w:lang w:val="en-US" w:eastAsia="zh-CN"/>
              </w:rPr>
              <w:t>10</w:t>
            </w:r>
            <w:r>
              <w:rPr>
                <w:b/>
                <w:sz w:val="24"/>
              </w:rPr>
              <w:t xml:space="preserve">  </w:t>
            </w:r>
            <w:r>
              <w:rPr>
                <w:rFonts w:hint="eastAsia"/>
                <w:b/>
                <w:sz w:val="24"/>
              </w:rPr>
              <w:t>漆料</w:t>
            </w:r>
            <w:r>
              <w:rPr>
                <w:b/>
                <w:sz w:val="24"/>
              </w:rPr>
              <w:t>用量核算一览表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348"/>
              <w:gridCol w:w="881"/>
              <w:gridCol w:w="851"/>
              <w:gridCol w:w="882"/>
              <w:gridCol w:w="939"/>
              <w:gridCol w:w="882"/>
              <w:gridCol w:w="851"/>
              <w:gridCol w:w="883"/>
              <w:gridCol w:w="941"/>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31" w:hRule="atLeast"/>
                <w:jc w:val="center"/>
              </w:trPr>
              <w:tc>
                <w:tcPr>
                  <w:tcW w:w="797" w:type="pct"/>
                  <w:vMerge w:val="restar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喷涂信息</w:t>
                  </w:r>
                </w:p>
              </w:tc>
              <w:tc>
                <w:tcPr>
                  <w:tcW w:w="2100" w:type="pct"/>
                  <w:gridSpan w:val="4"/>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kern w:val="0"/>
                      <w:szCs w:val="21"/>
                    </w:rPr>
                    <w:t>水性丙烯酸防锈底漆</w:t>
                  </w:r>
                </w:p>
              </w:tc>
              <w:tc>
                <w:tcPr>
                  <w:tcW w:w="2102" w:type="pct"/>
                  <w:gridSpan w:val="4"/>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kern w:val="0"/>
                      <w:szCs w:val="21"/>
                    </w:rPr>
                    <w:t>水性丙烯酸防锈面漆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31" w:hRule="atLeast"/>
                <w:jc w:val="center"/>
              </w:trPr>
              <w:tc>
                <w:tcPr>
                  <w:tcW w:w="797" w:type="pct"/>
                  <w:vMerge w:val="continue"/>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p>
              </w:tc>
              <w:tc>
                <w:tcPr>
                  <w:tcW w:w="521"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单个喷涂面积</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（m</w:t>
                  </w:r>
                  <w:r>
                    <w:rPr>
                      <w:b/>
                      <w:szCs w:val="21"/>
                      <w:vertAlign w:val="superscript"/>
                    </w:rPr>
                    <w:t>2</w:t>
                  </w:r>
                  <w:r>
                    <w:rPr>
                      <w:b/>
                      <w:szCs w:val="21"/>
                    </w:rPr>
                    <w:t>）</w:t>
                  </w:r>
                </w:p>
              </w:tc>
              <w:tc>
                <w:tcPr>
                  <w:tcW w:w="503"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工件数</w:t>
                  </w:r>
                  <w:r>
                    <w:rPr>
                      <w:rFonts w:hint="eastAsia"/>
                      <w:b/>
                      <w:szCs w:val="21"/>
                    </w:rPr>
                    <w:t>（个）</w:t>
                  </w:r>
                </w:p>
              </w:tc>
              <w:tc>
                <w:tcPr>
                  <w:tcW w:w="521"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总喷涂量（m</w:t>
                  </w:r>
                  <w:r>
                    <w:rPr>
                      <w:rFonts w:hint="eastAsia"/>
                      <w:b/>
                      <w:szCs w:val="21"/>
                      <w:vertAlign w:val="superscript"/>
                    </w:rPr>
                    <w:t>2</w:t>
                  </w:r>
                  <w:r>
                    <w:rPr>
                      <w:b/>
                      <w:szCs w:val="21"/>
                    </w:rPr>
                    <w:t>）</w:t>
                  </w:r>
                </w:p>
              </w:tc>
              <w:tc>
                <w:tcPr>
                  <w:tcW w:w="553"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喷涂厚度</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w:t>
                  </w:r>
                  <w:r>
                    <w:rPr>
                      <w:b/>
                    </w:rPr>
                    <w:t>μ</w:t>
                  </w:r>
                  <w:r>
                    <w:rPr>
                      <w:b/>
                      <w:szCs w:val="21"/>
                    </w:rPr>
                    <w:t>m）</w:t>
                  </w:r>
                </w:p>
              </w:tc>
              <w:tc>
                <w:tcPr>
                  <w:tcW w:w="521"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单个喷涂面积</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（m</w:t>
                  </w:r>
                  <w:r>
                    <w:rPr>
                      <w:b/>
                      <w:szCs w:val="21"/>
                      <w:vertAlign w:val="superscript"/>
                    </w:rPr>
                    <w:t>2</w:t>
                  </w:r>
                  <w:r>
                    <w:rPr>
                      <w:b/>
                      <w:szCs w:val="21"/>
                    </w:rPr>
                    <w:t>）</w:t>
                  </w:r>
                </w:p>
              </w:tc>
              <w:tc>
                <w:tcPr>
                  <w:tcW w:w="503"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工件数</w:t>
                  </w:r>
                  <w:r>
                    <w:rPr>
                      <w:rFonts w:hint="eastAsia"/>
                      <w:b/>
                      <w:szCs w:val="21"/>
                    </w:rPr>
                    <w:t>（个）</w:t>
                  </w:r>
                </w:p>
              </w:tc>
              <w:tc>
                <w:tcPr>
                  <w:tcW w:w="522"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总喷涂量（m</w:t>
                  </w:r>
                  <w:r>
                    <w:rPr>
                      <w:rFonts w:hint="eastAsia"/>
                      <w:b/>
                      <w:szCs w:val="21"/>
                      <w:vertAlign w:val="superscript"/>
                    </w:rPr>
                    <w:t>2</w:t>
                  </w:r>
                  <w:r>
                    <w:rPr>
                      <w:b/>
                      <w:szCs w:val="21"/>
                    </w:rPr>
                    <w:t>）</w:t>
                  </w:r>
                </w:p>
              </w:tc>
              <w:tc>
                <w:tcPr>
                  <w:tcW w:w="554"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喷涂厚度</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w:t>
                  </w:r>
                  <w:r>
                    <w:rPr>
                      <w:b/>
                    </w:rPr>
                    <w:t>μ</w:t>
                  </w:r>
                  <w:r>
                    <w:rPr>
                      <w:b/>
                      <w:szCs w:val="21"/>
                    </w:rPr>
                    <w:t>m）</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75" w:hRule="atLeast"/>
                <w:jc w:val="center"/>
              </w:trPr>
              <w:tc>
                <w:tcPr>
                  <w:tcW w:w="797" w:type="pct"/>
                  <w:vAlign w:val="center"/>
                </w:tcPr>
                <w:p>
                  <w:pPr>
                    <w:jc w:val="center"/>
                    <w:rPr>
                      <w:rFonts w:hAnsi="宋体"/>
                      <w:color w:val="0D0D0D"/>
                      <w:kern w:val="24"/>
                      <w:szCs w:val="21"/>
                    </w:rPr>
                  </w:pPr>
                  <w:r>
                    <w:rPr>
                      <w:rFonts w:hint="eastAsia" w:hAnsi="宋体"/>
                      <w:color w:val="0D0D0D"/>
                      <w:kern w:val="24"/>
                      <w:szCs w:val="21"/>
                    </w:rPr>
                    <w:t>钢柱</w:t>
                  </w:r>
                </w:p>
              </w:tc>
              <w:tc>
                <w:tcPr>
                  <w:tcW w:w="521" w:type="pct"/>
                  <w:vAlign w:val="center"/>
                </w:tcPr>
                <w:p>
                  <w:pPr>
                    <w:jc w:val="center"/>
                    <w:rPr>
                      <w:szCs w:val="21"/>
                    </w:rPr>
                  </w:pPr>
                  <w:r>
                    <w:rPr>
                      <w:rFonts w:hint="eastAsia"/>
                      <w:szCs w:val="21"/>
                    </w:rPr>
                    <w:t>18</w:t>
                  </w:r>
                </w:p>
              </w:tc>
              <w:tc>
                <w:tcPr>
                  <w:tcW w:w="503" w:type="pct"/>
                  <w:vAlign w:val="center"/>
                </w:tcPr>
                <w:p>
                  <w:pPr>
                    <w:jc w:val="center"/>
                    <w:rPr>
                      <w:szCs w:val="21"/>
                    </w:rPr>
                  </w:pPr>
                  <w:r>
                    <w:rPr>
                      <w:rFonts w:hint="eastAsia"/>
                      <w:szCs w:val="21"/>
                    </w:rPr>
                    <w:t>200</w:t>
                  </w:r>
                </w:p>
              </w:tc>
              <w:tc>
                <w:tcPr>
                  <w:tcW w:w="521" w:type="pct"/>
                  <w:vAlign w:val="center"/>
                </w:tcPr>
                <w:p>
                  <w:pPr>
                    <w:jc w:val="center"/>
                    <w:rPr>
                      <w:szCs w:val="21"/>
                    </w:rPr>
                  </w:pPr>
                  <w:r>
                    <w:rPr>
                      <w:rFonts w:hint="eastAsia"/>
                      <w:szCs w:val="21"/>
                    </w:rPr>
                    <w:t>3600</w:t>
                  </w:r>
                </w:p>
              </w:tc>
              <w:tc>
                <w:tcPr>
                  <w:tcW w:w="553" w:type="pct"/>
                  <w:vAlign w:val="center"/>
                </w:tcPr>
                <w:p>
                  <w:pPr>
                    <w:jc w:val="center"/>
                    <w:rPr>
                      <w:szCs w:val="21"/>
                    </w:rPr>
                  </w:pPr>
                  <w:r>
                    <w:rPr>
                      <w:rFonts w:hint="eastAsia"/>
                      <w:szCs w:val="21"/>
                    </w:rPr>
                    <w:t>80</w:t>
                  </w:r>
                </w:p>
              </w:tc>
              <w:tc>
                <w:tcPr>
                  <w:tcW w:w="521" w:type="pct"/>
                  <w:vAlign w:val="center"/>
                </w:tcPr>
                <w:p>
                  <w:pPr>
                    <w:jc w:val="center"/>
                    <w:rPr>
                      <w:szCs w:val="21"/>
                    </w:rPr>
                  </w:pPr>
                  <w:r>
                    <w:rPr>
                      <w:rFonts w:hint="eastAsia"/>
                      <w:szCs w:val="21"/>
                    </w:rPr>
                    <w:t>18</w:t>
                  </w:r>
                </w:p>
              </w:tc>
              <w:tc>
                <w:tcPr>
                  <w:tcW w:w="503" w:type="pct"/>
                  <w:vAlign w:val="center"/>
                </w:tcPr>
                <w:p>
                  <w:pPr>
                    <w:jc w:val="center"/>
                    <w:rPr>
                      <w:szCs w:val="21"/>
                    </w:rPr>
                  </w:pPr>
                  <w:r>
                    <w:rPr>
                      <w:rFonts w:hint="eastAsia"/>
                      <w:szCs w:val="21"/>
                    </w:rPr>
                    <w:t>210</w:t>
                  </w:r>
                </w:p>
              </w:tc>
              <w:tc>
                <w:tcPr>
                  <w:tcW w:w="522" w:type="pct"/>
                  <w:vAlign w:val="center"/>
                </w:tcPr>
                <w:p>
                  <w:pPr>
                    <w:jc w:val="center"/>
                    <w:rPr>
                      <w:szCs w:val="21"/>
                    </w:rPr>
                  </w:pPr>
                  <w:r>
                    <w:rPr>
                      <w:rFonts w:hint="eastAsia"/>
                      <w:szCs w:val="21"/>
                    </w:rPr>
                    <w:t>3780</w:t>
                  </w:r>
                </w:p>
              </w:tc>
              <w:tc>
                <w:tcPr>
                  <w:tcW w:w="554" w:type="pct"/>
                  <w:vAlign w:val="center"/>
                </w:tcPr>
                <w:p>
                  <w:pPr>
                    <w:jc w:val="center"/>
                    <w:rPr>
                      <w:szCs w:val="21"/>
                    </w:rPr>
                  </w:pPr>
                  <w:r>
                    <w:rPr>
                      <w:rFonts w:hint="eastAsia"/>
                      <w:szCs w:val="21"/>
                    </w:rPr>
                    <w:t>80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75" w:hRule="atLeast"/>
                <w:jc w:val="center"/>
              </w:trPr>
              <w:tc>
                <w:tcPr>
                  <w:tcW w:w="797" w:type="pct"/>
                  <w:vAlign w:val="center"/>
                </w:tcPr>
                <w:p>
                  <w:pPr>
                    <w:jc w:val="center"/>
                    <w:rPr>
                      <w:rFonts w:hAnsi="宋体"/>
                      <w:kern w:val="24"/>
                      <w:szCs w:val="21"/>
                    </w:rPr>
                  </w:pPr>
                  <w:r>
                    <w:rPr>
                      <w:rFonts w:hint="eastAsia" w:hAnsi="宋体"/>
                      <w:kern w:val="24"/>
                      <w:szCs w:val="21"/>
                    </w:rPr>
                    <w:t>钢梁</w:t>
                  </w:r>
                </w:p>
              </w:tc>
              <w:tc>
                <w:tcPr>
                  <w:tcW w:w="521" w:type="pct"/>
                  <w:vAlign w:val="center"/>
                </w:tcPr>
                <w:p>
                  <w:pPr>
                    <w:jc w:val="center"/>
                    <w:rPr>
                      <w:szCs w:val="21"/>
                    </w:rPr>
                  </w:pPr>
                  <w:r>
                    <w:rPr>
                      <w:rFonts w:hint="eastAsia"/>
                      <w:szCs w:val="21"/>
                    </w:rPr>
                    <w:t>16</w:t>
                  </w:r>
                </w:p>
              </w:tc>
              <w:tc>
                <w:tcPr>
                  <w:tcW w:w="503" w:type="pct"/>
                  <w:vAlign w:val="center"/>
                </w:tcPr>
                <w:p>
                  <w:pPr>
                    <w:jc w:val="center"/>
                    <w:rPr>
                      <w:szCs w:val="21"/>
                    </w:rPr>
                  </w:pPr>
                  <w:r>
                    <w:rPr>
                      <w:rFonts w:hint="eastAsia"/>
                      <w:szCs w:val="21"/>
                    </w:rPr>
                    <w:t>320</w:t>
                  </w:r>
                </w:p>
              </w:tc>
              <w:tc>
                <w:tcPr>
                  <w:tcW w:w="521" w:type="pct"/>
                  <w:vAlign w:val="center"/>
                </w:tcPr>
                <w:p>
                  <w:pPr>
                    <w:jc w:val="center"/>
                    <w:rPr>
                      <w:szCs w:val="21"/>
                    </w:rPr>
                  </w:pPr>
                  <w:r>
                    <w:rPr>
                      <w:rFonts w:hint="eastAsia"/>
                      <w:szCs w:val="21"/>
                    </w:rPr>
                    <w:t>5120</w:t>
                  </w:r>
                </w:p>
              </w:tc>
              <w:tc>
                <w:tcPr>
                  <w:tcW w:w="553" w:type="pct"/>
                  <w:vAlign w:val="center"/>
                </w:tcPr>
                <w:p>
                  <w:pPr>
                    <w:jc w:val="center"/>
                    <w:rPr>
                      <w:szCs w:val="21"/>
                    </w:rPr>
                  </w:pPr>
                  <w:r>
                    <w:rPr>
                      <w:rFonts w:hint="eastAsia"/>
                      <w:szCs w:val="21"/>
                    </w:rPr>
                    <w:t>80</w:t>
                  </w:r>
                </w:p>
              </w:tc>
              <w:tc>
                <w:tcPr>
                  <w:tcW w:w="521" w:type="pct"/>
                  <w:vAlign w:val="center"/>
                </w:tcPr>
                <w:p>
                  <w:pPr>
                    <w:jc w:val="center"/>
                    <w:rPr>
                      <w:szCs w:val="21"/>
                    </w:rPr>
                  </w:pPr>
                  <w:r>
                    <w:rPr>
                      <w:rFonts w:hint="eastAsia"/>
                      <w:szCs w:val="21"/>
                    </w:rPr>
                    <w:t>16</w:t>
                  </w:r>
                </w:p>
              </w:tc>
              <w:tc>
                <w:tcPr>
                  <w:tcW w:w="503" w:type="pct"/>
                  <w:vAlign w:val="center"/>
                </w:tcPr>
                <w:p>
                  <w:pPr>
                    <w:jc w:val="center"/>
                    <w:rPr>
                      <w:szCs w:val="21"/>
                    </w:rPr>
                  </w:pPr>
                  <w:r>
                    <w:rPr>
                      <w:rFonts w:hint="eastAsia"/>
                      <w:szCs w:val="21"/>
                    </w:rPr>
                    <w:t>320</w:t>
                  </w:r>
                </w:p>
              </w:tc>
              <w:tc>
                <w:tcPr>
                  <w:tcW w:w="522" w:type="pct"/>
                  <w:vAlign w:val="center"/>
                </w:tcPr>
                <w:p>
                  <w:pPr>
                    <w:jc w:val="center"/>
                    <w:rPr>
                      <w:szCs w:val="21"/>
                    </w:rPr>
                  </w:pPr>
                  <w:r>
                    <w:rPr>
                      <w:rFonts w:hint="eastAsia"/>
                      <w:szCs w:val="21"/>
                    </w:rPr>
                    <w:t>5120</w:t>
                  </w:r>
                </w:p>
              </w:tc>
              <w:tc>
                <w:tcPr>
                  <w:tcW w:w="554" w:type="pct"/>
                  <w:vAlign w:val="center"/>
                </w:tcPr>
                <w:p>
                  <w:pPr>
                    <w:jc w:val="center"/>
                    <w:rPr>
                      <w:szCs w:val="21"/>
                    </w:rPr>
                  </w:pPr>
                  <w:r>
                    <w:rPr>
                      <w:rFonts w:hint="eastAsia"/>
                      <w:szCs w:val="21"/>
                    </w:rPr>
                    <w:t>80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575" w:hRule="atLeast"/>
                <w:jc w:val="center"/>
              </w:trPr>
              <w:tc>
                <w:tcPr>
                  <w:tcW w:w="797" w:type="pct"/>
                  <w:vAlign w:val="center"/>
                </w:tcPr>
                <w:p>
                  <w:pPr>
                    <w:jc w:val="center"/>
                    <w:rPr>
                      <w:rFonts w:hAnsi="宋体"/>
                      <w:kern w:val="24"/>
                      <w:szCs w:val="21"/>
                    </w:rPr>
                  </w:pPr>
                  <w:r>
                    <w:rPr>
                      <w:rFonts w:hint="eastAsia" w:hAnsi="宋体"/>
                      <w:kern w:val="24"/>
                      <w:szCs w:val="21"/>
                    </w:rPr>
                    <w:t>杂件</w:t>
                  </w:r>
                </w:p>
              </w:tc>
              <w:tc>
                <w:tcPr>
                  <w:tcW w:w="521" w:type="pct"/>
                  <w:vAlign w:val="center"/>
                </w:tcPr>
                <w:p>
                  <w:pPr>
                    <w:jc w:val="center"/>
                    <w:rPr>
                      <w:szCs w:val="21"/>
                    </w:rPr>
                  </w:pPr>
                  <w:r>
                    <w:rPr>
                      <w:rFonts w:hint="eastAsia"/>
                      <w:szCs w:val="21"/>
                    </w:rPr>
                    <w:t>2</w:t>
                  </w:r>
                </w:p>
              </w:tc>
              <w:tc>
                <w:tcPr>
                  <w:tcW w:w="503" w:type="pct"/>
                  <w:vAlign w:val="center"/>
                </w:tcPr>
                <w:p>
                  <w:pPr>
                    <w:jc w:val="center"/>
                    <w:rPr>
                      <w:szCs w:val="21"/>
                    </w:rPr>
                  </w:pPr>
                  <w:r>
                    <w:rPr>
                      <w:rFonts w:hint="eastAsia"/>
                      <w:szCs w:val="21"/>
                    </w:rPr>
                    <w:t>510</w:t>
                  </w:r>
                </w:p>
              </w:tc>
              <w:tc>
                <w:tcPr>
                  <w:tcW w:w="521" w:type="pct"/>
                  <w:vAlign w:val="center"/>
                </w:tcPr>
                <w:p>
                  <w:pPr>
                    <w:jc w:val="center"/>
                    <w:rPr>
                      <w:szCs w:val="21"/>
                    </w:rPr>
                  </w:pPr>
                  <w:r>
                    <w:rPr>
                      <w:rFonts w:hint="eastAsia"/>
                      <w:szCs w:val="21"/>
                    </w:rPr>
                    <w:t>1020</w:t>
                  </w:r>
                </w:p>
              </w:tc>
              <w:tc>
                <w:tcPr>
                  <w:tcW w:w="553" w:type="pct"/>
                  <w:vAlign w:val="center"/>
                </w:tcPr>
                <w:p>
                  <w:pPr>
                    <w:jc w:val="center"/>
                    <w:rPr>
                      <w:szCs w:val="21"/>
                    </w:rPr>
                  </w:pPr>
                  <w:r>
                    <w:rPr>
                      <w:rFonts w:hint="eastAsia"/>
                      <w:szCs w:val="21"/>
                    </w:rPr>
                    <w:t>80</w:t>
                  </w:r>
                </w:p>
              </w:tc>
              <w:tc>
                <w:tcPr>
                  <w:tcW w:w="521" w:type="pct"/>
                  <w:vAlign w:val="center"/>
                </w:tcPr>
                <w:p>
                  <w:pPr>
                    <w:jc w:val="center"/>
                    <w:rPr>
                      <w:szCs w:val="21"/>
                    </w:rPr>
                  </w:pPr>
                  <w:r>
                    <w:rPr>
                      <w:rFonts w:hint="eastAsia"/>
                      <w:szCs w:val="21"/>
                    </w:rPr>
                    <w:t>2</w:t>
                  </w:r>
                </w:p>
              </w:tc>
              <w:tc>
                <w:tcPr>
                  <w:tcW w:w="503" w:type="pct"/>
                  <w:vAlign w:val="center"/>
                </w:tcPr>
                <w:p>
                  <w:pPr>
                    <w:jc w:val="center"/>
                    <w:rPr>
                      <w:szCs w:val="21"/>
                    </w:rPr>
                  </w:pPr>
                  <w:r>
                    <w:rPr>
                      <w:rFonts w:hint="eastAsia"/>
                      <w:szCs w:val="21"/>
                    </w:rPr>
                    <w:t>545</w:t>
                  </w:r>
                </w:p>
              </w:tc>
              <w:tc>
                <w:tcPr>
                  <w:tcW w:w="522" w:type="pct"/>
                  <w:vAlign w:val="center"/>
                </w:tcPr>
                <w:p>
                  <w:pPr>
                    <w:jc w:val="center"/>
                    <w:rPr>
                      <w:szCs w:val="21"/>
                    </w:rPr>
                  </w:pPr>
                  <w:r>
                    <w:rPr>
                      <w:rFonts w:hint="eastAsia"/>
                      <w:szCs w:val="21"/>
                    </w:rPr>
                    <w:t>1090</w:t>
                  </w:r>
                </w:p>
              </w:tc>
              <w:tc>
                <w:tcPr>
                  <w:tcW w:w="554" w:type="pct"/>
                  <w:vAlign w:val="center"/>
                </w:tcPr>
                <w:p>
                  <w:pPr>
                    <w:jc w:val="center"/>
                    <w:rPr>
                      <w:szCs w:val="21"/>
                    </w:rPr>
                  </w:pPr>
                  <w:r>
                    <w:rPr>
                      <w:rFonts w:hint="eastAsia"/>
                      <w:szCs w:val="21"/>
                    </w:rPr>
                    <w:t>80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75" w:hRule="atLeast"/>
                <w:jc w:val="center"/>
              </w:trPr>
              <w:tc>
                <w:tcPr>
                  <w:tcW w:w="797" w:type="pct"/>
                  <w:vAlign w:val="center"/>
                </w:tcPr>
                <w:p>
                  <w:pPr>
                    <w:jc w:val="center"/>
                    <w:rPr>
                      <w:szCs w:val="21"/>
                    </w:rPr>
                  </w:pPr>
                  <w:r>
                    <w:rPr>
                      <w:szCs w:val="21"/>
                    </w:rPr>
                    <w:t>合计（m</w:t>
                  </w:r>
                  <w:r>
                    <w:rPr>
                      <w:rFonts w:hint="eastAsia"/>
                      <w:szCs w:val="21"/>
                      <w:vertAlign w:val="superscript"/>
                    </w:rPr>
                    <w:t>3</w:t>
                  </w:r>
                  <w:r>
                    <w:rPr>
                      <w:szCs w:val="21"/>
                    </w:rPr>
                    <w:t>）</w:t>
                  </w:r>
                </w:p>
              </w:tc>
              <w:tc>
                <w:tcPr>
                  <w:tcW w:w="2100" w:type="pct"/>
                  <w:gridSpan w:val="4"/>
                  <w:vAlign w:val="center"/>
                </w:tcPr>
                <w:p>
                  <w:pPr>
                    <w:jc w:val="center"/>
                    <w:rPr>
                      <w:szCs w:val="21"/>
                    </w:rPr>
                  </w:pPr>
                  <w:r>
                    <w:rPr>
                      <w:rFonts w:hint="eastAsia"/>
                      <w:szCs w:val="21"/>
                    </w:rPr>
                    <w:t>0.7792</w:t>
                  </w:r>
                </w:p>
              </w:tc>
              <w:tc>
                <w:tcPr>
                  <w:tcW w:w="2102" w:type="pct"/>
                  <w:gridSpan w:val="4"/>
                  <w:vAlign w:val="center"/>
                </w:tcPr>
                <w:p>
                  <w:pPr>
                    <w:jc w:val="center"/>
                    <w:rPr>
                      <w:szCs w:val="21"/>
                    </w:rPr>
                  </w:pPr>
                  <w:r>
                    <w:rPr>
                      <w:rFonts w:hint="eastAsia"/>
                      <w:szCs w:val="21"/>
                    </w:rPr>
                    <w:t>0.7992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575" w:hRule="atLeast"/>
                <w:jc w:val="center"/>
              </w:trPr>
              <w:tc>
                <w:tcPr>
                  <w:tcW w:w="797" w:type="pct"/>
                  <w:vAlign w:val="center"/>
                </w:tcPr>
                <w:p>
                  <w:pPr>
                    <w:jc w:val="center"/>
                    <w:rPr>
                      <w:szCs w:val="21"/>
                    </w:rPr>
                  </w:pPr>
                  <w:r>
                    <w:rPr>
                      <w:rFonts w:hint="eastAsia"/>
                      <w:color w:val="000000"/>
                      <w:kern w:val="0"/>
                      <w:szCs w:val="21"/>
                    </w:rPr>
                    <w:t>干漆膜密度</w:t>
                  </w:r>
                  <w:r>
                    <w:rPr>
                      <w:szCs w:val="21"/>
                    </w:rPr>
                    <w:t>（</w:t>
                  </w:r>
                  <w:r>
                    <w:rPr>
                      <w:rFonts w:hint="eastAsia"/>
                      <w:kern w:val="0"/>
                      <w:szCs w:val="21"/>
                    </w:rPr>
                    <w:t xml:space="preserve"> g/cm</w:t>
                  </w:r>
                  <w:r>
                    <w:rPr>
                      <w:rFonts w:hint="eastAsia"/>
                      <w:kern w:val="0"/>
                      <w:szCs w:val="21"/>
                      <w:vertAlign w:val="superscript"/>
                    </w:rPr>
                    <w:t>3</w:t>
                  </w:r>
                  <w:r>
                    <w:rPr>
                      <w:szCs w:val="21"/>
                    </w:rPr>
                    <w:t xml:space="preserve"> ）</w:t>
                  </w:r>
                </w:p>
              </w:tc>
              <w:tc>
                <w:tcPr>
                  <w:tcW w:w="2100" w:type="pct"/>
                  <w:gridSpan w:val="4"/>
                  <w:vAlign w:val="center"/>
                </w:tcPr>
                <w:p>
                  <w:pPr>
                    <w:jc w:val="center"/>
                    <w:rPr>
                      <w:szCs w:val="21"/>
                    </w:rPr>
                  </w:pPr>
                  <w:r>
                    <w:rPr>
                      <w:rFonts w:hint="eastAsia"/>
                      <w:szCs w:val="21"/>
                    </w:rPr>
                    <w:t>0.985</w:t>
                  </w:r>
                </w:p>
              </w:tc>
              <w:tc>
                <w:tcPr>
                  <w:tcW w:w="2102" w:type="pct"/>
                  <w:gridSpan w:val="4"/>
                  <w:vAlign w:val="center"/>
                </w:tcPr>
                <w:p>
                  <w:pPr>
                    <w:jc w:val="center"/>
                    <w:rPr>
                      <w:szCs w:val="21"/>
                    </w:rPr>
                  </w:pPr>
                  <w:r>
                    <w:rPr>
                      <w:rFonts w:hint="eastAsia"/>
                      <w:szCs w:val="21"/>
                    </w:rPr>
                    <w:t>0.960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75" w:hRule="atLeast"/>
                <w:jc w:val="center"/>
              </w:trPr>
              <w:tc>
                <w:tcPr>
                  <w:tcW w:w="797" w:type="pct"/>
                  <w:vAlign w:val="center"/>
                </w:tcPr>
                <w:p>
                  <w:pPr>
                    <w:jc w:val="center"/>
                    <w:rPr>
                      <w:szCs w:val="21"/>
                    </w:rPr>
                  </w:pPr>
                  <w:r>
                    <w:rPr>
                      <w:rFonts w:hint="eastAsia"/>
                      <w:szCs w:val="21"/>
                    </w:rPr>
                    <w:t>固体份含量（%）</w:t>
                  </w:r>
                </w:p>
              </w:tc>
              <w:tc>
                <w:tcPr>
                  <w:tcW w:w="2100" w:type="pct"/>
                  <w:gridSpan w:val="4"/>
                  <w:vAlign w:val="center"/>
                </w:tcPr>
                <w:p>
                  <w:pPr>
                    <w:jc w:val="center"/>
                    <w:rPr>
                      <w:szCs w:val="21"/>
                    </w:rPr>
                  </w:pPr>
                  <w:r>
                    <w:rPr>
                      <w:rFonts w:hint="eastAsia"/>
                      <w:szCs w:val="21"/>
                    </w:rPr>
                    <w:t>68.5</w:t>
                  </w:r>
                </w:p>
              </w:tc>
              <w:tc>
                <w:tcPr>
                  <w:tcW w:w="2102" w:type="pct"/>
                  <w:gridSpan w:val="4"/>
                  <w:vAlign w:val="center"/>
                </w:tcPr>
                <w:p>
                  <w:pPr>
                    <w:jc w:val="center"/>
                    <w:rPr>
                      <w:szCs w:val="21"/>
                    </w:rPr>
                  </w:pPr>
                  <w:r>
                    <w:rPr>
                      <w:rFonts w:hint="eastAsia"/>
                      <w:szCs w:val="21"/>
                    </w:rPr>
                    <w:t>68.5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75" w:hRule="atLeast"/>
                <w:jc w:val="center"/>
              </w:trPr>
              <w:tc>
                <w:tcPr>
                  <w:tcW w:w="797" w:type="pct"/>
                  <w:vAlign w:val="center"/>
                </w:tcPr>
                <w:p>
                  <w:pPr>
                    <w:jc w:val="center"/>
                    <w:rPr>
                      <w:szCs w:val="21"/>
                    </w:rPr>
                  </w:pPr>
                  <w:r>
                    <w:rPr>
                      <w:rFonts w:hint="eastAsia"/>
                      <w:szCs w:val="21"/>
                    </w:rPr>
                    <w:t>附着率（%）</w:t>
                  </w:r>
                </w:p>
              </w:tc>
              <w:tc>
                <w:tcPr>
                  <w:tcW w:w="2100" w:type="pct"/>
                  <w:gridSpan w:val="4"/>
                  <w:vAlign w:val="center"/>
                </w:tcPr>
                <w:p>
                  <w:pPr>
                    <w:jc w:val="center"/>
                    <w:rPr>
                      <w:szCs w:val="21"/>
                    </w:rPr>
                  </w:pPr>
                  <w:r>
                    <w:rPr>
                      <w:rFonts w:hint="eastAsia"/>
                      <w:szCs w:val="21"/>
                    </w:rPr>
                    <w:t>70</w:t>
                  </w:r>
                </w:p>
              </w:tc>
              <w:tc>
                <w:tcPr>
                  <w:tcW w:w="2102" w:type="pct"/>
                  <w:gridSpan w:val="4"/>
                  <w:vAlign w:val="center"/>
                </w:tcPr>
                <w:p>
                  <w:pPr>
                    <w:jc w:val="center"/>
                    <w:rPr>
                      <w:szCs w:val="21"/>
                    </w:rPr>
                  </w:pPr>
                  <w:r>
                    <w:rPr>
                      <w:rFonts w:hint="eastAsia"/>
                      <w:szCs w:val="21"/>
                    </w:rPr>
                    <w:t>70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75" w:hRule="atLeast"/>
                <w:jc w:val="center"/>
              </w:trPr>
              <w:tc>
                <w:tcPr>
                  <w:tcW w:w="797" w:type="pct"/>
                  <w:vAlign w:val="center"/>
                </w:tcPr>
                <w:p>
                  <w:pPr>
                    <w:jc w:val="center"/>
                    <w:rPr>
                      <w:szCs w:val="21"/>
                    </w:rPr>
                  </w:pPr>
                  <w:r>
                    <w:rPr>
                      <w:szCs w:val="21"/>
                    </w:rPr>
                    <w:t>用漆量（t/a）</w:t>
                  </w:r>
                </w:p>
              </w:tc>
              <w:tc>
                <w:tcPr>
                  <w:tcW w:w="2100" w:type="pct"/>
                  <w:gridSpan w:val="4"/>
                  <w:vAlign w:val="center"/>
                </w:tcPr>
                <w:p>
                  <w:pPr>
                    <w:jc w:val="center"/>
                    <w:rPr>
                      <w:szCs w:val="21"/>
                    </w:rPr>
                  </w:pPr>
                  <w:r>
                    <w:rPr>
                      <w:rFonts w:hint="eastAsia"/>
                      <w:szCs w:val="21"/>
                    </w:rPr>
                    <w:t>1.6</w:t>
                  </w:r>
                </w:p>
              </w:tc>
              <w:tc>
                <w:tcPr>
                  <w:tcW w:w="2102" w:type="pct"/>
                  <w:gridSpan w:val="4"/>
                  <w:vAlign w:val="center"/>
                </w:tcPr>
                <w:p>
                  <w:pPr>
                    <w:jc w:val="center"/>
                    <w:rPr>
                      <w:szCs w:val="21"/>
                    </w:rPr>
                  </w:pPr>
                  <w:r>
                    <w:rPr>
                      <w:rFonts w:hint="eastAsia"/>
                      <w:szCs w:val="21"/>
                    </w:rPr>
                    <w:t>1.6</w:t>
                  </w:r>
                </w:p>
              </w:tc>
            </w:tr>
          </w:tbl>
          <w:p>
            <w:pPr>
              <w:spacing w:before="120" w:beforeLines="50"/>
              <w:jc w:val="center"/>
              <w:rPr>
                <w:b/>
                <w:sz w:val="24"/>
                <w:highlight w:val="yellow"/>
              </w:rPr>
            </w:pPr>
            <w:r>
              <w:rPr>
                <w:b/>
                <w:sz w:val="24"/>
                <w:highlight w:val="none"/>
              </w:rPr>
              <w:t>表2</w:t>
            </w:r>
            <w:r>
              <w:rPr>
                <w:rFonts w:hint="eastAsia"/>
                <w:b/>
                <w:sz w:val="24"/>
                <w:highlight w:val="none"/>
              </w:rPr>
              <w:t>-</w:t>
            </w:r>
            <w:r>
              <w:rPr>
                <w:rFonts w:hint="eastAsia"/>
                <w:b/>
                <w:sz w:val="24"/>
                <w:highlight w:val="none"/>
                <w:lang w:val="en-US" w:eastAsia="zh-CN"/>
              </w:rPr>
              <w:t>11</w:t>
            </w:r>
            <w:r>
              <w:rPr>
                <w:b/>
                <w:sz w:val="24"/>
                <w:highlight w:val="none"/>
              </w:rPr>
              <w:t xml:space="preserve">  </w:t>
            </w:r>
            <w:r>
              <w:rPr>
                <w:rFonts w:hint="eastAsia"/>
                <w:b/>
                <w:sz w:val="24"/>
                <w:highlight w:val="none"/>
              </w:rPr>
              <w:t>漆料</w:t>
            </w:r>
            <w:r>
              <w:rPr>
                <w:b/>
                <w:sz w:val="24"/>
                <w:highlight w:val="none"/>
              </w:rPr>
              <w:t>用量核算一览表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906"/>
              <w:gridCol w:w="626"/>
              <w:gridCol w:w="607"/>
              <w:gridCol w:w="626"/>
              <w:gridCol w:w="658"/>
              <w:gridCol w:w="626"/>
              <w:gridCol w:w="607"/>
              <w:gridCol w:w="626"/>
              <w:gridCol w:w="658"/>
              <w:gridCol w:w="626"/>
              <w:gridCol w:w="607"/>
              <w:gridCol w:w="626"/>
              <w:gridCol w:w="659"/>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31" w:hRule="atLeast"/>
                <w:jc w:val="center"/>
              </w:trPr>
              <w:tc>
                <w:tcPr>
                  <w:tcW w:w="538" w:type="pct"/>
                  <w:vMerge w:val="restar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喷涂信息</w:t>
                  </w:r>
                </w:p>
              </w:tc>
              <w:tc>
                <w:tcPr>
                  <w:tcW w:w="1488" w:type="pct"/>
                  <w:gridSpan w:val="4"/>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kern w:val="0"/>
                      <w:szCs w:val="21"/>
                    </w:rPr>
                    <w:t>环氧富锌防腐底漆</w:t>
                  </w:r>
                </w:p>
              </w:tc>
              <w:tc>
                <w:tcPr>
                  <w:tcW w:w="1486" w:type="pct"/>
                  <w:gridSpan w:val="4"/>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rFonts w:hint="eastAsia"/>
                      <w:b/>
                      <w:kern w:val="0"/>
                      <w:szCs w:val="21"/>
                    </w:rPr>
                    <w:t>铁红醇酸防锈底漆</w:t>
                  </w:r>
                </w:p>
              </w:tc>
              <w:tc>
                <w:tcPr>
                  <w:tcW w:w="1486" w:type="pct"/>
                  <w:gridSpan w:val="4"/>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kern w:val="0"/>
                      <w:szCs w:val="21"/>
                    </w:rPr>
                  </w:pPr>
                  <w:r>
                    <w:rPr>
                      <w:rFonts w:hint="eastAsia"/>
                      <w:b/>
                      <w:kern w:val="0"/>
                      <w:szCs w:val="21"/>
                    </w:rPr>
                    <w:t>丙烯酸聚氨酯面漆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31" w:hRule="atLeast"/>
                <w:jc w:val="center"/>
              </w:trPr>
              <w:tc>
                <w:tcPr>
                  <w:tcW w:w="538" w:type="pct"/>
                  <w:vMerge w:val="continue"/>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p>
              </w:tc>
              <w:tc>
                <w:tcPr>
                  <w:tcW w:w="370"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单个喷涂面积</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（m</w:t>
                  </w:r>
                  <w:r>
                    <w:rPr>
                      <w:b/>
                      <w:szCs w:val="21"/>
                      <w:vertAlign w:val="superscript"/>
                    </w:rPr>
                    <w:t>2</w:t>
                  </w:r>
                  <w:r>
                    <w:rPr>
                      <w:b/>
                      <w:szCs w:val="21"/>
                    </w:rPr>
                    <w:t>）</w:t>
                  </w:r>
                </w:p>
              </w:tc>
              <w:tc>
                <w:tcPr>
                  <w:tcW w:w="357"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工件数</w:t>
                  </w:r>
                  <w:r>
                    <w:rPr>
                      <w:rFonts w:hint="eastAsia"/>
                      <w:b/>
                      <w:szCs w:val="21"/>
                    </w:rPr>
                    <w:t>（个）</w:t>
                  </w:r>
                </w:p>
              </w:tc>
              <w:tc>
                <w:tcPr>
                  <w:tcW w:w="431"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总喷涂量（m</w:t>
                  </w:r>
                  <w:r>
                    <w:rPr>
                      <w:rFonts w:hint="eastAsia"/>
                      <w:b/>
                      <w:szCs w:val="21"/>
                      <w:vertAlign w:val="superscript"/>
                    </w:rPr>
                    <w:t>2</w:t>
                  </w:r>
                  <w:r>
                    <w:rPr>
                      <w:b/>
                      <w:szCs w:val="21"/>
                    </w:rPr>
                    <w:t>）</w:t>
                  </w:r>
                </w:p>
              </w:tc>
              <w:tc>
                <w:tcPr>
                  <w:tcW w:w="328"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喷涂厚度</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w:t>
                  </w:r>
                  <w:r>
                    <w:rPr>
                      <w:b/>
                    </w:rPr>
                    <w:t>μ</w:t>
                  </w:r>
                  <w:r>
                    <w:rPr>
                      <w:b/>
                      <w:szCs w:val="21"/>
                    </w:rPr>
                    <w:t>m）</w:t>
                  </w:r>
                </w:p>
              </w:tc>
              <w:tc>
                <w:tcPr>
                  <w:tcW w:w="314"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单个喷涂面积</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（m</w:t>
                  </w:r>
                  <w:r>
                    <w:rPr>
                      <w:b/>
                      <w:szCs w:val="21"/>
                      <w:vertAlign w:val="superscript"/>
                    </w:rPr>
                    <w:t>2</w:t>
                  </w:r>
                  <w:r>
                    <w:rPr>
                      <w:b/>
                      <w:szCs w:val="21"/>
                    </w:rPr>
                    <w:t>）</w:t>
                  </w:r>
                </w:p>
              </w:tc>
              <w:tc>
                <w:tcPr>
                  <w:tcW w:w="366"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工件数</w:t>
                  </w:r>
                  <w:r>
                    <w:rPr>
                      <w:rFonts w:hint="eastAsia"/>
                      <w:b/>
                      <w:szCs w:val="21"/>
                    </w:rPr>
                    <w:t>（个）</w:t>
                  </w:r>
                </w:p>
              </w:tc>
              <w:tc>
                <w:tcPr>
                  <w:tcW w:w="480"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总喷涂量（m</w:t>
                  </w:r>
                  <w:r>
                    <w:rPr>
                      <w:rFonts w:hint="eastAsia"/>
                      <w:b/>
                      <w:szCs w:val="21"/>
                      <w:vertAlign w:val="superscript"/>
                    </w:rPr>
                    <w:t>2</w:t>
                  </w:r>
                  <w:r>
                    <w:rPr>
                      <w:b/>
                      <w:szCs w:val="21"/>
                    </w:rPr>
                    <w:t>）</w:t>
                  </w:r>
                </w:p>
              </w:tc>
              <w:tc>
                <w:tcPr>
                  <w:tcW w:w="324"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喷涂厚度</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w:t>
                  </w:r>
                  <w:r>
                    <w:rPr>
                      <w:b/>
                    </w:rPr>
                    <w:t>μ</w:t>
                  </w:r>
                  <w:r>
                    <w:rPr>
                      <w:b/>
                      <w:szCs w:val="21"/>
                    </w:rPr>
                    <w:t>m）</w:t>
                  </w:r>
                </w:p>
              </w:tc>
              <w:tc>
                <w:tcPr>
                  <w:tcW w:w="369"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单个喷涂面积</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（m</w:t>
                  </w:r>
                  <w:r>
                    <w:rPr>
                      <w:b/>
                      <w:szCs w:val="21"/>
                      <w:vertAlign w:val="superscript"/>
                    </w:rPr>
                    <w:t>2</w:t>
                  </w:r>
                  <w:r>
                    <w:rPr>
                      <w:b/>
                      <w:szCs w:val="21"/>
                    </w:rPr>
                    <w:t>）</w:t>
                  </w:r>
                </w:p>
              </w:tc>
              <w:tc>
                <w:tcPr>
                  <w:tcW w:w="357"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工件数</w:t>
                  </w:r>
                  <w:r>
                    <w:rPr>
                      <w:rFonts w:hint="eastAsia"/>
                      <w:b/>
                      <w:szCs w:val="21"/>
                    </w:rPr>
                    <w:t>（个）</w:t>
                  </w:r>
                </w:p>
              </w:tc>
              <w:tc>
                <w:tcPr>
                  <w:tcW w:w="422"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总喷涂量（m</w:t>
                  </w:r>
                  <w:r>
                    <w:rPr>
                      <w:rFonts w:hint="eastAsia"/>
                      <w:b/>
                      <w:szCs w:val="21"/>
                      <w:vertAlign w:val="superscript"/>
                    </w:rPr>
                    <w:t>2</w:t>
                  </w:r>
                  <w:r>
                    <w:rPr>
                      <w:b/>
                      <w:szCs w:val="21"/>
                    </w:rPr>
                    <w:t>）</w:t>
                  </w:r>
                </w:p>
              </w:tc>
              <w:tc>
                <w:tcPr>
                  <w:tcW w:w="336" w:type="pct"/>
                  <w:vAlign w:val="center"/>
                </w:tcPr>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喷涂厚度</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1"/>
                    </w:rPr>
                  </w:pPr>
                  <w:r>
                    <w:rPr>
                      <w:b/>
                      <w:szCs w:val="21"/>
                    </w:rPr>
                    <w:t>（</w:t>
                  </w:r>
                  <w:r>
                    <w:rPr>
                      <w:b/>
                    </w:rPr>
                    <w:t>μ</w:t>
                  </w:r>
                  <w:r>
                    <w:rPr>
                      <w:b/>
                      <w:szCs w:val="21"/>
                    </w:rPr>
                    <w:t>m）</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575" w:hRule="atLeast"/>
                <w:jc w:val="center"/>
              </w:trPr>
              <w:tc>
                <w:tcPr>
                  <w:tcW w:w="538" w:type="pct"/>
                  <w:vAlign w:val="center"/>
                </w:tcPr>
                <w:p>
                  <w:pPr>
                    <w:jc w:val="center"/>
                    <w:rPr>
                      <w:rFonts w:hAnsi="宋体"/>
                      <w:color w:val="0D0D0D"/>
                      <w:kern w:val="24"/>
                      <w:szCs w:val="21"/>
                    </w:rPr>
                  </w:pPr>
                  <w:r>
                    <w:rPr>
                      <w:rFonts w:hint="eastAsia" w:hAnsi="宋体"/>
                      <w:color w:val="0D0D0D"/>
                      <w:kern w:val="24"/>
                      <w:szCs w:val="21"/>
                    </w:rPr>
                    <w:t>钢柱</w:t>
                  </w:r>
                </w:p>
              </w:tc>
              <w:tc>
                <w:tcPr>
                  <w:tcW w:w="370" w:type="pct"/>
                  <w:vAlign w:val="center"/>
                </w:tcPr>
                <w:p>
                  <w:pPr>
                    <w:jc w:val="center"/>
                    <w:rPr>
                      <w:szCs w:val="21"/>
                    </w:rPr>
                  </w:pPr>
                  <w:r>
                    <w:rPr>
                      <w:rFonts w:hint="eastAsia"/>
                      <w:szCs w:val="21"/>
                    </w:rPr>
                    <w:t>18</w:t>
                  </w:r>
                </w:p>
              </w:tc>
              <w:tc>
                <w:tcPr>
                  <w:tcW w:w="357" w:type="pct"/>
                  <w:vAlign w:val="center"/>
                </w:tcPr>
                <w:p>
                  <w:pPr>
                    <w:jc w:val="center"/>
                    <w:rPr>
                      <w:rFonts w:hint="default" w:eastAsia="宋体"/>
                      <w:szCs w:val="21"/>
                      <w:lang w:val="en-US" w:eastAsia="zh-CN"/>
                    </w:rPr>
                  </w:pPr>
                  <w:r>
                    <w:rPr>
                      <w:rFonts w:hint="eastAsia"/>
                      <w:szCs w:val="21"/>
                    </w:rPr>
                    <w:t>2</w:t>
                  </w:r>
                  <w:r>
                    <w:rPr>
                      <w:rFonts w:hint="eastAsia"/>
                      <w:szCs w:val="21"/>
                      <w:lang w:val="en-US" w:eastAsia="zh-CN"/>
                    </w:rPr>
                    <w:t>20</w:t>
                  </w:r>
                </w:p>
              </w:tc>
              <w:tc>
                <w:tcPr>
                  <w:tcW w:w="431" w:type="pct"/>
                  <w:vAlign w:val="center"/>
                </w:tcPr>
                <w:p>
                  <w:pPr>
                    <w:jc w:val="center"/>
                    <w:rPr>
                      <w:rFonts w:hint="default" w:eastAsia="宋体"/>
                      <w:szCs w:val="21"/>
                      <w:lang w:val="en-US" w:eastAsia="zh-CN"/>
                    </w:rPr>
                  </w:pPr>
                  <w:r>
                    <w:rPr>
                      <w:rFonts w:hint="eastAsia"/>
                      <w:szCs w:val="21"/>
                      <w:lang w:val="en-US" w:eastAsia="zh-CN"/>
                    </w:rPr>
                    <w:t>3960</w:t>
                  </w:r>
                </w:p>
              </w:tc>
              <w:tc>
                <w:tcPr>
                  <w:tcW w:w="328" w:type="pct"/>
                  <w:vAlign w:val="center"/>
                </w:tcPr>
                <w:p>
                  <w:pPr>
                    <w:jc w:val="center"/>
                    <w:rPr>
                      <w:szCs w:val="21"/>
                    </w:rPr>
                  </w:pPr>
                  <w:r>
                    <w:rPr>
                      <w:rFonts w:hint="eastAsia"/>
                      <w:szCs w:val="21"/>
                    </w:rPr>
                    <w:t>80</w:t>
                  </w:r>
                </w:p>
              </w:tc>
              <w:tc>
                <w:tcPr>
                  <w:tcW w:w="314" w:type="pct"/>
                  <w:vAlign w:val="center"/>
                </w:tcPr>
                <w:p>
                  <w:pPr>
                    <w:jc w:val="center"/>
                    <w:rPr>
                      <w:szCs w:val="21"/>
                    </w:rPr>
                  </w:pPr>
                  <w:r>
                    <w:rPr>
                      <w:rFonts w:hint="eastAsia"/>
                      <w:szCs w:val="21"/>
                    </w:rPr>
                    <w:t>18</w:t>
                  </w:r>
                </w:p>
              </w:tc>
              <w:tc>
                <w:tcPr>
                  <w:tcW w:w="366" w:type="pct"/>
                  <w:vAlign w:val="center"/>
                </w:tcPr>
                <w:p>
                  <w:pPr>
                    <w:jc w:val="center"/>
                    <w:rPr>
                      <w:rFonts w:hint="default" w:ascii="Times New Roman" w:hAnsi="Times New Roman" w:eastAsia="宋体" w:cs="Times New Roman"/>
                      <w:kern w:val="2"/>
                      <w:sz w:val="21"/>
                      <w:szCs w:val="21"/>
                      <w:lang w:val="en-US" w:eastAsia="zh-CN" w:bidi="ar-SA"/>
                    </w:rPr>
                  </w:pPr>
                  <w:r>
                    <w:rPr>
                      <w:rFonts w:hint="eastAsia"/>
                      <w:szCs w:val="21"/>
                    </w:rPr>
                    <w:t>2</w:t>
                  </w:r>
                  <w:r>
                    <w:rPr>
                      <w:rFonts w:hint="eastAsia"/>
                      <w:szCs w:val="21"/>
                      <w:lang w:val="en-US" w:eastAsia="zh-CN"/>
                    </w:rPr>
                    <w:t>20</w:t>
                  </w:r>
                </w:p>
              </w:tc>
              <w:tc>
                <w:tcPr>
                  <w:tcW w:w="480" w:type="pct"/>
                  <w:vAlign w:val="center"/>
                </w:tcPr>
                <w:p>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3960</w:t>
                  </w:r>
                </w:p>
              </w:tc>
              <w:tc>
                <w:tcPr>
                  <w:tcW w:w="324" w:type="pct"/>
                  <w:vAlign w:val="center"/>
                </w:tcPr>
                <w:p>
                  <w:pPr>
                    <w:jc w:val="center"/>
                    <w:rPr>
                      <w:szCs w:val="21"/>
                    </w:rPr>
                  </w:pPr>
                  <w:r>
                    <w:rPr>
                      <w:rFonts w:hint="eastAsia"/>
                      <w:szCs w:val="21"/>
                    </w:rPr>
                    <w:t>80</w:t>
                  </w:r>
                </w:p>
              </w:tc>
              <w:tc>
                <w:tcPr>
                  <w:tcW w:w="369" w:type="pct"/>
                  <w:vAlign w:val="center"/>
                </w:tcPr>
                <w:p>
                  <w:pPr>
                    <w:jc w:val="center"/>
                    <w:rPr>
                      <w:szCs w:val="21"/>
                    </w:rPr>
                  </w:pPr>
                  <w:r>
                    <w:rPr>
                      <w:rFonts w:hint="eastAsia"/>
                      <w:szCs w:val="21"/>
                    </w:rPr>
                    <w:t>18</w:t>
                  </w:r>
                </w:p>
              </w:tc>
              <w:tc>
                <w:tcPr>
                  <w:tcW w:w="357" w:type="pct"/>
                  <w:vAlign w:val="center"/>
                </w:tcPr>
                <w:p>
                  <w:pPr>
                    <w:jc w:val="center"/>
                    <w:rPr>
                      <w:rFonts w:hint="default" w:eastAsia="宋体"/>
                      <w:szCs w:val="21"/>
                      <w:lang w:val="en-US" w:eastAsia="zh-CN"/>
                    </w:rPr>
                  </w:pPr>
                  <w:r>
                    <w:rPr>
                      <w:rFonts w:hint="eastAsia"/>
                      <w:szCs w:val="21"/>
                      <w:lang w:val="en-US" w:eastAsia="zh-CN"/>
                    </w:rPr>
                    <w:t>440</w:t>
                  </w:r>
                </w:p>
              </w:tc>
              <w:tc>
                <w:tcPr>
                  <w:tcW w:w="422" w:type="pct"/>
                  <w:vAlign w:val="center"/>
                </w:tcPr>
                <w:p>
                  <w:pPr>
                    <w:jc w:val="center"/>
                    <w:rPr>
                      <w:rFonts w:hint="default" w:eastAsia="宋体"/>
                      <w:szCs w:val="21"/>
                      <w:lang w:val="en-US" w:eastAsia="zh-CN"/>
                    </w:rPr>
                  </w:pPr>
                  <w:r>
                    <w:rPr>
                      <w:rFonts w:hint="eastAsia"/>
                      <w:szCs w:val="21"/>
                      <w:lang w:val="en-US" w:eastAsia="zh-CN"/>
                    </w:rPr>
                    <w:t>7920</w:t>
                  </w:r>
                </w:p>
              </w:tc>
              <w:tc>
                <w:tcPr>
                  <w:tcW w:w="336" w:type="pct"/>
                  <w:vAlign w:val="center"/>
                </w:tcPr>
                <w:p>
                  <w:pPr>
                    <w:jc w:val="center"/>
                    <w:rPr>
                      <w:szCs w:val="21"/>
                    </w:rPr>
                  </w:pPr>
                  <w:r>
                    <w:rPr>
                      <w:rFonts w:hint="eastAsia"/>
                      <w:szCs w:val="21"/>
                    </w:rPr>
                    <w:t>80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75" w:hRule="atLeast"/>
                <w:jc w:val="center"/>
              </w:trPr>
              <w:tc>
                <w:tcPr>
                  <w:tcW w:w="538" w:type="pct"/>
                  <w:vAlign w:val="center"/>
                </w:tcPr>
                <w:p>
                  <w:pPr>
                    <w:jc w:val="center"/>
                    <w:rPr>
                      <w:rFonts w:hAnsi="宋体"/>
                      <w:kern w:val="24"/>
                      <w:szCs w:val="21"/>
                    </w:rPr>
                  </w:pPr>
                  <w:r>
                    <w:rPr>
                      <w:rFonts w:hint="eastAsia" w:hAnsi="宋体"/>
                      <w:kern w:val="24"/>
                      <w:szCs w:val="21"/>
                    </w:rPr>
                    <w:t>钢梁</w:t>
                  </w:r>
                </w:p>
              </w:tc>
              <w:tc>
                <w:tcPr>
                  <w:tcW w:w="370" w:type="pct"/>
                  <w:vAlign w:val="center"/>
                </w:tcPr>
                <w:p>
                  <w:pPr>
                    <w:jc w:val="center"/>
                    <w:rPr>
                      <w:szCs w:val="21"/>
                    </w:rPr>
                  </w:pPr>
                  <w:r>
                    <w:rPr>
                      <w:rFonts w:hint="eastAsia"/>
                      <w:szCs w:val="21"/>
                    </w:rPr>
                    <w:t>16</w:t>
                  </w:r>
                </w:p>
              </w:tc>
              <w:tc>
                <w:tcPr>
                  <w:tcW w:w="357" w:type="pct"/>
                  <w:vAlign w:val="center"/>
                </w:tcPr>
                <w:p>
                  <w:pPr>
                    <w:jc w:val="center"/>
                    <w:rPr>
                      <w:rFonts w:hint="default" w:eastAsia="宋体"/>
                      <w:szCs w:val="21"/>
                      <w:lang w:val="en-US" w:eastAsia="zh-CN"/>
                    </w:rPr>
                  </w:pPr>
                  <w:r>
                    <w:rPr>
                      <w:rFonts w:hint="eastAsia"/>
                      <w:szCs w:val="21"/>
                    </w:rPr>
                    <w:t>2</w:t>
                  </w:r>
                  <w:r>
                    <w:rPr>
                      <w:rFonts w:hint="eastAsia"/>
                      <w:szCs w:val="21"/>
                      <w:lang w:val="en-US" w:eastAsia="zh-CN"/>
                    </w:rPr>
                    <w:t>50</w:t>
                  </w:r>
                </w:p>
              </w:tc>
              <w:tc>
                <w:tcPr>
                  <w:tcW w:w="431" w:type="pct"/>
                  <w:vAlign w:val="center"/>
                </w:tcPr>
                <w:p>
                  <w:pPr>
                    <w:jc w:val="center"/>
                    <w:rPr>
                      <w:rFonts w:hint="default" w:eastAsia="宋体"/>
                      <w:szCs w:val="21"/>
                      <w:lang w:val="en-US" w:eastAsia="zh-CN"/>
                    </w:rPr>
                  </w:pPr>
                  <w:r>
                    <w:rPr>
                      <w:rFonts w:hint="eastAsia"/>
                      <w:szCs w:val="21"/>
                      <w:lang w:val="en-US" w:eastAsia="zh-CN"/>
                    </w:rPr>
                    <w:t>4000</w:t>
                  </w:r>
                </w:p>
              </w:tc>
              <w:tc>
                <w:tcPr>
                  <w:tcW w:w="328" w:type="pct"/>
                  <w:vAlign w:val="center"/>
                </w:tcPr>
                <w:p>
                  <w:pPr>
                    <w:jc w:val="center"/>
                    <w:rPr>
                      <w:szCs w:val="21"/>
                    </w:rPr>
                  </w:pPr>
                  <w:r>
                    <w:rPr>
                      <w:rFonts w:hint="eastAsia"/>
                      <w:szCs w:val="21"/>
                    </w:rPr>
                    <w:t>80</w:t>
                  </w:r>
                </w:p>
              </w:tc>
              <w:tc>
                <w:tcPr>
                  <w:tcW w:w="314" w:type="pct"/>
                  <w:vAlign w:val="center"/>
                </w:tcPr>
                <w:p>
                  <w:pPr>
                    <w:jc w:val="center"/>
                    <w:rPr>
                      <w:szCs w:val="21"/>
                    </w:rPr>
                  </w:pPr>
                  <w:r>
                    <w:rPr>
                      <w:rFonts w:hint="eastAsia"/>
                      <w:szCs w:val="21"/>
                    </w:rPr>
                    <w:t>16</w:t>
                  </w:r>
                </w:p>
              </w:tc>
              <w:tc>
                <w:tcPr>
                  <w:tcW w:w="366" w:type="pct"/>
                  <w:vAlign w:val="center"/>
                </w:tcPr>
                <w:p>
                  <w:pPr>
                    <w:jc w:val="center"/>
                    <w:rPr>
                      <w:rFonts w:hint="default" w:ascii="Times New Roman" w:hAnsi="Times New Roman" w:eastAsia="宋体" w:cs="Times New Roman"/>
                      <w:kern w:val="2"/>
                      <w:sz w:val="21"/>
                      <w:szCs w:val="21"/>
                      <w:lang w:val="en-US" w:eastAsia="zh-CN" w:bidi="ar-SA"/>
                    </w:rPr>
                  </w:pPr>
                  <w:r>
                    <w:rPr>
                      <w:rFonts w:hint="eastAsia"/>
                      <w:szCs w:val="21"/>
                    </w:rPr>
                    <w:t>2</w:t>
                  </w:r>
                  <w:r>
                    <w:rPr>
                      <w:rFonts w:hint="eastAsia"/>
                      <w:szCs w:val="21"/>
                      <w:lang w:val="en-US" w:eastAsia="zh-CN"/>
                    </w:rPr>
                    <w:t>50</w:t>
                  </w:r>
                </w:p>
              </w:tc>
              <w:tc>
                <w:tcPr>
                  <w:tcW w:w="480" w:type="pct"/>
                  <w:vAlign w:val="center"/>
                </w:tcPr>
                <w:p>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4000</w:t>
                  </w:r>
                </w:p>
              </w:tc>
              <w:tc>
                <w:tcPr>
                  <w:tcW w:w="324" w:type="pct"/>
                  <w:vAlign w:val="center"/>
                </w:tcPr>
                <w:p>
                  <w:pPr>
                    <w:jc w:val="center"/>
                    <w:rPr>
                      <w:szCs w:val="21"/>
                    </w:rPr>
                  </w:pPr>
                  <w:r>
                    <w:rPr>
                      <w:rFonts w:hint="eastAsia"/>
                      <w:szCs w:val="21"/>
                    </w:rPr>
                    <w:t>80</w:t>
                  </w:r>
                </w:p>
              </w:tc>
              <w:tc>
                <w:tcPr>
                  <w:tcW w:w="369" w:type="pct"/>
                  <w:vAlign w:val="center"/>
                </w:tcPr>
                <w:p>
                  <w:pPr>
                    <w:jc w:val="center"/>
                    <w:rPr>
                      <w:szCs w:val="21"/>
                    </w:rPr>
                  </w:pPr>
                  <w:r>
                    <w:rPr>
                      <w:rFonts w:hint="eastAsia"/>
                      <w:szCs w:val="21"/>
                    </w:rPr>
                    <w:t>16</w:t>
                  </w:r>
                </w:p>
              </w:tc>
              <w:tc>
                <w:tcPr>
                  <w:tcW w:w="357" w:type="pct"/>
                  <w:vAlign w:val="center"/>
                </w:tcPr>
                <w:p>
                  <w:pPr>
                    <w:jc w:val="center"/>
                    <w:rPr>
                      <w:rFonts w:hint="default" w:eastAsia="宋体"/>
                      <w:szCs w:val="21"/>
                      <w:lang w:val="en-US" w:eastAsia="zh-CN"/>
                    </w:rPr>
                  </w:pPr>
                  <w:r>
                    <w:rPr>
                      <w:rFonts w:hint="eastAsia"/>
                      <w:szCs w:val="21"/>
                      <w:lang w:val="en-US" w:eastAsia="zh-CN"/>
                    </w:rPr>
                    <w:t>500</w:t>
                  </w:r>
                </w:p>
              </w:tc>
              <w:tc>
                <w:tcPr>
                  <w:tcW w:w="422" w:type="pct"/>
                  <w:vAlign w:val="center"/>
                </w:tcPr>
                <w:p>
                  <w:pPr>
                    <w:jc w:val="center"/>
                    <w:rPr>
                      <w:rFonts w:hint="default" w:eastAsia="宋体"/>
                      <w:szCs w:val="21"/>
                      <w:lang w:val="en-US" w:eastAsia="zh-CN"/>
                    </w:rPr>
                  </w:pPr>
                  <w:r>
                    <w:rPr>
                      <w:rFonts w:hint="eastAsia"/>
                      <w:szCs w:val="21"/>
                      <w:lang w:val="en-US" w:eastAsia="zh-CN"/>
                    </w:rPr>
                    <w:t>8000</w:t>
                  </w:r>
                </w:p>
              </w:tc>
              <w:tc>
                <w:tcPr>
                  <w:tcW w:w="336" w:type="pct"/>
                  <w:vAlign w:val="center"/>
                </w:tcPr>
                <w:p>
                  <w:pPr>
                    <w:jc w:val="center"/>
                    <w:rPr>
                      <w:szCs w:val="21"/>
                    </w:rPr>
                  </w:pPr>
                  <w:r>
                    <w:rPr>
                      <w:rFonts w:hint="eastAsia"/>
                      <w:szCs w:val="21"/>
                    </w:rPr>
                    <w:t>80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75" w:hRule="atLeast"/>
                <w:jc w:val="center"/>
              </w:trPr>
              <w:tc>
                <w:tcPr>
                  <w:tcW w:w="538" w:type="pct"/>
                  <w:vAlign w:val="center"/>
                </w:tcPr>
                <w:p>
                  <w:pPr>
                    <w:jc w:val="center"/>
                    <w:rPr>
                      <w:rFonts w:hAnsi="宋体"/>
                      <w:kern w:val="24"/>
                      <w:szCs w:val="21"/>
                    </w:rPr>
                  </w:pPr>
                  <w:r>
                    <w:rPr>
                      <w:rFonts w:hint="eastAsia" w:hAnsi="宋体"/>
                      <w:kern w:val="24"/>
                      <w:szCs w:val="21"/>
                    </w:rPr>
                    <w:t>杂件</w:t>
                  </w:r>
                </w:p>
              </w:tc>
              <w:tc>
                <w:tcPr>
                  <w:tcW w:w="370" w:type="pct"/>
                  <w:vAlign w:val="center"/>
                </w:tcPr>
                <w:p>
                  <w:pPr>
                    <w:jc w:val="center"/>
                    <w:rPr>
                      <w:szCs w:val="21"/>
                    </w:rPr>
                  </w:pPr>
                  <w:r>
                    <w:rPr>
                      <w:rFonts w:hint="eastAsia"/>
                      <w:szCs w:val="21"/>
                    </w:rPr>
                    <w:t>2</w:t>
                  </w:r>
                </w:p>
              </w:tc>
              <w:tc>
                <w:tcPr>
                  <w:tcW w:w="357" w:type="pct"/>
                  <w:vAlign w:val="center"/>
                </w:tcPr>
                <w:p>
                  <w:pPr>
                    <w:jc w:val="center"/>
                    <w:rPr>
                      <w:rFonts w:hint="default" w:eastAsia="宋体"/>
                      <w:szCs w:val="21"/>
                      <w:lang w:val="en-US" w:eastAsia="zh-CN"/>
                    </w:rPr>
                  </w:pPr>
                  <w:r>
                    <w:rPr>
                      <w:rFonts w:hint="eastAsia"/>
                      <w:szCs w:val="21"/>
                    </w:rPr>
                    <w:t>1</w:t>
                  </w:r>
                  <w:r>
                    <w:rPr>
                      <w:rFonts w:hint="eastAsia"/>
                      <w:szCs w:val="21"/>
                      <w:lang w:val="en-US" w:eastAsia="zh-CN"/>
                    </w:rPr>
                    <w:t>50</w:t>
                  </w:r>
                </w:p>
              </w:tc>
              <w:tc>
                <w:tcPr>
                  <w:tcW w:w="431" w:type="pct"/>
                  <w:vAlign w:val="center"/>
                </w:tcPr>
                <w:p>
                  <w:pPr>
                    <w:jc w:val="center"/>
                    <w:rPr>
                      <w:rFonts w:hint="default" w:eastAsia="宋体"/>
                      <w:szCs w:val="21"/>
                      <w:lang w:val="en-US" w:eastAsia="zh-CN"/>
                    </w:rPr>
                  </w:pPr>
                  <w:r>
                    <w:rPr>
                      <w:rFonts w:hint="eastAsia"/>
                      <w:szCs w:val="21"/>
                      <w:lang w:val="en-US" w:eastAsia="zh-CN"/>
                    </w:rPr>
                    <w:t>300</w:t>
                  </w:r>
                </w:p>
              </w:tc>
              <w:tc>
                <w:tcPr>
                  <w:tcW w:w="328" w:type="pct"/>
                  <w:vAlign w:val="center"/>
                </w:tcPr>
                <w:p>
                  <w:pPr>
                    <w:jc w:val="center"/>
                    <w:rPr>
                      <w:szCs w:val="21"/>
                    </w:rPr>
                  </w:pPr>
                  <w:r>
                    <w:rPr>
                      <w:rFonts w:hint="eastAsia"/>
                      <w:szCs w:val="21"/>
                    </w:rPr>
                    <w:t>80</w:t>
                  </w:r>
                </w:p>
              </w:tc>
              <w:tc>
                <w:tcPr>
                  <w:tcW w:w="314" w:type="pct"/>
                  <w:vAlign w:val="center"/>
                </w:tcPr>
                <w:p>
                  <w:pPr>
                    <w:jc w:val="center"/>
                    <w:rPr>
                      <w:szCs w:val="21"/>
                    </w:rPr>
                  </w:pPr>
                  <w:r>
                    <w:rPr>
                      <w:rFonts w:hint="eastAsia"/>
                      <w:szCs w:val="21"/>
                    </w:rPr>
                    <w:t>2</w:t>
                  </w:r>
                </w:p>
              </w:tc>
              <w:tc>
                <w:tcPr>
                  <w:tcW w:w="366" w:type="pct"/>
                  <w:vAlign w:val="center"/>
                </w:tcPr>
                <w:p>
                  <w:pPr>
                    <w:jc w:val="center"/>
                    <w:rPr>
                      <w:rFonts w:hint="default" w:ascii="Times New Roman" w:hAnsi="Times New Roman" w:eastAsia="宋体" w:cs="Times New Roman"/>
                      <w:kern w:val="2"/>
                      <w:sz w:val="21"/>
                      <w:szCs w:val="21"/>
                      <w:lang w:val="en-US" w:eastAsia="zh-CN" w:bidi="ar-SA"/>
                    </w:rPr>
                  </w:pPr>
                  <w:r>
                    <w:rPr>
                      <w:rFonts w:hint="eastAsia"/>
                      <w:szCs w:val="21"/>
                    </w:rPr>
                    <w:t>1</w:t>
                  </w:r>
                  <w:r>
                    <w:rPr>
                      <w:rFonts w:hint="eastAsia"/>
                      <w:szCs w:val="21"/>
                      <w:lang w:val="en-US" w:eastAsia="zh-CN"/>
                    </w:rPr>
                    <w:t>50</w:t>
                  </w:r>
                </w:p>
              </w:tc>
              <w:tc>
                <w:tcPr>
                  <w:tcW w:w="480" w:type="pct"/>
                  <w:vAlign w:val="center"/>
                </w:tcPr>
                <w:p>
                  <w:pPr>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300</w:t>
                  </w:r>
                </w:p>
              </w:tc>
              <w:tc>
                <w:tcPr>
                  <w:tcW w:w="324" w:type="pct"/>
                  <w:vAlign w:val="center"/>
                </w:tcPr>
                <w:p>
                  <w:pPr>
                    <w:jc w:val="center"/>
                    <w:rPr>
                      <w:szCs w:val="21"/>
                    </w:rPr>
                  </w:pPr>
                  <w:r>
                    <w:rPr>
                      <w:rFonts w:hint="eastAsia"/>
                      <w:szCs w:val="21"/>
                    </w:rPr>
                    <w:t>80</w:t>
                  </w:r>
                </w:p>
              </w:tc>
              <w:tc>
                <w:tcPr>
                  <w:tcW w:w="369" w:type="pct"/>
                  <w:vAlign w:val="center"/>
                </w:tcPr>
                <w:p>
                  <w:pPr>
                    <w:jc w:val="center"/>
                    <w:rPr>
                      <w:szCs w:val="21"/>
                    </w:rPr>
                  </w:pPr>
                  <w:r>
                    <w:rPr>
                      <w:rFonts w:hint="eastAsia"/>
                      <w:szCs w:val="21"/>
                    </w:rPr>
                    <w:t>2</w:t>
                  </w:r>
                </w:p>
              </w:tc>
              <w:tc>
                <w:tcPr>
                  <w:tcW w:w="357" w:type="pct"/>
                  <w:vAlign w:val="center"/>
                </w:tcPr>
                <w:p>
                  <w:pPr>
                    <w:jc w:val="center"/>
                    <w:rPr>
                      <w:rFonts w:hint="default" w:eastAsia="宋体"/>
                      <w:szCs w:val="21"/>
                      <w:lang w:val="en-US" w:eastAsia="zh-CN"/>
                    </w:rPr>
                  </w:pPr>
                  <w:r>
                    <w:rPr>
                      <w:rFonts w:hint="eastAsia"/>
                      <w:szCs w:val="21"/>
                      <w:lang w:val="en-US" w:eastAsia="zh-CN"/>
                    </w:rPr>
                    <w:t>300</w:t>
                  </w:r>
                </w:p>
              </w:tc>
              <w:tc>
                <w:tcPr>
                  <w:tcW w:w="422" w:type="pct"/>
                  <w:vAlign w:val="center"/>
                </w:tcPr>
                <w:p>
                  <w:pPr>
                    <w:jc w:val="center"/>
                    <w:rPr>
                      <w:rFonts w:hint="default" w:eastAsia="宋体"/>
                      <w:szCs w:val="21"/>
                      <w:lang w:val="en-US" w:eastAsia="zh-CN"/>
                    </w:rPr>
                  </w:pPr>
                  <w:r>
                    <w:rPr>
                      <w:rFonts w:hint="eastAsia"/>
                      <w:szCs w:val="21"/>
                      <w:lang w:val="en-US" w:eastAsia="zh-CN"/>
                    </w:rPr>
                    <w:t>600</w:t>
                  </w:r>
                </w:p>
              </w:tc>
              <w:tc>
                <w:tcPr>
                  <w:tcW w:w="336" w:type="pct"/>
                  <w:vAlign w:val="center"/>
                </w:tcPr>
                <w:p>
                  <w:pPr>
                    <w:jc w:val="center"/>
                    <w:rPr>
                      <w:szCs w:val="21"/>
                    </w:rPr>
                  </w:pPr>
                  <w:r>
                    <w:rPr>
                      <w:rFonts w:hint="eastAsia"/>
                      <w:szCs w:val="21"/>
                    </w:rPr>
                    <w:t>80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75" w:hRule="atLeast"/>
                <w:jc w:val="center"/>
              </w:trPr>
              <w:tc>
                <w:tcPr>
                  <w:tcW w:w="538" w:type="pct"/>
                  <w:vAlign w:val="center"/>
                </w:tcPr>
                <w:p>
                  <w:pPr>
                    <w:jc w:val="center"/>
                    <w:rPr>
                      <w:szCs w:val="21"/>
                    </w:rPr>
                  </w:pPr>
                  <w:r>
                    <w:rPr>
                      <w:szCs w:val="21"/>
                    </w:rPr>
                    <w:t>合计（m</w:t>
                  </w:r>
                  <w:r>
                    <w:rPr>
                      <w:rFonts w:hint="eastAsia"/>
                      <w:szCs w:val="21"/>
                      <w:vertAlign w:val="superscript"/>
                    </w:rPr>
                    <w:t>3</w:t>
                  </w:r>
                  <w:r>
                    <w:rPr>
                      <w:szCs w:val="21"/>
                    </w:rPr>
                    <w:t>）</w:t>
                  </w:r>
                </w:p>
              </w:tc>
              <w:tc>
                <w:tcPr>
                  <w:tcW w:w="1488" w:type="pct"/>
                  <w:gridSpan w:val="4"/>
                  <w:vAlign w:val="center"/>
                </w:tcPr>
                <w:p>
                  <w:pPr>
                    <w:jc w:val="center"/>
                    <w:rPr>
                      <w:rFonts w:hint="default" w:eastAsia="宋体"/>
                      <w:szCs w:val="21"/>
                      <w:lang w:val="en-US" w:eastAsia="zh-CN"/>
                    </w:rPr>
                  </w:pPr>
                  <w:r>
                    <w:rPr>
                      <w:rFonts w:hint="eastAsia"/>
                      <w:szCs w:val="21"/>
                      <w:lang w:val="en-US" w:eastAsia="zh-CN"/>
                    </w:rPr>
                    <w:t>0.6608</w:t>
                  </w:r>
                </w:p>
              </w:tc>
              <w:tc>
                <w:tcPr>
                  <w:tcW w:w="1486" w:type="pct"/>
                  <w:gridSpan w:val="4"/>
                  <w:vAlign w:val="center"/>
                </w:tcPr>
                <w:p>
                  <w:pPr>
                    <w:jc w:val="center"/>
                    <w:rPr>
                      <w:rFonts w:hint="default" w:eastAsia="宋体"/>
                      <w:szCs w:val="21"/>
                      <w:lang w:val="en-US" w:eastAsia="zh-CN"/>
                    </w:rPr>
                  </w:pPr>
                  <w:r>
                    <w:rPr>
                      <w:rFonts w:hint="eastAsia"/>
                      <w:szCs w:val="21"/>
                      <w:lang w:val="en-US" w:eastAsia="zh-CN"/>
                    </w:rPr>
                    <w:t>0.6608</w:t>
                  </w:r>
                </w:p>
              </w:tc>
              <w:tc>
                <w:tcPr>
                  <w:tcW w:w="1486" w:type="pct"/>
                  <w:gridSpan w:val="4"/>
                  <w:vAlign w:val="center"/>
                </w:tcPr>
                <w:p>
                  <w:pPr>
                    <w:jc w:val="center"/>
                    <w:rPr>
                      <w:rFonts w:hint="default" w:eastAsia="宋体"/>
                      <w:szCs w:val="21"/>
                      <w:lang w:val="en-US" w:eastAsia="zh-CN"/>
                    </w:rPr>
                  </w:pPr>
                  <w:r>
                    <w:rPr>
                      <w:rFonts w:hint="eastAsia"/>
                      <w:szCs w:val="21"/>
                      <w:lang w:val="en-US" w:eastAsia="zh-CN"/>
                    </w:rPr>
                    <w:t>1.322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75" w:hRule="atLeast"/>
                <w:jc w:val="center"/>
              </w:trPr>
              <w:tc>
                <w:tcPr>
                  <w:tcW w:w="538" w:type="pct"/>
                  <w:vAlign w:val="center"/>
                </w:tcPr>
                <w:p>
                  <w:pPr>
                    <w:jc w:val="center"/>
                    <w:rPr>
                      <w:szCs w:val="21"/>
                    </w:rPr>
                  </w:pPr>
                  <w:r>
                    <w:rPr>
                      <w:rFonts w:hint="eastAsia"/>
                      <w:color w:val="000000"/>
                      <w:kern w:val="0"/>
                      <w:szCs w:val="21"/>
                    </w:rPr>
                    <w:t>干漆膜密度</w:t>
                  </w:r>
                  <w:r>
                    <w:rPr>
                      <w:szCs w:val="21"/>
                    </w:rPr>
                    <w:t>（</w:t>
                  </w:r>
                  <w:r>
                    <w:rPr>
                      <w:rFonts w:hint="eastAsia"/>
                      <w:kern w:val="0"/>
                      <w:szCs w:val="21"/>
                    </w:rPr>
                    <w:t xml:space="preserve"> g/cm</w:t>
                  </w:r>
                  <w:r>
                    <w:rPr>
                      <w:rFonts w:hint="eastAsia"/>
                      <w:kern w:val="0"/>
                      <w:szCs w:val="21"/>
                      <w:vertAlign w:val="superscript"/>
                    </w:rPr>
                    <w:t>3</w:t>
                  </w:r>
                  <w:r>
                    <w:rPr>
                      <w:szCs w:val="21"/>
                    </w:rPr>
                    <w:t xml:space="preserve"> ）</w:t>
                  </w:r>
                </w:p>
              </w:tc>
              <w:tc>
                <w:tcPr>
                  <w:tcW w:w="1488" w:type="pct"/>
                  <w:gridSpan w:val="4"/>
                  <w:vAlign w:val="center"/>
                </w:tcPr>
                <w:p>
                  <w:pPr>
                    <w:jc w:val="center"/>
                    <w:rPr>
                      <w:rFonts w:hint="default" w:eastAsia="宋体"/>
                      <w:szCs w:val="21"/>
                      <w:lang w:val="en-US" w:eastAsia="zh-CN"/>
                    </w:rPr>
                  </w:pPr>
                  <w:r>
                    <w:rPr>
                      <w:rFonts w:hint="eastAsia"/>
                      <w:szCs w:val="21"/>
                      <w:lang w:val="en-US" w:eastAsia="zh-CN"/>
                    </w:rPr>
                    <w:t>1.098</w:t>
                  </w:r>
                </w:p>
              </w:tc>
              <w:tc>
                <w:tcPr>
                  <w:tcW w:w="1486" w:type="pct"/>
                  <w:gridSpan w:val="4"/>
                  <w:vAlign w:val="center"/>
                </w:tcPr>
                <w:p>
                  <w:pPr>
                    <w:jc w:val="center"/>
                    <w:rPr>
                      <w:rFonts w:hint="default" w:eastAsia="宋体"/>
                      <w:szCs w:val="21"/>
                      <w:lang w:val="en-US" w:eastAsia="zh-CN"/>
                    </w:rPr>
                  </w:pPr>
                  <w:r>
                    <w:rPr>
                      <w:rFonts w:hint="eastAsia"/>
                      <w:szCs w:val="21"/>
                      <w:lang w:val="en-US" w:eastAsia="zh-CN"/>
                    </w:rPr>
                    <w:t>1.090</w:t>
                  </w:r>
                </w:p>
              </w:tc>
              <w:tc>
                <w:tcPr>
                  <w:tcW w:w="1486" w:type="pct"/>
                  <w:gridSpan w:val="4"/>
                  <w:vAlign w:val="center"/>
                </w:tcPr>
                <w:p>
                  <w:pPr>
                    <w:jc w:val="center"/>
                    <w:rPr>
                      <w:rFonts w:hint="default" w:eastAsia="宋体"/>
                      <w:szCs w:val="21"/>
                      <w:lang w:val="en-US" w:eastAsia="zh-CN"/>
                    </w:rPr>
                  </w:pPr>
                  <w:r>
                    <w:rPr>
                      <w:rFonts w:hint="eastAsia"/>
                      <w:szCs w:val="21"/>
                      <w:lang w:val="en-US" w:eastAsia="zh-CN"/>
                    </w:rPr>
                    <w:t>1.078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75" w:hRule="atLeast"/>
                <w:jc w:val="center"/>
              </w:trPr>
              <w:tc>
                <w:tcPr>
                  <w:tcW w:w="538" w:type="pct"/>
                  <w:vAlign w:val="center"/>
                </w:tcPr>
                <w:p>
                  <w:pPr>
                    <w:jc w:val="center"/>
                    <w:rPr>
                      <w:szCs w:val="21"/>
                    </w:rPr>
                  </w:pPr>
                  <w:r>
                    <w:rPr>
                      <w:rFonts w:hint="eastAsia"/>
                      <w:szCs w:val="21"/>
                    </w:rPr>
                    <w:t>固体份含量（%）</w:t>
                  </w:r>
                </w:p>
              </w:tc>
              <w:tc>
                <w:tcPr>
                  <w:tcW w:w="1488" w:type="pct"/>
                  <w:gridSpan w:val="4"/>
                  <w:vAlign w:val="center"/>
                </w:tcPr>
                <w:p>
                  <w:pPr>
                    <w:jc w:val="center"/>
                    <w:rPr>
                      <w:szCs w:val="21"/>
                    </w:rPr>
                  </w:pPr>
                  <w:r>
                    <w:rPr>
                      <w:rFonts w:hint="eastAsia"/>
                      <w:szCs w:val="21"/>
                    </w:rPr>
                    <w:t>81</w:t>
                  </w:r>
                </w:p>
              </w:tc>
              <w:tc>
                <w:tcPr>
                  <w:tcW w:w="1486" w:type="pct"/>
                  <w:gridSpan w:val="4"/>
                  <w:vAlign w:val="center"/>
                </w:tcPr>
                <w:p>
                  <w:pPr>
                    <w:jc w:val="center"/>
                    <w:rPr>
                      <w:szCs w:val="21"/>
                    </w:rPr>
                  </w:pPr>
                  <w:r>
                    <w:rPr>
                      <w:rFonts w:hint="eastAsia"/>
                      <w:szCs w:val="21"/>
                    </w:rPr>
                    <w:t>85</w:t>
                  </w:r>
                </w:p>
              </w:tc>
              <w:tc>
                <w:tcPr>
                  <w:tcW w:w="1486" w:type="pct"/>
                  <w:gridSpan w:val="4"/>
                  <w:vAlign w:val="center"/>
                </w:tcPr>
                <w:p>
                  <w:pPr>
                    <w:jc w:val="center"/>
                    <w:rPr>
                      <w:szCs w:val="21"/>
                    </w:rPr>
                  </w:pPr>
                  <w:r>
                    <w:rPr>
                      <w:rFonts w:hint="eastAsia"/>
                      <w:szCs w:val="21"/>
                    </w:rPr>
                    <w:t>69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75" w:hRule="atLeast"/>
                <w:jc w:val="center"/>
              </w:trPr>
              <w:tc>
                <w:tcPr>
                  <w:tcW w:w="538" w:type="pct"/>
                  <w:vAlign w:val="center"/>
                </w:tcPr>
                <w:p>
                  <w:pPr>
                    <w:jc w:val="center"/>
                    <w:rPr>
                      <w:szCs w:val="21"/>
                    </w:rPr>
                  </w:pPr>
                  <w:r>
                    <w:rPr>
                      <w:rFonts w:hint="eastAsia"/>
                      <w:szCs w:val="21"/>
                    </w:rPr>
                    <w:t>附着率（%）</w:t>
                  </w:r>
                </w:p>
              </w:tc>
              <w:tc>
                <w:tcPr>
                  <w:tcW w:w="1488" w:type="pct"/>
                  <w:gridSpan w:val="4"/>
                  <w:vAlign w:val="center"/>
                </w:tcPr>
                <w:p>
                  <w:pPr>
                    <w:jc w:val="center"/>
                    <w:rPr>
                      <w:szCs w:val="21"/>
                    </w:rPr>
                  </w:pPr>
                  <w:r>
                    <w:rPr>
                      <w:rFonts w:hint="eastAsia"/>
                      <w:szCs w:val="21"/>
                    </w:rPr>
                    <w:t>70</w:t>
                  </w:r>
                </w:p>
              </w:tc>
              <w:tc>
                <w:tcPr>
                  <w:tcW w:w="1486" w:type="pct"/>
                  <w:gridSpan w:val="4"/>
                  <w:vAlign w:val="center"/>
                </w:tcPr>
                <w:p>
                  <w:pPr>
                    <w:jc w:val="center"/>
                    <w:rPr>
                      <w:szCs w:val="21"/>
                    </w:rPr>
                  </w:pPr>
                  <w:r>
                    <w:rPr>
                      <w:rFonts w:hint="eastAsia"/>
                      <w:szCs w:val="21"/>
                    </w:rPr>
                    <w:t>70</w:t>
                  </w:r>
                </w:p>
              </w:tc>
              <w:tc>
                <w:tcPr>
                  <w:tcW w:w="1486" w:type="pct"/>
                  <w:gridSpan w:val="4"/>
                  <w:vAlign w:val="center"/>
                </w:tcPr>
                <w:p>
                  <w:pPr>
                    <w:jc w:val="center"/>
                    <w:rPr>
                      <w:szCs w:val="21"/>
                    </w:rPr>
                  </w:pPr>
                  <w:r>
                    <w:rPr>
                      <w:rFonts w:hint="eastAsia"/>
                      <w:szCs w:val="21"/>
                    </w:rPr>
                    <w:t>70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575" w:hRule="atLeast"/>
                <w:jc w:val="center"/>
              </w:trPr>
              <w:tc>
                <w:tcPr>
                  <w:tcW w:w="538" w:type="pct"/>
                  <w:vAlign w:val="center"/>
                </w:tcPr>
                <w:p>
                  <w:pPr>
                    <w:jc w:val="center"/>
                    <w:rPr>
                      <w:szCs w:val="21"/>
                    </w:rPr>
                  </w:pPr>
                  <w:r>
                    <w:rPr>
                      <w:szCs w:val="21"/>
                    </w:rPr>
                    <w:t>用漆量（t/a）</w:t>
                  </w:r>
                </w:p>
              </w:tc>
              <w:tc>
                <w:tcPr>
                  <w:tcW w:w="1488" w:type="pct"/>
                  <w:gridSpan w:val="4"/>
                  <w:vAlign w:val="center"/>
                </w:tcPr>
                <w:p>
                  <w:pPr>
                    <w:jc w:val="center"/>
                    <w:rPr>
                      <w:szCs w:val="21"/>
                    </w:rPr>
                  </w:pPr>
                  <w:r>
                    <w:rPr>
                      <w:rFonts w:hint="eastAsia"/>
                      <w:szCs w:val="21"/>
                    </w:rPr>
                    <w:t>1.28</w:t>
                  </w:r>
                </w:p>
              </w:tc>
              <w:tc>
                <w:tcPr>
                  <w:tcW w:w="1486" w:type="pct"/>
                  <w:gridSpan w:val="4"/>
                  <w:vAlign w:val="center"/>
                </w:tcPr>
                <w:p>
                  <w:pPr>
                    <w:jc w:val="center"/>
                    <w:rPr>
                      <w:szCs w:val="21"/>
                    </w:rPr>
                  </w:pPr>
                  <w:r>
                    <w:rPr>
                      <w:rFonts w:hint="eastAsia"/>
                      <w:szCs w:val="21"/>
                    </w:rPr>
                    <w:t>1.21</w:t>
                  </w:r>
                </w:p>
              </w:tc>
              <w:tc>
                <w:tcPr>
                  <w:tcW w:w="1486" w:type="pct"/>
                  <w:gridSpan w:val="4"/>
                  <w:vAlign w:val="center"/>
                </w:tcPr>
                <w:p>
                  <w:pPr>
                    <w:jc w:val="center"/>
                    <w:rPr>
                      <w:szCs w:val="21"/>
                    </w:rPr>
                  </w:pPr>
                  <w:r>
                    <w:rPr>
                      <w:rFonts w:hint="eastAsia"/>
                      <w:szCs w:val="21"/>
                    </w:rPr>
                    <w:t>2.95</w:t>
                  </w:r>
                </w:p>
              </w:tc>
            </w:tr>
          </w:tbl>
          <w:p>
            <w:pPr>
              <w:spacing w:before="240" w:beforeLines="100" w:line="360" w:lineRule="auto"/>
              <w:ind w:firstLine="482" w:firstLineChars="200"/>
              <w:rPr>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6、项目平面布局合理性</w:t>
            </w:r>
          </w:p>
          <w:p>
            <w:pPr>
              <w:autoSpaceDE w:val="0"/>
              <w:autoSpaceDN w:val="0"/>
              <w:adjustRightInd w:val="0"/>
              <w:spacing w:line="360" w:lineRule="auto"/>
              <w:ind w:firstLine="480" w:firstLineChars="200"/>
              <w:rPr>
                <w:rFonts w:hAnsi="宋体"/>
                <w:kern w:val="24"/>
                <w:sz w:val="24"/>
              </w:rPr>
            </w:pPr>
            <w:r>
              <w:rPr>
                <w:rFonts w:hint="eastAsia" w:hAnsi="宋体"/>
                <w:kern w:val="24"/>
                <w:sz w:val="24"/>
              </w:rPr>
              <w:t>本项目建设2#生产车间。原有项目1#生产车间</w:t>
            </w:r>
            <w:r>
              <w:rPr>
                <w:rFonts w:hAnsi="宋体"/>
                <w:kern w:val="24"/>
                <w:sz w:val="24"/>
              </w:rPr>
              <w:t>位于厂区南侧</w:t>
            </w:r>
            <w:r>
              <w:rPr>
                <w:rFonts w:hint="eastAsia" w:hAnsi="宋体"/>
                <w:kern w:val="24"/>
                <w:sz w:val="24"/>
              </w:rPr>
              <w:t>，</w:t>
            </w:r>
            <w:r>
              <w:rPr>
                <w:rFonts w:hint="eastAsia"/>
                <w:color w:val="0D0D0D" w:themeColor="text1" w:themeTint="F2"/>
                <w:sz w:val="24"/>
                <w14:textFill>
                  <w14:solidFill>
                    <w14:schemeClr w14:val="tx1">
                      <w14:lumMod w14:val="95000"/>
                      <w14:lumOff w14:val="5000"/>
                    </w14:schemeClr>
                  </w14:solidFill>
                </w14:textFill>
              </w:rPr>
              <w:t>设置1条重钢铆焊生产线、2条轻钢铆焊生产线、油漆喷涂加工线、露天拼装加工场、配电房等</w:t>
            </w:r>
            <w:r>
              <w:rPr>
                <w:rFonts w:hint="eastAsia" w:hAnsi="宋体"/>
                <w:kern w:val="24"/>
                <w:sz w:val="24"/>
              </w:rPr>
              <w:t>；2#生产车间</w:t>
            </w:r>
            <w:r>
              <w:rPr>
                <w:rFonts w:hAnsi="宋体"/>
                <w:kern w:val="24"/>
                <w:sz w:val="24"/>
              </w:rPr>
              <w:t>位于厂区东</w:t>
            </w:r>
            <w:r>
              <w:rPr>
                <w:rFonts w:hint="eastAsia" w:hAnsi="宋体"/>
                <w:kern w:val="24"/>
                <w:sz w:val="24"/>
              </w:rPr>
              <w:t>北</w:t>
            </w:r>
            <w:r>
              <w:rPr>
                <w:rFonts w:hAnsi="宋体"/>
                <w:kern w:val="24"/>
                <w:sz w:val="24"/>
              </w:rPr>
              <w:t>侧</w:t>
            </w:r>
            <w:r>
              <w:rPr>
                <w:rFonts w:hint="eastAsia" w:hAnsi="宋体"/>
                <w:kern w:val="24"/>
                <w:sz w:val="24"/>
              </w:rPr>
              <w:t>，设置喷砂房、喷漆晾干房；综合楼及后勤服务楼位于厂区西侧；另外在厂区东侧露天设置成品检验区及成品区，厂区东南侧设置设置一般固废仓库以及危废暂存间。</w:t>
            </w:r>
          </w:p>
          <w:p>
            <w:pPr>
              <w:autoSpaceDE w:val="0"/>
              <w:autoSpaceDN w:val="0"/>
              <w:adjustRightInd w:val="0"/>
              <w:spacing w:line="360" w:lineRule="auto"/>
              <w:ind w:firstLine="480" w:firstLineChars="200"/>
              <w:rPr>
                <w:color w:val="FF0000"/>
                <w:kern w:val="24"/>
                <w:sz w:val="24"/>
              </w:rPr>
            </w:pPr>
            <w:r>
              <w:rPr>
                <w:rFonts w:hint="eastAsia" w:hAnsi="宋体"/>
                <w:kern w:val="24"/>
                <w:sz w:val="24"/>
              </w:rPr>
              <w:t>项目车间</w:t>
            </w:r>
            <w:r>
              <w:rPr>
                <w:rFonts w:hAnsi="宋体"/>
                <w:kern w:val="24"/>
                <w:sz w:val="24"/>
              </w:rPr>
              <w:t>平面布置</w:t>
            </w:r>
            <w:r>
              <w:rPr>
                <w:rFonts w:hint="eastAsia" w:hAnsi="宋体"/>
                <w:kern w:val="24"/>
                <w:sz w:val="24"/>
              </w:rPr>
              <w:t>功能</w:t>
            </w:r>
            <w:r>
              <w:rPr>
                <w:rFonts w:hint="eastAsia" w:hAnsi="宋体"/>
                <w:color w:val="0D0D0D" w:themeColor="text1" w:themeTint="F2"/>
                <w:kern w:val="24"/>
                <w:sz w:val="24"/>
                <w14:textFill>
                  <w14:solidFill>
                    <w14:schemeClr w14:val="tx1">
                      <w14:lumMod w14:val="95000"/>
                      <w14:lumOff w14:val="5000"/>
                    </w14:schemeClr>
                  </w14:solidFill>
                </w14:textFill>
              </w:rPr>
              <w:t>分区明确，物流路线短，</w:t>
            </w:r>
            <w:r>
              <w:rPr>
                <w:rFonts w:hAnsi="宋体"/>
                <w:color w:val="0D0D0D" w:themeColor="text1" w:themeTint="F2"/>
                <w:kern w:val="24"/>
                <w:sz w:val="24"/>
                <w14:textFill>
                  <w14:solidFill>
                    <w14:schemeClr w14:val="tx1">
                      <w14:lumMod w14:val="95000"/>
                      <w14:lumOff w14:val="5000"/>
                    </w14:schemeClr>
                  </w14:solidFill>
                </w14:textFill>
              </w:rPr>
              <w:t>有利于生产运行过程中各部门的生产协作，提高生产效率</w:t>
            </w:r>
            <w:r>
              <w:rPr>
                <w:rFonts w:hint="eastAsia" w:hAnsi="宋体"/>
                <w:color w:val="0D0D0D" w:themeColor="text1" w:themeTint="F2"/>
                <w:kern w:val="24"/>
                <w:sz w:val="24"/>
                <w14:textFill>
                  <w14:solidFill>
                    <w14:schemeClr w14:val="tx1">
                      <w14:lumMod w14:val="95000"/>
                      <w14:lumOff w14:val="5000"/>
                    </w14:schemeClr>
                  </w14:solidFill>
                </w14:textFill>
              </w:rPr>
              <w:t>。</w:t>
            </w:r>
            <w:r>
              <w:rPr>
                <w:rFonts w:hint="eastAsia"/>
                <w:color w:val="0D0D0D" w:themeColor="text1" w:themeTint="F2"/>
                <w:kern w:val="24"/>
                <w:sz w:val="24"/>
                <w14:textFill>
                  <w14:solidFill>
                    <w14:schemeClr w14:val="tx1">
                      <w14:lumMod w14:val="95000"/>
                      <w14:lumOff w14:val="5000"/>
                    </w14:schemeClr>
                  </w14:solidFill>
                </w14:textFill>
              </w:rPr>
              <w:t>厂房依据出入口位置和围绕成品区设置过道。项目平面布置详见附图3。</w:t>
            </w:r>
          </w:p>
          <w:p>
            <w:pPr>
              <w:autoSpaceDE w:val="0"/>
              <w:autoSpaceDN w:val="0"/>
              <w:adjustRightInd w:val="0"/>
              <w:spacing w:line="360" w:lineRule="auto"/>
              <w:ind w:firstLine="480" w:firstLineChars="200"/>
              <w:rPr>
                <w:color w:val="0D0D0D" w:themeColor="text1" w:themeTint="F2"/>
                <w:kern w:val="0"/>
                <w:sz w:val="24"/>
                <w14:textFill>
                  <w14:solidFill>
                    <w14:schemeClr w14:val="tx1">
                      <w14:lumMod w14:val="95000"/>
                      <w14:lumOff w14:val="5000"/>
                    </w14:schemeClr>
                  </w14:solidFill>
                </w14:textFill>
              </w:rPr>
            </w:pPr>
            <w:r>
              <w:rPr>
                <w:rFonts w:hint="eastAsia"/>
                <w:color w:val="0D0D0D"/>
                <w:kern w:val="24"/>
                <w:sz w:val="24"/>
              </w:rPr>
              <w:t>从项目平面布置可看出，其人流、车流、货运路线清晰，厂区平面布置有利于项目生产运行过程中各部门的生产协作，提高生产效率。总体来说，拟建项目的总平面布置较为合理</w:t>
            </w:r>
            <w:r>
              <w:rPr>
                <w:rFonts w:hint="eastAsia"/>
                <w:color w:val="0D0D0D" w:themeColor="text1" w:themeTint="F2"/>
                <w:kern w:val="24"/>
                <w:sz w:val="24"/>
                <w14:textFill>
                  <w14:solidFill>
                    <w14:schemeClr w14:val="tx1">
                      <w14:lumMod w14:val="95000"/>
                      <w14:lumOff w14:val="5000"/>
                    </w14:schemeClr>
                  </w14:solidFill>
                </w14:textFill>
              </w:rPr>
              <w:t>。</w:t>
            </w:r>
          </w:p>
          <w:p>
            <w:pPr>
              <w:spacing w:before="120" w:beforeLines="50" w:line="360" w:lineRule="auto"/>
              <w:ind w:firstLine="480"/>
              <w:rPr>
                <w:color w:val="000000"/>
                <w:sz w:val="24"/>
              </w:rPr>
            </w:pPr>
            <w:r>
              <w:rPr>
                <w:rFonts w:hint="eastAsia"/>
                <w:b/>
                <w:color w:val="000000"/>
                <w:kern w:val="0"/>
                <w:sz w:val="24"/>
              </w:rPr>
              <w:t>7、生产制度和劳动定员</w:t>
            </w:r>
          </w:p>
          <w:p>
            <w:pPr>
              <w:autoSpaceDE w:val="0"/>
              <w:autoSpaceDN w:val="0"/>
              <w:adjustRightInd w:val="0"/>
              <w:snapToGrid w:val="0"/>
              <w:spacing w:line="360" w:lineRule="auto"/>
              <w:jc w:val="left"/>
              <w:rPr>
                <w:rFonts w:hAnsi="宋体"/>
                <w:kern w:val="24"/>
                <w:sz w:val="24"/>
              </w:rPr>
            </w:pPr>
            <w:r>
              <w:rPr>
                <w:rFonts w:hint="eastAsia" w:hAnsi="宋体"/>
                <w:kern w:val="24"/>
                <w:sz w:val="24"/>
              </w:rPr>
              <w:t xml:space="preserve">   </w:t>
            </w:r>
            <w:r>
              <w:rPr>
                <w:rFonts w:hint="eastAsia"/>
                <w:color w:val="0D0D0D"/>
                <w:kern w:val="24"/>
                <w:sz w:val="24"/>
              </w:rPr>
              <w:t>本项目不新增职工，所需职工在厂区内自行调配。实行白班制生产，无住宿，每天工作8小时，年工作日300天。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0" w:hRule="atLeast"/>
        </w:trPr>
        <w:tc>
          <w:tcPr>
            <w:tcW w:w="823"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工艺流程和产排污环节</w:t>
            </w:r>
          </w:p>
        </w:tc>
        <w:tc>
          <w:tcPr>
            <w:tcW w:w="8235" w:type="dxa"/>
          </w:tcPr>
          <w:p>
            <w:pPr>
              <w:spacing w:before="120" w:beforeLines="50" w:line="360" w:lineRule="auto"/>
              <w:ind w:firstLine="482" w:firstLineChars="200"/>
              <w:rPr>
                <w:rFonts w:eastAsia="黑体"/>
                <w:bCs/>
                <w:szCs w:val="28"/>
              </w:rPr>
            </w:pPr>
            <w:r>
              <w:rPr>
                <w:rFonts w:hint="eastAsia" w:cs="宋体"/>
                <w:b/>
                <w:color w:val="000000"/>
                <w:kern w:val="0"/>
                <w:sz w:val="24"/>
              </w:rPr>
              <w:t>1、</w:t>
            </w:r>
            <w:r>
              <w:rPr>
                <w:rFonts w:hint="eastAsia"/>
                <w:b/>
                <w:sz w:val="24"/>
              </w:rPr>
              <w:t>项目</w:t>
            </w:r>
            <w:r>
              <w:rPr>
                <w:rFonts w:cs="宋体"/>
                <w:b/>
                <w:bCs/>
                <w:color w:val="000000"/>
                <w:kern w:val="0"/>
                <w:sz w:val="24"/>
              </w:rPr>
              <w:t>工艺流程及产污环节分析</w:t>
            </w:r>
          </w:p>
          <w:p>
            <w:pPr>
              <w:spacing w:line="360" w:lineRule="auto"/>
              <w:rPr>
                <w:b/>
                <w:color w:val="000000"/>
                <w:sz w:val="24"/>
              </w:rPr>
            </w:pPr>
            <w:r>
              <w:rPr>
                <w:rFonts w:hint="eastAsia"/>
                <w:b/>
                <w:color w:val="000000"/>
                <w:sz w:val="24"/>
              </w:rPr>
              <w:drawing>
                <wp:inline distT="0" distB="0" distL="114300" distR="114300">
                  <wp:extent cx="5090160" cy="3571240"/>
                  <wp:effectExtent l="0" t="0" r="15240" b="10160"/>
                  <wp:docPr id="3" name="图片 3" descr="16431651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43165130(1)"/>
                          <pic:cNvPicPr>
                            <a:picLocks noChangeAspect="1"/>
                          </pic:cNvPicPr>
                        </pic:nvPicPr>
                        <pic:blipFill>
                          <a:blip r:embed="rId7"/>
                          <a:stretch>
                            <a:fillRect/>
                          </a:stretch>
                        </pic:blipFill>
                        <pic:spPr>
                          <a:xfrm>
                            <a:off x="0" y="0"/>
                            <a:ext cx="5090160" cy="3571240"/>
                          </a:xfrm>
                          <a:prstGeom prst="rect">
                            <a:avLst/>
                          </a:prstGeom>
                        </pic:spPr>
                      </pic:pic>
                    </a:graphicData>
                  </a:graphic>
                </wp:inline>
              </w:drawing>
            </w:r>
          </w:p>
          <w:p>
            <w:pPr>
              <w:spacing w:line="360" w:lineRule="auto"/>
              <w:jc w:val="center"/>
              <w:rPr>
                <w:color w:val="000000"/>
                <w:szCs w:val="21"/>
              </w:rPr>
            </w:pPr>
            <w:r>
              <w:rPr>
                <w:b/>
                <w:color w:val="000000"/>
                <w:sz w:val="24"/>
              </w:rPr>
              <w:t>图</w:t>
            </w:r>
            <w:r>
              <w:rPr>
                <w:rFonts w:hint="eastAsia"/>
                <w:b/>
                <w:color w:val="000000"/>
                <w:sz w:val="24"/>
              </w:rPr>
              <w:t>2</w:t>
            </w:r>
            <w:r>
              <w:rPr>
                <w:b/>
                <w:color w:val="000000"/>
                <w:sz w:val="24"/>
              </w:rPr>
              <w:t>-</w:t>
            </w:r>
            <w:r>
              <w:rPr>
                <w:rFonts w:hint="eastAsia"/>
                <w:b/>
                <w:color w:val="000000"/>
                <w:sz w:val="24"/>
              </w:rPr>
              <w:t>1</w:t>
            </w:r>
            <w:r>
              <w:rPr>
                <w:b/>
                <w:color w:val="000000"/>
                <w:sz w:val="24"/>
              </w:rPr>
              <w:t xml:space="preserve">  项目工艺流程及产污环节图</w:t>
            </w:r>
          </w:p>
          <w:p>
            <w:pPr>
              <w:spacing w:line="360" w:lineRule="auto"/>
              <w:ind w:firstLine="480" w:firstLineChars="200"/>
              <w:rPr>
                <w:sz w:val="24"/>
              </w:rPr>
            </w:pPr>
            <w:r>
              <w:rPr>
                <w:sz w:val="24"/>
              </w:rPr>
              <w:t>（1）</w:t>
            </w:r>
            <w:r>
              <w:rPr>
                <w:rFonts w:hint="eastAsia"/>
                <w:sz w:val="24"/>
              </w:rPr>
              <w:t>喷砂</w:t>
            </w:r>
          </w:p>
          <w:p>
            <w:pPr>
              <w:spacing w:line="360" w:lineRule="auto"/>
              <w:ind w:firstLine="480"/>
              <w:rPr>
                <w:sz w:val="24"/>
              </w:rPr>
            </w:pPr>
            <w:r>
              <w:rPr>
                <w:rFonts w:hint="eastAsia"/>
                <w:sz w:val="24"/>
              </w:rPr>
              <w:t>将预组装完成的焊接、型材构件半成品运送至二期厂房喷砂生产线，在喷砂间内采用小型喷砂机进行钢构件表面处理，使工件的外表发生变化。由于钢砂对工件表面的冲击作用，使工件的表面获得一定的清洁度。该工序产生的主要</w:t>
            </w:r>
            <w:r>
              <w:rPr>
                <w:sz w:val="24"/>
              </w:rPr>
              <w:t>污染物是</w:t>
            </w:r>
            <w:r>
              <w:rPr>
                <w:rFonts w:hint="eastAsia"/>
                <w:sz w:val="24"/>
              </w:rPr>
              <w:t>喷砂粉尘（G1）、</w:t>
            </w:r>
            <w:r>
              <w:rPr>
                <w:rFonts w:hint="eastAsia"/>
                <w:sz w:val="24"/>
                <w:lang w:val="en-US" w:eastAsia="zh-CN"/>
              </w:rPr>
              <w:t>喷砂</w:t>
            </w:r>
            <w:r>
              <w:rPr>
                <w:rFonts w:hint="eastAsia"/>
                <w:sz w:val="24"/>
              </w:rPr>
              <w:t>产生的废钢砂（S1）以及噪声（N）</w:t>
            </w:r>
            <w:r>
              <w:rPr>
                <w:sz w:val="24"/>
              </w:rPr>
              <w:t>。</w:t>
            </w:r>
          </w:p>
          <w:p>
            <w:pPr>
              <w:spacing w:line="360" w:lineRule="auto"/>
              <w:ind w:left="397"/>
              <w:rPr>
                <w:sz w:val="24"/>
              </w:rPr>
            </w:pPr>
            <w:r>
              <w:rPr>
                <w:sz w:val="24"/>
              </w:rPr>
              <w:t>（2）</w:t>
            </w:r>
            <w:r>
              <w:rPr>
                <w:rFonts w:hint="eastAsia"/>
                <w:sz w:val="24"/>
              </w:rPr>
              <w:t>喷涂防腐</w:t>
            </w:r>
          </w:p>
          <w:p>
            <w:pPr>
              <w:spacing w:line="360" w:lineRule="auto"/>
              <w:ind w:firstLine="480"/>
              <w:rPr>
                <w:sz w:val="24"/>
                <w:lang w:val="zh-CN"/>
              </w:rPr>
            </w:pPr>
            <w:r>
              <w:rPr>
                <w:rFonts w:hint="eastAsia"/>
                <w:sz w:val="24"/>
              </w:rPr>
              <w:t>除锈完成的焊接、型材构件、冷弯薄壁构件以及冷弯复合墙板和屋面板经检验人员检验合格后，在</w:t>
            </w:r>
            <w:r>
              <w:rPr>
                <w:rFonts w:hint="eastAsia"/>
                <w:sz w:val="24"/>
                <w:lang w:val="en-US" w:eastAsia="zh-CN"/>
              </w:rPr>
              <w:t>密闭</w:t>
            </w:r>
            <w:r>
              <w:rPr>
                <w:rFonts w:hint="eastAsia"/>
                <w:sz w:val="24"/>
              </w:rPr>
              <w:t>涂装车间内对工件进行人工喷底漆、面漆处理，在工厂内钢结构只喷底漆和第一道防腐面漆，钢构件在使用安装现场再根据客户的需要进行第二道</w:t>
            </w:r>
            <w:r>
              <w:rPr>
                <w:rFonts w:hint="eastAsia"/>
                <w:sz w:val="24"/>
                <w:lang w:val="en-US" w:eastAsia="zh-CN"/>
              </w:rPr>
              <w:t>喷漆</w:t>
            </w:r>
            <w:r>
              <w:rPr>
                <w:rFonts w:hint="eastAsia"/>
                <w:sz w:val="24"/>
              </w:rPr>
              <w:t>处理。</w:t>
            </w:r>
            <w:r>
              <w:rPr>
                <w:rFonts w:hint="eastAsia"/>
                <w:sz w:val="24"/>
                <w:lang w:val="zh-CN"/>
              </w:rPr>
              <w:t>本项目喷漆工作过程中，在风机作用下废气经干式过滤器去除漆雾后，进入过滤棉+活性炭+RCO处理装置系统进行后续处理，经15m高排气筒高空排放。</w:t>
            </w:r>
            <w:r>
              <w:rPr>
                <w:rFonts w:hint="eastAsia"/>
                <w:sz w:val="24"/>
              </w:rPr>
              <w:t>该工序产生的主要</w:t>
            </w:r>
            <w:r>
              <w:rPr>
                <w:sz w:val="24"/>
              </w:rPr>
              <w:t>污染物是</w:t>
            </w:r>
            <w:r>
              <w:rPr>
                <w:rFonts w:hint="eastAsia"/>
                <w:sz w:val="24"/>
              </w:rPr>
              <w:t>调漆、喷漆以及晾干产生的废气（G2）以及噪声（N）</w:t>
            </w:r>
            <w:r>
              <w:rPr>
                <w:sz w:val="24"/>
              </w:rPr>
              <w:t>。</w:t>
            </w:r>
            <w:r>
              <w:rPr>
                <w:rFonts w:hint="eastAsia"/>
                <w:sz w:val="24"/>
                <w:lang w:val="zh-CN"/>
              </w:rPr>
              <w:t>具体如下：</w:t>
            </w:r>
          </w:p>
          <w:p>
            <w:pPr>
              <w:spacing w:line="360" w:lineRule="auto"/>
              <w:ind w:firstLine="480"/>
              <w:rPr>
                <w:sz w:val="24"/>
                <w:lang w:val="zh-CN"/>
              </w:rPr>
            </w:pPr>
            <w:r>
              <w:rPr>
                <w:rFonts w:hint="eastAsia"/>
                <w:sz w:val="24"/>
                <w:lang w:val="zh-CN"/>
              </w:rPr>
              <w:t>①调漆</w:t>
            </w:r>
          </w:p>
          <w:p>
            <w:pPr>
              <w:spacing w:line="360" w:lineRule="auto"/>
              <w:ind w:firstLine="480"/>
              <w:rPr>
                <w:sz w:val="24"/>
                <w:lang w:val="zh-CN"/>
              </w:rPr>
            </w:pPr>
            <w:r>
              <w:rPr>
                <w:rFonts w:hint="eastAsia"/>
                <w:sz w:val="24"/>
                <w:lang w:val="zh-CN"/>
              </w:rPr>
              <w:t>本项目涂料分为油性涂料和水性涂料，油漆使用前需要进行调配，本项目调漆工序设置在喷漆室内，即调即用。按比例将油性漆、固化剂和稀释剂混合，搅拌均匀后待用；或使用水性漆时，按比例将水性漆和水混合，搅拌均匀后待用。</w:t>
            </w:r>
            <w:r>
              <w:rPr>
                <w:rFonts w:hint="eastAsia"/>
                <w:sz w:val="24"/>
              </w:rPr>
              <w:t>本项目调漆工作过程中，在风机作用下废气经干式过滤器去除漆雾后，进入过滤棉+活性炭+RCO处理装置系统进行后续处理，经15m高排气筒高空排放。</w:t>
            </w:r>
            <w:r>
              <w:rPr>
                <w:rFonts w:hint="eastAsia"/>
                <w:sz w:val="24"/>
                <w:lang w:val="zh-CN"/>
              </w:rPr>
              <w:t>本项目每天调漆</w:t>
            </w:r>
            <w:r>
              <w:rPr>
                <w:rFonts w:hint="eastAsia"/>
                <w:sz w:val="24"/>
              </w:rPr>
              <w:t>5</w:t>
            </w:r>
            <w:r>
              <w:rPr>
                <w:rFonts w:hint="eastAsia"/>
                <w:sz w:val="24"/>
                <w:lang w:val="zh-CN"/>
              </w:rPr>
              <w:t>次，每次约10min。</w:t>
            </w:r>
          </w:p>
          <w:p>
            <w:pPr>
              <w:spacing w:line="360" w:lineRule="auto"/>
              <w:ind w:firstLine="480"/>
              <w:rPr>
                <w:sz w:val="24"/>
                <w:lang w:val="zh-CN"/>
              </w:rPr>
            </w:pPr>
            <w:r>
              <w:rPr>
                <w:rFonts w:hint="eastAsia"/>
                <w:sz w:val="24"/>
                <w:lang w:val="zh-CN"/>
              </w:rPr>
              <w:t>②喷底漆</w:t>
            </w:r>
          </w:p>
          <w:p>
            <w:pPr>
              <w:spacing w:line="360" w:lineRule="auto"/>
              <w:ind w:firstLine="480"/>
              <w:rPr>
                <w:sz w:val="24"/>
                <w:lang w:val="zh-CN"/>
              </w:rPr>
            </w:pPr>
            <w:r>
              <w:rPr>
                <w:rFonts w:hint="eastAsia"/>
                <w:sz w:val="24"/>
                <w:lang w:val="zh-CN"/>
              </w:rPr>
              <w:t>人工使用喷枪在工件表面均匀喷涂上一层油性底漆料或水性底漆料，其中环氧富锌防腐底漆质量为底漆、稀释剂、固化剂混合比75:15:10，铁红醇酸防锈底漆为底漆、稀释剂混合比 85:15，水性丙烯酸防锈底漆为底漆、水混合比80:20，本项目喷漆工作过程中，在风机作用下废气经干式过滤器去除漆雾后，进入过滤棉+活性炭+RCO处理装置系统进行后续处理，经15m高排气筒高空排放。项目喷漆室在喷漆过程中维持负压状态。本项目喷漆室每天喷底漆</w:t>
            </w:r>
            <w:r>
              <w:rPr>
                <w:rFonts w:hint="eastAsia"/>
                <w:sz w:val="24"/>
              </w:rPr>
              <w:t>5</w:t>
            </w:r>
            <w:r>
              <w:rPr>
                <w:rFonts w:hint="eastAsia"/>
                <w:sz w:val="24"/>
                <w:lang w:val="zh-CN"/>
              </w:rPr>
              <w:t>次，每次约20min。</w:t>
            </w:r>
          </w:p>
          <w:p>
            <w:pPr>
              <w:spacing w:line="360" w:lineRule="auto"/>
              <w:ind w:firstLine="480"/>
              <w:rPr>
                <w:sz w:val="24"/>
                <w:lang w:val="zh-CN"/>
              </w:rPr>
            </w:pPr>
            <w:r>
              <w:rPr>
                <w:rFonts w:hint="eastAsia"/>
                <w:sz w:val="24"/>
                <w:lang w:val="zh-CN"/>
              </w:rPr>
              <w:t>③晾干</w:t>
            </w:r>
          </w:p>
          <w:p>
            <w:pPr>
              <w:spacing w:line="360" w:lineRule="auto"/>
              <w:ind w:firstLine="480"/>
              <w:rPr>
                <w:sz w:val="24"/>
                <w:lang w:val="zh-CN"/>
              </w:rPr>
            </w:pPr>
            <w:r>
              <w:rPr>
                <w:rFonts w:hint="eastAsia"/>
                <w:sz w:val="24"/>
                <w:lang w:val="zh-CN"/>
              </w:rPr>
              <w:t>各部件经喷底漆后于喷漆室内各喷漆台原地进行自然晾干，晾干时间约为10min，使工件表面底漆干燥、固化成膜。</w:t>
            </w:r>
            <w:r>
              <w:rPr>
                <w:rFonts w:hint="eastAsia"/>
                <w:sz w:val="24"/>
              </w:rPr>
              <w:t>晾干</w:t>
            </w:r>
            <w:r>
              <w:rPr>
                <w:rFonts w:hint="eastAsia"/>
                <w:sz w:val="24"/>
                <w:lang w:val="zh-CN"/>
              </w:rPr>
              <w:t>过程中，在风机作用下废气经干式过滤器去除漆雾后，进入过滤棉+活性炭+RCO处理装置系统进行后续处理，经15m高排气筒高空排放。</w:t>
            </w:r>
          </w:p>
          <w:p>
            <w:pPr>
              <w:spacing w:line="360" w:lineRule="auto"/>
              <w:ind w:firstLine="480"/>
              <w:rPr>
                <w:sz w:val="24"/>
                <w:lang w:val="zh-CN"/>
              </w:rPr>
            </w:pPr>
            <w:r>
              <w:rPr>
                <w:rFonts w:hint="eastAsia"/>
                <w:sz w:val="24"/>
                <w:lang w:val="zh-CN"/>
              </w:rPr>
              <w:t>④喷面漆</w:t>
            </w:r>
          </w:p>
          <w:p>
            <w:pPr>
              <w:spacing w:line="360" w:lineRule="auto"/>
              <w:ind w:firstLine="480"/>
              <w:rPr>
                <w:sz w:val="24"/>
                <w:lang w:val="zh-CN"/>
              </w:rPr>
            </w:pPr>
            <w:r>
              <w:rPr>
                <w:rFonts w:hint="eastAsia"/>
                <w:sz w:val="24"/>
                <w:lang w:val="zh-CN"/>
              </w:rPr>
              <w:t>人工使用喷枪在工件表面均匀喷涂上一层油性面漆料或水性面漆料，丙烯酸聚氨酯面漆为面漆、稀释剂、固化剂混合比75:15:10、水性丙烯酸防腐面漆为面漆、水混合比 80:20，本项目喷漆室工作过程中，在风机作用下废气经干式过滤器去除漆雾后进入过滤棉+活性炭+RCO处理装置进行后续处理。项目喷漆室喷漆过程中维持负压状态。本项目喷漆室每天喷面漆</w:t>
            </w:r>
            <w:r>
              <w:rPr>
                <w:rFonts w:hint="eastAsia"/>
                <w:sz w:val="24"/>
              </w:rPr>
              <w:t>5</w:t>
            </w:r>
            <w:r>
              <w:rPr>
                <w:rFonts w:hint="eastAsia"/>
                <w:sz w:val="24"/>
                <w:lang w:val="zh-CN"/>
              </w:rPr>
              <w:t>次，每次约20min。</w:t>
            </w:r>
          </w:p>
          <w:p>
            <w:pPr>
              <w:spacing w:line="360" w:lineRule="auto"/>
              <w:ind w:firstLine="480"/>
              <w:rPr>
                <w:sz w:val="24"/>
                <w:lang w:val="zh-CN"/>
              </w:rPr>
            </w:pPr>
            <w:r>
              <w:rPr>
                <w:rFonts w:hint="eastAsia"/>
                <w:sz w:val="24"/>
                <w:lang w:val="zh-CN"/>
              </w:rPr>
              <w:t>⑤</w:t>
            </w:r>
            <w:r>
              <w:rPr>
                <w:rFonts w:hint="eastAsia"/>
                <w:sz w:val="24"/>
              </w:rPr>
              <w:t>晾干</w:t>
            </w:r>
          </w:p>
          <w:p>
            <w:pPr>
              <w:spacing w:line="360" w:lineRule="auto"/>
              <w:ind w:firstLine="480"/>
              <w:rPr>
                <w:sz w:val="24"/>
                <w:lang w:val="zh-CN"/>
              </w:rPr>
            </w:pPr>
            <w:r>
              <w:rPr>
                <w:rFonts w:hint="eastAsia"/>
                <w:sz w:val="24"/>
                <w:lang w:val="zh-CN"/>
              </w:rPr>
              <w:t>工件经喷面漆后</w:t>
            </w:r>
            <w:r>
              <w:rPr>
                <w:rFonts w:hint="eastAsia"/>
                <w:sz w:val="24"/>
              </w:rPr>
              <w:t>室内晾干</w:t>
            </w:r>
            <w:r>
              <w:rPr>
                <w:rFonts w:hint="eastAsia"/>
                <w:sz w:val="24"/>
                <w:lang w:val="zh-CN"/>
              </w:rPr>
              <w:t>，使面漆料干燥、固化成膜。</w:t>
            </w:r>
            <w:r>
              <w:rPr>
                <w:rFonts w:hint="eastAsia"/>
                <w:sz w:val="24"/>
              </w:rPr>
              <w:t>喷漆</w:t>
            </w:r>
            <w:r>
              <w:rPr>
                <w:rFonts w:hint="eastAsia"/>
                <w:sz w:val="24"/>
                <w:lang w:val="zh-CN"/>
              </w:rPr>
              <w:t>室为密闭设置，</w:t>
            </w:r>
            <w:r>
              <w:rPr>
                <w:rFonts w:hint="eastAsia"/>
                <w:sz w:val="24"/>
              </w:rPr>
              <w:t>室内晾干10h</w:t>
            </w:r>
            <w:r>
              <w:rPr>
                <w:rFonts w:hint="eastAsia"/>
                <w:sz w:val="24"/>
                <w:lang w:val="zh-CN"/>
              </w:rPr>
              <w:t>。</w:t>
            </w:r>
          </w:p>
          <w:p>
            <w:pPr>
              <w:spacing w:line="360" w:lineRule="auto"/>
              <w:ind w:firstLine="480"/>
              <w:rPr>
                <w:sz w:val="24"/>
                <w:lang w:val="zh-CN"/>
              </w:rPr>
            </w:pPr>
            <w:r>
              <w:rPr>
                <w:rFonts w:hint="eastAsia"/>
                <w:sz w:val="24"/>
                <w:lang w:val="zh-CN"/>
              </w:rPr>
              <w:t>⑥清洗喷枪</w:t>
            </w:r>
          </w:p>
          <w:p>
            <w:pPr>
              <w:spacing w:line="360" w:lineRule="auto"/>
              <w:ind w:firstLine="480"/>
              <w:rPr>
                <w:sz w:val="24"/>
              </w:rPr>
            </w:pPr>
            <w:r>
              <w:rPr>
                <w:rFonts w:hint="eastAsia"/>
                <w:sz w:val="24"/>
                <w:lang w:val="zh-CN"/>
              </w:rPr>
              <w:t>本项目油漆喷枪需定期清洗以防止喷枪内涂料干化后堵塞喷嘴，从而影响喷涂质量。本项目设</w:t>
            </w:r>
            <w:r>
              <w:rPr>
                <w:rFonts w:hint="eastAsia"/>
                <w:sz w:val="24"/>
              </w:rPr>
              <w:t>2</w:t>
            </w:r>
            <w:r>
              <w:rPr>
                <w:rFonts w:hint="eastAsia"/>
                <w:sz w:val="24"/>
                <w:lang w:val="zh-CN"/>
              </w:rPr>
              <w:t>支油漆喷枪，油漆喷枪喷嘴每天清洗一次，使用密封容器盛装油漆稀释剂，喷枪抽管从容器顶部封口处放入，吸取稀释剂后从喷嘴将稀释剂从容器顶部封口喷射回容器内，吸取的稀释剂将喷枪内的固化漆料溶解清洗后一同喷回稀释剂容器内。将喷嘴沥干后放置一旁待用，清洗后的稀释剂混入油漆中下次调配使用，不外排。本项目油性喷枪每天清洗一次，清洗时间约为15min/d。</w:t>
            </w:r>
          </w:p>
          <w:p>
            <w:pPr>
              <w:widowControl/>
              <w:autoSpaceDE w:val="0"/>
              <w:autoSpaceDN w:val="0"/>
              <w:adjustRightInd w:val="0"/>
              <w:spacing w:line="360" w:lineRule="auto"/>
              <w:ind w:firstLine="480" w:firstLineChars="200"/>
              <w:jc w:val="left"/>
              <w:rPr>
                <w:kern w:val="0"/>
                <w:sz w:val="24"/>
                <w:szCs w:val="20"/>
              </w:rPr>
            </w:pPr>
            <w:r>
              <w:rPr>
                <w:rFonts w:hint="eastAsia"/>
                <w:kern w:val="0"/>
                <w:sz w:val="24"/>
                <w:szCs w:val="20"/>
              </w:rPr>
              <w:t>本</w:t>
            </w:r>
            <w:r>
              <w:rPr>
                <w:kern w:val="0"/>
                <w:sz w:val="24"/>
                <w:szCs w:val="20"/>
              </w:rPr>
              <w:t>项目运营期主要污染工序及污染因子见下表。</w:t>
            </w:r>
          </w:p>
          <w:p>
            <w:pPr>
              <w:jc w:val="center"/>
              <w:rPr>
                <w:b/>
                <w:sz w:val="24"/>
              </w:rPr>
            </w:pPr>
            <w:r>
              <w:rPr>
                <w:b/>
                <w:sz w:val="24"/>
              </w:rPr>
              <w:t>表</w:t>
            </w:r>
            <w:r>
              <w:rPr>
                <w:rFonts w:hint="eastAsia"/>
                <w:b/>
                <w:sz w:val="24"/>
              </w:rPr>
              <w:t>2</w:t>
            </w:r>
            <w:r>
              <w:rPr>
                <w:b/>
                <w:sz w:val="24"/>
              </w:rPr>
              <w:t>-</w:t>
            </w:r>
            <w:r>
              <w:rPr>
                <w:rFonts w:hint="eastAsia"/>
                <w:b/>
                <w:sz w:val="24"/>
              </w:rPr>
              <w:t>1</w:t>
            </w:r>
            <w:r>
              <w:rPr>
                <w:rFonts w:hint="eastAsia"/>
                <w:b/>
                <w:sz w:val="24"/>
                <w:lang w:val="en-US" w:eastAsia="zh-CN"/>
              </w:rPr>
              <w:t>2</w:t>
            </w:r>
            <w:r>
              <w:rPr>
                <w:b/>
                <w:sz w:val="24"/>
              </w:rPr>
              <w:t xml:space="preserve">  </w:t>
            </w:r>
            <w:r>
              <w:rPr>
                <w:rFonts w:hint="eastAsia"/>
                <w:b/>
                <w:sz w:val="24"/>
              </w:rPr>
              <w:t>本项目</w:t>
            </w:r>
            <w:r>
              <w:rPr>
                <w:b/>
                <w:sz w:val="24"/>
              </w:rPr>
              <w:t>运营期主要污染工序一览表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9"/>
              <w:gridCol w:w="1196"/>
              <w:gridCol w:w="2608"/>
              <w:gridCol w:w="37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543" w:type="pct"/>
                  <w:vAlign w:val="center"/>
                </w:tcPr>
                <w:p>
                  <w:pPr>
                    <w:adjustRightInd w:val="0"/>
                    <w:snapToGrid w:val="0"/>
                    <w:jc w:val="center"/>
                    <w:rPr>
                      <w:b/>
                      <w:bCs/>
                      <w:szCs w:val="21"/>
                    </w:rPr>
                  </w:pPr>
                  <w:r>
                    <w:rPr>
                      <w:b/>
                      <w:bCs/>
                      <w:szCs w:val="21"/>
                    </w:rPr>
                    <w:t>污</w:t>
                  </w:r>
                  <w:r>
                    <w:rPr>
                      <w:rFonts w:hint="eastAsia"/>
                      <w:b/>
                      <w:bCs/>
                      <w:szCs w:val="21"/>
                    </w:rPr>
                    <w:t>染</w:t>
                  </w:r>
                  <w:r>
                    <w:rPr>
                      <w:b/>
                      <w:bCs/>
                      <w:szCs w:val="21"/>
                    </w:rPr>
                    <w:t>类别</w:t>
                  </w:r>
                </w:p>
              </w:tc>
              <w:tc>
                <w:tcPr>
                  <w:tcW w:w="707" w:type="pct"/>
                  <w:vAlign w:val="center"/>
                </w:tcPr>
                <w:p>
                  <w:pPr>
                    <w:adjustRightInd w:val="0"/>
                    <w:snapToGrid w:val="0"/>
                    <w:jc w:val="center"/>
                    <w:rPr>
                      <w:b/>
                      <w:bCs/>
                      <w:szCs w:val="21"/>
                    </w:rPr>
                  </w:pPr>
                  <w:r>
                    <w:rPr>
                      <w:b/>
                      <w:bCs/>
                      <w:szCs w:val="21"/>
                    </w:rPr>
                    <w:t>污染源编号</w:t>
                  </w:r>
                </w:p>
              </w:tc>
              <w:tc>
                <w:tcPr>
                  <w:tcW w:w="1541" w:type="pct"/>
                  <w:vAlign w:val="center"/>
                </w:tcPr>
                <w:p>
                  <w:pPr>
                    <w:adjustRightInd w:val="0"/>
                    <w:snapToGrid w:val="0"/>
                    <w:jc w:val="center"/>
                    <w:rPr>
                      <w:b/>
                      <w:bCs/>
                      <w:szCs w:val="21"/>
                    </w:rPr>
                  </w:pPr>
                  <w:r>
                    <w:rPr>
                      <w:b/>
                      <w:bCs/>
                      <w:szCs w:val="21"/>
                    </w:rPr>
                    <w:t>产生工序</w:t>
                  </w:r>
                </w:p>
              </w:tc>
              <w:tc>
                <w:tcPr>
                  <w:tcW w:w="2207" w:type="pct"/>
                  <w:vAlign w:val="center"/>
                </w:tcPr>
                <w:p>
                  <w:pPr>
                    <w:adjustRightInd w:val="0"/>
                    <w:snapToGrid w:val="0"/>
                    <w:jc w:val="center"/>
                    <w:rPr>
                      <w:b/>
                      <w:bCs/>
                      <w:szCs w:val="21"/>
                    </w:rPr>
                  </w:pPr>
                  <w:r>
                    <w:rPr>
                      <w:b/>
                      <w:bCs/>
                      <w:szCs w:val="21"/>
                    </w:rPr>
                    <w:t>主要污染因子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3" w:type="pct"/>
                  <w:vMerge w:val="restart"/>
                  <w:vAlign w:val="center"/>
                </w:tcPr>
                <w:p>
                  <w:pPr>
                    <w:adjustRightInd w:val="0"/>
                    <w:snapToGrid w:val="0"/>
                    <w:jc w:val="center"/>
                    <w:rPr>
                      <w:bCs/>
                      <w:szCs w:val="21"/>
                    </w:rPr>
                  </w:pPr>
                  <w:r>
                    <w:rPr>
                      <w:bCs/>
                      <w:szCs w:val="21"/>
                    </w:rPr>
                    <w:t>废气</w:t>
                  </w:r>
                </w:p>
              </w:tc>
              <w:tc>
                <w:tcPr>
                  <w:tcW w:w="707" w:type="pct"/>
                  <w:vAlign w:val="center"/>
                </w:tcPr>
                <w:p>
                  <w:pPr>
                    <w:adjustRightInd w:val="0"/>
                    <w:snapToGrid w:val="0"/>
                    <w:jc w:val="center"/>
                    <w:rPr>
                      <w:bCs/>
                      <w:szCs w:val="21"/>
                    </w:rPr>
                  </w:pPr>
                  <w:r>
                    <w:rPr>
                      <w:bCs/>
                      <w:szCs w:val="21"/>
                    </w:rPr>
                    <w:t>G</w:t>
                  </w:r>
                  <w:r>
                    <w:rPr>
                      <w:rFonts w:hint="eastAsia"/>
                      <w:bCs/>
                      <w:szCs w:val="21"/>
                    </w:rPr>
                    <w:t>1</w:t>
                  </w:r>
                </w:p>
              </w:tc>
              <w:tc>
                <w:tcPr>
                  <w:tcW w:w="1541" w:type="pct"/>
                  <w:vAlign w:val="center"/>
                </w:tcPr>
                <w:p>
                  <w:pPr>
                    <w:adjustRightInd w:val="0"/>
                    <w:snapToGrid w:val="0"/>
                    <w:jc w:val="center"/>
                    <w:rPr>
                      <w:bCs/>
                      <w:szCs w:val="21"/>
                    </w:rPr>
                  </w:pPr>
                  <w:r>
                    <w:rPr>
                      <w:rFonts w:hint="eastAsia"/>
                      <w:bCs/>
                      <w:szCs w:val="21"/>
                    </w:rPr>
                    <w:t>喷砂</w:t>
                  </w:r>
                </w:p>
              </w:tc>
              <w:tc>
                <w:tcPr>
                  <w:tcW w:w="2207" w:type="pct"/>
                  <w:vAlign w:val="center"/>
                </w:tcPr>
                <w:p>
                  <w:pPr>
                    <w:adjustRightInd w:val="0"/>
                    <w:snapToGrid w:val="0"/>
                    <w:jc w:val="center"/>
                    <w:rPr>
                      <w:bCs/>
                      <w:szCs w:val="21"/>
                    </w:rPr>
                  </w:pPr>
                  <w:r>
                    <w:rPr>
                      <w:rFonts w:hint="eastAsia"/>
                      <w:bCs/>
                      <w:szCs w:val="21"/>
                    </w:rPr>
                    <w:t>颗粒物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3" w:type="pct"/>
                  <w:vMerge w:val="continue"/>
                  <w:vAlign w:val="center"/>
                </w:tcPr>
                <w:p>
                  <w:pPr>
                    <w:adjustRightInd w:val="0"/>
                    <w:snapToGrid w:val="0"/>
                    <w:jc w:val="center"/>
                    <w:rPr>
                      <w:bCs/>
                      <w:szCs w:val="21"/>
                    </w:rPr>
                  </w:pPr>
                </w:p>
              </w:tc>
              <w:tc>
                <w:tcPr>
                  <w:tcW w:w="707" w:type="pct"/>
                  <w:vAlign w:val="center"/>
                </w:tcPr>
                <w:p>
                  <w:pPr>
                    <w:adjustRightInd w:val="0"/>
                    <w:snapToGrid w:val="0"/>
                    <w:jc w:val="center"/>
                    <w:rPr>
                      <w:bCs/>
                      <w:szCs w:val="21"/>
                    </w:rPr>
                  </w:pPr>
                  <w:r>
                    <w:rPr>
                      <w:rFonts w:hint="eastAsia"/>
                      <w:bCs/>
                      <w:szCs w:val="21"/>
                    </w:rPr>
                    <w:t>G2</w:t>
                  </w:r>
                </w:p>
              </w:tc>
              <w:tc>
                <w:tcPr>
                  <w:tcW w:w="1541" w:type="pct"/>
                  <w:vAlign w:val="center"/>
                </w:tcPr>
                <w:p>
                  <w:pPr>
                    <w:adjustRightInd w:val="0"/>
                    <w:snapToGrid w:val="0"/>
                    <w:jc w:val="center"/>
                    <w:rPr>
                      <w:bCs/>
                      <w:szCs w:val="21"/>
                    </w:rPr>
                  </w:pPr>
                  <w:r>
                    <w:rPr>
                      <w:rFonts w:hint="eastAsia"/>
                      <w:bCs/>
                      <w:szCs w:val="21"/>
                    </w:rPr>
                    <w:t>调漆、喷漆、晾干</w:t>
                  </w:r>
                </w:p>
              </w:tc>
              <w:tc>
                <w:tcPr>
                  <w:tcW w:w="2207" w:type="pct"/>
                  <w:vAlign w:val="center"/>
                </w:tcPr>
                <w:p>
                  <w:pPr>
                    <w:adjustRightInd w:val="0"/>
                    <w:snapToGrid w:val="0"/>
                    <w:jc w:val="center"/>
                    <w:rPr>
                      <w:bCs/>
                      <w:szCs w:val="21"/>
                    </w:rPr>
                  </w:pPr>
                  <w:r>
                    <w:rPr>
                      <w:rFonts w:hint="eastAsia"/>
                      <w:bCs/>
                      <w:szCs w:val="21"/>
                    </w:rPr>
                    <w:t>非甲烷总烃、颗粒物、二甲苯、甲苯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3" w:type="pct"/>
                  <w:vAlign w:val="center"/>
                </w:tcPr>
                <w:p>
                  <w:pPr>
                    <w:adjustRightInd w:val="0"/>
                    <w:snapToGrid w:val="0"/>
                    <w:jc w:val="center"/>
                    <w:rPr>
                      <w:bCs/>
                      <w:szCs w:val="21"/>
                    </w:rPr>
                  </w:pPr>
                  <w:r>
                    <w:rPr>
                      <w:bCs/>
                      <w:szCs w:val="21"/>
                    </w:rPr>
                    <w:t>噪声</w:t>
                  </w:r>
                </w:p>
              </w:tc>
              <w:tc>
                <w:tcPr>
                  <w:tcW w:w="707" w:type="pct"/>
                  <w:vAlign w:val="center"/>
                </w:tcPr>
                <w:p>
                  <w:pPr>
                    <w:adjustRightInd w:val="0"/>
                    <w:snapToGrid w:val="0"/>
                    <w:jc w:val="center"/>
                    <w:rPr>
                      <w:bCs/>
                      <w:szCs w:val="21"/>
                    </w:rPr>
                  </w:pPr>
                  <w:r>
                    <w:rPr>
                      <w:bCs/>
                      <w:szCs w:val="21"/>
                    </w:rPr>
                    <w:t>设备噪声</w:t>
                  </w:r>
                </w:p>
              </w:tc>
              <w:tc>
                <w:tcPr>
                  <w:tcW w:w="1541" w:type="pct"/>
                  <w:vAlign w:val="center"/>
                </w:tcPr>
                <w:p>
                  <w:pPr>
                    <w:adjustRightInd w:val="0"/>
                    <w:snapToGrid w:val="0"/>
                    <w:jc w:val="center"/>
                    <w:rPr>
                      <w:bCs/>
                      <w:szCs w:val="21"/>
                    </w:rPr>
                  </w:pPr>
                  <w:r>
                    <w:rPr>
                      <w:bCs/>
                      <w:szCs w:val="21"/>
                    </w:rPr>
                    <w:t>设备运行</w:t>
                  </w:r>
                </w:p>
              </w:tc>
              <w:tc>
                <w:tcPr>
                  <w:tcW w:w="2207" w:type="pct"/>
                  <w:vAlign w:val="center"/>
                </w:tcPr>
                <w:p>
                  <w:pPr>
                    <w:adjustRightInd w:val="0"/>
                    <w:snapToGrid w:val="0"/>
                    <w:jc w:val="center"/>
                    <w:rPr>
                      <w:bCs/>
                      <w:szCs w:val="21"/>
                    </w:rPr>
                  </w:pPr>
                  <w:r>
                    <w:rPr>
                      <w:bCs/>
                      <w:szCs w:val="21"/>
                    </w:rPr>
                    <w:t>机械噪声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3" w:type="pct"/>
                  <w:vMerge w:val="restart"/>
                  <w:vAlign w:val="center"/>
                </w:tcPr>
                <w:p>
                  <w:pPr>
                    <w:adjustRightInd w:val="0"/>
                    <w:snapToGrid w:val="0"/>
                    <w:jc w:val="center"/>
                    <w:rPr>
                      <w:bCs/>
                      <w:szCs w:val="21"/>
                    </w:rPr>
                  </w:pPr>
                  <w:r>
                    <w:rPr>
                      <w:bCs/>
                      <w:szCs w:val="21"/>
                    </w:rPr>
                    <w:t>固废</w:t>
                  </w:r>
                </w:p>
              </w:tc>
              <w:tc>
                <w:tcPr>
                  <w:tcW w:w="707" w:type="pct"/>
                  <w:vAlign w:val="center"/>
                </w:tcPr>
                <w:p>
                  <w:pPr>
                    <w:adjustRightInd w:val="0"/>
                    <w:snapToGrid w:val="0"/>
                    <w:jc w:val="center"/>
                    <w:rPr>
                      <w:bCs/>
                      <w:szCs w:val="21"/>
                    </w:rPr>
                  </w:pPr>
                  <w:r>
                    <w:rPr>
                      <w:bCs/>
                      <w:szCs w:val="21"/>
                    </w:rPr>
                    <w:t>S</w:t>
                  </w:r>
                  <w:r>
                    <w:rPr>
                      <w:rFonts w:hint="eastAsia"/>
                      <w:bCs/>
                      <w:szCs w:val="21"/>
                    </w:rPr>
                    <w:t>1</w:t>
                  </w:r>
                </w:p>
              </w:tc>
              <w:tc>
                <w:tcPr>
                  <w:tcW w:w="1541" w:type="pct"/>
                  <w:vAlign w:val="center"/>
                </w:tcPr>
                <w:p>
                  <w:pPr>
                    <w:adjustRightInd w:val="0"/>
                    <w:snapToGrid w:val="0"/>
                    <w:jc w:val="center"/>
                    <w:rPr>
                      <w:bCs/>
                      <w:szCs w:val="21"/>
                    </w:rPr>
                  </w:pPr>
                  <w:r>
                    <w:rPr>
                      <w:rFonts w:hint="eastAsia"/>
                      <w:bCs/>
                      <w:szCs w:val="21"/>
                    </w:rPr>
                    <w:t>喷砂</w:t>
                  </w:r>
                </w:p>
              </w:tc>
              <w:tc>
                <w:tcPr>
                  <w:tcW w:w="2207" w:type="pct"/>
                  <w:vAlign w:val="center"/>
                </w:tcPr>
                <w:p>
                  <w:pPr>
                    <w:adjustRightInd w:val="0"/>
                    <w:snapToGrid w:val="0"/>
                    <w:jc w:val="center"/>
                    <w:rPr>
                      <w:szCs w:val="21"/>
                    </w:rPr>
                  </w:pPr>
                  <w:r>
                    <w:rPr>
                      <w:rFonts w:hint="eastAsia"/>
                      <w:szCs w:val="21"/>
                    </w:rPr>
                    <w:t>废钢砂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3" w:type="pct"/>
                  <w:vMerge w:val="continue"/>
                  <w:vAlign w:val="center"/>
                </w:tcPr>
                <w:p>
                  <w:pPr>
                    <w:adjustRightInd w:val="0"/>
                    <w:snapToGrid w:val="0"/>
                    <w:jc w:val="center"/>
                    <w:rPr>
                      <w:bCs/>
                      <w:szCs w:val="21"/>
                    </w:rPr>
                  </w:pPr>
                </w:p>
              </w:tc>
              <w:tc>
                <w:tcPr>
                  <w:tcW w:w="707" w:type="pct"/>
                  <w:vAlign w:val="center"/>
                </w:tcPr>
                <w:p>
                  <w:pPr>
                    <w:adjustRightInd w:val="0"/>
                    <w:snapToGrid w:val="0"/>
                    <w:jc w:val="center"/>
                    <w:rPr>
                      <w:bCs/>
                      <w:szCs w:val="21"/>
                    </w:rPr>
                  </w:pPr>
                  <w:r>
                    <w:rPr>
                      <w:bCs/>
                      <w:szCs w:val="21"/>
                    </w:rPr>
                    <w:t>S</w:t>
                  </w:r>
                  <w:r>
                    <w:rPr>
                      <w:rFonts w:hint="eastAsia"/>
                      <w:bCs/>
                      <w:szCs w:val="21"/>
                    </w:rPr>
                    <w:t>2</w:t>
                  </w:r>
                </w:p>
              </w:tc>
              <w:tc>
                <w:tcPr>
                  <w:tcW w:w="1541" w:type="pct"/>
                  <w:vMerge w:val="restart"/>
                  <w:vAlign w:val="center"/>
                </w:tcPr>
                <w:p>
                  <w:pPr>
                    <w:adjustRightInd w:val="0"/>
                    <w:snapToGrid w:val="0"/>
                    <w:jc w:val="center"/>
                    <w:rPr>
                      <w:szCs w:val="21"/>
                    </w:rPr>
                  </w:pPr>
                  <w:r>
                    <w:rPr>
                      <w:rFonts w:hint="eastAsia"/>
                      <w:szCs w:val="21"/>
                    </w:rPr>
                    <w:t>喷漆</w:t>
                  </w:r>
                </w:p>
              </w:tc>
              <w:tc>
                <w:tcPr>
                  <w:tcW w:w="2207" w:type="pct"/>
                  <w:vAlign w:val="center"/>
                </w:tcPr>
                <w:p>
                  <w:pPr>
                    <w:adjustRightInd w:val="0"/>
                    <w:snapToGrid w:val="0"/>
                    <w:jc w:val="center"/>
                    <w:rPr>
                      <w:szCs w:val="21"/>
                    </w:rPr>
                  </w:pPr>
                  <w:r>
                    <w:rPr>
                      <w:rFonts w:hint="eastAsia"/>
                      <w:szCs w:val="21"/>
                    </w:rPr>
                    <w:t>废过滤棉及漆渣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3" w:type="pct"/>
                  <w:vMerge w:val="continue"/>
                  <w:vAlign w:val="center"/>
                </w:tcPr>
                <w:p>
                  <w:pPr>
                    <w:adjustRightInd w:val="0"/>
                    <w:snapToGrid w:val="0"/>
                    <w:jc w:val="center"/>
                    <w:rPr>
                      <w:bCs/>
                      <w:szCs w:val="21"/>
                    </w:rPr>
                  </w:pPr>
                </w:p>
              </w:tc>
              <w:tc>
                <w:tcPr>
                  <w:tcW w:w="707" w:type="pct"/>
                  <w:vAlign w:val="center"/>
                </w:tcPr>
                <w:p>
                  <w:pPr>
                    <w:adjustRightInd w:val="0"/>
                    <w:snapToGrid w:val="0"/>
                    <w:jc w:val="center"/>
                    <w:rPr>
                      <w:bCs/>
                      <w:szCs w:val="21"/>
                    </w:rPr>
                  </w:pPr>
                  <w:r>
                    <w:rPr>
                      <w:rFonts w:hint="eastAsia"/>
                      <w:szCs w:val="21"/>
                    </w:rPr>
                    <w:t>S3</w:t>
                  </w:r>
                </w:p>
              </w:tc>
              <w:tc>
                <w:tcPr>
                  <w:tcW w:w="1541" w:type="pct"/>
                  <w:vMerge w:val="continue"/>
                  <w:vAlign w:val="center"/>
                </w:tcPr>
                <w:p>
                  <w:pPr>
                    <w:adjustRightInd w:val="0"/>
                    <w:snapToGrid w:val="0"/>
                    <w:jc w:val="center"/>
                    <w:rPr>
                      <w:szCs w:val="21"/>
                    </w:rPr>
                  </w:pPr>
                </w:p>
              </w:tc>
              <w:tc>
                <w:tcPr>
                  <w:tcW w:w="2207" w:type="pct"/>
                  <w:vAlign w:val="center"/>
                </w:tcPr>
                <w:p>
                  <w:pPr>
                    <w:adjustRightInd w:val="0"/>
                    <w:snapToGrid w:val="0"/>
                    <w:jc w:val="center"/>
                    <w:rPr>
                      <w:szCs w:val="21"/>
                    </w:rPr>
                  </w:pPr>
                  <w:r>
                    <w:rPr>
                      <w:rFonts w:hint="eastAsia"/>
                      <w:szCs w:val="21"/>
                    </w:rPr>
                    <w:t>废活性炭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3" w:type="pct"/>
                  <w:vMerge w:val="continue"/>
                  <w:vAlign w:val="center"/>
                </w:tcPr>
                <w:p>
                  <w:pPr>
                    <w:adjustRightInd w:val="0"/>
                    <w:snapToGrid w:val="0"/>
                    <w:jc w:val="center"/>
                    <w:rPr>
                      <w:bCs/>
                      <w:szCs w:val="21"/>
                    </w:rPr>
                  </w:pPr>
                </w:p>
              </w:tc>
              <w:tc>
                <w:tcPr>
                  <w:tcW w:w="707" w:type="pct"/>
                  <w:vAlign w:val="center"/>
                </w:tcPr>
                <w:p>
                  <w:pPr>
                    <w:adjustRightInd w:val="0"/>
                    <w:snapToGrid w:val="0"/>
                    <w:jc w:val="center"/>
                    <w:rPr>
                      <w:bCs/>
                      <w:szCs w:val="21"/>
                    </w:rPr>
                  </w:pPr>
                  <w:r>
                    <w:rPr>
                      <w:rFonts w:hint="eastAsia"/>
                      <w:bCs/>
                      <w:szCs w:val="21"/>
                    </w:rPr>
                    <w:t>S4</w:t>
                  </w:r>
                </w:p>
              </w:tc>
              <w:tc>
                <w:tcPr>
                  <w:tcW w:w="1541" w:type="pct"/>
                  <w:vMerge w:val="continue"/>
                  <w:vAlign w:val="center"/>
                </w:tcPr>
                <w:p>
                  <w:pPr>
                    <w:adjustRightInd w:val="0"/>
                    <w:snapToGrid w:val="0"/>
                    <w:jc w:val="center"/>
                    <w:rPr>
                      <w:szCs w:val="21"/>
                    </w:rPr>
                  </w:pPr>
                </w:p>
              </w:tc>
              <w:tc>
                <w:tcPr>
                  <w:tcW w:w="2207" w:type="pct"/>
                  <w:vAlign w:val="center"/>
                </w:tcPr>
                <w:p>
                  <w:pPr>
                    <w:adjustRightInd w:val="0"/>
                    <w:snapToGrid w:val="0"/>
                    <w:jc w:val="center"/>
                    <w:rPr>
                      <w:szCs w:val="21"/>
                    </w:rPr>
                  </w:pPr>
                  <w:r>
                    <w:rPr>
                      <w:rFonts w:hint="eastAsia"/>
                      <w:szCs w:val="21"/>
                    </w:rPr>
                    <w:t>废漆桶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3" w:type="pct"/>
                  <w:vMerge w:val="continue"/>
                  <w:vAlign w:val="center"/>
                </w:tcPr>
                <w:p>
                  <w:pPr>
                    <w:adjustRightInd w:val="0"/>
                    <w:snapToGrid w:val="0"/>
                    <w:jc w:val="center"/>
                    <w:rPr>
                      <w:bCs/>
                      <w:szCs w:val="21"/>
                    </w:rPr>
                  </w:pPr>
                </w:p>
              </w:tc>
              <w:tc>
                <w:tcPr>
                  <w:tcW w:w="707" w:type="pct"/>
                  <w:vAlign w:val="center"/>
                </w:tcPr>
                <w:p>
                  <w:pPr>
                    <w:adjustRightInd w:val="0"/>
                    <w:snapToGrid w:val="0"/>
                    <w:jc w:val="center"/>
                    <w:rPr>
                      <w:bCs/>
                      <w:szCs w:val="21"/>
                    </w:rPr>
                  </w:pPr>
                  <w:r>
                    <w:rPr>
                      <w:rFonts w:hint="eastAsia"/>
                      <w:bCs/>
                      <w:szCs w:val="21"/>
                    </w:rPr>
                    <w:t>S5</w:t>
                  </w:r>
                </w:p>
              </w:tc>
              <w:tc>
                <w:tcPr>
                  <w:tcW w:w="1541" w:type="pct"/>
                  <w:vMerge w:val="continue"/>
                  <w:vAlign w:val="center"/>
                </w:tcPr>
                <w:p>
                  <w:pPr>
                    <w:adjustRightInd w:val="0"/>
                    <w:snapToGrid w:val="0"/>
                    <w:jc w:val="center"/>
                    <w:rPr>
                      <w:szCs w:val="21"/>
                    </w:rPr>
                  </w:pPr>
                </w:p>
              </w:tc>
              <w:tc>
                <w:tcPr>
                  <w:tcW w:w="2207" w:type="pct"/>
                  <w:vAlign w:val="center"/>
                </w:tcPr>
                <w:p>
                  <w:pPr>
                    <w:adjustRightInd w:val="0"/>
                    <w:snapToGrid w:val="0"/>
                    <w:jc w:val="center"/>
                    <w:rPr>
                      <w:szCs w:val="21"/>
                    </w:rPr>
                  </w:pPr>
                  <w:r>
                    <w:rPr>
                      <w:rFonts w:hint="eastAsia"/>
                      <w:szCs w:val="21"/>
                    </w:rPr>
                    <w:t>RCO的催化剂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3" w:type="pct"/>
                  <w:vMerge w:val="continue"/>
                  <w:vAlign w:val="center"/>
                </w:tcPr>
                <w:p>
                  <w:pPr>
                    <w:adjustRightInd w:val="0"/>
                    <w:snapToGrid w:val="0"/>
                    <w:jc w:val="center"/>
                    <w:rPr>
                      <w:bCs/>
                      <w:szCs w:val="21"/>
                    </w:rPr>
                  </w:pPr>
                </w:p>
              </w:tc>
              <w:tc>
                <w:tcPr>
                  <w:tcW w:w="707" w:type="pct"/>
                  <w:vAlign w:val="center"/>
                </w:tcPr>
                <w:p>
                  <w:pPr>
                    <w:adjustRightInd w:val="0"/>
                    <w:snapToGrid w:val="0"/>
                    <w:jc w:val="center"/>
                    <w:rPr>
                      <w:bCs/>
                      <w:szCs w:val="21"/>
                    </w:rPr>
                  </w:pPr>
                  <w:r>
                    <w:rPr>
                      <w:rFonts w:hint="eastAsia"/>
                      <w:bCs/>
                      <w:szCs w:val="21"/>
                    </w:rPr>
                    <w:t>S6</w:t>
                  </w:r>
                </w:p>
              </w:tc>
              <w:tc>
                <w:tcPr>
                  <w:tcW w:w="1541" w:type="pct"/>
                  <w:vMerge w:val="restart"/>
                  <w:vAlign w:val="center"/>
                </w:tcPr>
                <w:p>
                  <w:pPr>
                    <w:adjustRightInd w:val="0"/>
                    <w:snapToGrid w:val="0"/>
                    <w:jc w:val="center"/>
                    <w:rPr>
                      <w:bCs/>
                      <w:szCs w:val="21"/>
                    </w:rPr>
                  </w:pPr>
                  <w:r>
                    <w:rPr>
                      <w:rFonts w:hint="eastAsia"/>
                      <w:bCs/>
                      <w:szCs w:val="21"/>
                    </w:rPr>
                    <w:t>设备维护</w:t>
                  </w:r>
                </w:p>
              </w:tc>
              <w:tc>
                <w:tcPr>
                  <w:tcW w:w="2207" w:type="pct"/>
                  <w:vAlign w:val="center"/>
                </w:tcPr>
                <w:p>
                  <w:pPr>
                    <w:adjustRightInd w:val="0"/>
                    <w:snapToGrid w:val="0"/>
                    <w:jc w:val="center"/>
                    <w:rPr>
                      <w:szCs w:val="21"/>
                    </w:rPr>
                  </w:pPr>
                  <w:r>
                    <w:rPr>
                      <w:rFonts w:hint="eastAsia"/>
                      <w:szCs w:val="21"/>
                    </w:rPr>
                    <w:t>废润滑油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3" w:type="pct"/>
                  <w:vMerge w:val="continue"/>
                  <w:vAlign w:val="center"/>
                </w:tcPr>
                <w:p>
                  <w:pPr>
                    <w:adjustRightInd w:val="0"/>
                    <w:snapToGrid w:val="0"/>
                    <w:jc w:val="center"/>
                    <w:rPr>
                      <w:bCs/>
                      <w:szCs w:val="21"/>
                    </w:rPr>
                  </w:pPr>
                </w:p>
              </w:tc>
              <w:tc>
                <w:tcPr>
                  <w:tcW w:w="707" w:type="pct"/>
                  <w:vAlign w:val="center"/>
                </w:tcPr>
                <w:p>
                  <w:pPr>
                    <w:adjustRightInd w:val="0"/>
                    <w:snapToGrid w:val="0"/>
                    <w:jc w:val="center"/>
                    <w:rPr>
                      <w:bCs/>
                      <w:szCs w:val="21"/>
                    </w:rPr>
                  </w:pPr>
                  <w:r>
                    <w:rPr>
                      <w:rFonts w:hint="eastAsia"/>
                      <w:bCs/>
                      <w:szCs w:val="21"/>
                    </w:rPr>
                    <w:t>S7</w:t>
                  </w:r>
                </w:p>
              </w:tc>
              <w:tc>
                <w:tcPr>
                  <w:tcW w:w="1541" w:type="pct"/>
                  <w:vMerge w:val="continue"/>
                  <w:vAlign w:val="center"/>
                </w:tcPr>
                <w:p>
                  <w:pPr>
                    <w:adjustRightInd w:val="0"/>
                    <w:snapToGrid w:val="0"/>
                    <w:jc w:val="center"/>
                    <w:rPr>
                      <w:bCs/>
                      <w:szCs w:val="21"/>
                    </w:rPr>
                  </w:pPr>
                </w:p>
              </w:tc>
              <w:tc>
                <w:tcPr>
                  <w:tcW w:w="2207" w:type="pct"/>
                  <w:vAlign w:val="center"/>
                </w:tcPr>
                <w:p>
                  <w:pPr>
                    <w:adjustRightInd w:val="0"/>
                    <w:snapToGrid w:val="0"/>
                    <w:jc w:val="center"/>
                    <w:rPr>
                      <w:szCs w:val="21"/>
                    </w:rPr>
                  </w:pPr>
                  <w:r>
                    <w:rPr>
                      <w:rFonts w:hint="eastAsia"/>
                      <w:szCs w:val="21"/>
                    </w:rPr>
                    <w:t>废润滑油桶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3" w:type="pct"/>
                  <w:vMerge w:val="continue"/>
                  <w:vAlign w:val="center"/>
                </w:tcPr>
                <w:p>
                  <w:pPr>
                    <w:adjustRightInd w:val="0"/>
                    <w:snapToGrid w:val="0"/>
                    <w:jc w:val="center"/>
                    <w:rPr>
                      <w:bCs/>
                      <w:szCs w:val="21"/>
                    </w:rPr>
                  </w:pPr>
                </w:p>
              </w:tc>
              <w:tc>
                <w:tcPr>
                  <w:tcW w:w="707" w:type="pct"/>
                  <w:vAlign w:val="center"/>
                </w:tcPr>
                <w:p>
                  <w:pPr>
                    <w:adjustRightInd w:val="0"/>
                    <w:snapToGrid w:val="0"/>
                    <w:jc w:val="center"/>
                    <w:rPr>
                      <w:bCs/>
                      <w:szCs w:val="21"/>
                    </w:rPr>
                  </w:pPr>
                  <w:r>
                    <w:rPr>
                      <w:rFonts w:hint="eastAsia"/>
                      <w:bCs/>
                      <w:szCs w:val="21"/>
                    </w:rPr>
                    <w:t>S8</w:t>
                  </w:r>
                </w:p>
              </w:tc>
              <w:tc>
                <w:tcPr>
                  <w:tcW w:w="1541" w:type="pct"/>
                  <w:vMerge w:val="continue"/>
                  <w:vAlign w:val="center"/>
                </w:tcPr>
                <w:p>
                  <w:pPr>
                    <w:adjustRightInd w:val="0"/>
                    <w:snapToGrid w:val="0"/>
                    <w:jc w:val="center"/>
                    <w:rPr>
                      <w:bCs/>
                      <w:szCs w:val="21"/>
                    </w:rPr>
                  </w:pPr>
                </w:p>
              </w:tc>
              <w:tc>
                <w:tcPr>
                  <w:tcW w:w="2207" w:type="pct"/>
                  <w:vAlign w:val="center"/>
                </w:tcPr>
                <w:p>
                  <w:pPr>
                    <w:adjustRightInd w:val="0"/>
                    <w:snapToGrid w:val="0"/>
                    <w:jc w:val="center"/>
                    <w:rPr>
                      <w:szCs w:val="21"/>
                    </w:rPr>
                  </w:pPr>
                  <w:r>
                    <w:rPr>
                      <w:rFonts w:hint="eastAsia"/>
                      <w:szCs w:val="21"/>
                    </w:rPr>
                    <w:t>废含油手套抹布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3" w:type="pct"/>
                  <w:vMerge w:val="continue"/>
                  <w:vAlign w:val="center"/>
                </w:tcPr>
                <w:p>
                  <w:pPr>
                    <w:adjustRightInd w:val="0"/>
                    <w:snapToGrid w:val="0"/>
                    <w:jc w:val="center"/>
                    <w:rPr>
                      <w:bCs/>
                      <w:szCs w:val="21"/>
                    </w:rPr>
                  </w:pPr>
                </w:p>
              </w:tc>
              <w:tc>
                <w:tcPr>
                  <w:tcW w:w="707" w:type="pct"/>
                  <w:vAlign w:val="center"/>
                </w:tcPr>
                <w:p>
                  <w:pPr>
                    <w:adjustRightInd w:val="0"/>
                    <w:snapToGrid w:val="0"/>
                    <w:jc w:val="center"/>
                    <w:rPr>
                      <w:bCs/>
                      <w:szCs w:val="21"/>
                    </w:rPr>
                  </w:pPr>
                  <w:r>
                    <w:rPr>
                      <w:rFonts w:hint="eastAsia"/>
                      <w:bCs/>
                      <w:szCs w:val="21"/>
                    </w:rPr>
                    <w:t>S9</w:t>
                  </w:r>
                </w:p>
              </w:tc>
              <w:tc>
                <w:tcPr>
                  <w:tcW w:w="1541" w:type="pct"/>
                  <w:vAlign w:val="center"/>
                </w:tcPr>
                <w:p>
                  <w:pPr>
                    <w:adjustRightInd w:val="0"/>
                    <w:snapToGrid w:val="0"/>
                    <w:jc w:val="center"/>
                    <w:rPr>
                      <w:bCs/>
                      <w:szCs w:val="21"/>
                    </w:rPr>
                  </w:pPr>
                  <w:r>
                    <w:rPr>
                      <w:rFonts w:hint="eastAsia"/>
                      <w:bCs/>
                      <w:szCs w:val="21"/>
                    </w:rPr>
                    <w:t>废气处理</w:t>
                  </w:r>
                </w:p>
              </w:tc>
              <w:tc>
                <w:tcPr>
                  <w:tcW w:w="2207" w:type="pct"/>
                  <w:vAlign w:val="center"/>
                </w:tcPr>
                <w:p>
                  <w:pPr>
                    <w:adjustRightInd w:val="0"/>
                    <w:snapToGrid w:val="0"/>
                    <w:jc w:val="center"/>
                    <w:rPr>
                      <w:szCs w:val="21"/>
                    </w:rPr>
                  </w:pPr>
                  <w:r>
                    <w:rPr>
                      <w:rFonts w:hint="eastAsia"/>
                      <w:szCs w:val="21"/>
                    </w:rPr>
                    <w:t>布袋除尘器收集的粉尘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43" w:type="pct"/>
                  <w:vMerge w:val="continue"/>
                  <w:vAlign w:val="center"/>
                </w:tcPr>
                <w:p>
                  <w:pPr>
                    <w:adjustRightInd w:val="0"/>
                    <w:snapToGrid w:val="0"/>
                    <w:jc w:val="center"/>
                    <w:rPr>
                      <w:bCs/>
                      <w:szCs w:val="21"/>
                    </w:rPr>
                  </w:pPr>
                </w:p>
              </w:tc>
              <w:tc>
                <w:tcPr>
                  <w:tcW w:w="707" w:type="pct"/>
                  <w:vAlign w:val="center"/>
                </w:tcPr>
                <w:p>
                  <w:pPr>
                    <w:adjustRightInd w:val="0"/>
                    <w:snapToGrid w:val="0"/>
                    <w:jc w:val="center"/>
                    <w:rPr>
                      <w:bCs/>
                      <w:color w:val="000000"/>
                      <w:szCs w:val="21"/>
                    </w:rPr>
                  </w:pPr>
                  <w:r>
                    <w:rPr>
                      <w:bCs/>
                      <w:color w:val="000000"/>
                      <w:szCs w:val="21"/>
                    </w:rPr>
                    <w:t>生活垃圾</w:t>
                  </w:r>
                </w:p>
              </w:tc>
              <w:tc>
                <w:tcPr>
                  <w:tcW w:w="1541" w:type="pct"/>
                  <w:vAlign w:val="center"/>
                </w:tcPr>
                <w:p>
                  <w:pPr>
                    <w:adjustRightInd w:val="0"/>
                    <w:snapToGrid w:val="0"/>
                    <w:jc w:val="center"/>
                    <w:rPr>
                      <w:bCs/>
                      <w:color w:val="000000"/>
                      <w:szCs w:val="21"/>
                    </w:rPr>
                  </w:pPr>
                  <w:r>
                    <w:rPr>
                      <w:bCs/>
                      <w:color w:val="000000"/>
                      <w:szCs w:val="21"/>
                    </w:rPr>
                    <w:t>职工生活</w:t>
                  </w:r>
                </w:p>
              </w:tc>
              <w:tc>
                <w:tcPr>
                  <w:tcW w:w="2207" w:type="pct"/>
                  <w:vAlign w:val="center"/>
                </w:tcPr>
                <w:p>
                  <w:pPr>
                    <w:adjustRightInd w:val="0"/>
                    <w:snapToGrid w:val="0"/>
                    <w:jc w:val="center"/>
                    <w:rPr>
                      <w:bCs/>
                      <w:color w:val="000000"/>
                      <w:szCs w:val="21"/>
                    </w:rPr>
                  </w:pPr>
                  <w:r>
                    <w:rPr>
                      <w:bCs/>
                      <w:color w:val="000000"/>
                      <w:szCs w:val="21"/>
                    </w:rPr>
                    <w:t>生活垃圾</w:t>
                  </w:r>
                </w:p>
              </w:tc>
            </w:tr>
          </w:tbl>
          <w:p>
            <w:pPr>
              <w:spacing w:before="240" w:beforeLines="100" w:line="360" w:lineRule="auto"/>
              <w:ind w:firstLine="482" w:firstLineChars="200"/>
              <w:rPr>
                <w:b/>
                <w:sz w:val="24"/>
              </w:rPr>
            </w:pPr>
          </w:p>
          <w:p>
            <w:pPr>
              <w:spacing w:before="240" w:beforeLines="100" w:line="360" w:lineRule="auto"/>
              <w:ind w:firstLine="482" w:firstLineChars="200"/>
              <w:rPr>
                <w:b/>
                <w:sz w:val="24"/>
              </w:rPr>
            </w:pPr>
          </w:p>
          <w:p>
            <w:pPr>
              <w:spacing w:before="240" w:beforeLines="100" w:line="360" w:lineRule="auto"/>
              <w:ind w:firstLine="482" w:firstLineChars="200"/>
              <w:rPr>
                <w:b/>
                <w:sz w:val="24"/>
              </w:rPr>
            </w:pPr>
          </w:p>
          <w:p>
            <w:pPr>
              <w:spacing w:before="240" w:beforeLines="100" w:line="360" w:lineRule="auto"/>
              <w:ind w:firstLine="482" w:firstLineChars="200"/>
              <w:rPr>
                <w:b/>
                <w:sz w:val="24"/>
              </w:rPr>
            </w:pPr>
          </w:p>
          <w:p>
            <w:pPr>
              <w:spacing w:before="240" w:beforeLines="100" w:line="360" w:lineRule="auto"/>
              <w:ind w:firstLine="482" w:firstLineChars="200"/>
              <w:rPr>
                <w:rFonts w:hint="eastAsia"/>
                <w:b/>
                <w:sz w:val="24"/>
              </w:rPr>
            </w:pPr>
          </w:p>
          <w:p>
            <w:pPr>
              <w:spacing w:before="240" w:beforeLines="100" w:line="360" w:lineRule="auto"/>
              <w:ind w:firstLine="482" w:firstLineChars="200"/>
              <w:rPr>
                <w:rFonts w:hint="eastAsia"/>
                <w:b/>
                <w:sz w:val="24"/>
              </w:rPr>
            </w:pPr>
          </w:p>
          <w:p>
            <w:pPr>
              <w:spacing w:before="240" w:beforeLines="100" w:line="360" w:lineRule="auto"/>
              <w:ind w:firstLine="482" w:firstLineChars="200"/>
              <w:rPr>
                <w:rFonts w:hint="eastAsia"/>
                <w:b/>
                <w:sz w:val="24"/>
              </w:rPr>
            </w:pPr>
          </w:p>
          <w:p>
            <w:pPr>
              <w:spacing w:before="240" w:beforeLines="100" w:line="360" w:lineRule="auto"/>
              <w:ind w:firstLine="482" w:firstLineChars="200"/>
              <w:rPr>
                <w:b/>
                <w:sz w:val="24"/>
              </w:rPr>
            </w:pPr>
            <w:r>
              <w:rPr>
                <w:rFonts w:hint="eastAsia"/>
                <w:b/>
                <w:sz w:val="24"/>
              </w:rPr>
              <w:t>3、漆料平衡</w:t>
            </w:r>
          </w:p>
          <w:p>
            <w:pPr>
              <w:autoSpaceDE w:val="0"/>
              <w:autoSpaceDN w:val="0"/>
              <w:adjustRightInd w:val="0"/>
              <w:snapToGrid w:val="0"/>
              <w:spacing w:line="360" w:lineRule="auto"/>
              <w:ind w:firstLine="480" w:firstLineChars="200"/>
              <w:jc w:val="left"/>
              <w:rPr>
                <w:color w:val="000000"/>
                <w:sz w:val="24"/>
              </w:rPr>
            </w:pPr>
            <w:r>
              <w:rPr>
                <w:rFonts w:hint="eastAsia"/>
                <w:color w:val="000000"/>
                <w:sz w:val="24"/>
              </w:rPr>
              <w:t>（1）丙烯酸聚氨酯面漆漆料平衡</w:t>
            </w:r>
          </w:p>
          <w:p>
            <w:pPr>
              <w:autoSpaceDE w:val="0"/>
              <w:autoSpaceDN w:val="0"/>
              <w:adjustRightInd w:val="0"/>
              <w:snapToGrid w:val="0"/>
              <w:spacing w:line="360" w:lineRule="auto"/>
              <w:ind w:firstLine="480" w:firstLineChars="200"/>
              <w:jc w:val="left"/>
              <w:rPr>
                <w:color w:val="000000"/>
                <w:sz w:val="24"/>
              </w:rPr>
            </w:pPr>
            <w:r>
              <w:rPr>
                <w:color w:val="000000"/>
                <w:sz w:val="24"/>
              </w:rPr>
              <w:t>本项目丙烯酸聚氨酯面漆投入产出情况见表</w:t>
            </w:r>
            <w:r>
              <w:rPr>
                <w:rFonts w:hint="eastAsia"/>
                <w:color w:val="000000"/>
                <w:sz w:val="24"/>
              </w:rPr>
              <w:t>2-</w:t>
            </w:r>
            <w:r>
              <w:rPr>
                <w:color w:val="000000"/>
                <w:sz w:val="24"/>
              </w:rPr>
              <w:t>1</w:t>
            </w:r>
            <w:r>
              <w:rPr>
                <w:rFonts w:hint="eastAsia"/>
                <w:color w:val="000000"/>
                <w:sz w:val="24"/>
                <w:lang w:val="en-US" w:eastAsia="zh-CN"/>
              </w:rPr>
              <w:t>3</w:t>
            </w:r>
            <w:r>
              <w:rPr>
                <w:color w:val="000000"/>
                <w:sz w:val="24"/>
              </w:rPr>
              <w:t>及图</w:t>
            </w:r>
            <w:r>
              <w:rPr>
                <w:rFonts w:hint="eastAsia"/>
                <w:color w:val="000000"/>
                <w:sz w:val="24"/>
              </w:rPr>
              <w:t>2-2</w:t>
            </w:r>
            <w:r>
              <w:rPr>
                <w:color w:val="000000"/>
                <w:sz w:val="24"/>
              </w:rPr>
              <w:t>。</w:t>
            </w:r>
          </w:p>
          <w:p>
            <w:pPr>
              <w:autoSpaceDE w:val="0"/>
              <w:autoSpaceDN w:val="0"/>
              <w:adjustRightInd w:val="0"/>
              <w:snapToGrid w:val="0"/>
              <w:jc w:val="center"/>
              <w:rPr>
                <w:rFonts w:cs="宋体"/>
                <w:color w:val="000000"/>
                <w:kern w:val="0"/>
                <w:sz w:val="24"/>
              </w:rPr>
            </w:pPr>
            <w:r>
              <w:rPr>
                <w:b/>
                <w:sz w:val="24"/>
              </w:rPr>
              <w:t>表</w:t>
            </w:r>
            <w:r>
              <w:rPr>
                <w:rFonts w:hint="eastAsia"/>
                <w:b/>
                <w:sz w:val="24"/>
              </w:rPr>
              <w:t>2</w:t>
            </w:r>
            <w:r>
              <w:rPr>
                <w:b/>
                <w:sz w:val="24"/>
              </w:rPr>
              <w:t>-1</w:t>
            </w:r>
            <w:r>
              <w:rPr>
                <w:rFonts w:hint="eastAsia"/>
                <w:b/>
                <w:sz w:val="24"/>
              </w:rPr>
              <w:t>1</w:t>
            </w:r>
            <w:r>
              <w:rPr>
                <w:b/>
                <w:sz w:val="24"/>
              </w:rPr>
              <w:t xml:space="preserve">  </w:t>
            </w:r>
            <w:r>
              <w:rPr>
                <w:b/>
                <w:color w:val="000000"/>
                <w:sz w:val="24"/>
              </w:rPr>
              <w:t>本项目丙烯酸聚氨酯面漆</w:t>
            </w:r>
            <w:r>
              <w:rPr>
                <w:rFonts w:hint="eastAsia"/>
                <w:b/>
                <w:color w:val="000000"/>
                <w:sz w:val="24"/>
              </w:rPr>
              <w:t>漆料平衡一览表 单位：t/a</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4"/>
              <w:gridCol w:w="528"/>
              <w:gridCol w:w="1029"/>
              <w:gridCol w:w="1790"/>
              <w:gridCol w:w="2628"/>
              <w:gridCol w:w="112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779" w:type="pct"/>
                  <w:gridSpan w:val="4"/>
                  <w:vAlign w:val="center"/>
                </w:tcPr>
                <w:p>
                  <w:pPr>
                    <w:widowControl/>
                    <w:spacing w:line="240" w:lineRule="exact"/>
                    <w:ind w:left="-105" w:leftChars="-50" w:right="-105" w:rightChars="-50"/>
                    <w:jc w:val="center"/>
                    <w:rPr>
                      <w:b/>
                      <w:color w:val="000000"/>
                      <w:kern w:val="0"/>
                      <w:szCs w:val="21"/>
                    </w:rPr>
                  </w:pPr>
                  <w:r>
                    <w:rPr>
                      <w:rFonts w:hint="eastAsia"/>
                      <w:b/>
                      <w:color w:val="000000"/>
                      <w:kern w:val="0"/>
                      <w:szCs w:val="21"/>
                    </w:rPr>
                    <w:t>投入</w:t>
                  </w:r>
                </w:p>
              </w:tc>
              <w:tc>
                <w:tcPr>
                  <w:tcW w:w="2220" w:type="pct"/>
                  <w:gridSpan w:val="2"/>
                  <w:vAlign w:val="center"/>
                </w:tcPr>
                <w:p>
                  <w:pPr>
                    <w:widowControl/>
                    <w:spacing w:line="240" w:lineRule="exact"/>
                    <w:ind w:left="-105" w:leftChars="-50" w:right="-105" w:rightChars="-50"/>
                    <w:jc w:val="center"/>
                    <w:rPr>
                      <w:b/>
                      <w:color w:val="000000"/>
                      <w:kern w:val="0"/>
                      <w:szCs w:val="21"/>
                    </w:rPr>
                  </w:pPr>
                  <w:r>
                    <w:rPr>
                      <w:b/>
                      <w:color w:val="000000"/>
                      <w:kern w:val="0"/>
                      <w:szCs w:val="21"/>
                    </w:rPr>
                    <w:t>产出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restart"/>
                  <w:vAlign w:val="center"/>
                </w:tcPr>
                <w:p>
                  <w:pPr>
                    <w:widowControl/>
                    <w:spacing w:line="260" w:lineRule="exact"/>
                    <w:ind w:left="-105" w:leftChars="-50" w:right="-105" w:rightChars="-50"/>
                    <w:jc w:val="center"/>
                    <w:rPr>
                      <w:color w:val="000000"/>
                      <w:kern w:val="0"/>
                      <w:szCs w:val="21"/>
                    </w:rPr>
                  </w:pPr>
                  <w:r>
                    <w:rPr>
                      <w:rFonts w:hint="eastAsia"/>
                      <w:kern w:val="0"/>
                      <w:szCs w:val="21"/>
                    </w:rPr>
                    <w:t>丙烯酸聚氨酯面漆</w:t>
                  </w:r>
                </w:p>
              </w:tc>
              <w:tc>
                <w:tcPr>
                  <w:tcW w:w="920" w:type="pct"/>
                  <w:gridSpan w:val="2"/>
                  <w:vMerge w:val="restart"/>
                  <w:vAlign w:val="center"/>
                </w:tcPr>
                <w:p>
                  <w:pPr>
                    <w:jc w:val="center"/>
                    <w:rPr>
                      <w:rFonts w:hAnsi="宋体"/>
                      <w:kern w:val="24"/>
                      <w:szCs w:val="21"/>
                    </w:rPr>
                  </w:pPr>
                  <w:r>
                    <w:rPr>
                      <w:rFonts w:hAnsi="宋体"/>
                      <w:kern w:val="24"/>
                      <w:szCs w:val="21"/>
                    </w:rPr>
                    <w:t>固份</w:t>
                  </w:r>
                </w:p>
              </w:tc>
              <w:tc>
                <w:tcPr>
                  <w:tcW w:w="1058" w:type="pct"/>
                  <w:vMerge w:val="restart"/>
                  <w:vAlign w:val="center"/>
                </w:tcPr>
                <w:p>
                  <w:pPr>
                    <w:jc w:val="center"/>
                    <w:rPr>
                      <w:color w:val="0D0D0D"/>
                      <w:kern w:val="24"/>
                      <w:szCs w:val="21"/>
                    </w:rPr>
                  </w:pPr>
                  <w:r>
                    <w:rPr>
                      <w:rFonts w:hint="eastAsia"/>
                      <w:color w:val="0D0D0D"/>
                      <w:kern w:val="24"/>
                      <w:szCs w:val="21"/>
                    </w:rPr>
                    <w:t>2.0355</w:t>
                  </w:r>
                </w:p>
              </w:tc>
              <w:tc>
                <w:tcPr>
                  <w:tcW w:w="1553" w:type="pct"/>
                  <w:vAlign w:val="center"/>
                </w:tcPr>
                <w:p>
                  <w:pPr>
                    <w:jc w:val="center"/>
                    <w:rPr>
                      <w:rFonts w:hAnsi="宋体"/>
                      <w:kern w:val="24"/>
                      <w:szCs w:val="21"/>
                    </w:rPr>
                  </w:pPr>
                  <w:r>
                    <w:rPr>
                      <w:rFonts w:hint="eastAsia" w:hAnsi="宋体"/>
                      <w:kern w:val="24"/>
                      <w:szCs w:val="21"/>
                    </w:rPr>
                    <w:t>工件附着</w:t>
                  </w:r>
                </w:p>
              </w:tc>
              <w:tc>
                <w:tcPr>
                  <w:tcW w:w="667" w:type="pct"/>
                  <w:vAlign w:val="center"/>
                </w:tcPr>
                <w:p>
                  <w:pPr>
                    <w:jc w:val="center"/>
                    <w:rPr>
                      <w:rFonts w:hAnsi="宋体"/>
                      <w:kern w:val="24"/>
                      <w:szCs w:val="21"/>
                    </w:rPr>
                  </w:pPr>
                  <w:r>
                    <w:rPr>
                      <w:rFonts w:hint="eastAsia" w:hAnsi="宋体"/>
                      <w:kern w:val="24"/>
                      <w:szCs w:val="21"/>
                    </w:rPr>
                    <w:t>1.4249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920" w:type="pct"/>
                  <w:gridSpan w:val="2"/>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有组织排放</w:t>
                  </w:r>
                </w:p>
              </w:tc>
              <w:tc>
                <w:tcPr>
                  <w:tcW w:w="667" w:type="pct"/>
                  <w:vAlign w:val="center"/>
                </w:tcPr>
                <w:p>
                  <w:pPr>
                    <w:jc w:val="center"/>
                    <w:rPr>
                      <w:rFonts w:hAnsi="宋体"/>
                      <w:kern w:val="24"/>
                      <w:szCs w:val="21"/>
                    </w:rPr>
                  </w:pPr>
                  <w:r>
                    <w:rPr>
                      <w:rFonts w:hint="eastAsia" w:hAnsi="宋体"/>
                      <w:kern w:val="24"/>
                      <w:szCs w:val="21"/>
                    </w:rPr>
                    <w:t>0.029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920" w:type="pct"/>
                  <w:gridSpan w:val="2"/>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进入漆雾过滤棉</w:t>
                  </w:r>
                </w:p>
              </w:tc>
              <w:tc>
                <w:tcPr>
                  <w:tcW w:w="667" w:type="pct"/>
                  <w:vAlign w:val="center"/>
                </w:tcPr>
                <w:p>
                  <w:pPr>
                    <w:jc w:val="center"/>
                    <w:rPr>
                      <w:rFonts w:hAnsi="宋体"/>
                      <w:kern w:val="24"/>
                      <w:szCs w:val="21"/>
                    </w:rPr>
                  </w:pPr>
                  <w:r>
                    <w:rPr>
                      <w:rFonts w:hint="eastAsia" w:hAnsi="宋体"/>
                      <w:kern w:val="24"/>
                      <w:szCs w:val="21"/>
                    </w:rPr>
                    <w:t>0.5511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920" w:type="pct"/>
                  <w:gridSpan w:val="2"/>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无组织排放</w:t>
                  </w:r>
                </w:p>
              </w:tc>
              <w:tc>
                <w:tcPr>
                  <w:tcW w:w="667" w:type="pct"/>
                  <w:vAlign w:val="center"/>
                </w:tcPr>
                <w:p>
                  <w:pPr>
                    <w:jc w:val="center"/>
                    <w:rPr>
                      <w:rFonts w:hAnsi="宋体"/>
                      <w:kern w:val="24"/>
                      <w:szCs w:val="21"/>
                    </w:rPr>
                  </w:pPr>
                  <w:r>
                    <w:rPr>
                      <w:rFonts w:hint="eastAsia" w:hAnsi="宋体"/>
                      <w:kern w:val="24"/>
                      <w:szCs w:val="21"/>
                    </w:rPr>
                    <w:t>0.0305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restart"/>
                  <w:vAlign w:val="center"/>
                </w:tcPr>
                <w:p>
                  <w:pPr>
                    <w:jc w:val="center"/>
                    <w:rPr>
                      <w:rFonts w:hAnsi="宋体"/>
                      <w:kern w:val="24"/>
                      <w:szCs w:val="21"/>
                    </w:rPr>
                  </w:pPr>
                  <w:r>
                    <w:rPr>
                      <w:rFonts w:hint="eastAsia" w:hAnsi="宋体"/>
                      <w:kern w:val="24"/>
                      <w:szCs w:val="21"/>
                    </w:rPr>
                    <w:t>挥发份</w:t>
                  </w:r>
                </w:p>
              </w:tc>
              <w:tc>
                <w:tcPr>
                  <w:tcW w:w="607" w:type="pct"/>
                  <w:vMerge w:val="restart"/>
                  <w:vAlign w:val="center"/>
                </w:tcPr>
                <w:p>
                  <w:pPr>
                    <w:jc w:val="center"/>
                    <w:rPr>
                      <w:rFonts w:hAnsi="宋体"/>
                      <w:kern w:val="24"/>
                      <w:szCs w:val="21"/>
                    </w:rPr>
                  </w:pPr>
                  <w:r>
                    <w:rPr>
                      <w:rFonts w:hint="eastAsia" w:hAnsi="宋体"/>
                      <w:kern w:val="24"/>
                      <w:szCs w:val="21"/>
                    </w:rPr>
                    <w:t>其他挥发性有机物</w:t>
                  </w:r>
                </w:p>
              </w:tc>
              <w:tc>
                <w:tcPr>
                  <w:tcW w:w="1058" w:type="pct"/>
                  <w:vMerge w:val="restart"/>
                  <w:vAlign w:val="center"/>
                </w:tcPr>
                <w:p>
                  <w:pPr>
                    <w:jc w:val="center"/>
                    <w:rPr>
                      <w:color w:val="0D0D0D"/>
                      <w:kern w:val="24"/>
                      <w:szCs w:val="21"/>
                    </w:rPr>
                  </w:pPr>
                  <w:r>
                    <w:rPr>
                      <w:rFonts w:hint="eastAsia"/>
                      <w:color w:val="0D0D0D"/>
                      <w:kern w:val="24"/>
                      <w:szCs w:val="21"/>
                    </w:rPr>
                    <w:t>0.8413</w:t>
                  </w:r>
                </w:p>
              </w:tc>
              <w:tc>
                <w:tcPr>
                  <w:tcW w:w="1553" w:type="pct"/>
                  <w:vAlign w:val="center"/>
                </w:tcPr>
                <w:p>
                  <w:pPr>
                    <w:jc w:val="center"/>
                    <w:rPr>
                      <w:rFonts w:hAnsi="宋体"/>
                      <w:kern w:val="24"/>
                      <w:szCs w:val="21"/>
                    </w:rPr>
                  </w:pPr>
                  <w:r>
                    <w:rPr>
                      <w:rFonts w:hint="eastAsia" w:hAnsi="宋体"/>
                      <w:kern w:val="24"/>
                      <w:szCs w:val="21"/>
                    </w:rPr>
                    <w:t>过滤棉+活性炭+RCO处理装置</w:t>
                  </w:r>
                </w:p>
              </w:tc>
              <w:tc>
                <w:tcPr>
                  <w:tcW w:w="667" w:type="pct"/>
                  <w:vAlign w:val="center"/>
                </w:tcPr>
                <w:p>
                  <w:pPr>
                    <w:jc w:val="center"/>
                    <w:rPr>
                      <w:rFonts w:hAnsi="宋体"/>
                      <w:kern w:val="24"/>
                      <w:szCs w:val="21"/>
                    </w:rPr>
                  </w:pPr>
                  <w:r>
                    <w:rPr>
                      <w:rFonts w:hint="eastAsia" w:hAnsi="宋体"/>
                      <w:kern w:val="24"/>
                      <w:szCs w:val="21"/>
                    </w:rPr>
                    <w:t>0.6954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7"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有组织排放</w:t>
                  </w:r>
                </w:p>
              </w:tc>
              <w:tc>
                <w:tcPr>
                  <w:tcW w:w="667" w:type="pct"/>
                  <w:vAlign w:val="center"/>
                </w:tcPr>
                <w:p>
                  <w:pPr>
                    <w:jc w:val="center"/>
                    <w:rPr>
                      <w:rFonts w:hAnsi="宋体"/>
                      <w:kern w:val="24"/>
                      <w:szCs w:val="21"/>
                    </w:rPr>
                  </w:pPr>
                  <w:r>
                    <w:rPr>
                      <w:rFonts w:hint="eastAsia" w:hAnsi="宋体"/>
                      <w:kern w:val="24"/>
                      <w:szCs w:val="21"/>
                    </w:rPr>
                    <w:t>0.1039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7"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无组织排放</w:t>
                  </w:r>
                </w:p>
              </w:tc>
              <w:tc>
                <w:tcPr>
                  <w:tcW w:w="667" w:type="pct"/>
                  <w:vAlign w:val="center"/>
                </w:tcPr>
                <w:p>
                  <w:pPr>
                    <w:jc w:val="center"/>
                    <w:rPr>
                      <w:rFonts w:hAnsi="宋体"/>
                      <w:kern w:val="24"/>
                      <w:szCs w:val="21"/>
                    </w:rPr>
                  </w:pPr>
                  <w:r>
                    <w:rPr>
                      <w:rFonts w:hint="eastAsia" w:hAnsi="宋体"/>
                      <w:kern w:val="24"/>
                      <w:szCs w:val="21"/>
                    </w:rPr>
                    <w:t>0.042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7" w:type="pct"/>
                  <w:vMerge w:val="restart"/>
                  <w:vAlign w:val="center"/>
                </w:tcPr>
                <w:p>
                  <w:pPr>
                    <w:jc w:val="center"/>
                    <w:rPr>
                      <w:rFonts w:hAnsi="宋体"/>
                      <w:kern w:val="24"/>
                      <w:szCs w:val="21"/>
                    </w:rPr>
                  </w:pPr>
                  <w:r>
                    <w:rPr>
                      <w:rFonts w:hint="eastAsia" w:hAnsi="宋体"/>
                      <w:kern w:val="24"/>
                      <w:szCs w:val="21"/>
                    </w:rPr>
                    <w:t>二甲苯</w:t>
                  </w:r>
                </w:p>
              </w:tc>
              <w:tc>
                <w:tcPr>
                  <w:tcW w:w="1058" w:type="pct"/>
                  <w:vMerge w:val="restart"/>
                  <w:vAlign w:val="center"/>
                </w:tcPr>
                <w:p>
                  <w:pPr>
                    <w:jc w:val="center"/>
                    <w:rPr>
                      <w:color w:val="0D0D0D"/>
                      <w:kern w:val="24"/>
                      <w:szCs w:val="21"/>
                    </w:rPr>
                  </w:pPr>
                  <w:r>
                    <w:rPr>
                      <w:rFonts w:hint="eastAsia"/>
                      <w:color w:val="0D0D0D"/>
                      <w:kern w:val="24"/>
                      <w:szCs w:val="21"/>
                    </w:rPr>
                    <w:t>0.04573</w:t>
                  </w:r>
                </w:p>
              </w:tc>
              <w:tc>
                <w:tcPr>
                  <w:tcW w:w="1553" w:type="pct"/>
                  <w:vAlign w:val="center"/>
                </w:tcPr>
                <w:p>
                  <w:pPr>
                    <w:jc w:val="center"/>
                    <w:rPr>
                      <w:rFonts w:hAnsi="宋体"/>
                      <w:kern w:val="24"/>
                      <w:szCs w:val="21"/>
                    </w:rPr>
                  </w:pPr>
                  <w:r>
                    <w:rPr>
                      <w:rFonts w:hint="eastAsia" w:hAnsi="宋体"/>
                      <w:kern w:val="24"/>
                      <w:szCs w:val="21"/>
                    </w:rPr>
                    <w:t>过滤棉+活性炭+RCO处理装置</w:t>
                  </w:r>
                </w:p>
              </w:tc>
              <w:tc>
                <w:tcPr>
                  <w:tcW w:w="667" w:type="pct"/>
                  <w:vAlign w:val="center"/>
                </w:tcPr>
                <w:p>
                  <w:pPr>
                    <w:jc w:val="center"/>
                    <w:rPr>
                      <w:rFonts w:hAnsi="宋体"/>
                      <w:kern w:val="24"/>
                      <w:szCs w:val="21"/>
                    </w:rPr>
                  </w:pPr>
                  <w:r>
                    <w:rPr>
                      <w:rFonts w:hint="eastAsia" w:hAnsi="宋体"/>
                      <w:kern w:val="24"/>
                      <w:szCs w:val="21"/>
                    </w:rPr>
                    <w:t>0.03779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7"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有组织排放</w:t>
                  </w:r>
                </w:p>
              </w:tc>
              <w:tc>
                <w:tcPr>
                  <w:tcW w:w="667" w:type="pct"/>
                  <w:vAlign w:val="center"/>
                </w:tcPr>
                <w:p>
                  <w:pPr>
                    <w:jc w:val="center"/>
                    <w:rPr>
                      <w:rFonts w:hAnsi="宋体"/>
                      <w:kern w:val="24"/>
                      <w:szCs w:val="21"/>
                    </w:rPr>
                  </w:pPr>
                  <w:r>
                    <w:rPr>
                      <w:rFonts w:hint="eastAsia" w:hAnsi="宋体"/>
                      <w:kern w:val="24"/>
                      <w:szCs w:val="21"/>
                    </w:rPr>
                    <w:t>0.00565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7"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无组织排放</w:t>
                  </w:r>
                </w:p>
              </w:tc>
              <w:tc>
                <w:tcPr>
                  <w:tcW w:w="667" w:type="pct"/>
                  <w:vAlign w:val="center"/>
                </w:tcPr>
                <w:p>
                  <w:pPr>
                    <w:jc w:val="center"/>
                    <w:rPr>
                      <w:rFonts w:hAnsi="宋体"/>
                      <w:kern w:val="24"/>
                      <w:szCs w:val="21"/>
                    </w:rPr>
                  </w:pPr>
                  <w:r>
                    <w:rPr>
                      <w:rFonts w:hint="eastAsia" w:hAnsi="宋体"/>
                      <w:kern w:val="24"/>
                      <w:szCs w:val="21"/>
                    </w:rPr>
                    <w:t>0.00229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7" w:type="pct"/>
                  <w:vMerge w:val="restart"/>
                  <w:vAlign w:val="center"/>
                </w:tcPr>
                <w:p>
                  <w:pPr>
                    <w:jc w:val="center"/>
                    <w:rPr>
                      <w:rFonts w:hAnsi="宋体"/>
                      <w:kern w:val="24"/>
                      <w:szCs w:val="21"/>
                    </w:rPr>
                  </w:pPr>
                  <w:r>
                    <w:rPr>
                      <w:rFonts w:hint="eastAsia" w:hAnsi="宋体"/>
                      <w:kern w:val="24"/>
                      <w:szCs w:val="21"/>
                    </w:rPr>
                    <w:t>甲苯</w:t>
                  </w:r>
                </w:p>
              </w:tc>
              <w:tc>
                <w:tcPr>
                  <w:tcW w:w="1058" w:type="pct"/>
                  <w:vMerge w:val="restart"/>
                  <w:vAlign w:val="center"/>
                </w:tcPr>
                <w:p>
                  <w:pPr>
                    <w:jc w:val="center"/>
                    <w:rPr>
                      <w:color w:val="0D0D0D"/>
                      <w:kern w:val="24"/>
                      <w:szCs w:val="21"/>
                    </w:rPr>
                  </w:pPr>
                  <w:r>
                    <w:rPr>
                      <w:rFonts w:hint="eastAsia"/>
                      <w:color w:val="0D0D0D"/>
                      <w:kern w:val="24"/>
                      <w:szCs w:val="21"/>
                    </w:rPr>
                    <w:t>0.02744</w:t>
                  </w:r>
                </w:p>
              </w:tc>
              <w:tc>
                <w:tcPr>
                  <w:tcW w:w="1553" w:type="pct"/>
                  <w:vAlign w:val="center"/>
                </w:tcPr>
                <w:p>
                  <w:pPr>
                    <w:jc w:val="center"/>
                    <w:rPr>
                      <w:rFonts w:hAnsi="宋体"/>
                      <w:kern w:val="24"/>
                      <w:szCs w:val="21"/>
                    </w:rPr>
                  </w:pPr>
                  <w:r>
                    <w:rPr>
                      <w:rFonts w:hint="eastAsia" w:hAnsi="宋体"/>
                      <w:kern w:val="24"/>
                      <w:szCs w:val="21"/>
                    </w:rPr>
                    <w:t>过滤棉+活性炭+RCO处理装置</w:t>
                  </w:r>
                </w:p>
              </w:tc>
              <w:tc>
                <w:tcPr>
                  <w:tcW w:w="667" w:type="pct"/>
                  <w:vAlign w:val="center"/>
                </w:tcPr>
                <w:p>
                  <w:pPr>
                    <w:jc w:val="center"/>
                    <w:rPr>
                      <w:rFonts w:hAnsi="宋体"/>
                      <w:kern w:val="24"/>
                      <w:szCs w:val="21"/>
                    </w:rPr>
                  </w:pPr>
                  <w:r>
                    <w:rPr>
                      <w:rFonts w:hint="eastAsia" w:hAnsi="宋体"/>
                      <w:kern w:val="24"/>
                      <w:szCs w:val="21"/>
                    </w:rPr>
                    <w:t>0.02268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7"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有组织排放</w:t>
                  </w:r>
                </w:p>
              </w:tc>
              <w:tc>
                <w:tcPr>
                  <w:tcW w:w="667" w:type="pct"/>
                  <w:vAlign w:val="center"/>
                </w:tcPr>
                <w:p>
                  <w:pPr>
                    <w:jc w:val="center"/>
                    <w:rPr>
                      <w:rFonts w:hAnsi="宋体"/>
                      <w:kern w:val="24"/>
                      <w:szCs w:val="21"/>
                    </w:rPr>
                  </w:pPr>
                  <w:r>
                    <w:rPr>
                      <w:rFonts w:hint="eastAsia" w:hAnsi="宋体"/>
                      <w:kern w:val="24"/>
                      <w:szCs w:val="21"/>
                    </w:rPr>
                    <w:t>0.00339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7"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无组织排放</w:t>
                  </w:r>
                </w:p>
              </w:tc>
              <w:tc>
                <w:tcPr>
                  <w:tcW w:w="667" w:type="pct"/>
                  <w:vAlign w:val="center"/>
                </w:tcPr>
                <w:p>
                  <w:pPr>
                    <w:jc w:val="center"/>
                    <w:rPr>
                      <w:rFonts w:hAnsi="宋体"/>
                      <w:kern w:val="24"/>
                      <w:szCs w:val="21"/>
                    </w:rPr>
                  </w:pPr>
                  <w:r>
                    <w:rPr>
                      <w:rFonts w:hint="eastAsia" w:hAnsi="宋体"/>
                      <w:kern w:val="24"/>
                      <w:szCs w:val="21"/>
                    </w:rPr>
                    <w:t>0.00137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721" w:type="pct"/>
                  <w:gridSpan w:val="3"/>
                  <w:vAlign w:val="center"/>
                </w:tcPr>
                <w:p>
                  <w:pPr>
                    <w:jc w:val="center"/>
                    <w:rPr>
                      <w:rFonts w:hAnsi="宋体"/>
                      <w:kern w:val="24"/>
                      <w:szCs w:val="21"/>
                    </w:rPr>
                  </w:pPr>
                  <w:r>
                    <w:rPr>
                      <w:rFonts w:hint="eastAsia" w:hAnsi="宋体"/>
                      <w:kern w:val="24"/>
                      <w:szCs w:val="21"/>
                    </w:rPr>
                    <w:t>合计</w:t>
                  </w:r>
                </w:p>
              </w:tc>
              <w:tc>
                <w:tcPr>
                  <w:tcW w:w="1058" w:type="pct"/>
                  <w:vAlign w:val="center"/>
                </w:tcPr>
                <w:p>
                  <w:pPr>
                    <w:jc w:val="center"/>
                    <w:rPr>
                      <w:color w:val="0D0D0D"/>
                      <w:kern w:val="24"/>
                      <w:szCs w:val="21"/>
                    </w:rPr>
                  </w:pPr>
                  <w:r>
                    <w:rPr>
                      <w:rFonts w:hint="eastAsia"/>
                      <w:color w:val="0D0D0D"/>
                      <w:kern w:val="24"/>
                      <w:szCs w:val="21"/>
                    </w:rPr>
                    <w:t>2.95</w:t>
                  </w:r>
                </w:p>
              </w:tc>
              <w:tc>
                <w:tcPr>
                  <w:tcW w:w="1553" w:type="pct"/>
                  <w:vAlign w:val="center"/>
                </w:tcPr>
                <w:p>
                  <w:pPr>
                    <w:jc w:val="center"/>
                    <w:rPr>
                      <w:rFonts w:hAnsi="宋体"/>
                      <w:kern w:val="24"/>
                      <w:szCs w:val="21"/>
                    </w:rPr>
                  </w:pPr>
                  <w:r>
                    <w:rPr>
                      <w:rFonts w:hint="eastAsia" w:hAnsi="宋体"/>
                      <w:kern w:val="24"/>
                      <w:szCs w:val="21"/>
                    </w:rPr>
                    <w:t>/</w:t>
                  </w:r>
                </w:p>
              </w:tc>
              <w:tc>
                <w:tcPr>
                  <w:tcW w:w="667" w:type="pct"/>
                  <w:vAlign w:val="center"/>
                </w:tcPr>
                <w:p>
                  <w:pPr>
                    <w:jc w:val="center"/>
                    <w:rPr>
                      <w:rFonts w:hAnsi="宋体"/>
                      <w:kern w:val="24"/>
                      <w:szCs w:val="21"/>
                    </w:rPr>
                  </w:pPr>
                  <w:r>
                    <w:rPr>
                      <w:rFonts w:hint="eastAsia" w:hAnsi="宋体"/>
                      <w:kern w:val="24"/>
                      <w:szCs w:val="21"/>
                    </w:rPr>
                    <w:t>2.95</w:t>
                  </w:r>
                </w:p>
              </w:tc>
            </w:tr>
          </w:tbl>
          <w:p>
            <w:pPr>
              <w:autoSpaceDE w:val="0"/>
              <w:autoSpaceDN w:val="0"/>
              <w:adjustRightInd w:val="0"/>
              <w:snapToGrid w:val="0"/>
              <w:rPr>
                <w:rFonts w:cs="宋体"/>
                <w:color w:val="000000"/>
                <w:kern w:val="0"/>
                <w:sz w:val="24"/>
              </w:rPr>
            </w:pPr>
          </w:p>
        </w:tc>
      </w:tr>
    </w:tbl>
    <w:p>
      <w:pPr>
        <w:tabs>
          <w:tab w:val="left" w:pos="1165"/>
        </w:tabs>
        <w:rPr>
          <w:rFonts w:cs="宋体"/>
          <w:color w:val="000000"/>
          <w:sz w:val="24"/>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r>
        <w:rPr>
          <w:rFonts w:cs="宋体"/>
          <w:color w:val="000000"/>
          <w:sz w:val="24"/>
        </w:rPr>
        <w:br w:type="textWrapping" w:clear="all"/>
      </w:r>
    </w:p>
    <w:tbl>
      <w:tblPr>
        <w:tblStyle w:val="5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92"/>
        <w:gridCol w:w="130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42" w:hRule="atLeast"/>
        </w:trPr>
        <w:tc>
          <w:tcPr>
            <w:tcW w:w="392" w:type="dxa"/>
            <w:shd w:val="clear" w:color="auto" w:fill="auto"/>
          </w:tcPr>
          <w:p>
            <w:pPr>
              <w:tabs>
                <w:tab w:val="left" w:pos="1165"/>
              </w:tabs>
              <w:rPr>
                <w:rFonts w:cs="宋体"/>
                <w:sz w:val="24"/>
              </w:rPr>
            </w:pPr>
          </w:p>
        </w:tc>
        <w:tc>
          <w:tcPr>
            <w:tcW w:w="13056" w:type="dxa"/>
            <w:shd w:val="clear" w:color="auto" w:fill="auto"/>
          </w:tcPr>
          <w:p>
            <w:pPr>
              <w:rPr>
                <w:rFonts w:cs="宋体"/>
                <w:sz w:val="24"/>
              </w:rPr>
            </w:pPr>
            <w:r>
              <w:rPr>
                <w:rFonts w:hint="eastAsia" w:cs="宋体"/>
                <w:sz w:val="24"/>
              </w:rPr>
              <w:drawing>
                <wp:inline distT="0" distB="0" distL="114300" distR="114300">
                  <wp:extent cx="7763510" cy="5194935"/>
                  <wp:effectExtent l="0" t="0" r="8890" b="5715"/>
                  <wp:docPr id="8" name="图片 8" descr="16423902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42390263(1)"/>
                          <pic:cNvPicPr>
                            <a:picLocks noChangeAspect="1"/>
                          </pic:cNvPicPr>
                        </pic:nvPicPr>
                        <pic:blipFill>
                          <a:blip r:embed="rId8"/>
                          <a:stretch>
                            <a:fillRect/>
                          </a:stretch>
                        </pic:blipFill>
                        <pic:spPr>
                          <a:xfrm>
                            <a:off x="0" y="0"/>
                            <a:ext cx="7763510" cy="5194935"/>
                          </a:xfrm>
                          <a:prstGeom prst="rect">
                            <a:avLst/>
                          </a:prstGeom>
                        </pic:spPr>
                      </pic:pic>
                    </a:graphicData>
                  </a:graphic>
                </wp:inline>
              </w:drawing>
            </w:r>
          </w:p>
          <w:p>
            <w:pPr>
              <w:jc w:val="center"/>
              <w:rPr>
                <w:rFonts w:cs="宋体"/>
                <w:sz w:val="24"/>
              </w:rPr>
            </w:pPr>
            <w:r>
              <w:rPr>
                <w:b/>
                <w:sz w:val="24"/>
              </w:rPr>
              <w:t>图</w:t>
            </w:r>
            <w:r>
              <w:rPr>
                <w:rFonts w:hint="eastAsia"/>
                <w:b/>
                <w:sz w:val="24"/>
              </w:rPr>
              <w:t>2</w:t>
            </w:r>
            <w:r>
              <w:rPr>
                <w:b/>
                <w:sz w:val="24"/>
              </w:rPr>
              <w:t>-</w:t>
            </w:r>
            <w:r>
              <w:rPr>
                <w:rFonts w:hint="eastAsia"/>
                <w:b/>
                <w:sz w:val="24"/>
              </w:rPr>
              <w:t>2</w:t>
            </w:r>
            <w:r>
              <w:rPr>
                <w:b/>
                <w:sz w:val="24"/>
              </w:rPr>
              <w:t xml:space="preserve"> </w:t>
            </w:r>
            <w:r>
              <w:rPr>
                <w:b/>
                <w:color w:val="000000"/>
                <w:sz w:val="24"/>
              </w:rPr>
              <w:t>丙烯酸聚氨酯面漆</w:t>
            </w:r>
            <w:r>
              <w:rPr>
                <w:rFonts w:hint="eastAsia"/>
                <w:b/>
                <w:color w:val="000000"/>
                <w:sz w:val="24"/>
              </w:rPr>
              <w:t>漆料平衡图</w:t>
            </w:r>
          </w:p>
        </w:tc>
      </w:tr>
    </w:tbl>
    <w:p>
      <w:pPr>
        <w:tabs>
          <w:tab w:val="left" w:pos="1165"/>
        </w:tabs>
        <w:rPr>
          <w:rFonts w:cs="宋体"/>
          <w:color w:val="000000"/>
          <w:sz w:val="24"/>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58"/>
        <w:tblW w:w="9033"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392"/>
        <w:gridCol w:w="864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732" w:hRule="atLeast"/>
        </w:trPr>
        <w:tc>
          <w:tcPr>
            <w:tcW w:w="392" w:type="dxa"/>
            <w:shd w:val="clear" w:color="auto" w:fill="auto"/>
          </w:tcPr>
          <w:p>
            <w:pPr>
              <w:rPr>
                <w:rFonts w:cs="宋体"/>
                <w:sz w:val="24"/>
                <w:lang w:val="zh-CN"/>
              </w:rPr>
            </w:pPr>
          </w:p>
        </w:tc>
        <w:tc>
          <w:tcPr>
            <w:tcW w:w="8641" w:type="dxa"/>
            <w:shd w:val="clear" w:color="auto" w:fill="auto"/>
          </w:tcPr>
          <w:p>
            <w:pPr>
              <w:autoSpaceDE w:val="0"/>
              <w:autoSpaceDN w:val="0"/>
              <w:adjustRightInd w:val="0"/>
              <w:snapToGrid w:val="0"/>
              <w:spacing w:before="120" w:beforeLines="50" w:line="360" w:lineRule="auto"/>
              <w:ind w:firstLine="480" w:firstLineChars="200"/>
              <w:jc w:val="left"/>
              <w:rPr>
                <w:color w:val="000000"/>
                <w:sz w:val="24"/>
              </w:rPr>
            </w:pPr>
            <w:r>
              <w:rPr>
                <w:color w:val="000000"/>
                <w:sz w:val="24"/>
              </w:rPr>
              <w:t>（2）</w:t>
            </w:r>
            <w:r>
              <w:rPr>
                <w:rFonts w:hint="eastAsia"/>
                <w:color w:val="000000"/>
                <w:sz w:val="24"/>
              </w:rPr>
              <w:t>环氧富锌防腐底漆</w:t>
            </w:r>
            <w:r>
              <w:rPr>
                <w:color w:val="000000"/>
                <w:sz w:val="24"/>
              </w:rPr>
              <w:t>漆料平衡</w:t>
            </w:r>
          </w:p>
          <w:p>
            <w:pPr>
              <w:autoSpaceDE w:val="0"/>
              <w:autoSpaceDN w:val="0"/>
              <w:adjustRightInd w:val="0"/>
              <w:snapToGrid w:val="0"/>
              <w:spacing w:line="360" w:lineRule="auto"/>
              <w:ind w:firstLine="480" w:firstLineChars="200"/>
              <w:jc w:val="left"/>
              <w:rPr>
                <w:color w:val="000000"/>
                <w:sz w:val="24"/>
              </w:rPr>
            </w:pPr>
            <w:r>
              <w:rPr>
                <w:color w:val="000000"/>
                <w:sz w:val="24"/>
              </w:rPr>
              <w:t>本项目</w:t>
            </w:r>
            <w:r>
              <w:rPr>
                <w:rFonts w:hint="eastAsia"/>
                <w:color w:val="000000"/>
                <w:sz w:val="24"/>
              </w:rPr>
              <w:t>环氧富锌防腐底漆</w:t>
            </w:r>
            <w:r>
              <w:rPr>
                <w:color w:val="000000"/>
                <w:sz w:val="24"/>
              </w:rPr>
              <w:t>投入产出情况见表</w:t>
            </w:r>
            <w:r>
              <w:rPr>
                <w:rFonts w:hint="eastAsia"/>
                <w:color w:val="000000"/>
                <w:sz w:val="24"/>
              </w:rPr>
              <w:t>2-1</w:t>
            </w:r>
            <w:r>
              <w:rPr>
                <w:rFonts w:hint="eastAsia"/>
                <w:color w:val="000000"/>
                <w:sz w:val="24"/>
                <w:lang w:val="en-US" w:eastAsia="zh-CN"/>
              </w:rPr>
              <w:t>4</w:t>
            </w:r>
            <w:r>
              <w:rPr>
                <w:color w:val="000000"/>
                <w:sz w:val="24"/>
              </w:rPr>
              <w:t>及图</w:t>
            </w:r>
            <w:r>
              <w:rPr>
                <w:rFonts w:hint="eastAsia"/>
                <w:color w:val="000000"/>
                <w:sz w:val="24"/>
              </w:rPr>
              <w:t>2-3</w:t>
            </w:r>
            <w:r>
              <w:rPr>
                <w:color w:val="000000"/>
                <w:sz w:val="24"/>
              </w:rPr>
              <w:t>。</w:t>
            </w:r>
          </w:p>
          <w:p>
            <w:pPr>
              <w:jc w:val="center"/>
              <w:rPr>
                <w:rFonts w:cs="宋体"/>
                <w:b/>
                <w:sz w:val="24"/>
              </w:rPr>
            </w:pPr>
            <w:r>
              <w:rPr>
                <w:b/>
                <w:sz w:val="24"/>
              </w:rPr>
              <w:t>表</w:t>
            </w:r>
            <w:r>
              <w:rPr>
                <w:rFonts w:hint="eastAsia"/>
                <w:b/>
                <w:sz w:val="24"/>
              </w:rPr>
              <w:t>2</w:t>
            </w:r>
            <w:r>
              <w:rPr>
                <w:b/>
                <w:sz w:val="24"/>
              </w:rPr>
              <w:t>-</w:t>
            </w:r>
            <w:r>
              <w:rPr>
                <w:rFonts w:hint="eastAsia"/>
                <w:b/>
                <w:sz w:val="24"/>
              </w:rPr>
              <w:t>12</w:t>
            </w:r>
            <w:r>
              <w:rPr>
                <w:b/>
                <w:sz w:val="24"/>
              </w:rPr>
              <w:t xml:space="preserve">  </w:t>
            </w:r>
            <w:r>
              <w:rPr>
                <w:b/>
                <w:color w:val="000000"/>
                <w:sz w:val="24"/>
              </w:rPr>
              <w:t>本项目</w:t>
            </w:r>
            <w:r>
              <w:rPr>
                <w:rFonts w:hint="eastAsia"/>
                <w:b/>
                <w:color w:val="000000"/>
                <w:sz w:val="24"/>
              </w:rPr>
              <w:t>环氧富锌防腐底漆漆料平衡一览表 单位：t/a</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0"/>
              <w:gridCol w:w="526"/>
              <w:gridCol w:w="1025"/>
              <w:gridCol w:w="1783"/>
              <w:gridCol w:w="2617"/>
              <w:gridCol w:w="11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779" w:type="pct"/>
                  <w:gridSpan w:val="4"/>
                  <w:vAlign w:val="center"/>
                </w:tcPr>
                <w:p>
                  <w:pPr>
                    <w:widowControl/>
                    <w:spacing w:line="240" w:lineRule="exact"/>
                    <w:ind w:left="-105" w:leftChars="-50" w:right="-105" w:rightChars="-50"/>
                    <w:jc w:val="center"/>
                    <w:rPr>
                      <w:b/>
                      <w:color w:val="000000"/>
                      <w:kern w:val="0"/>
                      <w:szCs w:val="21"/>
                    </w:rPr>
                  </w:pPr>
                  <w:r>
                    <w:rPr>
                      <w:rFonts w:hint="eastAsia"/>
                      <w:b/>
                      <w:color w:val="000000"/>
                      <w:kern w:val="0"/>
                      <w:szCs w:val="21"/>
                    </w:rPr>
                    <w:t>投入</w:t>
                  </w:r>
                </w:p>
              </w:tc>
              <w:tc>
                <w:tcPr>
                  <w:tcW w:w="2220" w:type="pct"/>
                  <w:gridSpan w:val="2"/>
                  <w:vAlign w:val="center"/>
                </w:tcPr>
                <w:p>
                  <w:pPr>
                    <w:widowControl/>
                    <w:spacing w:line="240" w:lineRule="exact"/>
                    <w:ind w:left="-105" w:leftChars="-50" w:right="-105" w:rightChars="-50"/>
                    <w:jc w:val="center"/>
                    <w:rPr>
                      <w:b/>
                      <w:color w:val="000000"/>
                      <w:kern w:val="0"/>
                      <w:szCs w:val="21"/>
                    </w:rPr>
                  </w:pPr>
                  <w:r>
                    <w:rPr>
                      <w:b/>
                      <w:color w:val="000000"/>
                      <w:kern w:val="0"/>
                      <w:szCs w:val="21"/>
                    </w:rPr>
                    <w:t>产出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restart"/>
                  <w:vAlign w:val="center"/>
                </w:tcPr>
                <w:p>
                  <w:pPr>
                    <w:widowControl/>
                    <w:spacing w:line="260" w:lineRule="exact"/>
                    <w:ind w:left="-105" w:leftChars="-50" w:right="-105" w:rightChars="-50"/>
                    <w:jc w:val="center"/>
                    <w:rPr>
                      <w:color w:val="000000"/>
                      <w:kern w:val="0"/>
                      <w:szCs w:val="21"/>
                    </w:rPr>
                  </w:pPr>
                  <w:r>
                    <w:rPr>
                      <w:rFonts w:hint="eastAsia"/>
                      <w:kern w:val="0"/>
                      <w:szCs w:val="21"/>
                    </w:rPr>
                    <w:t>环氧富锌防腐底漆</w:t>
                  </w:r>
                </w:p>
              </w:tc>
              <w:tc>
                <w:tcPr>
                  <w:tcW w:w="920" w:type="pct"/>
                  <w:gridSpan w:val="2"/>
                  <w:vMerge w:val="restart"/>
                  <w:vAlign w:val="center"/>
                </w:tcPr>
                <w:p>
                  <w:pPr>
                    <w:jc w:val="center"/>
                    <w:rPr>
                      <w:rFonts w:hAnsi="宋体"/>
                      <w:kern w:val="24"/>
                      <w:szCs w:val="21"/>
                    </w:rPr>
                  </w:pPr>
                  <w:r>
                    <w:rPr>
                      <w:rFonts w:hAnsi="宋体"/>
                      <w:kern w:val="24"/>
                      <w:szCs w:val="21"/>
                    </w:rPr>
                    <w:t>固份</w:t>
                  </w:r>
                </w:p>
              </w:tc>
              <w:tc>
                <w:tcPr>
                  <w:tcW w:w="1058" w:type="pct"/>
                  <w:vMerge w:val="restart"/>
                  <w:vAlign w:val="center"/>
                </w:tcPr>
                <w:p>
                  <w:pPr>
                    <w:jc w:val="center"/>
                    <w:rPr>
                      <w:color w:val="0D0D0D"/>
                      <w:kern w:val="24"/>
                      <w:szCs w:val="21"/>
                    </w:rPr>
                  </w:pPr>
                  <w:r>
                    <w:rPr>
                      <w:rFonts w:hint="eastAsia"/>
                      <w:color w:val="0D0D0D"/>
                      <w:kern w:val="24"/>
                      <w:szCs w:val="21"/>
                    </w:rPr>
                    <w:t>1.0368</w:t>
                  </w:r>
                </w:p>
              </w:tc>
              <w:tc>
                <w:tcPr>
                  <w:tcW w:w="1553" w:type="pct"/>
                  <w:vAlign w:val="center"/>
                </w:tcPr>
                <w:p>
                  <w:pPr>
                    <w:jc w:val="center"/>
                    <w:rPr>
                      <w:rFonts w:hAnsi="宋体"/>
                      <w:kern w:val="24"/>
                      <w:szCs w:val="21"/>
                    </w:rPr>
                  </w:pPr>
                  <w:r>
                    <w:rPr>
                      <w:rFonts w:hint="eastAsia" w:hAnsi="宋体"/>
                      <w:kern w:val="24"/>
                      <w:szCs w:val="21"/>
                    </w:rPr>
                    <w:t>工件附着</w:t>
                  </w:r>
                </w:p>
              </w:tc>
              <w:tc>
                <w:tcPr>
                  <w:tcW w:w="667" w:type="pct"/>
                  <w:vAlign w:val="center"/>
                </w:tcPr>
                <w:p>
                  <w:pPr>
                    <w:jc w:val="center"/>
                    <w:rPr>
                      <w:rFonts w:hAnsi="宋体"/>
                      <w:kern w:val="24"/>
                      <w:szCs w:val="21"/>
                    </w:rPr>
                  </w:pPr>
                  <w:r>
                    <w:rPr>
                      <w:rFonts w:hint="eastAsia" w:hAnsi="宋体"/>
                      <w:kern w:val="24"/>
                      <w:szCs w:val="21"/>
                    </w:rPr>
                    <w:t>0.7258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920" w:type="pct"/>
                  <w:gridSpan w:val="2"/>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有组织排放</w:t>
                  </w:r>
                </w:p>
              </w:tc>
              <w:tc>
                <w:tcPr>
                  <w:tcW w:w="667" w:type="pct"/>
                  <w:vAlign w:val="center"/>
                </w:tcPr>
                <w:p>
                  <w:pPr>
                    <w:jc w:val="center"/>
                    <w:rPr>
                      <w:rFonts w:hAnsi="宋体"/>
                      <w:kern w:val="24"/>
                      <w:szCs w:val="21"/>
                    </w:rPr>
                  </w:pPr>
                  <w:r>
                    <w:rPr>
                      <w:rFonts w:hint="eastAsia" w:hAnsi="宋体"/>
                      <w:kern w:val="24"/>
                      <w:szCs w:val="21"/>
                    </w:rPr>
                    <w:t>0.01477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920" w:type="pct"/>
                  <w:gridSpan w:val="2"/>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进入漆雾过滤棉</w:t>
                  </w:r>
                </w:p>
              </w:tc>
              <w:tc>
                <w:tcPr>
                  <w:tcW w:w="667" w:type="pct"/>
                  <w:vAlign w:val="center"/>
                </w:tcPr>
                <w:p>
                  <w:pPr>
                    <w:jc w:val="center"/>
                    <w:rPr>
                      <w:rFonts w:hAnsi="宋体"/>
                      <w:kern w:val="24"/>
                      <w:szCs w:val="21"/>
                    </w:rPr>
                  </w:pPr>
                  <w:r>
                    <w:rPr>
                      <w:rFonts w:hint="eastAsia" w:hAnsi="宋体"/>
                      <w:kern w:val="24"/>
                      <w:szCs w:val="21"/>
                    </w:rPr>
                    <w:t>0.28068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920" w:type="pct"/>
                  <w:gridSpan w:val="2"/>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无组织排放</w:t>
                  </w:r>
                </w:p>
              </w:tc>
              <w:tc>
                <w:tcPr>
                  <w:tcW w:w="667" w:type="pct"/>
                  <w:vAlign w:val="center"/>
                </w:tcPr>
                <w:p>
                  <w:pPr>
                    <w:jc w:val="center"/>
                    <w:rPr>
                      <w:rFonts w:hAnsi="宋体"/>
                      <w:kern w:val="24"/>
                      <w:szCs w:val="21"/>
                    </w:rPr>
                  </w:pPr>
                  <w:r>
                    <w:rPr>
                      <w:rFonts w:hint="eastAsia" w:hAnsi="宋体"/>
                      <w:kern w:val="24"/>
                      <w:szCs w:val="21"/>
                    </w:rPr>
                    <w:t>0.01555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restart"/>
                  <w:vAlign w:val="center"/>
                </w:tcPr>
                <w:p>
                  <w:pPr>
                    <w:jc w:val="center"/>
                    <w:rPr>
                      <w:rFonts w:hAnsi="宋体"/>
                      <w:kern w:val="24"/>
                      <w:szCs w:val="21"/>
                    </w:rPr>
                  </w:pPr>
                  <w:r>
                    <w:rPr>
                      <w:rFonts w:hint="eastAsia" w:hAnsi="宋体"/>
                      <w:kern w:val="24"/>
                      <w:szCs w:val="21"/>
                    </w:rPr>
                    <w:t>挥发份</w:t>
                  </w:r>
                </w:p>
              </w:tc>
              <w:tc>
                <w:tcPr>
                  <w:tcW w:w="608" w:type="pct"/>
                  <w:vMerge w:val="restart"/>
                  <w:vAlign w:val="center"/>
                </w:tcPr>
                <w:p>
                  <w:pPr>
                    <w:jc w:val="center"/>
                    <w:rPr>
                      <w:rFonts w:hAnsi="宋体"/>
                      <w:kern w:val="24"/>
                      <w:szCs w:val="21"/>
                    </w:rPr>
                  </w:pPr>
                  <w:r>
                    <w:rPr>
                      <w:rFonts w:hint="eastAsia" w:hAnsi="宋体"/>
                      <w:kern w:val="24"/>
                      <w:szCs w:val="21"/>
                    </w:rPr>
                    <w:t>其他挥发性有机物</w:t>
                  </w:r>
                </w:p>
              </w:tc>
              <w:tc>
                <w:tcPr>
                  <w:tcW w:w="1058" w:type="pct"/>
                  <w:vMerge w:val="restart"/>
                  <w:vAlign w:val="center"/>
                </w:tcPr>
                <w:p>
                  <w:pPr>
                    <w:jc w:val="center"/>
                    <w:rPr>
                      <w:color w:val="0D0D0D"/>
                      <w:kern w:val="24"/>
                      <w:szCs w:val="21"/>
                    </w:rPr>
                  </w:pPr>
                  <w:r>
                    <w:rPr>
                      <w:rFonts w:hint="eastAsia"/>
                      <w:color w:val="0D0D0D"/>
                      <w:kern w:val="24"/>
                      <w:szCs w:val="21"/>
                    </w:rPr>
                    <w:t>0.2177</w:t>
                  </w:r>
                </w:p>
              </w:tc>
              <w:tc>
                <w:tcPr>
                  <w:tcW w:w="1553" w:type="pct"/>
                  <w:vAlign w:val="center"/>
                </w:tcPr>
                <w:p>
                  <w:pPr>
                    <w:jc w:val="center"/>
                    <w:rPr>
                      <w:rFonts w:hAnsi="宋体"/>
                      <w:kern w:val="24"/>
                      <w:szCs w:val="21"/>
                    </w:rPr>
                  </w:pPr>
                  <w:r>
                    <w:rPr>
                      <w:rFonts w:hint="eastAsia" w:hAnsi="宋体"/>
                      <w:kern w:val="24"/>
                      <w:szCs w:val="21"/>
                    </w:rPr>
                    <w:t>过滤棉+活性炭+RCO处理装置</w:t>
                  </w:r>
                </w:p>
              </w:tc>
              <w:tc>
                <w:tcPr>
                  <w:tcW w:w="667" w:type="pct"/>
                  <w:vAlign w:val="center"/>
                </w:tcPr>
                <w:p>
                  <w:pPr>
                    <w:jc w:val="center"/>
                    <w:rPr>
                      <w:rFonts w:hAnsi="宋体"/>
                      <w:kern w:val="24"/>
                      <w:szCs w:val="21"/>
                    </w:rPr>
                  </w:pPr>
                  <w:r>
                    <w:rPr>
                      <w:rFonts w:hint="eastAsia" w:hAnsi="宋体"/>
                      <w:kern w:val="24"/>
                      <w:szCs w:val="21"/>
                    </w:rPr>
                    <w:t>0.1799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有组织排放</w:t>
                  </w:r>
                </w:p>
              </w:tc>
              <w:tc>
                <w:tcPr>
                  <w:tcW w:w="667" w:type="pct"/>
                  <w:vAlign w:val="center"/>
                </w:tcPr>
                <w:p>
                  <w:pPr>
                    <w:jc w:val="center"/>
                    <w:rPr>
                      <w:rFonts w:hAnsi="宋体"/>
                      <w:kern w:val="24"/>
                      <w:szCs w:val="21"/>
                    </w:rPr>
                  </w:pPr>
                  <w:r>
                    <w:rPr>
                      <w:rFonts w:hint="eastAsia" w:hAnsi="宋体"/>
                      <w:kern w:val="24"/>
                      <w:szCs w:val="21"/>
                    </w:rPr>
                    <w:t>0.0269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无组织排放</w:t>
                  </w:r>
                </w:p>
              </w:tc>
              <w:tc>
                <w:tcPr>
                  <w:tcW w:w="667" w:type="pct"/>
                  <w:vAlign w:val="center"/>
                </w:tcPr>
                <w:p>
                  <w:pPr>
                    <w:jc w:val="center"/>
                    <w:rPr>
                      <w:rFonts w:hAnsi="宋体"/>
                      <w:kern w:val="24"/>
                      <w:szCs w:val="21"/>
                    </w:rPr>
                  </w:pPr>
                  <w:r>
                    <w:rPr>
                      <w:rFonts w:hint="eastAsia" w:hAnsi="宋体"/>
                      <w:kern w:val="24"/>
                      <w:szCs w:val="21"/>
                    </w:rPr>
                    <w:t>0.0109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restart"/>
                  <w:vAlign w:val="center"/>
                </w:tcPr>
                <w:p>
                  <w:pPr>
                    <w:jc w:val="center"/>
                    <w:rPr>
                      <w:rFonts w:hAnsi="宋体"/>
                      <w:kern w:val="24"/>
                      <w:szCs w:val="21"/>
                    </w:rPr>
                  </w:pPr>
                  <w:r>
                    <w:rPr>
                      <w:rFonts w:hint="eastAsia" w:hAnsi="宋体"/>
                      <w:kern w:val="24"/>
                      <w:szCs w:val="21"/>
                    </w:rPr>
                    <w:t>二甲苯</w:t>
                  </w:r>
                </w:p>
              </w:tc>
              <w:tc>
                <w:tcPr>
                  <w:tcW w:w="1058" w:type="pct"/>
                  <w:vMerge w:val="restart"/>
                  <w:vAlign w:val="center"/>
                </w:tcPr>
                <w:p>
                  <w:pPr>
                    <w:jc w:val="center"/>
                    <w:rPr>
                      <w:color w:val="0D0D0D"/>
                      <w:kern w:val="24"/>
                      <w:szCs w:val="21"/>
                    </w:rPr>
                  </w:pPr>
                  <w:r>
                    <w:rPr>
                      <w:rFonts w:hint="eastAsia"/>
                      <w:color w:val="0D0D0D"/>
                      <w:kern w:val="24"/>
                      <w:szCs w:val="21"/>
                    </w:rPr>
                    <w:t>0.01824</w:t>
                  </w:r>
                </w:p>
              </w:tc>
              <w:tc>
                <w:tcPr>
                  <w:tcW w:w="1553" w:type="pct"/>
                  <w:vAlign w:val="center"/>
                </w:tcPr>
                <w:p>
                  <w:pPr>
                    <w:jc w:val="center"/>
                    <w:rPr>
                      <w:rFonts w:hAnsi="宋体"/>
                      <w:kern w:val="24"/>
                      <w:szCs w:val="21"/>
                    </w:rPr>
                  </w:pPr>
                  <w:r>
                    <w:rPr>
                      <w:rFonts w:hint="eastAsia" w:hAnsi="宋体"/>
                      <w:kern w:val="24"/>
                      <w:szCs w:val="21"/>
                    </w:rPr>
                    <w:t>过滤棉+活性炭+RCO处理装置</w:t>
                  </w:r>
                </w:p>
              </w:tc>
              <w:tc>
                <w:tcPr>
                  <w:tcW w:w="667" w:type="pct"/>
                  <w:vAlign w:val="center"/>
                </w:tcPr>
                <w:p>
                  <w:pPr>
                    <w:jc w:val="center"/>
                    <w:rPr>
                      <w:rFonts w:hAnsi="宋体"/>
                      <w:kern w:val="24"/>
                      <w:szCs w:val="21"/>
                    </w:rPr>
                  </w:pPr>
                  <w:r>
                    <w:rPr>
                      <w:rFonts w:hint="eastAsia" w:hAnsi="宋体"/>
                      <w:kern w:val="24"/>
                      <w:szCs w:val="21"/>
                    </w:rPr>
                    <w:t>0.01508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有组织排放</w:t>
                  </w:r>
                </w:p>
              </w:tc>
              <w:tc>
                <w:tcPr>
                  <w:tcW w:w="667" w:type="pct"/>
                  <w:vAlign w:val="center"/>
                </w:tcPr>
                <w:p>
                  <w:pPr>
                    <w:jc w:val="center"/>
                    <w:rPr>
                      <w:rFonts w:hAnsi="宋体"/>
                      <w:kern w:val="24"/>
                      <w:szCs w:val="21"/>
                    </w:rPr>
                  </w:pPr>
                  <w:r>
                    <w:rPr>
                      <w:rFonts w:hint="eastAsia" w:hAnsi="宋体"/>
                      <w:kern w:val="24"/>
                      <w:szCs w:val="21"/>
                    </w:rPr>
                    <w:t>0.00225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无组织排放</w:t>
                  </w:r>
                </w:p>
              </w:tc>
              <w:tc>
                <w:tcPr>
                  <w:tcW w:w="667" w:type="pct"/>
                  <w:vAlign w:val="center"/>
                </w:tcPr>
                <w:p>
                  <w:pPr>
                    <w:jc w:val="center"/>
                    <w:rPr>
                      <w:rFonts w:hAnsi="宋体"/>
                      <w:kern w:val="24"/>
                      <w:szCs w:val="21"/>
                    </w:rPr>
                  </w:pPr>
                  <w:r>
                    <w:rPr>
                      <w:rFonts w:hint="eastAsia" w:hAnsi="宋体"/>
                      <w:kern w:val="24"/>
                      <w:szCs w:val="21"/>
                    </w:rPr>
                    <w:t>0.00091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restart"/>
                  <w:vAlign w:val="center"/>
                </w:tcPr>
                <w:p>
                  <w:pPr>
                    <w:jc w:val="center"/>
                    <w:rPr>
                      <w:rFonts w:hAnsi="宋体"/>
                      <w:kern w:val="24"/>
                      <w:szCs w:val="21"/>
                    </w:rPr>
                  </w:pPr>
                  <w:r>
                    <w:rPr>
                      <w:rFonts w:hint="eastAsia" w:hAnsi="宋体"/>
                      <w:kern w:val="24"/>
                      <w:szCs w:val="21"/>
                    </w:rPr>
                    <w:t>甲苯</w:t>
                  </w:r>
                </w:p>
              </w:tc>
              <w:tc>
                <w:tcPr>
                  <w:tcW w:w="1058" w:type="pct"/>
                  <w:vMerge w:val="restart"/>
                  <w:vAlign w:val="center"/>
                </w:tcPr>
                <w:p>
                  <w:pPr>
                    <w:jc w:val="center"/>
                    <w:rPr>
                      <w:color w:val="0D0D0D"/>
                      <w:kern w:val="24"/>
                      <w:szCs w:val="21"/>
                    </w:rPr>
                  </w:pPr>
                  <w:r>
                    <w:rPr>
                      <w:rFonts w:hint="eastAsia"/>
                      <w:color w:val="0D0D0D"/>
                      <w:kern w:val="24"/>
                      <w:szCs w:val="21"/>
                    </w:rPr>
                    <w:t>0.0073</w:t>
                  </w:r>
                </w:p>
              </w:tc>
              <w:tc>
                <w:tcPr>
                  <w:tcW w:w="1553" w:type="pct"/>
                  <w:vAlign w:val="center"/>
                </w:tcPr>
                <w:p>
                  <w:pPr>
                    <w:jc w:val="center"/>
                    <w:rPr>
                      <w:rFonts w:hAnsi="宋体"/>
                      <w:kern w:val="24"/>
                      <w:szCs w:val="21"/>
                    </w:rPr>
                  </w:pPr>
                  <w:r>
                    <w:rPr>
                      <w:rFonts w:hint="eastAsia" w:hAnsi="宋体"/>
                      <w:kern w:val="24"/>
                      <w:szCs w:val="21"/>
                    </w:rPr>
                    <w:t>过滤棉+活性炭+RCO处理装置</w:t>
                  </w:r>
                </w:p>
              </w:tc>
              <w:tc>
                <w:tcPr>
                  <w:tcW w:w="667" w:type="pct"/>
                  <w:vAlign w:val="center"/>
                </w:tcPr>
                <w:p>
                  <w:pPr>
                    <w:jc w:val="center"/>
                    <w:rPr>
                      <w:rFonts w:hAnsi="宋体"/>
                      <w:kern w:val="24"/>
                      <w:szCs w:val="21"/>
                    </w:rPr>
                  </w:pPr>
                  <w:r>
                    <w:rPr>
                      <w:rFonts w:hint="eastAsia" w:hAnsi="宋体"/>
                      <w:kern w:val="24"/>
                      <w:szCs w:val="21"/>
                    </w:rPr>
                    <w:t>0.00603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有组织排放</w:t>
                  </w:r>
                </w:p>
              </w:tc>
              <w:tc>
                <w:tcPr>
                  <w:tcW w:w="667" w:type="pct"/>
                  <w:vAlign w:val="center"/>
                </w:tcPr>
                <w:p>
                  <w:pPr>
                    <w:jc w:val="center"/>
                    <w:rPr>
                      <w:rFonts w:hAnsi="宋体"/>
                      <w:kern w:val="24"/>
                      <w:szCs w:val="21"/>
                    </w:rPr>
                  </w:pPr>
                  <w:r>
                    <w:rPr>
                      <w:rFonts w:hint="eastAsia" w:hAnsi="宋体"/>
                      <w:kern w:val="24"/>
                      <w:szCs w:val="21"/>
                    </w:rPr>
                    <w:t>0.000901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1"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无组织排放</w:t>
                  </w:r>
                </w:p>
              </w:tc>
              <w:tc>
                <w:tcPr>
                  <w:tcW w:w="667" w:type="pct"/>
                  <w:vAlign w:val="center"/>
                </w:tcPr>
                <w:p>
                  <w:pPr>
                    <w:jc w:val="center"/>
                    <w:rPr>
                      <w:rFonts w:hAnsi="宋体"/>
                      <w:kern w:val="24"/>
                      <w:szCs w:val="21"/>
                    </w:rPr>
                  </w:pPr>
                  <w:r>
                    <w:rPr>
                      <w:rFonts w:hint="eastAsia" w:hAnsi="宋体"/>
                      <w:kern w:val="24"/>
                      <w:szCs w:val="21"/>
                    </w:rPr>
                    <w:t>0.000365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721" w:type="pct"/>
                  <w:gridSpan w:val="3"/>
                  <w:vAlign w:val="center"/>
                </w:tcPr>
                <w:p>
                  <w:pPr>
                    <w:jc w:val="center"/>
                    <w:rPr>
                      <w:rFonts w:hAnsi="宋体"/>
                      <w:kern w:val="24"/>
                      <w:szCs w:val="21"/>
                    </w:rPr>
                  </w:pPr>
                  <w:r>
                    <w:rPr>
                      <w:rFonts w:hint="eastAsia" w:hAnsi="宋体"/>
                      <w:kern w:val="24"/>
                      <w:szCs w:val="21"/>
                    </w:rPr>
                    <w:t>合计</w:t>
                  </w:r>
                </w:p>
              </w:tc>
              <w:tc>
                <w:tcPr>
                  <w:tcW w:w="1058" w:type="pct"/>
                  <w:vAlign w:val="center"/>
                </w:tcPr>
                <w:p>
                  <w:pPr>
                    <w:jc w:val="center"/>
                    <w:rPr>
                      <w:color w:val="0D0D0D"/>
                      <w:kern w:val="24"/>
                      <w:szCs w:val="21"/>
                    </w:rPr>
                  </w:pPr>
                  <w:r>
                    <w:rPr>
                      <w:rFonts w:hint="eastAsia"/>
                      <w:color w:val="0D0D0D"/>
                      <w:kern w:val="24"/>
                      <w:szCs w:val="21"/>
                    </w:rPr>
                    <w:t>1.28</w:t>
                  </w:r>
                </w:p>
              </w:tc>
              <w:tc>
                <w:tcPr>
                  <w:tcW w:w="1553" w:type="pct"/>
                  <w:vAlign w:val="center"/>
                </w:tcPr>
                <w:p>
                  <w:pPr>
                    <w:jc w:val="center"/>
                    <w:rPr>
                      <w:rFonts w:hAnsi="宋体"/>
                      <w:kern w:val="24"/>
                      <w:szCs w:val="21"/>
                    </w:rPr>
                  </w:pPr>
                  <w:r>
                    <w:rPr>
                      <w:rFonts w:hint="eastAsia" w:hAnsi="宋体"/>
                      <w:kern w:val="24"/>
                      <w:szCs w:val="21"/>
                    </w:rPr>
                    <w:t>/</w:t>
                  </w:r>
                </w:p>
              </w:tc>
              <w:tc>
                <w:tcPr>
                  <w:tcW w:w="667" w:type="pct"/>
                  <w:vAlign w:val="center"/>
                </w:tcPr>
                <w:p>
                  <w:pPr>
                    <w:jc w:val="center"/>
                    <w:rPr>
                      <w:rFonts w:hAnsi="宋体"/>
                      <w:kern w:val="24"/>
                      <w:szCs w:val="21"/>
                    </w:rPr>
                  </w:pPr>
                  <w:r>
                    <w:rPr>
                      <w:rFonts w:hint="eastAsia" w:hAnsi="宋体"/>
                      <w:kern w:val="24"/>
                      <w:szCs w:val="21"/>
                    </w:rPr>
                    <w:t>1.28</w:t>
                  </w:r>
                </w:p>
              </w:tc>
            </w:tr>
          </w:tbl>
          <w:p>
            <w:pPr>
              <w:rPr>
                <w:rFonts w:cs="宋体"/>
                <w:b/>
                <w:sz w:val="24"/>
              </w:rPr>
            </w:pPr>
          </w:p>
        </w:tc>
      </w:tr>
    </w:tbl>
    <w:p>
      <w:pPr>
        <w:pStyle w:val="53"/>
        <w:jc w:val="center"/>
        <w:outlineLvl w:val="0"/>
        <w:rPr>
          <w:rFonts w:ascii="Times New Roman" w:hAnsi="Times New Roman"/>
          <w:b/>
          <w:snapToGrid w:val="0"/>
          <w:color w:val="000000"/>
          <w:sz w:val="30"/>
          <w:szCs w:val="30"/>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5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4"/>
        <w:gridCol w:w="129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42" w:hRule="atLeast"/>
        </w:trPr>
        <w:tc>
          <w:tcPr>
            <w:tcW w:w="392" w:type="dxa"/>
            <w:shd w:val="clear" w:color="auto" w:fill="auto"/>
          </w:tcPr>
          <w:p>
            <w:pPr>
              <w:tabs>
                <w:tab w:val="left" w:pos="1165"/>
              </w:tabs>
              <w:rPr>
                <w:rFonts w:cs="宋体"/>
                <w:sz w:val="24"/>
              </w:rPr>
            </w:pPr>
          </w:p>
        </w:tc>
        <w:tc>
          <w:tcPr>
            <w:tcW w:w="13056" w:type="dxa"/>
            <w:shd w:val="clear" w:color="auto" w:fill="auto"/>
          </w:tcPr>
          <w:p>
            <w:pPr>
              <w:tabs>
                <w:tab w:val="left" w:pos="1165"/>
              </w:tabs>
              <w:rPr>
                <w:rFonts w:cs="宋体"/>
                <w:sz w:val="24"/>
              </w:rPr>
            </w:pPr>
            <w:r>
              <w:rPr>
                <w:rFonts w:hint="eastAsia" w:cs="宋体"/>
                <w:sz w:val="24"/>
              </w:rPr>
              <w:drawing>
                <wp:inline distT="0" distB="0" distL="114300" distR="114300">
                  <wp:extent cx="8013065" cy="4912995"/>
                  <wp:effectExtent l="0" t="0" r="6985" b="1905"/>
                  <wp:docPr id="7" name="图片 7" descr="16423902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42390237(1)"/>
                          <pic:cNvPicPr>
                            <a:picLocks noChangeAspect="1"/>
                          </pic:cNvPicPr>
                        </pic:nvPicPr>
                        <pic:blipFill>
                          <a:blip r:embed="rId9"/>
                          <a:stretch>
                            <a:fillRect/>
                          </a:stretch>
                        </pic:blipFill>
                        <pic:spPr>
                          <a:xfrm>
                            <a:off x="0" y="0"/>
                            <a:ext cx="8013065" cy="4912995"/>
                          </a:xfrm>
                          <a:prstGeom prst="rect">
                            <a:avLst/>
                          </a:prstGeom>
                        </pic:spPr>
                      </pic:pic>
                    </a:graphicData>
                  </a:graphic>
                </wp:inline>
              </w:drawing>
            </w:r>
          </w:p>
          <w:p>
            <w:pPr>
              <w:rPr>
                <w:rFonts w:cs="宋体"/>
                <w:sz w:val="24"/>
              </w:rPr>
            </w:pPr>
          </w:p>
          <w:p>
            <w:pPr>
              <w:jc w:val="center"/>
              <w:rPr>
                <w:rFonts w:cs="宋体"/>
                <w:sz w:val="24"/>
              </w:rPr>
            </w:pPr>
            <w:r>
              <w:rPr>
                <w:b/>
                <w:sz w:val="24"/>
              </w:rPr>
              <w:t>图</w:t>
            </w:r>
            <w:r>
              <w:rPr>
                <w:rFonts w:hint="eastAsia"/>
                <w:b/>
                <w:sz w:val="24"/>
              </w:rPr>
              <w:t>2</w:t>
            </w:r>
            <w:r>
              <w:rPr>
                <w:b/>
                <w:sz w:val="24"/>
              </w:rPr>
              <w:t>-</w:t>
            </w:r>
            <w:r>
              <w:rPr>
                <w:rFonts w:hint="eastAsia"/>
                <w:b/>
                <w:sz w:val="24"/>
              </w:rPr>
              <w:t>3</w:t>
            </w:r>
            <w:r>
              <w:rPr>
                <w:b/>
                <w:sz w:val="24"/>
              </w:rPr>
              <w:t xml:space="preserve"> </w:t>
            </w:r>
            <w:r>
              <w:rPr>
                <w:b/>
                <w:color w:val="000000"/>
                <w:sz w:val="24"/>
              </w:rPr>
              <w:t>环氧富锌防腐底漆</w:t>
            </w:r>
            <w:r>
              <w:rPr>
                <w:rFonts w:hint="eastAsia"/>
                <w:b/>
                <w:color w:val="000000"/>
                <w:sz w:val="24"/>
              </w:rPr>
              <w:t>漆料平衡图</w:t>
            </w:r>
          </w:p>
        </w:tc>
      </w:tr>
    </w:tbl>
    <w:p>
      <w:pPr>
        <w:pStyle w:val="53"/>
        <w:outlineLvl w:val="0"/>
        <w:rPr>
          <w:rFonts w:ascii="Times New Roman" w:hAnsi="Times New Roman"/>
          <w:snapToGrid w:val="0"/>
          <w:color w:val="000000"/>
          <w:sz w:val="30"/>
          <w:szCs w:val="30"/>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58"/>
        <w:tblW w:w="906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392"/>
        <w:gridCol w:w="8669"/>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3300" w:hRule="atLeast"/>
        </w:trPr>
        <w:tc>
          <w:tcPr>
            <w:tcW w:w="392" w:type="dxa"/>
            <w:shd w:val="clear" w:color="auto" w:fill="auto"/>
          </w:tcPr>
          <w:p>
            <w:pPr>
              <w:rPr>
                <w:rFonts w:cs="宋体"/>
                <w:sz w:val="24"/>
                <w:lang w:val="zh-CN"/>
              </w:rPr>
            </w:pPr>
          </w:p>
        </w:tc>
        <w:tc>
          <w:tcPr>
            <w:tcW w:w="8669" w:type="dxa"/>
            <w:vMerge w:val="restart"/>
            <w:shd w:val="clear" w:color="auto" w:fill="auto"/>
          </w:tcPr>
          <w:p>
            <w:pPr>
              <w:autoSpaceDE w:val="0"/>
              <w:autoSpaceDN w:val="0"/>
              <w:adjustRightInd w:val="0"/>
              <w:snapToGrid w:val="0"/>
              <w:spacing w:before="120" w:beforeLines="50" w:line="360" w:lineRule="auto"/>
              <w:ind w:firstLine="241" w:firstLineChars="100"/>
              <w:jc w:val="left"/>
              <w:rPr>
                <w:color w:val="000000"/>
                <w:sz w:val="24"/>
              </w:rPr>
            </w:pPr>
            <w:r>
              <w:rPr>
                <w:rFonts w:cs="宋体" w:asciiTheme="minorEastAsia" w:hAnsiTheme="minorEastAsia" w:eastAsiaTheme="minorEastAsia"/>
                <w:b/>
                <w:sz w:val="24"/>
              </w:rPr>
              <w:drawing>
                <wp:anchor distT="0" distB="0" distL="114300" distR="114300" simplePos="0" relativeHeight="251659264" behindDoc="0" locked="0" layoutInCell="1" allowOverlap="1">
                  <wp:simplePos x="0" y="0"/>
                  <wp:positionH relativeFrom="column">
                    <wp:posOffset>114935</wp:posOffset>
                  </wp:positionH>
                  <wp:positionV relativeFrom="paragraph">
                    <wp:posOffset>-7743190</wp:posOffset>
                  </wp:positionV>
                  <wp:extent cx="5081905" cy="2811780"/>
                  <wp:effectExtent l="0" t="0" r="4445" b="7620"/>
                  <wp:wrapNone/>
                  <wp:docPr id="19" name="图片 19" descr="C:\Users\张\AppData\Local\Temp\WeChat Files\87891eeaf3a1ed959a6805a179fa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张\AppData\Local\Temp\WeChat Files\87891eeaf3a1ed959a6805a179fae8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081905" cy="2811780"/>
                          </a:xfrm>
                          <a:prstGeom prst="rect">
                            <a:avLst/>
                          </a:prstGeom>
                          <a:noFill/>
                          <a:ln>
                            <a:noFill/>
                          </a:ln>
                        </pic:spPr>
                      </pic:pic>
                    </a:graphicData>
                  </a:graphic>
                </wp:anchor>
              </w:drawing>
            </w:r>
            <w:r>
              <w:rPr>
                <w:color w:val="000000"/>
                <w:sz w:val="24"/>
              </w:rPr>
              <w:t>（</w:t>
            </w:r>
            <w:r>
              <w:rPr>
                <w:rFonts w:hint="eastAsia"/>
                <w:color w:val="000000"/>
                <w:sz w:val="24"/>
              </w:rPr>
              <w:t>3</w:t>
            </w:r>
            <w:r>
              <w:rPr>
                <w:color w:val="000000"/>
                <w:sz w:val="24"/>
              </w:rPr>
              <w:t>）</w:t>
            </w:r>
            <w:r>
              <w:rPr>
                <w:rFonts w:hint="eastAsia"/>
                <w:color w:val="000000"/>
                <w:sz w:val="24"/>
              </w:rPr>
              <w:t>铁红醇酸防锈底漆</w:t>
            </w:r>
            <w:r>
              <w:rPr>
                <w:color w:val="000000"/>
                <w:sz w:val="24"/>
              </w:rPr>
              <w:t>漆料平衡</w:t>
            </w:r>
          </w:p>
          <w:p>
            <w:pPr>
              <w:autoSpaceDE w:val="0"/>
              <w:autoSpaceDN w:val="0"/>
              <w:adjustRightInd w:val="0"/>
              <w:snapToGrid w:val="0"/>
              <w:spacing w:line="360" w:lineRule="auto"/>
              <w:ind w:firstLine="480" w:firstLineChars="200"/>
              <w:jc w:val="left"/>
              <w:rPr>
                <w:color w:val="000000"/>
                <w:sz w:val="24"/>
              </w:rPr>
            </w:pPr>
            <w:r>
              <w:rPr>
                <w:color w:val="000000"/>
                <w:sz w:val="24"/>
              </w:rPr>
              <w:t>本项目</w:t>
            </w:r>
            <w:r>
              <w:rPr>
                <w:rFonts w:hint="eastAsia"/>
                <w:color w:val="000000"/>
                <w:sz w:val="24"/>
              </w:rPr>
              <w:t>铁红醇酸防锈底漆</w:t>
            </w:r>
            <w:r>
              <w:rPr>
                <w:color w:val="000000"/>
                <w:sz w:val="24"/>
              </w:rPr>
              <w:t>投入产出情况见表</w:t>
            </w:r>
            <w:r>
              <w:rPr>
                <w:rFonts w:hint="eastAsia"/>
                <w:color w:val="000000"/>
                <w:sz w:val="24"/>
              </w:rPr>
              <w:t>2-1</w:t>
            </w:r>
            <w:r>
              <w:rPr>
                <w:rFonts w:hint="eastAsia"/>
                <w:color w:val="000000"/>
                <w:sz w:val="24"/>
                <w:lang w:val="en-US" w:eastAsia="zh-CN"/>
              </w:rPr>
              <w:t>5</w:t>
            </w:r>
            <w:r>
              <w:rPr>
                <w:color w:val="000000"/>
                <w:sz w:val="24"/>
              </w:rPr>
              <w:t>及图</w:t>
            </w:r>
            <w:r>
              <w:rPr>
                <w:rFonts w:hint="eastAsia"/>
                <w:color w:val="000000"/>
                <w:sz w:val="24"/>
              </w:rPr>
              <w:t>2-4</w:t>
            </w:r>
            <w:r>
              <w:rPr>
                <w:color w:val="000000"/>
                <w:sz w:val="24"/>
              </w:rPr>
              <w:t>。</w:t>
            </w:r>
          </w:p>
          <w:p>
            <w:pPr>
              <w:jc w:val="center"/>
              <w:rPr>
                <w:b/>
                <w:sz w:val="24"/>
              </w:rPr>
            </w:pPr>
            <w:r>
              <w:rPr>
                <w:b/>
                <w:sz w:val="24"/>
              </w:rPr>
              <w:t>表</w:t>
            </w:r>
            <w:r>
              <w:rPr>
                <w:rFonts w:hint="eastAsia"/>
                <w:b/>
                <w:sz w:val="24"/>
              </w:rPr>
              <w:t>2</w:t>
            </w:r>
            <w:r>
              <w:rPr>
                <w:b/>
                <w:sz w:val="24"/>
              </w:rPr>
              <w:t>-</w:t>
            </w:r>
            <w:r>
              <w:rPr>
                <w:rFonts w:hint="eastAsia"/>
                <w:b/>
                <w:sz w:val="24"/>
              </w:rPr>
              <w:t>13</w:t>
            </w:r>
            <w:r>
              <w:rPr>
                <w:b/>
                <w:sz w:val="24"/>
              </w:rPr>
              <w:t xml:space="preserve">  </w:t>
            </w:r>
            <w:r>
              <w:rPr>
                <w:b/>
                <w:color w:val="000000"/>
                <w:sz w:val="24"/>
              </w:rPr>
              <w:t>本项目</w:t>
            </w:r>
            <w:r>
              <w:rPr>
                <w:rFonts w:hint="eastAsia"/>
                <w:b/>
                <w:color w:val="000000"/>
                <w:sz w:val="24"/>
              </w:rPr>
              <w:t>铁红醇酸防锈底漆漆料平衡一览表 单位：t/a</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3"/>
              <w:gridCol w:w="527"/>
              <w:gridCol w:w="1030"/>
              <w:gridCol w:w="1789"/>
              <w:gridCol w:w="2626"/>
              <w:gridCol w:w="11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779" w:type="pct"/>
                  <w:gridSpan w:val="4"/>
                  <w:vAlign w:val="center"/>
                </w:tcPr>
                <w:p>
                  <w:pPr>
                    <w:widowControl/>
                    <w:spacing w:line="240" w:lineRule="exact"/>
                    <w:ind w:left="-105" w:leftChars="-50" w:right="-105" w:rightChars="-50"/>
                    <w:jc w:val="center"/>
                    <w:rPr>
                      <w:b/>
                      <w:color w:val="000000"/>
                      <w:kern w:val="0"/>
                      <w:szCs w:val="21"/>
                    </w:rPr>
                  </w:pPr>
                  <w:r>
                    <w:rPr>
                      <w:rFonts w:hint="eastAsia"/>
                      <w:b/>
                      <w:color w:val="000000"/>
                      <w:kern w:val="0"/>
                      <w:szCs w:val="21"/>
                    </w:rPr>
                    <w:t>投入</w:t>
                  </w:r>
                </w:p>
              </w:tc>
              <w:tc>
                <w:tcPr>
                  <w:tcW w:w="2220" w:type="pct"/>
                  <w:gridSpan w:val="2"/>
                  <w:vAlign w:val="center"/>
                </w:tcPr>
                <w:p>
                  <w:pPr>
                    <w:widowControl/>
                    <w:spacing w:line="240" w:lineRule="exact"/>
                    <w:ind w:left="-105" w:leftChars="-50" w:right="-105" w:rightChars="-50"/>
                    <w:jc w:val="center"/>
                    <w:rPr>
                      <w:b/>
                      <w:color w:val="000000"/>
                      <w:kern w:val="0"/>
                      <w:szCs w:val="21"/>
                    </w:rPr>
                  </w:pPr>
                  <w:r>
                    <w:rPr>
                      <w:b/>
                      <w:color w:val="000000"/>
                      <w:kern w:val="0"/>
                      <w:szCs w:val="21"/>
                    </w:rPr>
                    <w:t>产出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restart"/>
                  <w:vAlign w:val="center"/>
                </w:tcPr>
                <w:p>
                  <w:pPr>
                    <w:widowControl/>
                    <w:spacing w:line="260" w:lineRule="exact"/>
                    <w:ind w:left="-105" w:leftChars="-50" w:right="-105" w:rightChars="-50"/>
                    <w:jc w:val="center"/>
                    <w:rPr>
                      <w:color w:val="000000"/>
                      <w:kern w:val="0"/>
                      <w:szCs w:val="21"/>
                    </w:rPr>
                  </w:pPr>
                  <w:r>
                    <w:rPr>
                      <w:rFonts w:hint="eastAsia"/>
                      <w:kern w:val="0"/>
                      <w:szCs w:val="21"/>
                    </w:rPr>
                    <w:t>铁红醇酸防锈底漆</w:t>
                  </w:r>
                </w:p>
              </w:tc>
              <w:tc>
                <w:tcPr>
                  <w:tcW w:w="920" w:type="pct"/>
                  <w:gridSpan w:val="2"/>
                  <w:vMerge w:val="restart"/>
                  <w:vAlign w:val="center"/>
                </w:tcPr>
                <w:p>
                  <w:pPr>
                    <w:jc w:val="center"/>
                    <w:rPr>
                      <w:rFonts w:hAnsi="宋体"/>
                      <w:kern w:val="24"/>
                      <w:szCs w:val="21"/>
                    </w:rPr>
                  </w:pPr>
                  <w:r>
                    <w:rPr>
                      <w:rFonts w:hAnsi="宋体"/>
                      <w:kern w:val="24"/>
                      <w:szCs w:val="21"/>
                    </w:rPr>
                    <w:t>固份</w:t>
                  </w:r>
                </w:p>
              </w:tc>
              <w:tc>
                <w:tcPr>
                  <w:tcW w:w="1058" w:type="pct"/>
                  <w:vMerge w:val="restart"/>
                  <w:vAlign w:val="center"/>
                </w:tcPr>
                <w:p>
                  <w:pPr>
                    <w:jc w:val="center"/>
                    <w:rPr>
                      <w:color w:val="0D0D0D"/>
                      <w:kern w:val="24"/>
                      <w:szCs w:val="21"/>
                    </w:rPr>
                  </w:pPr>
                  <w:r>
                    <w:rPr>
                      <w:rFonts w:hint="eastAsia"/>
                      <w:color w:val="0D0D0D"/>
                      <w:kern w:val="24"/>
                      <w:szCs w:val="21"/>
                    </w:rPr>
                    <w:t>1.0285</w:t>
                  </w:r>
                </w:p>
              </w:tc>
              <w:tc>
                <w:tcPr>
                  <w:tcW w:w="1553" w:type="pct"/>
                  <w:vAlign w:val="center"/>
                </w:tcPr>
                <w:p>
                  <w:pPr>
                    <w:jc w:val="center"/>
                    <w:rPr>
                      <w:rFonts w:hAnsi="宋体"/>
                      <w:kern w:val="24"/>
                      <w:szCs w:val="21"/>
                    </w:rPr>
                  </w:pPr>
                  <w:r>
                    <w:rPr>
                      <w:rFonts w:hint="eastAsia" w:hAnsi="宋体"/>
                      <w:kern w:val="24"/>
                      <w:szCs w:val="21"/>
                    </w:rPr>
                    <w:t>工件附着</w:t>
                  </w:r>
                </w:p>
              </w:tc>
              <w:tc>
                <w:tcPr>
                  <w:tcW w:w="667" w:type="pct"/>
                  <w:vAlign w:val="center"/>
                </w:tcPr>
                <w:p>
                  <w:pPr>
                    <w:jc w:val="center"/>
                    <w:rPr>
                      <w:rFonts w:hAnsi="宋体"/>
                      <w:kern w:val="24"/>
                      <w:szCs w:val="21"/>
                    </w:rPr>
                  </w:pPr>
                  <w:r>
                    <w:rPr>
                      <w:rFonts w:hint="eastAsia" w:hAnsi="宋体"/>
                      <w:kern w:val="24"/>
                      <w:szCs w:val="21"/>
                    </w:rPr>
                    <w:t>0.7199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20" w:type="pct"/>
                  <w:gridSpan w:val="2"/>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有组织排放</w:t>
                  </w:r>
                </w:p>
              </w:tc>
              <w:tc>
                <w:tcPr>
                  <w:tcW w:w="667" w:type="pct"/>
                  <w:vAlign w:val="center"/>
                </w:tcPr>
                <w:p>
                  <w:pPr>
                    <w:jc w:val="center"/>
                    <w:rPr>
                      <w:rFonts w:hAnsi="宋体"/>
                      <w:kern w:val="24"/>
                      <w:szCs w:val="21"/>
                    </w:rPr>
                  </w:pPr>
                  <w:r>
                    <w:rPr>
                      <w:rFonts w:hint="eastAsia" w:hAnsi="宋体"/>
                      <w:kern w:val="24"/>
                      <w:szCs w:val="21"/>
                    </w:rPr>
                    <w:t>0.0147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20" w:type="pct"/>
                  <w:gridSpan w:val="2"/>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进入漆雾过滤棉</w:t>
                  </w:r>
                </w:p>
              </w:tc>
              <w:tc>
                <w:tcPr>
                  <w:tcW w:w="667" w:type="pct"/>
                  <w:vAlign w:val="center"/>
                </w:tcPr>
                <w:p>
                  <w:pPr>
                    <w:jc w:val="center"/>
                    <w:rPr>
                      <w:rFonts w:hAnsi="宋体"/>
                      <w:kern w:val="24"/>
                      <w:szCs w:val="21"/>
                    </w:rPr>
                  </w:pPr>
                  <w:r>
                    <w:rPr>
                      <w:rFonts w:hint="eastAsia" w:hAnsi="宋体"/>
                      <w:kern w:val="24"/>
                      <w:szCs w:val="21"/>
                    </w:rPr>
                    <w:t>0.2785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20" w:type="pct"/>
                  <w:gridSpan w:val="2"/>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无组织排放</w:t>
                  </w:r>
                </w:p>
              </w:tc>
              <w:tc>
                <w:tcPr>
                  <w:tcW w:w="667" w:type="pct"/>
                  <w:vAlign w:val="center"/>
                </w:tcPr>
                <w:p>
                  <w:pPr>
                    <w:jc w:val="center"/>
                    <w:rPr>
                      <w:rFonts w:hAnsi="宋体"/>
                      <w:kern w:val="24"/>
                      <w:szCs w:val="21"/>
                    </w:rPr>
                  </w:pPr>
                  <w:r>
                    <w:rPr>
                      <w:rFonts w:hint="eastAsia" w:hAnsi="宋体"/>
                      <w:kern w:val="24"/>
                      <w:szCs w:val="21"/>
                    </w:rPr>
                    <w:t>0.0154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restart"/>
                  <w:vAlign w:val="center"/>
                </w:tcPr>
                <w:p>
                  <w:pPr>
                    <w:jc w:val="center"/>
                    <w:rPr>
                      <w:rFonts w:hAnsi="宋体"/>
                      <w:kern w:val="24"/>
                      <w:szCs w:val="21"/>
                    </w:rPr>
                  </w:pPr>
                  <w:r>
                    <w:rPr>
                      <w:rFonts w:hint="eastAsia" w:hAnsi="宋体"/>
                      <w:kern w:val="24"/>
                      <w:szCs w:val="21"/>
                    </w:rPr>
                    <w:t>挥发份</w:t>
                  </w:r>
                </w:p>
              </w:tc>
              <w:tc>
                <w:tcPr>
                  <w:tcW w:w="608" w:type="pct"/>
                  <w:vMerge w:val="restart"/>
                  <w:vAlign w:val="center"/>
                </w:tcPr>
                <w:p>
                  <w:pPr>
                    <w:jc w:val="center"/>
                    <w:rPr>
                      <w:rFonts w:hAnsi="宋体"/>
                      <w:kern w:val="24"/>
                      <w:szCs w:val="21"/>
                    </w:rPr>
                  </w:pPr>
                  <w:r>
                    <w:rPr>
                      <w:rFonts w:hint="eastAsia" w:hAnsi="宋体"/>
                      <w:kern w:val="24"/>
                      <w:szCs w:val="21"/>
                    </w:rPr>
                    <w:t>其他挥发性有机物</w:t>
                  </w:r>
                </w:p>
              </w:tc>
              <w:tc>
                <w:tcPr>
                  <w:tcW w:w="1058" w:type="pct"/>
                  <w:vMerge w:val="restart"/>
                  <w:vAlign w:val="center"/>
                </w:tcPr>
                <w:p>
                  <w:pPr>
                    <w:jc w:val="center"/>
                    <w:rPr>
                      <w:color w:val="0D0D0D"/>
                      <w:kern w:val="24"/>
                      <w:szCs w:val="21"/>
                    </w:rPr>
                  </w:pPr>
                  <w:r>
                    <w:rPr>
                      <w:rFonts w:hint="eastAsia"/>
                      <w:color w:val="0D0D0D"/>
                      <w:kern w:val="24"/>
                      <w:szCs w:val="21"/>
                    </w:rPr>
                    <w:t>0.1624</w:t>
                  </w:r>
                </w:p>
              </w:tc>
              <w:tc>
                <w:tcPr>
                  <w:tcW w:w="1553" w:type="pct"/>
                  <w:vAlign w:val="center"/>
                </w:tcPr>
                <w:p>
                  <w:pPr>
                    <w:jc w:val="center"/>
                    <w:rPr>
                      <w:rFonts w:hAnsi="宋体"/>
                      <w:kern w:val="24"/>
                      <w:szCs w:val="21"/>
                    </w:rPr>
                  </w:pPr>
                  <w:r>
                    <w:rPr>
                      <w:rFonts w:hint="eastAsia" w:hAnsi="宋体"/>
                      <w:kern w:val="24"/>
                      <w:szCs w:val="21"/>
                    </w:rPr>
                    <w:t>过滤棉+活性炭+RCO处理装置</w:t>
                  </w:r>
                </w:p>
              </w:tc>
              <w:tc>
                <w:tcPr>
                  <w:tcW w:w="667" w:type="pct"/>
                  <w:vAlign w:val="center"/>
                </w:tcPr>
                <w:p>
                  <w:pPr>
                    <w:jc w:val="center"/>
                    <w:rPr>
                      <w:rFonts w:hAnsi="宋体"/>
                      <w:kern w:val="24"/>
                      <w:szCs w:val="21"/>
                    </w:rPr>
                  </w:pPr>
                  <w:r>
                    <w:rPr>
                      <w:rFonts w:hint="eastAsia" w:hAnsi="宋体"/>
                      <w:kern w:val="24"/>
                      <w:szCs w:val="21"/>
                    </w:rPr>
                    <w:t>0.1342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有组织排放</w:t>
                  </w:r>
                </w:p>
              </w:tc>
              <w:tc>
                <w:tcPr>
                  <w:tcW w:w="667" w:type="pct"/>
                  <w:vAlign w:val="center"/>
                </w:tcPr>
                <w:p>
                  <w:pPr>
                    <w:jc w:val="center"/>
                    <w:rPr>
                      <w:rFonts w:hAnsi="宋体"/>
                      <w:kern w:val="24"/>
                      <w:szCs w:val="21"/>
                    </w:rPr>
                  </w:pPr>
                  <w:r>
                    <w:rPr>
                      <w:rFonts w:hint="eastAsia" w:hAnsi="宋体"/>
                      <w:kern w:val="24"/>
                      <w:szCs w:val="21"/>
                    </w:rPr>
                    <w:t>0.02006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无组织排放</w:t>
                  </w:r>
                </w:p>
              </w:tc>
              <w:tc>
                <w:tcPr>
                  <w:tcW w:w="667" w:type="pct"/>
                  <w:vAlign w:val="center"/>
                </w:tcPr>
                <w:p>
                  <w:pPr>
                    <w:jc w:val="center"/>
                    <w:rPr>
                      <w:rFonts w:hAnsi="宋体"/>
                      <w:kern w:val="24"/>
                      <w:szCs w:val="21"/>
                    </w:rPr>
                  </w:pPr>
                  <w:r>
                    <w:rPr>
                      <w:rFonts w:hint="eastAsia" w:hAnsi="宋体"/>
                      <w:kern w:val="24"/>
                      <w:szCs w:val="21"/>
                    </w:rPr>
                    <w:t>0.00812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restart"/>
                  <w:vAlign w:val="center"/>
                </w:tcPr>
                <w:p>
                  <w:pPr>
                    <w:jc w:val="center"/>
                    <w:rPr>
                      <w:rFonts w:hAnsi="宋体"/>
                      <w:kern w:val="24"/>
                      <w:szCs w:val="21"/>
                    </w:rPr>
                  </w:pPr>
                  <w:r>
                    <w:rPr>
                      <w:rFonts w:hint="eastAsia" w:hAnsi="宋体"/>
                      <w:kern w:val="24"/>
                      <w:szCs w:val="21"/>
                    </w:rPr>
                    <w:t>二甲苯</w:t>
                  </w:r>
                </w:p>
              </w:tc>
              <w:tc>
                <w:tcPr>
                  <w:tcW w:w="1058" w:type="pct"/>
                  <w:vMerge w:val="restart"/>
                  <w:vAlign w:val="center"/>
                </w:tcPr>
                <w:p>
                  <w:pPr>
                    <w:jc w:val="center"/>
                    <w:rPr>
                      <w:color w:val="0D0D0D"/>
                      <w:kern w:val="24"/>
                      <w:szCs w:val="21"/>
                    </w:rPr>
                  </w:pPr>
                  <w:r>
                    <w:rPr>
                      <w:rFonts w:hint="eastAsia"/>
                      <w:color w:val="0D0D0D"/>
                      <w:kern w:val="24"/>
                      <w:szCs w:val="21"/>
                    </w:rPr>
                    <w:t>0.01361</w:t>
                  </w:r>
                </w:p>
              </w:tc>
              <w:tc>
                <w:tcPr>
                  <w:tcW w:w="1553" w:type="pct"/>
                  <w:vAlign w:val="center"/>
                </w:tcPr>
                <w:p>
                  <w:pPr>
                    <w:jc w:val="center"/>
                    <w:rPr>
                      <w:rFonts w:hAnsi="宋体"/>
                      <w:kern w:val="24"/>
                      <w:szCs w:val="21"/>
                    </w:rPr>
                  </w:pPr>
                  <w:r>
                    <w:rPr>
                      <w:rFonts w:hint="eastAsia" w:hAnsi="宋体"/>
                      <w:kern w:val="24"/>
                      <w:szCs w:val="21"/>
                    </w:rPr>
                    <w:t>过滤棉+活性炭+RCO处理装置</w:t>
                  </w:r>
                </w:p>
              </w:tc>
              <w:tc>
                <w:tcPr>
                  <w:tcW w:w="667" w:type="pct"/>
                  <w:vAlign w:val="center"/>
                </w:tcPr>
                <w:p>
                  <w:pPr>
                    <w:jc w:val="center"/>
                    <w:rPr>
                      <w:rFonts w:hAnsi="宋体"/>
                      <w:kern w:val="24"/>
                      <w:szCs w:val="21"/>
                    </w:rPr>
                  </w:pPr>
                  <w:r>
                    <w:rPr>
                      <w:rFonts w:hint="eastAsia" w:hAnsi="宋体"/>
                      <w:kern w:val="24"/>
                      <w:szCs w:val="21"/>
                    </w:rPr>
                    <w:t>0.01125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有组织排放</w:t>
                  </w:r>
                </w:p>
              </w:tc>
              <w:tc>
                <w:tcPr>
                  <w:tcW w:w="667" w:type="pct"/>
                  <w:vAlign w:val="center"/>
                </w:tcPr>
                <w:p>
                  <w:pPr>
                    <w:jc w:val="center"/>
                    <w:rPr>
                      <w:rFonts w:hAnsi="宋体"/>
                      <w:kern w:val="24"/>
                      <w:szCs w:val="21"/>
                    </w:rPr>
                  </w:pPr>
                  <w:r>
                    <w:rPr>
                      <w:rFonts w:hint="eastAsia" w:hAnsi="宋体"/>
                      <w:kern w:val="24"/>
                      <w:szCs w:val="21"/>
                    </w:rPr>
                    <w:t>0.00168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无组织排放</w:t>
                  </w:r>
                </w:p>
              </w:tc>
              <w:tc>
                <w:tcPr>
                  <w:tcW w:w="667" w:type="pct"/>
                  <w:vAlign w:val="center"/>
                </w:tcPr>
                <w:p>
                  <w:pPr>
                    <w:jc w:val="center"/>
                    <w:rPr>
                      <w:rFonts w:hAnsi="宋体"/>
                      <w:kern w:val="24"/>
                      <w:szCs w:val="21"/>
                    </w:rPr>
                  </w:pPr>
                  <w:r>
                    <w:rPr>
                      <w:rFonts w:hint="eastAsia" w:hAnsi="宋体"/>
                      <w:kern w:val="24"/>
                      <w:szCs w:val="21"/>
                    </w:rPr>
                    <w:t>0.00068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restart"/>
                  <w:vAlign w:val="center"/>
                </w:tcPr>
                <w:p>
                  <w:pPr>
                    <w:jc w:val="center"/>
                    <w:rPr>
                      <w:rFonts w:hAnsi="宋体"/>
                      <w:kern w:val="24"/>
                      <w:szCs w:val="21"/>
                    </w:rPr>
                  </w:pPr>
                  <w:r>
                    <w:rPr>
                      <w:rFonts w:hint="eastAsia" w:hAnsi="宋体"/>
                      <w:kern w:val="24"/>
                      <w:szCs w:val="21"/>
                    </w:rPr>
                    <w:t>甲苯</w:t>
                  </w:r>
                </w:p>
              </w:tc>
              <w:tc>
                <w:tcPr>
                  <w:tcW w:w="1058" w:type="pct"/>
                  <w:vMerge w:val="restart"/>
                  <w:vAlign w:val="center"/>
                </w:tcPr>
                <w:p>
                  <w:pPr>
                    <w:jc w:val="center"/>
                    <w:rPr>
                      <w:color w:val="0D0D0D"/>
                      <w:kern w:val="24"/>
                      <w:szCs w:val="21"/>
                    </w:rPr>
                  </w:pPr>
                  <w:r>
                    <w:rPr>
                      <w:rFonts w:hint="eastAsia"/>
                      <w:color w:val="0D0D0D"/>
                      <w:kern w:val="24"/>
                      <w:szCs w:val="21"/>
                    </w:rPr>
                    <w:t>0.005445</w:t>
                  </w:r>
                </w:p>
              </w:tc>
              <w:tc>
                <w:tcPr>
                  <w:tcW w:w="1553" w:type="pct"/>
                  <w:vAlign w:val="center"/>
                </w:tcPr>
                <w:p>
                  <w:pPr>
                    <w:jc w:val="center"/>
                    <w:rPr>
                      <w:rFonts w:hAnsi="宋体"/>
                      <w:kern w:val="24"/>
                      <w:szCs w:val="21"/>
                    </w:rPr>
                  </w:pPr>
                  <w:r>
                    <w:rPr>
                      <w:rFonts w:hint="eastAsia" w:hAnsi="宋体"/>
                      <w:kern w:val="24"/>
                      <w:szCs w:val="21"/>
                    </w:rPr>
                    <w:t>过滤棉+活性炭+RCO处理装置</w:t>
                  </w:r>
                </w:p>
              </w:tc>
              <w:tc>
                <w:tcPr>
                  <w:tcW w:w="667" w:type="pct"/>
                  <w:vAlign w:val="center"/>
                </w:tcPr>
                <w:p>
                  <w:pPr>
                    <w:jc w:val="center"/>
                    <w:rPr>
                      <w:rFonts w:hAnsi="宋体"/>
                      <w:kern w:val="24"/>
                      <w:szCs w:val="21"/>
                    </w:rPr>
                  </w:pPr>
                  <w:r>
                    <w:rPr>
                      <w:rFonts w:hint="eastAsia" w:hAnsi="宋体"/>
                      <w:kern w:val="24"/>
                      <w:szCs w:val="21"/>
                    </w:rPr>
                    <w:t>0.0045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有组织排放</w:t>
                  </w:r>
                </w:p>
              </w:tc>
              <w:tc>
                <w:tcPr>
                  <w:tcW w:w="667" w:type="pct"/>
                  <w:vAlign w:val="center"/>
                </w:tcPr>
                <w:p>
                  <w:pPr>
                    <w:jc w:val="center"/>
                    <w:rPr>
                      <w:rFonts w:hAnsi="宋体"/>
                      <w:kern w:val="24"/>
                      <w:szCs w:val="21"/>
                    </w:rPr>
                  </w:pPr>
                  <w:r>
                    <w:rPr>
                      <w:rFonts w:hint="eastAsia" w:hAnsi="宋体"/>
                      <w:kern w:val="24"/>
                      <w:szCs w:val="21"/>
                    </w:rPr>
                    <w:t>0.000675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312" w:type="pct"/>
                  <w:vMerge w:val="continue"/>
                  <w:vAlign w:val="center"/>
                </w:tcPr>
                <w:p>
                  <w:pPr>
                    <w:jc w:val="center"/>
                    <w:rPr>
                      <w:rFonts w:hAnsi="宋体"/>
                      <w:kern w:val="24"/>
                      <w:szCs w:val="21"/>
                    </w:rPr>
                  </w:pPr>
                </w:p>
              </w:tc>
              <w:tc>
                <w:tcPr>
                  <w:tcW w:w="608" w:type="pct"/>
                  <w:vMerge w:val="continue"/>
                  <w:vAlign w:val="center"/>
                </w:tcPr>
                <w:p>
                  <w:pPr>
                    <w:jc w:val="center"/>
                    <w:rPr>
                      <w:rFonts w:hAnsi="宋体"/>
                      <w:kern w:val="24"/>
                      <w:szCs w:val="21"/>
                    </w:rPr>
                  </w:pPr>
                </w:p>
              </w:tc>
              <w:tc>
                <w:tcPr>
                  <w:tcW w:w="1058" w:type="pct"/>
                  <w:vMerge w:val="continue"/>
                  <w:vAlign w:val="center"/>
                </w:tcPr>
                <w:p>
                  <w:pPr>
                    <w:jc w:val="center"/>
                    <w:rPr>
                      <w:color w:val="0D0D0D"/>
                      <w:kern w:val="24"/>
                      <w:szCs w:val="21"/>
                    </w:rPr>
                  </w:pPr>
                </w:p>
              </w:tc>
              <w:tc>
                <w:tcPr>
                  <w:tcW w:w="1553" w:type="pct"/>
                  <w:vAlign w:val="center"/>
                </w:tcPr>
                <w:p>
                  <w:pPr>
                    <w:jc w:val="center"/>
                    <w:rPr>
                      <w:rFonts w:hAnsi="宋体"/>
                      <w:kern w:val="24"/>
                      <w:szCs w:val="21"/>
                    </w:rPr>
                  </w:pPr>
                  <w:r>
                    <w:rPr>
                      <w:rFonts w:hint="eastAsia" w:hAnsi="宋体"/>
                      <w:kern w:val="24"/>
                      <w:szCs w:val="21"/>
                    </w:rPr>
                    <w:t>无组织排放</w:t>
                  </w:r>
                </w:p>
              </w:tc>
              <w:tc>
                <w:tcPr>
                  <w:tcW w:w="667" w:type="pct"/>
                  <w:vAlign w:val="center"/>
                </w:tcPr>
                <w:p>
                  <w:pPr>
                    <w:jc w:val="center"/>
                    <w:rPr>
                      <w:rFonts w:hAnsi="宋体"/>
                      <w:kern w:val="24"/>
                      <w:szCs w:val="21"/>
                    </w:rPr>
                  </w:pPr>
                  <w:r>
                    <w:rPr>
                      <w:rFonts w:hint="eastAsia" w:hAnsi="宋体"/>
                      <w:kern w:val="24"/>
                      <w:szCs w:val="21"/>
                    </w:rPr>
                    <w:t>0.0002723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5" w:hRule="atLeast"/>
                <w:jc w:val="center"/>
              </w:trPr>
              <w:tc>
                <w:tcPr>
                  <w:tcW w:w="1721" w:type="pct"/>
                  <w:gridSpan w:val="3"/>
                  <w:vAlign w:val="center"/>
                </w:tcPr>
                <w:p>
                  <w:pPr>
                    <w:jc w:val="center"/>
                    <w:rPr>
                      <w:rFonts w:hAnsi="宋体"/>
                      <w:kern w:val="24"/>
                      <w:szCs w:val="21"/>
                    </w:rPr>
                  </w:pPr>
                  <w:r>
                    <w:rPr>
                      <w:rFonts w:hint="eastAsia" w:hAnsi="宋体"/>
                      <w:kern w:val="24"/>
                      <w:szCs w:val="21"/>
                    </w:rPr>
                    <w:t>合计</w:t>
                  </w:r>
                </w:p>
              </w:tc>
              <w:tc>
                <w:tcPr>
                  <w:tcW w:w="1058" w:type="pct"/>
                  <w:vAlign w:val="center"/>
                </w:tcPr>
                <w:p>
                  <w:pPr>
                    <w:jc w:val="center"/>
                    <w:rPr>
                      <w:color w:val="0D0D0D"/>
                      <w:kern w:val="24"/>
                      <w:szCs w:val="21"/>
                    </w:rPr>
                  </w:pPr>
                  <w:r>
                    <w:rPr>
                      <w:rFonts w:hint="eastAsia"/>
                      <w:color w:val="0D0D0D"/>
                      <w:kern w:val="24"/>
                      <w:szCs w:val="21"/>
                    </w:rPr>
                    <w:t>1.21</w:t>
                  </w:r>
                </w:p>
              </w:tc>
              <w:tc>
                <w:tcPr>
                  <w:tcW w:w="1553" w:type="pct"/>
                  <w:vAlign w:val="center"/>
                </w:tcPr>
                <w:p>
                  <w:pPr>
                    <w:jc w:val="center"/>
                    <w:rPr>
                      <w:rFonts w:hAnsi="宋体"/>
                      <w:kern w:val="24"/>
                      <w:szCs w:val="21"/>
                    </w:rPr>
                  </w:pPr>
                  <w:r>
                    <w:rPr>
                      <w:rFonts w:hint="eastAsia" w:hAnsi="宋体"/>
                      <w:kern w:val="24"/>
                      <w:szCs w:val="21"/>
                    </w:rPr>
                    <w:t>/</w:t>
                  </w:r>
                </w:p>
              </w:tc>
              <w:tc>
                <w:tcPr>
                  <w:tcW w:w="667" w:type="pct"/>
                  <w:vAlign w:val="center"/>
                </w:tcPr>
                <w:p>
                  <w:pPr>
                    <w:jc w:val="center"/>
                    <w:rPr>
                      <w:rFonts w:hAnsi="宋体"/>
                      <w:kern w:val="24"/>
                      <w:szCs w:val="21"/>
                    </w:rPr>
                  </w:pPr>
                  <w:r>
                    <w:rPr>
                      <w:rFonts w:hint="eastAsia" w:hAnsi="宋体"/>
                      <w:kern w:val="24"/>
                      <w:szCs w:val="21"/>
                    </w:rPr>
                    <w:t>1.21</w:t>
                  </w:r>
                </w:p>
              </w:tc>
            </w:tr>
          </w:tbl>
          <w:p>
            <w:pPr>
              <w:rPr>
                <w:rFonts w:cs="宋体" w:asciiTheme="minorEastAsia" w:hAnsiTheme="minorEastAsia" w:eastAsiaTheme="minorEastAsia"/>
                <w:sz w:val="24"/>
              </w:rPr>
            </w:pPr>
          </w:p>
          <w:p>
            <w:pPr>
              <w:rPr>
                <w:rFonts w:cs="宋体" w:asciiTheme="minorEastAsia" w:hAnsiTheme="minorEastAsia" w:eastAsiaTheme="minorEastAsia"/>
                <w:sz w:val="24"/>
              </w:rPr>
            </w:pPr>
            <w:r>
              <w:rPr>
                <w:rFonts w:hint="eastAsia" w:cs="宋体" w:asciiTheme="minorEastAsia" w:hAnsiTheme="minorEastAsia" w:eastAsiaTheme="minorEastAsia"/>
                <w:sz w:val="24"/>
              </w:rPr>
              <w:drawing>
                <wp:inline distT="0" distB="0" distL="114300" distR="114300">
                  <wp:extent cx="5356860" cy="3328035"/>
                  <wp:effectExtent l="0" t="0" r="15240" b="5715"/>
                  <wp:docPr id="6" name="图片 6" descr="1642390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42390208"/>
                          <pic:cNvPicPr>
                            <a:picLocks noChangeAspect="1"/>
                          </pic:cNvPicPr>
                        </pic:nvPicPr>
                        <pic:blipFill>
                          <a:blip r:embed="rId11"/>
                          <a:stretch>
                            <a:fillRect/>
                          </a:stretch>
                        </pic:blipFill>
                        <pic:spPr>
                          <a:xfrm>
                            <a:off x="0" y="0"/>
                            <a:ext cx="5356860" cy="3328035"/>
                          </a:xfrm>
                          <a:prstGeom prst="rect">
                            <a:avLst/>
                          </a:prstGeom>
                        </pic:spPr>
                      </pic:pic>
                    </a:graphicData>
                  </a:graphic>
                </wp:inline>
              </w:drawing>
            </w:r>
          </w:p>
          <w:p>
            <w:pPr>
              <w:tabs>
                <w:tab w:val="left" w:pos="5040"/>
              </w:tabs>
              <w:jc w:val="center"/>
              <w:rPr>
                <w:b/>
                <w:color w:val="000000"/>
                <w:sz w:val="24"/>
              </w:rPr>
            </w:pPr>
            <w:r>
              <w:rPr>
                <w:b/>
                <w:sz w:val="24"/>
              </w:rPr>
              <w:t>图</w:t>
            </w:r>
            <w:r>
              <w:rPr>
                <w:rFonts w:hint="eastAsia"/>
                <w:b/>
                <w:sz w:val="24"/>
              </w:rPr>
              <w:t>2</w:t>
            </w:r>
            <w:r>
              <w:rPr>
                <w:b/>
                <w:sz w:val="24"/>
              </w:rPr>
              <w:t>-</w:t>
            </w:r>
            <w:r>
              <w:rPr>
                <w:rFonts w:hint="eastAsia"/>
                <w:b/>
                <w:sz w:val="24"/>
              </w:rPr>
              <w:t>4</w:t>
            </w:r>
            <w:r>
              <w:rPr>
                <w:b/>
                <w:sz w:val="24"/>
              </w:rPr>
              <w:t xml:space="preserve"> </w:t>
            </w:r>
            <w:r>
              <w:rPr>
                <w:rFonts w:hint="eastAsia"/>
                <w:b/>
                <w:color w:val="000000"/>
                <w:sz w:val="24"/>
              </w:rPr>
              <w:t>铁红醇酸防锈底漆漆料平衡图</w:t>
            </w:r>
          </w:p>
          <w:p>
            <w:pPr>
              <w:tabs>
                <w:tab w:val="left" w:pos="5040"/>
              </w:tabs>
              <w:jc w:val="center"/>
              <w:rPr>
                <w:b/>
                <w:color w:val="000000"/>
                <w:sz w:val="24"/>
              </w:rPr>
            </w:pPr>
          </w:p>
          <w:p>
            <w:pPr>
              <w:autoSpaceDE w:val="0"/>
              <w:autoSpaceDN w:val="0"/>
              <w:adjustRightInd w:val="0"/>
              <w:snapToGrid w:val="0"/>
              <w:spacing w:before="120" w:beforeLines="50" w:line="360" w:lineRule="auto"/>
              <w:ind w:firstLine="480" w:firstLineChars="200"/>
              <w:jc w:val="left"/>
              <w:rPr>
                <w:color w:val="000000"/>
                <w:sz w:val="24"/>
              </w:rPr>
            </w:pPr>
            <w:r>
              <w:rPr>
                <w:color w:val="000000"/>
                <w:sz w:val="24"/>
              </w:rPr>
              <w:t>（</w:t>
            </w:r>
            <w:r>
              <w:rPr>
                <w:rFonts w:hint="eastAsia"/>
                <w:color w:val="000000"/>
                <w:sz w:val="24"/>
              </w:rPr>
              <w:t>4</w:t>
            </w:r>
            <w:r>
              <w:rPr>
                <w:color w:val="000000"/>
                <w:sz w:val="24"/>
              </w:rPr>
              <w:t>）</w:t>
            </w:r>
            <w:r>
              <w:rPr>
                <w:rFonts w:hint="eastAsia"/>
                <w:color w:val="000000"/>
                <w:sz w:val="24"/>
              </w:rPr>
              <w:t>水性丙烯酸防锈底漆</w:t>
            </w:r>
            <w:r>
              <w:rPr>
                <w:color w:val="000000"/>
                <w:sz w:val="24"/>
              </w:rPr>
              <w:t>平衡</w:t>
            </w:r>
          </w:p>
          <w:p>
            <w:pPr>
              <w:autoSpaceDE w:val="0"/>
              <w:autoSpaceDN w:val="0"/>
              <w:adjustRightInd w:val="0"/>
              <w:snapToGrid w:val="0"/>
              <w:spacing w:line="360" w:lineRule="auto"/>
              <w:ind w:firstLine="480" w:firstLineChars="200"/>
              <w:jc w:val="left"/>
              <w:rPr>
                <w:color w:val="000000"/>
                <w:sz w:val="24"/>
              </w:rPr>
            </w:pPr>
            <w:r>
              <w:rPr>
                <w:color w:val="000000"/>
                <w:sz w:val="24"/>
              </w:rPr>
              <w:t>本项目</w:t>
            </w:r>
            <w:r>
              <w:rPr>
                <w:rFonts w:hint="eastAsia"/>
                <w:color w:val="000000"/>
                <w:sz w:val="24"/>
              </w:rPr>
              <w:t>水性丙烯酸防锈底漆</w:t>
            </w:r>
            <w:r>
              <w:rPr>
                <w:color w:val="000000"/>
                <w:sz w:val="24"/>
              </w:rPr>
              <w:t>投入产出情况见表</w:t>
            </w:r>
            <w:r>
              <w:rPr>
                <w:rFonts w:hint="eastAsia"/>
                <w:color w:val="000000"/>
                <w:sz w:val="24"/>
              </w:rPr>
              <w:t>2-1</w:t>
            </w:r>
            <w:r>
              <w:rPr>
                <w:rFonts w:hint="eastAsia"/>
                <w:color w:val="000000"/>
                <w:sz w:val="24"/>
                <w:lang w:val="en-US" w:eastAsia="zh-CN"/>
              </w:rPr>
              <w:t>6</w:t>
            </w:r>
            <w:r>
              <w:rPr>
                <w:color w:val="000000"/>
                <w:sz w:val="24"/>
              </w:rPr>
              <w:t>及图</w:t>
            </w:r>
            <w:r>
              <w:rPr>
                <w:rFonts w:hint="eastAsia"/>
                <w:color w:val="000000"/>
                <w:sz w:val="24"/>
              </w:rPr>
              <w:t>2-5</w:t>
            </w:r>
            <w:r>
              <w:rPr>
                <w:color w:val="000000"/>
                <w:sz w:val="24"/>
              </w:rPr>
              <w:t>。</w:t>
            </w:r>
          </w:p>
          <w:p>
            <w:pPr>
              <w:jc w:val="center"/>
              <w:rPr>
                <w:b/>
                <w:sz w:val="24"/>
              </w:rPr>
            </w:pPr>
            <w:r>
              <w:rPr>
                <w:b/>
                <w:sz w:val="24"/>
              </w:rPr>
              <w:t>表</w:t>
            </w:r>
            <w:r>
              <w:rPr>
                <w:rFonts w:hint="eastAsia"/>
                <w:b/>
                <w:sz w:val="24"/>
              </w:rPr>
              <w:t>2</w:t>
            </w:r>
            <w:r>
              <w:rPr>
                <w:b/>
                <w:sz w:val="24"/>
              </w:rPr>
              <w:t>-</w:t>
            </w:r>
            <w:r>
              <w:rPr>
                <w:rFonts w:hint="eastAsia"/>
                <w:b/>
                <w:sz w:val="24"/>
              </w:rPr>
              <w:t>14</w:t>
            </w:r>
            <w:r>
              <w:rPr>
                <w:b/>
                <w:sz w:val="24"/>
              </w:rPr>
              <w:t xml:space="preserve">  </w:t>
            </w:r>
            <w:r>
              <w:rPr>
                <w:b/>
                <w:color w:val="000000"/>
                <w:sz w:val="24"/>
              </w:rPr>
              <w:t>本项目</w:t>
            </w:r>
            <w:r>
              <w:rPr>
                <w:rFonts w:hint="eastAsia"/>
                <w:b/>
                <w:color w:val="000000"/>
                <w:sz w:val="24"/>
              </w:rPr>
              <w:t>水性丙烯酸防锈底漆漆料平衡一览表 单位：t/a</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53"/>
              <w:gridCol w:w="1556"/>
              <w:gridCol w:w="1902"/>
              <w:gridCol w:w="2516"/>
              <w:gridCol w:w="112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2845" w:type="pct"/>
                  <w:gridSpan w:val="3"/>
                  <w:vAlign w:val="center"/>
                </w:tcPr>
                <w:p>
                  <w:pPr>
                    <w:widowControl/>
                    <w:spacing w:line="240" w:lineRule="exact"/>
                    <w:ind w:left="-105" w:leftChars="-50" w:right="-105" w:rightChars="-50"/>
                    <w:jc w:val="center"/>
                    <w:rPr>
                      <w:b/>
                      <w:color w:val="000000"/>
                      <w:kern w:val="0"/>
                      <w:szCs w:val="21"/>
                    </w:rPr>
                  </w:pPr>
                  <w:r>
                    <w:rPr>
                      <w:rFonts w:hint="eastAsia"/>
                      <w:b/>
                      <w:color w:val="000000"/>
                      <w:kern w:val="0"/>
                      <w:szCs w:val="21"/>
                    </w:rPr>
                    <w:t>投入</w:t>
                  </w:r>
                </w:p>
              </w:tc>
              <w:tc>
                <w:tcPr>
                  <w:tcW w:w="2154" w:type="pct"/>
                  <w:gridSpan w:val="2"/>
                  <w:vAlign w:val="center"/>
                </w:tcPr>
                <w:p>
                  <w:pPr>
                    <w:widowControl/>
                    <w:spacing w:line="240" w:lineRule="exact"/>
                    <w:ind w:left="-105" w:leftChars="-50" w:right="-105" w:rightChars="-50"/>
                    <w:jc w:val="center"/>
                    <w:rPr>
                      <w:b/>
                      <w:color w:val="000000"/>
                      <w:kern w:val="0"/>
                      <w:szCs w:val="21"/>
                    </w:rPr>
                  </w:pPr>
                  <w:r>
                    <w:rPr>
                      <w:b/>
                      <w:color w:val="000000"/>
                      <w:kern w:val="0"/>
                      <w:szCs w:val="21"/>
                    </w:rPr>
                    <w:t>产出</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restart"/>
                  <w:vAlign w:val="center"/>
                </w:tcPr>
                <w:p>
                  <w:pPr>
                    <w:widowControl/>
                    <w:spacing w:line="260" w:lineRule="exact"/>
                    <w:ind w:left="-105" w:leftChars="-50" w:right="-105" w:rightChars="-50"/>
                    <w:jc w:val="center"/>
                    <w:rPr>
                      <w:color w:val="000000"/>
                      <w:kern w:val="0"/>
                      <w:szCs w:val="21"/>
                    </w:rPr>
                  </w:pPr>
                  <w:r>
                    <w:rPr>
                      <w:rFonts w:hint="eastAsia"/>
                      <w:kern w:val="0"/>
                      <w:szCs w:val="21"/>
                    </w:rPr>
                    <w:t>水性丙烯酸防锈底漆</w:t>
                  </w:r>
                </w:p>
              </w:tc>
              <w:tc>
                <w:tcPr>
                  <w:tcW w:w="919" w:type="pct"/>
                  <w:vMerge w:val="restart"/>
                  <w:vAlign w:val="center"/>
                </w:tcPr>
                <w:p>
                  <w:pPr>
                    <w:jc w:val="center"/>
                    <w:rPr>
                      <w:rFonts w:hAnsi="宋体"/>
                      <w:kern w:val="24"/>
                      <w:szCs w:val="21"/>
                    </w:rPr>
                  </w:pPr>
                  <w:r>
                    <w:rPr>
                      <w:rFonts w:hAnsi="宋体"/>
                      <w:kern w:val="24"/>
                      <w:szCs w:val="21"/>
                    </w:rPr>
                    <w:t>固份</w:t>
                  </w:r>
                </w:p>
              </w:tc>
              <w:tc>
                <w:tcPr>
                  <w:tcW w:w="1125" w:type="pct"/>
                  <w:vMerge w:val="restart"/>
                  <w:vAlign w:val="center"/>
                </w:tcPr>
                <w:p>
                  <w:pPr>
                    <w:jc w:val="center"/>
                    <w:rPr>
                      <w:color w:val="0D0D0D"/>
                      <w:kern w:val="24"/>
                      <w:szCs w:val="21"/>
                    </w:rPr>
                  </w:pPr>
                  <w:r>
                    <w:rPr>
                      <w:rFonts w:hint="eastAsia"/>
                      <w:color w:val="0D0D0D"/>
                      <w:kern w:val="24"/>
                      <w:szCs w:val="21"/>
                    </w:rPr>
                    <w:t>1.096</w:t>
                  </w:r>
                </w:p>
              </w:tc>
              <w:tc>
                <w:tcPr>
                  <w:tcW w:w="1488" w:type="pct"/>
                  <w:vAlign w:val="center"/>
                </w:tcPr>
                <w:p>
                  <w:pPr>
                    <w:jc w:val="center"/>
                    <w:rPr>
                      <w:rFonts w:hAnsi="宋体"/>
                      <w:kern w:val="24"/>
                      <w:szCs w:val="21"/>
                    </w:rPr>
                  </w:pPr>
                  <w:r>
                    <w:rPr>
                      <w:rFonts w:hint="eastAsia" w:hAnsi="宋体"/>
                      <w:kern w:val="24"/>
                      <w:szCs w:val="21"/>
                    </w:rPr>
                    <w:t>工件附着</w:t>
                  </w:r>
                </w:p>
              </w:tc>
              <w:tc>
                <w:tcPr>
                  <w:tcW w:w="666" w:type="pct"/>
                  <w:vAlign w:val="center"/>
                </w:tcPr>
                <w:p>
                  <w:pPr>
                    <w:jc w:val="center"/>
                    <w:rPr>
                      <w:rFonts w:hAnsi="宋体"/>
                      <w:kern w:val="24"/>
                      <w:szCs w:val="21"/>
                    </w:rPr>
                  </w:pPr>
                  <w:r>
                    <w:rPr>
                      <w:rFonts w:hint="eastAsia" w:hAnsi="宋体"/>
                      <w:kern w:val="24"/>
                      <w:szCs w:val="21"/>
                    </w:rPr>
                    <w:t>0.7672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Merge w:val="continue"/>
                  <w:vAlign w:val="center"/>
                </w:tcPr>
                <w:p>
                  <w:pPr>
                    <w:jc w:val="center"/>
                    <w:rPr>
                      <w:rFonts w:hAnsi="宋体"/>
                      <w:kern w:val="24"/>
                      <w:szCs w:val="21"/>
                    </w:rPr>
                  </w:pPr>
                </w:p>
              </w:tc>
              <w:tc>
                <w:tcPr>
                  <w:tcW w:w="1125" w:type="pct"/>
                  <w:vMerge w:val="continue"/>
                  <w:vAlign w:val="center"/>
                </w:tcPr>
                <w:p>
                  <w:pPr>
                    <w:jc w:val="center"/>
                    <w:rPr>
                      <w:color w:val="0D0D0D"/>
                      <w:kern w:val="24"/>
                      <w:szCs w:val="21"/>
                    </w:rPr>
                  </w:pPr>
                </w:p>
              </w:tc>
              <w:tc>
                <w:tcPr>
                  <w:tcW w:w="1488" w:type="pct"/>
                  <w:vAlign w:val="center"/>
                </w:tcPr>
                <w:p>
                  <w:pPr>
                    <w:jc w:val="center"/>
                    <w:rPr>
                      <w:rFonts w:hAnsi="宋体"/>
                      <w:kern w:val="24"/>
                      <w:szCs w:val="21"/>
                    </w:rPr>
                  </w:pPr>
                  <w:r>
                    <w:rPr>
                      <w:rFonts w:hint="eastAsia" w:hAnsi="宋体"/>
                      <w:kern w:val="24"/>
                      <w:szCs w:val="21"/>
                    </w:rPr>
                    <w:t>有组织排放</w:t>
                  </w:r>
                </w:p>
              </w:tc>
              <w:tc>
                <w:tcPr>
                  <w:tcW w:w="666" w:type="pct"/>
                  <w:vAlign w:val="center"/>
                </w:tcPr>
                <w:p>
                  <w:pPr>
                    <w:jc w:val="center"/>
                    <w:rPr>
                      <w:rFonts w:hAnsi="宋体"/>
                      <w:kern w:val="24"/>
                      <w:szCs w:val="21"/>
                    </w:rPr>
                  </w:pPr>
                  <w:r>
                    <w:rPr>
                      <w:rFonts w:hint="eastAsia" w:hAnsi="宋体"/>
                      <w:kern w:val="24"/>
                      <w:szCs w:val="21"/>
                    </w:rPr>
                    <w:t>0.01562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Merge w:val="continue"/>
                  <w:vAlign w:val="center"/>
                </w:tcPr>
                <w:p>
                  <w:pPr>
                    <w:jc w:val="center"/>
                    <w:rPr>
                      <w:rFonts w:hAnsi="宋体"/>
                      <w:kern w:val="24"/>
                      <w:szCs w:val="21"/>
                    </w:rPr>
                  </w:pPr>
                </w:p>
              </w:tc>
              <w:tc>
                <w:tcPr>
                  <w:tcW w:w="1125" w:type="pct"/>
                  <w:vMerge w:val="continue"/>
                  <w:vAlign w:val="center"/>
                </w:tcPr>
                <w:p>
                  <w:pPr>
                    <w:jc w:val="center"/>
                    <w:rPr>
                      <w:color w:val="0D0D0D"/>
                      <w:kern w:val="24"/>
                      <w:szCs w:val="21"/>
                    </w:rPr>
                  </w:pPr>
                </w:p>
              </w:tc>
              <w:tc>
                <w:tcPr>
                  <w:tcW w:w="1488" w:type="pct"/>
                  <w:vAlign w:val="center"/>
                </w:tcPr>
                <w:p>
                  <w:pPr>
                    <w:jc w:val="center"/>
                    <w:rPr>
                      <w:rFonts w:hAnsi="宋体"/>
                      <w:kern w:val="24"/>
                      <w:szCs w:val="21"/>
                    </w:rPr>
                  </w:pPr>
                  <w:r>
                    <w:rPr>
                      <w:rFonts w:hint="eastAsia" w:hAnsi="宋体"/>
                      <w:kern w:val="24"/>
                      <w:szCs w:val="21"/>
                    </w:rPr>
                    <w:t>进入漆雾过滤棉</w:t>
                  </w:r>
                </w:p>
              </w:tc>
              <w:tc>
                <w:tcPr>
                  <w:tcW w:w="666" w:type="pct"/>
                  <w:vAlign w:val="center"/>
                </w:tcPr>
                <w:p>
                  <w:pPr>
                    <w:jc w:val="center"/>
                    <w:rPr>
                      <w:rFonts w:hAnsi="宋体"/>
                      <w:kern w:val="24"/>
                      <w:szCs w:val="21"/>
                    </w:rPr>
                  </w:pPr>
                  <w:r>
                    <w:rPr>
                      <w:rFonts w:hint="eastAsia" w:hAnsi="宋体"/>
                      <w:kern w:val="24"/>
                      <w:szCs w:val="21"/>
                    </w:rPr>
                    <w:t>0.29674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Merge w:val="continue"/>
                  <w:vAlign w:val="center"/>
                </w:tcPr>
                <w:p>
                  <w:pPr>
                    <w:jc w:val="center"/>
                    <w:rPr>
                      <w:rFonts w:hAnsi="宋体"/>
                      <w:kern w:val="24"/>
                      <w:szCs w:val="21"/>
                    </w:rPr>
                  </w:pPr>
                </w:p>
              </w:tc>
              <w:tc>
                <w:tcPr>
                  <w:tcW w:w="1125" w:type="pct"/>
                  <w:vMerge w:val="continue"/>
                  <w:vAlign w:val="center"/>
                </w:tcPr>
                <w:p>
                  <w:pPr>
                    <w:jc w:val="center"/>
                    <w:rPr>
                      <w:color w:val="0D0D0D"/>
                      <w:kern w:val="24"/>
                      <w:szCs w:val="21"/>
                    </w:rPr>
                  </w:pPr>
                </w:p>
              </w:tc>
              <w:tc>
                <w:tcPr>
                  <w:tcW w:w="1488" w:type="pct"/>
                  <w:vAlign w:val="center"/>
                </w:tcPr>
                <w:p>
                  <w:pPr>
                    <w:jc w:val="center"/>
                    <w:rPr>
                      <w:rFonts w:hAnsi="宋体"/>
                      <w:kern w:val="24"/>
                      <w:szCs w:val="21"/>
                    </w:rPr>
                  </w:pPr>
                  <w:r>
                    <w:rPr>
                      <w:rFonts w:hint="eastAsia" w:hAnsi="宋体"/>
                      <w:kern w:val="24"/>
                      <w:szCs w:val="21"/>
                    </w:rPr>
                    <w:t>无组织排放</w:t>
                  </w:r>
                </w:p>
              </w:tc>
              <w:tc>
                <w:tcPr>
                  <w:tcW w:w="666" w:type="pct"/>
                  <w:vAlign w:val="center"/>
                </w:tcPr>
                <w:p>
                  <w:pPr>
                    <w:jc w:val="center"/>
                    <w:rPr>
                      <w:rFonts w:hAnsi="宋体"/>
                      <w:kern w:val="24"/>
                      <w:szCs w:val="21"/>
                    </w:rPr>
                  </w:pPr>
                  <w:r>
                    <w:rPr>
                      <w:rFonts w:hint="eastAsia" w:hAnsi="宋体"/>
                      <w:kern w:val="24"/>
                      <w:szCs w:val="21"/>
                    </w:rPr>
                    <w:t>0.01644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Merge w:val="restart"/>
                  <w:vAlign w:val="center"/>
                </w:tcPr>
                <w:p>
                  <w:pPr>
                    <w:jc w:val="center"/>
                    <w:rPr>
                      <w:rFonts w:hAnsi="宋体"/>
                      <w:kern w:val="24"/>
                      <w:szCs w:val="21"/>
                    </w:rPr>
                  </w:pPr>
                  <w:r>
                    <w:rPr>
                      <w:rFonts w:hint="eastAsia" w:hAnsi="宋体"/>
                      <w:kern w:val="24"/>
                      <w:szCs w:val="21"/>
                    </w:rPr>
                    <w:t>挥发份</w:t>
                  </w:r>
                </w:p>
              </w:tc>
              <w:tc>
                <w:tcPr>
                  <w:tcW w:w="1125" w:type="pct"/>
                  <w:vMerge w:val="restart"/>
                  <w:vAlign w:val="center"/>
                </w:tcPr>
                <w:p>
                  <w:pPr>
                    <w:jc w:val="center"/>
                    <w:rPr>
                      <w:color w:val="0D0D0D"/>
                      <w:kern w:val="24"/>
                      <w:szCs w:val="21"/>
                    </w:rPr>
                  </w:pPr>
                  <w:r>
                    <w:rPr>
                      <w:rFonts w:hint="eastAsia"/>
                      <w:color w:val="0D0D0D"/>
                      <w:kern w:val="24"/>
                      <w:szCs w:val="21"/>
                    </w:rPr>
                    <w:t>0.184</w:t>
                  </w:r>
                </w:p>
              </w:tc>
              <w:tc>
                <w:tcPr>
                  <w:tcW w:w="1488" w:type="pct"/>
                  <w:vAlign w:val="center"/>
                </w:tcPr>
                <w:p>
                  <w:pPr>
                    <w:jc w:val="center"/>
                    <w:rPr>
                      <w:rFonts w:hAnsi="宋体"/>
                      <w:kern w:val="24"/>
                      <w:szCs w:val="21"/>
                    </w:rPr>
                  </w:pPr>
                  <w:r>
                    <w:rPr>
                      <w:rFonts w:hint="eastAsia" w:hAnsi="宋体"/>
                      <w:kern w:val="24"/>
                      <w:szCs w:val="21"/>
                    </w:rPr>
                    <w:t>过滤棉+活性炭+RCO处理装置</w:t>
                  </w:r>
                </w:p>
              </w:tc>
              <w:tc>
                <w:tcPr>
                  <w:tcW w:w="666" w:type="pct"/>
                  <w:vAlign w:val="center"/>
                </w:tcPr>
                <w:p>
                  <w:pPr>
                    <w:jc w:val="center"/>
                    <w:rPr>
                      <w:rFonts w:hAnsi="宋体"/>
                      <w:kern w:val="24"/>
                      <w:szCs w:val="21"/>
                    </w:rPr>
                  </w:pPr>
                  <w:r>
                    <w:rPr>
                      <w:rFonts w:hint="eastAsia" w:hAnsi="宋体"/>
                      <w:kern w:val="24"/>
                      <w:szCs w:val="21"/>
                    </w:rPr>
                    <w:t>0.02268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Merge w:val="continue"/>
                  <w:vAlign w:val="center"/>
                </w:tcPr>
                <w:p>
                  <w:pPr>
                    <w:jc w:val="center"/>
                    <w:rPr>
                      <w:rFonts w:hAnsi="宋体"/>
                      <w:kern w:val="24"/>
                      <w:szCs w:val="21"/>
                    </w:rPr>
                  </w:pPr>
                </w:p>
              </w:tc>
              <w:tc>
                <w:tcPr>
                  <w:tcW w:w="1125" w:type="pct"/>
                  <w:vMerge w:val="continue"/>
                  <w:vAlign w:val="center"/>
                </w:tcPr>
                <w:p>
                  <w:pPr>
                    <w:jc w:val="center"/>
                    <w:rPr>
                      <w:color w:val="0D0D0D"/>
                      <w:kern w:val="24"/>
                      <w:szCs w:val="21"/>
                    </w:rPr>
                  </w:pPr>
                </w:p>
              </w:tc>
              <w:tc>
                <w:tcPr>
                  <w:tcW w:w="1488" w:type="pct"/>
                  <w:vAlign w:val="center"/>
                </w:tcPr>
                <w:p>
                  <w:pPr>
                    <w:jc w:val="center"/>
                    <w:rPr>
                      <w:rFonts w:hAnsi="宋体"/>
                      <w:kern w:val="24"/>
                      <w:szCs w:val="21"/>
                    </w:rPr>
                  </w:pPr>
                  <w:r>
                    <w:rPr>
                      <w:rFonts w:hint="eastAsia" w:hAnsi="宋体"/>
                      <w:kern w:val="24"/>
                      <w:szCs w:val="21"/>
                    </w:rPr>
                    <w:t>有组织排放</w:t>
                  </w:r>
                </w:p>
              </w:tc>
              <w:tc>
                <w:tcPr>
                  <w:tcW w:w="666" w:type="pct"/>
                  <w:vAlign w:val="center"/>
                </w:tcPr>
                <w:p>
                  <w:pPr>
                    <w:jc w:val="center"/>
                    <w:rPr>
                      <w:rFonts w:hAnsi="宋体"/>
                      <w:kern w:val="24"/>
                      <w:szCs w:val="21"/>
                    </w:rPr>
                  </w:pPr>
                  <w:r>
                    <w:rPr>
                      <w:rFonts w:hint="eastAsia" w:hAnsi="宋体"/>
                      <w:kern w:val="24"/>
                      <w:szCs w:val="21"/>
                    </w:rPr>
                    <w:t>0.15212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Merge w:val="continue"/>
                  <w:vAlign w:val="center"/>
                </w:tcPr>
                <w:p>
                  <w:pPr>
                    <w:jc w:val="center"/>
                    <w:rPr>
                      <w:rFonts w:hAnsi="宋体"/>
                      <w:kern w:val="24"/>
                      <w:szCs w:val="21"/>
                    </w:rPr>
                  </w:pPr>
                </w:p>
              </w:tc>
              <w:tc>
                <w:tcPr>
                  <w:tcW w:w="1125" w:type="pct"/>
                  <w:vMerge w:val="continue"/>
                  <w:vAlign w:val="center"/>
                </w:tcPr>
                <w:p>
                  <w:pPr>
                    <w:jc w:val="center"/>
                    <w:rPr>
                      <w:color w:val="0D0D0D"/>
                      <w:kern w:val="24"/>
                      <w:szCs w:val="21"/>
                    </w:rPr>
                  </w:pPr>
                </w:p>
              </w:tc>
              <w:tc>
                <w:tcPr>
                  <w:tcW w:w="1488" w:type="pct"/>
                  <w:vAlign w:val="center"/>
                </w:tcPr>
                <w:p>
                  <w:pPr>
                    <w:jc w:val="center"/>
                    <w:rPr>
                      <w:rFonts w:hAnsi="宋体"/>
                      <w:kern w:val="24"/>
                      <w:szCs w:val="21"/>
                    </w:rPr>
                  </w:pPr>
                  <w:r>
                    <w:rPr>
                      <w:rFonts w:hint="eastAsia" w:hAnsi="宋体"/>
                      <w:kern w:val="24"/>
                      <w:szCs w:val="21"/>
                    </w:rPr>
                    <w:t>无组织排放</w:t>
                  </w:r>
                </w:p>
              </w:tc>
              <w:tc>
                <w:tcPr>
                  <w:tcW w:w="666" w:type="pct"/>
                  <w:vAlign w:val="center"/>
                </w:tcPr>
                <w:p>
                  <w:pPr>
                    <w:jc w:val="center"/>
                    <w:rPr>
                      <w:rFonts w:hAnsi="宋体"/>
                      <w:kern w:val="24"/>
                      <w:szCs w:val="21"/>
                    </w:rPr>
                  </w:pPr>
                  <w:r>
                    <w:rPr>
                      <w:rFonts w:hint="eastAsia" w:hAnsi="宋体"/>
                      <w:kern w:val="24"/>
                      <w:szCs w:val="21"/>
                    </w:rPr>
                    <w:t>0.0092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Align w:val="center"/>
                </w:tcPr>
                <w:p>
                  <w:pPr>
                    <w:jc w:val="center"/>
                    <w:rPr>
                      <w:rFonts w:hAnsi="宋体"/>
                      <w:kern w:val="24"/>
                      <w:szCs w:val="21"/>
                    </w:rPr>
                  </w:pPr>
                  <w:r>
                    <w:rPr>
                      <w:rFonts w:hint="eastAsia" w:hAnsi="宋体"/>
                      <w:kern w:val="24"/>
                      <w:szCs w:val="21"/>
                    </w:rPr>
                    <w:t>水份</w:t>
                  </w:r>
                </w:p>
              </w:tc>
              <w:tc>
                <w:tcPr>
                  <w:tcW w:w="1125" w:type="pct"/>
                  <w:vAlign w:val="center"/>
                </w:tcPr>
                <w:p>
                  <w:pPr>
                    <w:jc w:val="center"/>
                    <w:rPr>
                      <w:color w:val="0D0D0D"/>
                      <w:kern w:val="24"/>
                      <w:szCs w:val="21"/>
                    </w:rPr>
                  </w:pPr>
                  <w:r>
                    <w:rPr>
                      <w:rFonts w:hint="eastAsia"/>
                      <w:color w:val="0D0D0D"/>
                      <w:kern w:val="24"/>
                      <w:szCs w:val="21"/>
                    </w:rPr>
                    <w:t>0.32</w:t>
                  </w:r>
                </w:p>
              </w:tc>
              <w:tc>
                <w:tcPr>
                  <w:tcW w:w="1488" w:type="pct"/>
                  <w:vAlign w:val="center"/>
                </w:tcPr>
                <w:p>
                  <w:pPr>
                    <w:jc w:val="center"/>
                    <w:rPr>
                      <w:rFonts w:hAnsi="宋体"/>
                      <w:kern w:val="24"/>
                      <w:szCs w:val="21"/>
                    </w:rPr>
                  </w:pPr>
                  <w:r>
                    <w:rPr>
                      <w:rFonts w:hint="eastAsia" w:hAnsi="宋体"/>
                      <w:kern w:val="24"/>
                      <w:szCs w:val="21"/>
                    </w:rPr>
                    <w:t>全部挥发</w:t>
                  </w:r>
                </w:p>
              </w:tc>
              <w:tc>
                <w:tcPr>
                  <w:tcW w:w="666" w:type="pct"/>
                  <w:vAlign w:val="center"/>
                </w:tcPr>
                <w:p>
                  <w:pPr>
                    <w:jc w:val="center"/>
                    <w:rPr>
                      <w:rFonts w:hAnsi="宋体"/>
                      <w:kern w:val="24"/>
                      <w:szCs w:val="21"/>
                    </w:rPr>
                  </w:pPr>
                  <w:r>
                    <w:rPr>
                      <w:rFonts w:hint="eastAsia" w:hAnsi="宋体"/>
                      <w:kern w:val="24"/>
                      <w:szCs w:val="21"/>
                    </w:rPr>
                    <w:t>0.32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1720" w:type="pct"/>
                  <w:gridSpan w:val="2"/>
                  <w:vAlign w:val="center"/>
                </w:tcPr>
                <w:p>
                  <w:pPr>
                    <w:jc w:val="center"/>
                    <w:rPr>
                      <w:rFonts w:hAnsi="宋体"/>
                      <w:kern w:val="24"/>
                      <w:szCs w:val="21"/>
                    </w:rPr>
                  </w:pPr>
                  <w:r>
                    <w:rPr>
                      <w:rFonts w:hint="eastAsia" w:hAnsi="宋体"/>
                      <w:kern w:val="24"/>
                      <w:szCs w:val="21"/>
                    </w:rPr>
                    <w:t>合计</w:t>
                  </w:r>
                </w:p>
              </w:tc>
              <w:tc>
                <w:tcPr>
                  <w:tcW w:w="1125" w:type="pct"/>
                  <w:vAlign w:val="center"/>
                </w:tcPr>
                <w:p>
                  <w:pPr>
                    <w:jc w:val="center"/>
                    <w:rPr>
                      <w:color w:val="0D0D0D"/>
                      <w:kern w:val="24"/>
                      <w:szCs w:val="21"/>
                    </w:rPr>
                  </w:pPr>
                  <w:r>
                    <w:rPr>
                      <w:rFonts w:hint="eastAsia"/>
                      <w:color w:val="0D0D0D"/>
                      <w:kern w:val="24"/>
                      <w:szCs w:val="21"/>
                    </w:rPr>
                    <w:t>1.6</w:t>
                  </w:r>
                </w:p>
              </w:tc>
              <w:tc>
                <w:tcPr>
                  <w:tcW w:w="1488" w:type="pct"/>
                  <w:vAlign w:val="center"/>
                </w:tcPr>
                <w:p>
                  <w:pPr>
                    <w:jc w:val="center"/>
                    <w:rPr>
                      <w:rFonts w:hAnsi="宋体"/>
                      <w:kern w:val="24"/>
                      <w:szCs w:val="21"/>
                    </w:rPr>
                  </w:pPr>
                  <w:r>
                    <w:rPr>
                      <w:rFonts w:hint="eastAsia" w:hAnsi="宋体"/>
                      <w:kern w:val="24"/>
                      <w:szCs w:val="21"/>
                    </w:rPr>
                    <w:t>/</w:t>
                  </w:r>
                </w:p>
              </w:tc>
              <w:tc>
                <w:tcPr>
                  <w:tcW w:w="666" w:type="pct"/>
                  <w:vAlign w:val="center"/>
                </w:tcPr>
                <w:p>
                  <w:pPr>
                    <w:jc w:val="center"/>
                    <w:rPr>
                      <w:rFonts w:hAnsi="宋体"/>
                      <w:kern w:val="24"/>
                      <w:szCs w:val="21"/>
                    </w:rPr>
                  </w:pPr>
                  <w:r>
                    <w:rPr>
                      <w:rFonts w:hint="eastAsia" w:hAnsi="宋体"/>
                      <w:kern w:val="24"/>
                      <w:szCs w:val="21"/>
                    </w:rPr>
                    <w:t>1.6</w:t>
                  </w:r>
                </w:p>
              </w:tc>
            </w:tr>
          </w:tbl>
          <w:p>
            <w:pPr>
              <w:rPr>
                <w:rFonts w:asciiTheme="minorEastAsia" w:hAnsiTheme="minorEastAsia" w:eastAsiaTheme="minorEastAsia"/>
                <w:i/>
                <w:color w:val="000000"/>
              </w:rPr>
            </w:pPr>
          </w:p>
          <w:p>
            <w:pPr>
              <w:rPr>
                <w:rFonts w:asciiTheme="minorEastAsia" w:hAnsiTheme="minorEastAsia" w:eastAsiaTheme="minorEastAsia"/>
                <w:i/>
                <w:color w:val="000000"/>
              </w:rPr>
            </w:pPr>
            <w:r>
              <w:rPr>
                <w:rFonts w:hint="eastAsia" w:asciiTheme="minorEastAsia" w:hAnsiTheme="minorEastAsia" w:eastAsiaTheme="minorEastAsia"/>
                <w:i/>
                <w:color w:val="000000"/>
              </w:rPr>
              <w:drawing>
                <wp:inline distT="0" distB="0" distL="114300" distR="114300">
                  <wp:extent cx="5362575" cy="2741295"/>
                  <wp:effectExtent l="0" t="0" r="9525" b="1905"/>
                  <wp:docPr id="1" name="图片 1" descr="16424724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42472468(1)"/>
                          <pic:cNvPicPr>
                            <a:picLocks noChangeAspect="1"/>
                          </pic:cNvPicPr>
                        </pic:nvPicPr>
                        <pic:blipFill>
                          <a:blip r:embed="rId12"/>
                          <a:stretch>
                            <a:fillRect/>
                          </a:stretch>
                        </pic:blipFill>
                        <pic:spPr>
                          <a:xfrm>
                            <a:off x="0" y="0"/>
                            <a:ext cx="5362575" cy="2741295"/>
                          </a:xfrm>
                          <a:prstGeom prst="rect">
                            <a:avLst/>
                          </a:prstGeom>
                        </pic:spPr>
                      </pic:pic>
                    </a:graphicData>
                  </a:graphic>
                </wp:inline>
              </w:drawing>
            </w:r>
          </w:p>
          <w:p>
            <w:pPr>
              <w:rPr>
                <w:rFonts w:asciiTheme="minorEastAsia" w:hAnsiTheme="minorEastAsia" w:eastAsiaTheme="minorEastAsia"/>
                <w:i/>
                <w:color w:val="000000"/>
              </w:rPr>
            </w:pPr>
          </w:p>
          <w:p>
            <w:pPr>
              <w:rPr>
                <w:rFonts w:cs="宋体" w:asciiTheme="minorEastAsia" w:hAnsiTheme="minorEastAsia" w:eastAsiaTheme="minorEastAsia"/>
                <w:b/>
                <w:sz w:val="24"/>
              </w:rPr>
            </w:pPr>
          </w:p>
          <w:p>
            <w:pPr>
              <w:tabs>
                <w:tab w:val="left" w:pos="5040"/>
              </w:tabs>
              <w:jc w:val="center"/>
              <w:rPr>
                <w:b/>
                <w:color w:val="000000"/>
                <w:sz w:val="24"/>
              </w:rPr>
            </w:pPr>
            <w:r>
              <w:rPr>
                <w:b/>
                <w:sz w:val="24"/>
              </w:rPr>
              <w:t>图</w:t>
            </w:r>
            <w:r>
              <w:rPr>
                <w:rFonts w:hint="eastAsia"/>
                <w:b/>
                <w:sz w:val="24"/>
              </w:rPr>
              <w:t>2</w:t>
            </w:r>
            <w:r>
              <w:rPr>
                <w:b/>
                <w:sz w:val="24"/>
              </w:rPr>
              <w:t>-</w:t>
            </w:r>
            <w:r>
              <w:rPr>
                <w:rFonts w:hint="eastAsia"/>
                <w:b/>
                <w:sz w:val="24"/>
              </w:rPr>
              <w:t>5</w:t>
            </w:r>
            <w:r>
              <w:rPr>
                <w:b/>
                <w:sz w:val="24"/>
              </w:rPr>
              <w:t xml:space="preserve"> </w:t>
            </w:r>
            <w:r>
              <w:rPr>
                <w:rFonts w:hint="eastAsia"/>
                <w:b/>
                <w:color w:val="000000"/>
                <w:sz w:val="24"/>
              </w:rPr>
              <w:t>水性丙烯酸防锈底漆漆料平衡图</w:t>
            </w:r>
          </w:p>
          <w:p>
            <w:pPr>
              <w:tabs>
                <w:tab w:val="left" w:pos="5040"/>
              </w:tabs>
              <w:rPr>
                <w:rFonts w:cs="宋体" w:asciiTheme="minorEastAsia" w:hAnsiTheme="minorEastAsia" w:eastAsiaTheme="minorEastAsia"/>
                <w:sz w:val="24"/>
              </w:rPr>
            </w:pPr>
          </w:p>
          <w:p>
            <w:pPr>
              <w:tabs>
                <w:tab w:val="left" w:pos="5040"/>
              </w:tabs>
              <w:rPr>
                <w:rFonts w:cs="宋体" w:asciiTheme="minorEastAsia" w:hAnsiTheme="minorEastAsia" w:eastAsiaTheme="minorEastAsia"/>
                <w:sz w:val="24"/>
              </w:rPr>
            </w:pPr>
          </w:p>
          <w:p>
            <w:pPr>
              <w:tabs>
                <w:tab w:val="left" w:pos="5040"/>
              </w:tabs>
              <w:rPr>
                <w:rFonts w:cs="宋体" w:asciiTheme="minorEastAsia" w:hAnsiTheme="minorEastAsia" w:eastAsiaTheme="minorEastAsia"/>
                <w:sz w:val="24"/>
              </w:rPr>
            </w:pPr>
          </w:p>
          <w:p>
            <w:pPr>
              <w:tabs>
                <w:tab w:val="left" w:pos="5040"/>
              </w:tabs>
              <w:rPr>
                <w:rFonts w:cs="宋体" w:asciiTheme="minorEastAsia" w:hAnsiTheme="minorEastAsia" w:eastAsiaTheme="minorEastAsia"/>
                <w:sz w:val="24"/>
              </w:rPr>
            </w:pPr>
          </w:p>
          <w:p>
            <w:pPr>
              <w:tabs>
                <w:tab w:val="left" w:pos="5040"/>
              </w:tabs>
              <w:rPr>
                <w:rFonts w:cs="宋体" w:asciiTheme="minorEastAsia" w:hAnsiTheme="minorEastAsia" w:eastAsiaTheme="minorEastAsia"/>
                <w:sz w:val="24"/>
              </w:rPr>
            </w:pPr>
          </w:p>
          <w:p>
            <w:pPr>
              <w:tabs>
                <w:tab w:val="left" w:pos="5040"/>
              </w:tabs>
              <w:rPr>
                <w:rFonts w:cs="宋体" w:asciiTheme="minorEastAsia" w:hAnsiTheme="minorEastAsia" w:eastAsiaTheme="minorEastAsia"/>
                <w:sz w:val="24"/>
              </w:rPr>
            </w:pPr>
          </w:p>
          <w:p>
            <w:pPr>
              <w:tabs>
                <w:tab w:val="left" w:pos="5040"/>
              </w:tabs>
              <w:rPr>
                <w:rFonts w:cs="宋体" w:asciiTheme="minorEastAsia" w:hAnsiTheme="minorEastAsia" w:eastAsiaTheme="minorEastAsia"/>
                <w:sz w:val="24"/>
              </w:rPr>
            </w:pPr>
          </w:p>
          <w:p>
            <w:pPr>
              <w:tabs>
                <w:tab w:val="left" w:pos="5040"/>
              </w:tabs>
              <w:rPr>
                <w:rFonts w:cs="宋体" w:asciiTheme="minorEastAsia" w:hAnsiTheme="minorEastAsia" w:eastAsiaTheme="minorEastAsia"/>
                <w:sz w:val="24"/>
              </w:rPr>
            </w:pPr>
          </w:p>
          <w:p>
            <w:pPr>
              <w:autoSpaceDE w:val="0"/>
              <w:autoSpaceDN w:val="0"/>
              <w:adjustRightInd w:val="0"/>
              <w:snapToGrid w:val="0"/>
              <w:spacing w:before="120" w:beforeLines="50" w:line="360" w:lineRule="auto"/>
              <w:ind w:firstLine="480" w:firstLineChars="200"/>
              <w:jc w:val="left"/>
              <w:rPr>
                <w:color w:val="000000"/>
                <w:sz w:val="24"/>
              </w:rPr>
            </w:pPr>
            <w:r>
              <w:rPr>
                <w:color w:val="000000"/>
                <w:sz w:val="24"/>
              </w:rPr>
              <w:t>（</w:t>
            </w:r>
            <w:r>
              <w:rPr>
                <w:rFonts w:hint="eastAsia"/>
                <w:color w:val="000000"/>
                <w:sz w:val="24"/>
              </w:rPr>
              <w:t>5</w:t>
            </w:r>
            <w:r>
              <w:rPr>
                <w:color w:val="000000"/>
                <w:sz w:val="24"/>
              </w:rPr>
              <w:t>）</w:t>
            </w:r>
            <w:r>
              <w:rPr>
                <w:rFonts w:hint="eastAsia"/>
                <w:color w:val="000000"/>
                <w:sz w:val="24"/>
              </w:rPr>
              <w:t>水性丙烯酸防锈面漆</w:t>
            </w:r>
            <w:r>
              <w:rPr>
                <w:color w:val="000000"/>
                <w:sz w:val="24"/>
              </w:rPr>
              <w:t>漆料平衡</w:t>
            </w:r>
          </w:p>
          <w:p>
            <w:pPr>
              <w:autoSpaceDE w:val="0"/>
              <w:autoSpaceDN w:val="0"/>
              <w:adjustRightInd w:val="0"/>
              <w:snapToGrid w:val="0"/>
              <w:spacing w:line="360" w:lineRule="auto"/>
              <w:ind w:firstLine="480" w:firstLineChars="200"/>
              <w:jc w:val="left"/>
              <w:rPr>
                <w:color w:val="000000"/>
                <w:sz w:val="24"/>
              </w:rPr>
            </w:pPr>
            <w:r>
              <w:rPr>
                <w:color w:val="000000"/>
                <w:sz w:val="24"/>
              </w:rPr>
              <w:t>本项目</w:t>
            </w:r>
            <w:r>
              <w:rPr>
                <w:rFonts w:hint="eastAsia"/>
                <w:color w:val="000000"/>
                <w:sz w:val="24"/>
              </w:rPr>
              <w:t>水性丙烯酸防锈面漆</w:t>
            </w:r>
            <w:r>
              <w:rPr>
                <w:color w:val="000000"/>
                <w:sz w:val="24"/>
              </w:rPr>
              <w:t>投入产出情况见表</w:t>
            </w:r>
            <w:r>
              <w:rPr>
                <w:rFonts w:hint="eastAsia"/>
                <w:color w:val="000000"/>
                <w:sz w:val="24"/>
              </w:rPr>
              <w:t>2-1</w:t>
            </w:r>
            <w:r>
              <w:rPr>
                <w:rFonts w:hint="eastAsia"/>
                <w:color w:val="000000"/>
                <w:sz w:val="24"/>
                <w:lang w:val="en-US" w:eastAsia="zh-CN"/>
              </w:rPr>
              <w:t>7</w:t>
            </w:r>
            <w:r>
              <w:rPr>
                <w:color w:val="000000"/>
                <w:sz w:val="24"/>
              </w:rPr>
              <w:t>及图</w:t>
            </w:r>
            <w:r>
              <w:rPr>
                <w:rFonts w:hint="eastAsia"/>
                <w:color w:val="000000"/>
                <w:sz w:val="24"/>
              </w:rPr>
              <w:t>2-6</w:t>
            </w:r>
            <w:r>
              <w:rPr>
                <w:color w:val="000000"/>
                <w:sz w:val="24"/>
              </w:rPr>
              <w:t>。</w:t>
            </w:r>
          </w:p>
          <w:p>
            <w:pPr>
              <w:jc w:val="center"/>
              <w:rPr>
                <w:b/>
                <w:color w:val="000000"/>
                <w:sz w:val="24"/>
              </w:rPr>
            </w:pPr>
            <w:r>
              <w:rPr>
                <w:b/>
                <w:sz w:val="24"/>
              </w:rPr>
              <w:t>表</w:t>
            </w:r>
            <w:r>
              <w:rPr>
                <w:rFonts w:hint="eastAsia"/>
                <w:b/>
                <w:sz w:val="24"/>
              </w:rPr>
              <w:t>2</w:t>
            </w:r>
            <w:r>
              <w:rPr>
                <w:b/>
                <w:sz w:val="24"/>
              </w:rPr>
              <w:t>-</w:t>
            </w:r>
            <w:r>
              <w:rPr>
                <w:rFonts w:hint="eastAsia"/>
                <w:b/>
                <w:sz w:val="24"/>
              </w:rPr>
              <w:t>15</w:t>
            </w:r>
            <w:r>
              <w:rPr>
                <w:b/>
                <w:sz w:val="24"/>
              </w:rPr>
              <w:t xml:space="preserve">  </w:t>
            </w:r>
            <w:r>
              <w:rPr>
                <w:b/>
                <w:color w:val="000000"/>
                <w:sz w:val="24"/>
              </w:rPr>
              <w:t>本项目</w:t>
            </w:r>
            <w:r>
              <w:rPr>
                <w:rFonts w:hint="eastAsia"/>
                <w:b/>
                <w:color w:val="000000"/>
                <w:sz w:val="24"/>
              </w:rPr>
              <w:t>水性丙烯酸防锈面漆漆料平衡一览表 单位：t/a</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353"/>
              <w:gridCol w:w="1556"/>
              <w:gridCol w:w="1902"/>
              <w:gridCol w:w="2516"/>
              <w:gridCol w:w="112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2845" w:type="pct"/>
                  <w:gridSpan w:val="3"/>
                  <w:vAlign w:val="center"/>
                </w:tcPr>
                <w:p>
                  <w:pPr>
                    <w:widowControl/>
                    <w:spacing w:line="240" w:lineRule="exact"/>
                    <w:ind w:left="-105" w:leftChars="-50" w:right="-105" w:rightChars="-50"/>
                    <w:jc w:val="center"/>
                    <w:rPr>
                      <w:b/>
                      <w:color w:val="000000"/>
                      <w:kern w:val="0"/>
                      <w:szCs w:val="21"/>
                    </w:rPr>
                  </w:pPr>
                  <w:r>
                    <w:rPr>
                      <w:rFonts w:hint="eastAsia"/>
                      <w:b/>
                      <w:color w:val="000000"/>
                      <w:kern w:val="0"/>
                      <w:szCs w:val="21"/>
                    </w:rPr>
                    <w:t>投入</w:t>
                  </w:r>
                </w:p>
              </w:tc>
              <w:tc>
                <w:tcPr>
                  <w:tcW w:w="2154" w:type="pct"/>
                  <w:gridSpan w:val="2"/>
                  <w:vAlign w:val="center"/>
                </w:tcPr>
                <w:p>
                  <w:pPr>
                    <w:widowControl/>
                    <w:spacing w:line="240" w:lineRule="exact"/>
                    <w:ind w:left="-105" w:leftChars="-50" w:right="-105" w:rightChars="-50"/>
                    <w:jc w:val="center"/>
                    <w:rPr>
                      <w:b/>
                      <w:color w:val="000000"/>
                      <w:kern w:val="0"/>
                      <w:szCs w:val="21"/>
                    </w:rPr>
                  </w:pPr>
                  <w:r>
                    <w:rPr>
                      <w:b/>
                      <w:color w:val="000000"/>
                      <w:kern w:val="0"/>
                      <w:szCs w:val="21"/>
                    </w:rPr>
                    <w:t>产出</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restart"/>
                  <w:vAlign w:val="center"/>
                </w:tcPr>
                <w:p>
                  <w:pPr>
                    <w:widowControl/>
                    <w:spacing w:line="260" w:lineRule="exact"/>
                    <w:ind w:left="-105" w:leftChars="-50" w:right="-105" w:rightChars="-50"/>
                    <w:jc w:val="center"/>
                    <w:rPr>
                      <w:color w:val="000000"/>
                      <w:kern w:val="0"/>
                      <w:szCs w:val="21"/>
                    </w:rPr>
                  </w:pPr>
                  <w:r>
                    <w:rPr>
                      <w:rFonts w:hint="eastAsia"/>
                      <w:kern w:val="0"/>
                      <w:szCs w:val="21"/>
                    </w:rPr>
                    <w:t>水性丙烯酸防锈面漆</w:t>
                  </w:r>
                </w:p>
              </w:tc>
              <w:tc>
                <w:tcPr>
                  <w:tcW w:w="919" w:type="pct"/>
                  <w:vMerge w:val="restart"/>
                  <w:vAlign w:val="center"/>
                </w:tcPr>
                <w:p>
                  <w:pPr>
                    <w:jc w:val="center"/>
                    <w:rPr>
                      <w:rFonts w:hAnsi="宋体"/>
                      <w:kern w:val="24"/>
                      <w:szCs w:val="21"/>
                    </w:rPr>
                  </w:pPr>
                  <w:r>
                    <w:rPr>
                      <w:rFonts w:hAnsi="宋体"/>
                      <w:kern w:val="24"/>
                      <w:szCs w:val="21"/>
                    </w:rPr>
                    <w:t>固份</w:t>
                  </w:r>
                </w:p>
              </w:tc>
              <w:tc>
                <w:tcPr>
                  <w:tcW w:w="1125" w:type="pct"/>
                  <w:vMerge w:val="restart"/>
                  <w:vAlign w:val="center"/>
                </w:tcPr>
                <w:p>
                  <w:pPr>
                    <w:jc w:val="center"/>
                    <w:rPr>
                      <w:color w:val="0D0D0D"/>
                      <w:kern w:val="24"/>
                      <w:szCs w:val="21"/>
                    </w:rPr>
                  </w:pPr>
                  <w:r>
                    <w:rPr>
                      <w:rFonts w:hint="eastAsia"/>
                      <w:color w:val="0D0D0D"/>
                      <w:kern w:val="24"/>
                      <w:szCs w:val="21"/>
                    </w:rPr>
                    <w:t>1.096</w:t>
                  </w:r>
                </w:p>
              </w:tc>
              <w:tc>
                <w:tcPr>
                  <w:tcW w:w="1488" w:type="pct"/>
                  <w:vAlign w:val="center"/>
                </w:tcPr>
                <w:p>
                  <w:pPr>
                    <w:jc w:val="center"/>
                    <w:rPr>
                      <w:rFonts w:hAnsi="宋体"/>
                      <w:kern w:val="24"/>
                      <w:szCs w:val="21"/>
                    </w:rPr>
                  </w:pPr>
                  <w:r>
                    <w:rPr>
                      <w:rFonts w:hint="eastAsia" w:hAnsi="宋体"/>
                      <w:kern w:val="24"/>
                      <w:szCs w:val="21"/>
                    </w:rPr>
                    <w:t>工件附着</w:t>
                  </w:r>
                </w:p>
              </w:tc>
              <w:tc>
                <w:tcPr>
                  <w:tcW w:w="666" w:type="pct"/>
                  <w:vAlign w:val="center"/>
                </w:tcPr>
                <w:p>
                  <w:pPr>
                    <w:jc w:val="center"/>
                    <w:rPr>
                      <w:rFonts w:hAnsi="宋体"/>
                      <w:kern w:val="24"/>
                      <w:szCs w:val="21"/>
                    </w:rPr>
                  </w:pPr>
                  <w:r>
                    <w:rPr>
                      <w:rFonts w:hint="eastAsia" w:hAnsi="宋体"/>
                      <w:kern w:val="24"/>
                      <w:szCs w:val="21"/>
                    </w:rPr>
                    <w:t>0.7672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Merge w:val="continue"/>
                  <w:vAlign w:val="center"/>
                </w:tcPr>
                <w:p>
                  <w:pPr>
                    <w:jc w:val="center"/>
                    <w:rPr>
                      <w:rFonts w:hAnsi="宋体"/>
                      <w:kern w:val="24"/>
                      <w:szCs w:val="21"/>
                    </w:rPr>
                  </w:pPr>
                </w:p>
              </w:tc>
              <w:tc>
                <w:tcPr>
                  <w:tcW w:w="1125" w:type="pct"/>
                  <w:vMerge w:val="continue"/>
                  <w:vAlign w:val="center"/>
                </w:tcPr>
                <w:p>
                  <w:pPr>
                    <w:jc w:val="center"/>
                    <w:rPr>
                      <w:color w:val="0D0D0D"/>
                      <w:kern w:val="24"/>
                      <w:szCs w:val="21"/>
                    </w:rPr>
                  </w:pPr>
                </w:p>
              </w:tc>
              <w:tc>
                <w:tcPr>
                  <w:tcW w:w="1488" w:type="pct"/>
                  <w:vAlign w:val="center"/>
                </w:tcPr>
                <w:p>
                  <w:pPr>
                    <w:jc w:val="center"/>
                    <w:rPr>
                      <w:rFonts w:hAnsi="宋体"/>
                      <w:kern w:val="24"/>
                      <w:szCs w:val="21"/>
                    </w:rPr>
                  </w:pPr>
                  <w:r>
                    <w:rPr>
                      <w:rFonts w:hint="eastAsia" w:hAnsi="宋体"/>
                      <w:kern w:val="24"/>
                      <w:szCs w:val="21"/>
                    </w:rPr>
                    <w:t>有组织排放</w:t>
                  </w:r>
                </w:p>
              </w:tc>
              <w:tc>
                <w:tcPr>
                  <w:tcW w:w="666" w:type="pct"/>
                  <w:vAlign w:val="center"/>
                </w:tcPr>
                <w:p>
                  <w:pPr>
                    <w:jc w:val="center"/>
                    <w:rPr>
                      <w:rFonts w:hAnsi="宋体"/>
                      <w:kern w:val="24"/>
                      <w:szCs w:val="21"/>
                    </w:rPr>
                  </w:pPr>
                  <w:r>
                    <w:rPr>
                      <w:rFonts w:hint="eastAsia" w:hAnsi="宋体"/>
                      <w:kern w:val="24"/>
                      <w:szCs w:val="21"/>
                    </w:rPr>
                    <w:t>0.01562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Merge w:val="continue"/>
                  <w:vAlign w:val="center"/>
                </w:tcPr>
                <w:p>
                  <w:pPr>
                    <w:jc w:val="center"/>
                    <w:rPr>
                      <w:rFonts w:hAnsi="宋体"/>
                      <w:kern w:val="24"/>
                      <w:szCs w:val="21"/>
                    </w:rPr>
                  </w:pPr>
                </w:p>
              </w:tc>
              <w:tc>
                <w:tcPr>
                  <w:tcW w:w="1125" w:type="pct"/>
                  <w:vMerge w:val="continue"/>
                  <w:vAlign w:val="center"/>
                </w:tcPr>
                <w:p>
                  <w:pPr>
                    <w:jc w:val="center"/>
                    <w:rPr>
                      <w:color w:val="0D0D0D"/>
                      <w:kern w:val="24"/>
                      <w:szCs w:val="21"/>
                    </w:rPr>
                  </w:pPr>
                </w:p>
              </w:tc>
              <w:tc>
                <w:tcPr>
                  <w:tcW w:w="1488" w:type="pct"/>
                  <w:vAlign w:val="center"/>
                </w:tcPr>
                <w:p>
                  <w:pPr>
                    <w:jc w:val="center"/>
                    <w:rPr>
                      <w:rFonts w:hAnsi="宋体"/>
                      <w:kern w:val="24"/>
                      <w:szCs w:val="21"/>
                    </w:rPr>
                  </w:pPr>
                  <w:r>
                    <w:rPr>
                      <w:rFonts w:hint="eastAsia" w:hAnsi="宋体"/>
                      <w:kern w:val="24"/>
                      <w:szCs w:val="21"/>
                    </w:rPr>
                    <w:t>进入漆雾过滤棉</w:t>
                  </w:r>
                </w:p>
              </w:tc>
              <w:tc>
                <w:tcPr>
                  <w:tcW w:w="666" w:type="pct"/>
                  <w:vAlign w:val="center"/>
                </w:tcPr>
                <w:p>
                  <w:pPr>
                    <w:jc w:val="center"/>
                    <w:rPr>
                      <w:rFonts w:hAnsi="宋体"/>
                      <w:kern w:val="24"/>
                      <w:szCs w:val="21"/>
                    </w:rPr>
                  </w:pPr>
                  <w:r>
                    <w:rPr>
                      <w:rFonts w:hint="eastAsia" w:hAnsi="宋体"/>
                      <w:kern w:val="24"/>
                      <w:szCs w:val="21"/>
                    </w:rPr>
                    <w:t>0.29674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Merge w:val="continue"/>
                  <w:vAlign w:val="center"/>
                </w:tcPr>
                <w:p>
                  <w:pPr>
                    <w:jc w:val="center"/>
                    <w:rPr>
                      <w:rFonts w:hAnsi="宋体"/>
                      <w:kern w:val="24"/>
                      <w:szCs w:val="21"/>
                    </w:rPr>
                  </w:pPr>
                </w:p>
              </w:tc>
              <w:tc>
                <w:tcPr>
                  <w:tcW w:w="1125" w:type="pct"/>
                  <w:vMerge w:val="continue"/>
                  <w:vAlign w:val="center"/>
                </w:tcPr>
                <w:p>
                  <w:pPr>
                    <w:jc w:val="center"/>
                    <w:rPr>
                      <w:color w:val="0D0D0D"/>
                      <w:kern w:val="24"/>
                      <w:szCs w:val="21"/>
                    </w:rPr>
                  </w:pPr>
                </w:p>
              </w:tc>
              <w:tc>
                <w:tcPr>
                  <w:tcW w:w="1488" w:type="pct"/>
                  <w:vAlign w:val="center"/>
                </w:tcPr>
                <w:p>
                  <w:pPr>
                    <w:jc w:val="center"/>
                    <w:rPr>
                      <w:rFonts w:hAnsi="宋体"/>
                      <w:kern w:val="24"/>
                      <w:szCs w:val="21"/>
                    </w:rPr>
                  </w:pPr>
                  <w:r>
                    <w:rPr>
                      <w:rFonts w:hint="eastAsia" w:hAnsi="宋体"/>
                      <w:kern w:val="24"/>
                      <w:szCs w:val="21"/>
                    </w:rPr>
                    <w:t>无组织排放</w:t>
                  </w:r>
                </w:p>
              </w:tc>
              <w:tc>
                <w:tcPr>
                  <w:tcW w:w="666" w:type="pct"/>
                  <w:vAlign w:val="center"/>
                </w:tcPr>
                <w:p>
                  <w:pPr>
                    <w:jc w:val="center"/>
                    <w:rPr>
                      <w:rFonts w:hAnsi="宋体"/>
                      <w:kern w:val="24"/>
                      <w:szCs w:val="21"/>
                    </w:rPr>
                  </w:pPr>
                  <w:r>
                    <w:rPr>
                      <w:rFonts w:hint="eastAsia" w:hAnsi="宋体"/>
                      <w:kern w:val="24"/>
                      <w:szCs w:val="21"/>
                    </w:rPr>
                    <w:t>0.01644</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Merge w:val="restart"/>
                  <w:vAlign w:val="center"/>
                </w:tcPr>
                <w:p>
                  <w:pPr>
                    <w:jc w:val="center"/>
                    <w:rPr>
                      <w:rFonts w:hAnsi="宋体"/>
                      <w:kern w:val="24"/>
                      <w:szCs w:val="21"/>
                    </w:rPr>
                  </w:pPr>
                  <w:r>
                    <w:rPr>
                      <w:rFonts w:hint="eastAsia" w:hAnsi="宋体"/>
                      <w:kern w:val="24"/>
                      <w:szCs w:val="21"/>
                    </w:rPr>
                    <w:t>挥发份</w:t>
                  </w:r>
                </w:p>
              </w:tc>
              <w:tc>
                <w:tcPr>
                  <w:tcW w:w="1125" w:type="pct"/>
                  <w:vMerge w:val="restart"/>
                  <w:vAlign w:val="center"/>
                </w:tcPr>
                <w:p>
                  <w:pPr>
                    <w:jc w:val="center"/>
                    <w:rPr>
                      <w:color w:val="0D0D0D"/>
                      <w:kern w:val="24"/>
                      <w:szCs w:val="21"/>
                    </w:rPr>
                  </w:pPr>
                  <w:r>
                    <w:rPr>
                      <w:rFonts w:hint="eastAsia"/>
                      <w:color w:val="0D0D0D"/>
                      <w:kern w:val="24"/>
                      <w:szCs w:val="21"/>
                    </w:rPr>
                    <w:t>0.184</w:t>
                  </w:r>
                </w:p>
              </w:tc>
              <w:tc>
                <w:tcPr>
                  <w:tcW w:w="1488" w:type="pct"/>
                  <w:vAlign w:val="center"/>
                </w:tcPr>
                <w:p>
                  <w:pPr>
                    <w:jc w:val="center"/>
                    <w:rPr>
                      <w:rFonts w:hAnsi="宋体"/>
                      <w:kern w:val="24"/>
                      <w:szCs w:val="21"/>
                    </w:rPr>
                  </w:pPr>
                  <w:r>
                    <w:rPr>
                      <w:rFonts w:hint="eastAsia" w:hAnsi="宋体"/>
                      <w:kern w:val="24"/>
                      <w:szCs w:val="21"/>
                    </w:rPr>
                    <w:t>过滤棉+活性炭+RCO处理装置</w:t>
                  </w:r>
                </w:p>
              </w:tc>
              <w:tc>
                <w:tcPr>
                  <w:tcW w:w="666" w:type="pct"/>
                  <w:vAlign w:val="center"/>
                </w:tcPr>
                <w:p>
                  <w:pPr>
                    <w:jc w:val="center"/>
                    <w:rPr>
                      <w:rFonts w:hAnsi="宋体"/>
                      <w:kern w:val="24"/>
                      <w:szCs w:val="21"/>
                    </w:rPr>
                  </w:pPr>
                  <w:r>
                    <w:rPr>
                      <w:rFonts w:hint="eastAsia" w:hAnsi="宋体"/>
                      <w:kern w:val="24"/>
                      <w:szCs w:val="21"/>
                    </w:rPr>
                    <w:t>0.02268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Merge w:val="continue"/>
                  <w:vAlign w:val="center"/>
                </w:tcPr>
                <w:p>
                  <w:pPr>
                    <w:jc w:val="center"/>
                    <w:rPr>
                      <w:rFonts w:hAnsi="宋体"/>
                      <w:kern w:val="24"/>
                      <w:szCs w:val="21"/>
                    </w:rPr>
                  </w:pPr>
                </w:p>
              </w:tc>
              <w:tc>
                <w:tcPr>
                  <w:tcW w:w="1125" w:type="pct"/>
                  <w:vMerge w:val="continue"/>
                  <w:vAlign w:val="center"/>
                </w:tcPr>
                <w:p>
                  <w:pPr>
                    <w:jc w:val="center"/>
                    <w:rPr>
                      <w:color w:val="0D0D0D"/>
                      <w:kern w:val="24"/>
                      <w:szCs w:val="21"/>
                    </w:rPr>
                  </w:pPr>
                </w:p>
              </w:tc>
              <w:tc>
                <w:tcPr>
                  <w:tcW w:w="1488" w:type="pct"/>
                  <w:vAlign w:val="center"/>
                </w:tcPr>
                <w:p>
                  <w:pPr>
                    <w:jc w:val="center"/>
                    <w:rPr>
                      <w:rFonts w:hAnsi="宋体"/>
                      <w:kern w:val="24"/>
                      <w:szCs w:val="21"/>
                    </w:rPr>
                  </w:pPr>
                  <w:r>
                    <w:rPr>
                      <w:rFonts w:hint="eastAsia" w:hAnsi="宋体"/>
                      <w:kern w:val="24"/>
                      <w:szCs w:val="21"/>
                    </w:rPr>
                    <w:t>有组织排放</w:t>
                  </w:r>
                </w:p>
              </w:tc>
              <w:tc>
                <w:tcPr>
                  <w:tcW w:w="666" w:type="pct"/>
                  <w:vAlign w:val="center"/>
                </w:tcPr>
                <w:p>
                  <w:pPr>
                    <w:jc w:val="center"/>
                    <w:rPr>
                      <w:rFonts w:hAnsi="宋体"/>
                      <w:kern w:val="24"/>
                      <w:szCs w:val="21"/>
                    </w:rPr>
                  </w:pPr>
                  <w:r>
                    <w:rPr>
                      <w:rFonts w:hint="eastAsia" w:hAnsi="宋体"/>
                      <w:kern w:val="24"/>
                      <w:szCs w:val="21"/>
                    </w:rPr>
                    <w:t>0.15212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Merge w:val="continue"/>
                  <w:vAlign w:val="center"/>
                </w:tcPr>
                <w:p>
                  <w:pPr>
                    <w:jc w:val="center"/>
                    <w:rPr>
                      <w:rFonts w:hAnsi="宋体"/>
                      <w:kern w:val="24"/>
                      <w:szCs w:val="21"/>
                    </w:rPr>
                  </w:pPr>
                </w:p>
              </w:tc>
              <w:tc>
                <w:tcPr>
                  <w:tcW w:w="1125" w:type="pct"/>
                  <w:vMerge w:val="continue"/>
                  <w:vAlign w:val="center"/>
                </w:tcPr>
                <w:p>
                  <w:pPr>
                    <w:jc w:val="center"/>
                    <w:rPr>
                      <w:color w:val="0D0D0D"/>
                      <w:kern w:val="24"/>
                      <w:szCs w:val="21"/>
                    </w:rPr>
                  </w:pPr>
                </w:p>
              </w:tc>
              <w:tc>
                <w:tcPr>
                  <w:tcW w:w="1488" w:type="pct"/>
                  <w:vAlign w:val="center"/>
                </w:tcPr>
                <w:p>
                  <w:pPr>
                    <w:jc w:val="center"/>
                    <w:rPr>
                      <w:rFonts w:hAnsi="宋体"/>
                      <w:kern w:val="24"/>
                      <w:szCs w:val="21"/>
                    </w:rPr>
                  </w:pPr>
                  <w:r>
                    <w:rPr>
                      <w:rFonts w:hint="eastAsia" w:hAnsi="宋体"/>
                      <w:kern w:val="24"/>
                      <w:szCs w:val="21"/>
                    </w:rPr>
                    <w:t>无组织排放</w:t>
                  </w:r>
                </w:p>
              </w:tc>
              <w:tc>
                <w:tcPr>
                  <w:tcW w:w="666" w:type="pct"/>
                  <w:vAlign w:val="center"/>
                </w:tcPr>
                <w:p>
                  <w:pPr>
                    <w:jc w:val="center"/>
                    <w:rPr>
                      <w:rFonts w:hAnsi="宋体"/>
                      <w:kern w:val="24"/>
                      <w:szCs w:val="21"/>
                    </w:rPr>
                  </w:pPr>
                  <w:r>
                    <w:rPr>
                      <w:rFonts w:hint="eastAsia" w:hAnsi="宋体"/>
                      <w:kern w:val="24"/>
                      <w:szCs w:val="21"/>
                    </w:rPr>
                    <w:t>0.0092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800" w:type="pct"/>
                  <w:vMerge w:val="continue"/>
                  <w:vAlign w:val="center"/>
                </w:tcPr>
                <w:p>
                  <w:pPr>
                    <w:widowControl/>
                    <w:spacing w:line="260" w:lineRule="exact"/>
                    <w:ind w:left="-105" w:leftChars="-50" w:right="-105" w:rightChars="-50"/>
                    <w:jc w:val="center"/>
                    <w:rPr>
                      <w:color w:val="000000"/>
                      <w:kern w:val="0"/>
                      <w:szCs w:val="21"/>
                    </w:rPr>
                  </w:pPr>
                </w:p>
              </w:tc>
              <w:tc>
                <w:tcPr>
                  <w:tcW w:w="919" w:type="pct"/>
                  <w:vAlign w:val="center"/>
                </w:tcPr>
                <w:p>
                  <w:pPr>
                    <w:jc w:val="center"/>
                    <w:rPr>
                      <w:rFonts w:hAnsi="宋体"/>
                      <w:kern w:val="24"/>
                      <w:szCs w:val="21"/>
                    </w:rPr>
                  </w:pPr>
                  <w:r>
                    <w:rPr>
                      <w:rFonts w:hint="eastAsia" w:hAnsi="宋体"/>
                      <w:kern w:val="24"/>
                      <w:szCs w:val="21"/>
                    </w:rPr>
                    <w:t>水份</w:t>
                  </w:r>
                </w:p>
              </w:tc>
              <w:tc>
                <w:tcPr>
                  <w:tcW w:w="1125" w:type="pct"/>
                  <w:vAlign w:val="center"/>
                </w:tcPr>
                <w:p>
                  <w:pPr>
                    <w:jc w:val="center"/>
                    <w:rPr>
                      <w:color w:val="0D0D0D"/>
                      <w:kern w:val="24"/>
                      <w:szCs w:val="21"/>
                    </w:rPr>
                  </w:pPr>
                  <w:r>
                    <w:rPr>
                      <w:rFonts w:hint="eastAsia"/>
                      <w:color w:val="0D0D0D"/>
                      <w:kern w:val="24"/>
                      <w:szCs w:val="21"/>
                    </w:rPr>
                    <w:t>0.32</w:t>
                  </w:r>
                </w:p>
              </w:tc>
              <w:tc>
                <w:tcPr>
                  <w:tcW w:w="1488" w:type="pct"/>
                  <w:vAlign w:val="center"/>
                </w:tcPr>
                <w:p>
                  <w:pPr>
                    <w:jc w:val="center"/>
                    <w:rPr>
                      <w:rFonts w:hAnsi="宋体"/>
                      <w:kern w:val="24"/>
                      <w:szCs w:val="21"/>
                    </w:rPr>
                  </w:pPr>
                  <w:r>
                    <w:rPr>
                      <w:rFonts w:hint="eastAsia" w:hAnsi="宋体"/>
                      <w:kern w:val="24"/>
                      <w:szCs w:val="21"/>
                    </w:rPr>
                    <w:t>全部挥发</w:t>
                  </w:r>
                </w:p>
              </w:tc>
              <w:tc>
                <w:tcPr>
                  <w:tcW w:w="666" w:type="pct"/>
                  <w:vAlign w:val="center"/>
                </w:tcPr>
                <w:p>
                  <w:pPr>
                    <w:jc w:val="center"/>
                    <w:rPr>
                      <w:rFonts w:hAnsi="宋体"/>
                      <w:kern w:val="24"/>
                      <w:szCs w:val="21"/>
                    </w:rPr>
                  </w:pPr>
                  <w:r>
                    <w:rPr>
                      <w:rFonts w:hint="eastAsia" w:hAnsi="宋体"/>
                      <w:kern w:val="24"/>
                      <w:szCs w:val="21"/>
                    </w:rPr>
                    <w:t>0.32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1720" w:type="pct"/>
                  <w:gridSpan w:val="2"/>
                  <w:vAlign w:val="center"/>
                </w:tcPr>
                <w:p>
                  <w:pPr>
                    <w:jc w:val="center"/>
                    <w:rPr>
                      <w:rFonts w:hAnsi="宋体"/>
                      <w:kern w:val="24"/>
                      <w:szCs w:val="21"/>
                    </w:rPr>
                  </w:pPr>
                  <w:r>
                    <w:rPr>
                      <w:rFonts w:hint="eastAsia" w:hAnsi="宋体"/>
                      <w:kern w:val="24"/>
                      <w:szCs w:val="21"/>
                    </w:rPr>
                    <w:t>合计</w:t>
                  </w:r>
                </w:p>
              </w:tc>
              <w:tc>
                <w:tcPr>
                  <w:tcW w:w="1125" w:type="pct"/>
                  <w:vAlign w:val="center"/>
                </w:tcPr>
                <w:p>
                  <w:pPr>
                    <w:jc w:val="center"/>
                    <w:rPr>
                      <w:color w:val="0D0D0D"/>
                      <w:kern w:val="24"/>
                      <w:szCs w:val="21"/>
                    </w:rPr>
                  </w:pPr>
                  <w:r>
                    <w:rPr>
                      <w:rFonts w:hint="eastAsia"/>
                      <w:color w:val="0D0D0D"/>
                      <w:kern w:val="24"/>
                      <w:szCs w:val="21"/>
                    </w:rPr>
                    <w:t>1.6</w:t>
                  </w:r>
                </w:p>
              </w:tc>
              <w:tc>
                <w:tcPr>
                  <w:tcW w:w="1488" w:type="pct"/>
                  <w:vAlign w:val="center"/>
                </w:tcPr>
                <w:p>
                  <w:pPr>
                    <w:jc w:val="center"/>
                    <w:rPr>
                      <w:rFonts w:hAnsi="宋体"/>
                      <w:kern w:val="24"/>
                      <w:szCs w:val="21"/>
                    </w:rPr>
                  </w:pPr>
                  <w:r>
                    <w:rPr>
                      <w:rFonts w:hint="eastAsia" w:hAnsi="宋体"/>
                      <w:kern w:val="24"/>
                      <w:szCs w:val="21"/>
                    </w:rPr>
                    <w:t>/</w:t>
                  </w:r>
                </w:p>
              </w:tc>
              <w:tc>
                <w:tcPr>
                  <w:tcW w:w="666" w:type="pct"/>
                  <w:vAlign w:val="center"/>
                </w:tcPr>
                <w:p>
                  <w:pPr>
                    <w:jc w:val="center"/>
                    <w:rPr>
                      <w:rFonts w:hAnsi="宋体"/>
                      <w:kern w:val="24"/>
                      <w:szCs w:val="21"/>
                    </w:rPr>
                  </w:pPr>
                  <w:r>
                    <w:rPr>
                      <w:rFonts w:hint="eastAsia" w:hAnsi="宋体"/>
                      <w:kern w:val="24"/>
                      <w:szCs w:val="21"/>
                    </w:rPr>
                    <w:t>1.6</w:t>
                  </w:r>
                </w:p>
              </w:tc>
            </w:tr>
          </w:tbl>
          <w:p>
            <w:pPr>
              <w:rPr>
                <w:rFonts w:asciiTheme="minorEastAsia" w:hAnsiTheme="minorEastAsia" w:eastAsiaTheme="minorEastAsia"/>
                <w:i/>
                <w:color w:val="000000"/>
              </w:rPr>
            </w:pPr>
            <w:r>
              <w:rPr>
                <w:rFonts w:eastAsia="仿宋"/>
                <w:i/>
              </w:rPr>
              <w:t>注</w:t>
            </w:r>
            <w:r>
              <w:rPr>
                <w:rFonts w:hint="eastAsia" w:eastAsia="仿宋"/>
                <w:i/>
              </w:rPr>
              <w:t>：</w:t>
            </w:r>
            <w:r>
              <w:rPr>
                <w:rFonts w:eastAsia="仿宋"/>
                <w:i/>
              </w:rPr>
              <w:t>漆料VOC含量根据其</w:t>
            </w:r>
            <w:r>
              <w:rPr>
                <w:rFonts w:hint="eastAsia" w:eastAsia="仿宋"/>
                <w:i/>
              </w:rPr>
              <w:t>MSDS</w:t>
            </w:r>
            <w:r>
              <w:rPr>
                <w:rFonts w:eastAsia="仿宋"/>
                <w:i/>
                <w:color w:val="000000"/>
              </w:rPr>
              <w:t>核</w:t>
            </w:r>
            <w:r>
              <w:rPr>
                <w:rFonts w:eastAsia="仿宋" w:cs="宋体"/>
                <w:i/>
                <w:color w:val="000000"/>
              </w:rPr>
              <w:t>实</w:t>
            </w:r>
            <w:r>
              <w:rPr>
                <w:rFonts w:eastAsia="仿宋"/>
                <w:i/>
                <w:color w:val="000000"/>
              </w:rPr>
              <w:t>。</w:t>
            </w:r>
          </w:p>
          <w:p>
            <w:pPr>
              <w:tabs>
                <w:tab w:val="left" w:pos="5040"/>
              </w:tabs>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732" w:hRule="atLeast"/>
        </w:trPr>
        <w:tc>
          <w:tcPr>
            <w:tcW w:w="392" w:type="dxa"/>
            <w:tcBorders>
              <w:top w:val="single" w:color="auto" w:sz="2" w:space="0"/>
              <w:left w:val="single" w:color="auto" w:sz="12" w:space="0"/>
              <w:bottom w:val="single" w:color="auto" w:sz="12" w:space="0"/>
            </w:tcBorders>
            <w:shd w:val="clear" w:color="auto" w:fill="auto"/>
            <w:vAlign w:val="center"/>
          </w:tcPr>
          <w:p>
            <w:pPr>
              <w:rPr>
                <w:rFonts w:cs="宋体"/>
                <w:sz w:val="24"/>
                <w:lang w:val="zh-CN"/>
              </w:rPr>
            </w:pPr>
          </w:p>
        </w:tc>
        <w:tc>
          <w:tcPr>
            <w:tcW w:w="8669" w:type="dxa"/>
            <w:vMerge w:val="continue"/>
            <w:tcBorders>
              <w:bottom w:val="single" w:color="auto" w:sz="12" w:space="0"/>
            </w:tcBorders>
            <w:shd w:val="clear" w:color="auto" w:fill="auto"/>
          </w:tcPr>
          <w:p>
            <w:pPr>
              <w:autoSpaceDE w:val="0"/>
              <w:autoSpaceDN w:val="0"/>
              <w:adjustRightInd w:val="0"/>
              <w:snapToGrid w:val="0"/>
              <w:spacing w:before="120" w:beforeLines="50" w:line="360" w:lineRule="auto"/>
              <w:jc w:val="left"/>
              <w:rPr>
                <w:color w:val="000000"/>
                <w:sz w:val="24"/>
              </w:rPr>
            </w:pPr>
          </w:p>
        </w:tc>
      </w:tr>
    </w:tbl>
    <w:p>
      <w:pPr>
        <w:pStyle w:val="53"/>
        <w:jc w:val="center"/>
        <w:outlineLvl w:val="0"/>
        <w:rPr>
          <w:rFonts w:ascii="Times New Roman" w:hAnsi="Times New Roman"/>
          <w:snapToGrid w:val="0"/>
          <w:color w:val="000000"/>
          <w:sz w:val="30"/>
          <w:szCs w:val="30"/>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5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92"/>
        <w:gridCol w:w="128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42" w:hRule="atLeast"/>
        </w:trPr>
        <w:tc>
          <w:tcPr>
            <w:tcW w:w="392" w:type="dxa"/>
            <w:shd w:val="clear" w:color="auto" w:fill="auto"/>
          </w:tcPr>
          <w:p>
            <w:pPr>
              <w:tabs>
                <w:tab w:val="left" w:pos="1165"/>
              </w:tabs>
              <w:rPr>
                <w:rFonts w:cs="宋体"/>
                <w:sz w:val="24"/>
              </w:rPr>
            </w:pPr>
          </w:p>
        </w:tc>
        <w:tc>
          <w:tcPr>
            <w:tcW w:w="12836" w:type="dxa"/>
            <w:shd w:val="clear" w:color="auto" w:fill="auto"/>
          </w:tcPr>
          <w:p>
            <w:pPr>
              <w:rPr>
                <w:rFonts w:cs="宋体"/>
                <w:sz w:val="24"/>
              </w:rPr>
            </w:pPr>
            <w:r>
              <w:rPr>
                <w:rFonts w:hint="eastAsia" w:cs="宋体"/>
                <w:sz w:val="24"/>
              </w:rPr>
              <w:drawing>
                <wp:inline distT="0" distB="0" distL="114300" distR="114300">
                  <wp:extent cx="8009255" cy="4500880"/>
                  <wp:effectExtent l="0" t="0" r="10795" b="13970"/>
                  <wp:docPr id="2" name="图片 2" descr="16424725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42472509(1)"/>
                          <pic:cNvPicPr>
                            <a:picLocks noChangeAspect="1"/>
                          </pic:cNvPicPr>
                        </pic:nvPicPr>
                        <pic:blipFill>
                          <a:blip r:embed="rId13"/>
                          <a:stretch>
                            <a:fillRect/>
                          </a:stretch>
                        </pic:blipFill>
                        <pic:spPr>
                          <a:xfrm>
                            <a:off x="0" y="0"/>
                            <a:ext cx="8009255" cy="4500880"/>
                          </a:xfrm>
                          <a:prstGeom prst="rect">
                            <a:avLst/>
                          </a:prstGeom>
                        </pic:spPr>
                      </pic:pic>
                    </a:graphicData>
                  </a:graphic>
                </wp:inline>
              </w:drawing>
            </w:r>
          </w:p>
          <w:p>
            <w:pPr>
              <w:jc w:val="center"/>
              <w:rPr>
                <w:rFonts w:cs="宋体"/>
                <w:sz w:val="24"/>
              </w:rPr>
            </w:pPr>
            <w:r>
              <w:rPr>
                <w:b/>
                <w:sz w:val="24"/>
              </w:rPr>
              <w:t>图</w:t>
            </w:r>
            <w:r>
              <w:rPr>
                <w:rFonts w:hint="eastAsia"/>
                <w:b/>
                <w:sz w:val="24"/>
              </w:rPr>
              <w:t>2</w:t>
            </w:r>
            <w:r>
              <w:rPr>
                <w:b/>
                <w:sz w:val="24"/>
              </w:rPr>
              <w:t>-</w:t>
            </w:r>
            <w:r>
              <w:rPr>
                <w:rFonts w:hint="eastAsia"/>
                <w:b/>
                <w:sz w:val="24"/>
              </w:rPr>
              <w:t>6水性丙烯酸防锈面漆</w:t>
            </w:r>
            <w:r>
              <w:rPr>
                <w:rFonts w:hint="eastAsia"/>
                <w:b/>
                <w:color w:val="000000"/>
                <w:sz w:val="24"/>
              </w:rPr>
              <w:t>漆料平衡图</w:t>
            </w:r>
          </w:p>
        </w:tc>
      </w:tr>
    </w:tbl>
    <w:p>
      <w:pPr>
        <w:pStyle w:val="53"/>
        <w:jc w:val="center"/>
        <w:outlineLvl w:val="0"/>
        <w:rPr>
          <w:rFonts w:ascii="Times New Roman" w:hAnsi="Times New Roman"/>
          <w:b/>
          <w:snapToGrid w:val="0"/>
          <w:color w:val="000000"/>
          <w:sz w:val="30"/>
          <w:szCs w:val="30"/>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58"/>
        <w:tblW w:w="9033"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456"/>
        <w:gridCol w:w="857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609" w:hRule="atLeast"/>
        </w:trPr>
        <w:tc>
          <w:tcPr>
            <w:tcW w:w="392" w:type="dxa"/>
            <w:shd w:val="clear" w:color="auto" w:fill="auto"/>
            <w:vAlign w:val="center"/>
          </w:tcPr>
          <w:p>
            <w:pPr>
              <w:jc w:val="center"/>
              <w:rPr>
                <w:rFonts w:cs="宋体"/>
                <w:sz w:val="24"/>
                <w:lang w:val="zh-CN"/>
              </w:rPr>
            </w:pPr>
            <w:r>
              <w:rPr>
                <w:rFonts w:hint="eastAsia" w:cs="宋体"/>
                <w:sz w:val="24"/>
                <w:lang w:val="zh-CN"/>
              </w:rPr>
              <w:t>与项目有关的原有环境污染问题</w:t>
            </w:r>
          </w:p>
        </w:tc>
        <w:tc>
          <w:tcPr>
            <w:tcW w:w="8641" w:type="dxa"/>
            <w:shd w:val="clear" w:color="auto" w:fill="auto"/>
          </w:tcPr>
          <w:p>
            <w:pPr>
              <w:spacing w:before="120" w:beforeLines="50" w:line="360" w:lineRule="auto"/>
              <w:ind w:firstLine="482" w:firstLineChars="200"/>
              <w:rPr>
                <w:rFonts w:cs="宋体" w:asciiTheme="minorEastAsia" w:hAnsiTheme="minorEastAsia" w:eastAsiaTheme="minorEastAsia"/>
                <w:sz w:val="24"/>
              </w:rPr>
            </w:pPr>
            <w:r>
              <w:rPr>
                <w:rFonts w:hint="eastAsia" w:cs="宋体"/>
                <w:b/>
                <w:color w:val="000000"/>
                <w:kern w:val="0"/>
                <w:sz w:val="24"/>
              </w:rPr>
              <w:t>1、现有项目工程分析</w:t>
            </w:r>
            <w:r>
              <w:rPr>
                <w:rFonts w:hint="eastAsia" w:cs="宋体" w:asciiTheme="minorEastAsia" w:hAnsiTheme="minorEastAsia" w:eastAsiaTheme="minorEastAsia"/>
                <w:sz w:val="24"/>
              </w:rPr>
              <w:drawing>
                <wp:anchor distT="0" distB="0" distL="0" distR="0" simplePos="0" relativeHeight="251660288" behindDoc="0" locked="0" layoutInCell="1" allowOverlap="1">
                  <wp:simplePos x="0" y="0"/>
                  <wp:positionH relativeFrom="page">
                    <wp:posOffset>548005</wp:posOffset>
                  </wp:positionH>
                  <wp:positionV relativeFrom="paragraph">
                    <wp:posOffset>694055</wp:posOffset>
                  </wp:positionV>
                  <wp:extent cx="4095750" cy="4848225"/>
                  <wp:effectExtent l="0" t="0" r="0" b="9525"/>
                  <wp:wrapTopAndBottom/>
                  <wp:docPr id="23"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7.jpeg"/>
                          <pic:cNvPicPr>
                            <a:picLocks noChangeAspect="1"/>
                          </pic:cNvPicPr>
                        </pic:nvPicPr>
                        <pic:blipFill>
                          <a:blip r:embed="rId14" cstate="print"/>
                          <a:stretch>
                            <a:fillRect/>
                          </a:stretch>
                        </pic:blipFill>
                        <pic:spPr>
                          <a:xfrm>
                            <a:off x="0" y="0"/>
                            <a:ext cx="4095750" cy="4848225"/>
                          </a:xfrm>
                          <a:prstGeom prst="rect">
                            <a:avLst/>
                          </a:prstGeom>
                        </pic:spPr>
                      </pic:pic>
                    </a:graphicData>
                  </a:graphic>
                </wp:anchor>
              </w:drawing>
            </w:r>
          </w:p>
          <w:p>
            <w:pPr>
              <w:tabs>
                <w:tab w:val="left" w:pos="7439"/>
              </w:tabs>
              <w:jc w:val="left"/>
            </w:pPr>
            <w:r>
              <w:rPr>
                <w:rFonts w:hint="eastAsia"/>
              </w:rPr>
              <w:tab/>
            </w:r>
          </w:p>
          <w:p>
            <w:pPr>
              <w:spacing w:line="360" w:lineRule="auto"/>
              <w:ind w:firstLine="482" w:firstLineChars="200"/>
              <w:jc w:val="center"/>
              <w:rPr>
                <w:b/>
                <w:bCs/>
                <w:kern w:val="0"/>
                <w:sz w:val="24"/>
              </w:rPr>
            </w:pPr>
            <w:r>
              <w:rPr>
                <w:rFonts w:hint="eastAsia"/>
                <w:b/>
                <w:bCs/>
                <w:kern w:val="0"/>
                <w:sz w:val="24"/>
              </w:rPr>
              <w:t>图2-7  现有项目生产工艺流程及产污节点图</w:t>
            </w:r>
          </w:p>
          <w:p>
            <w:pPr>
              <w:spacing w:line="360" w:lineRule="auto"/>
              <w:ind w:firstLine="480" w:firstLineChars="200"/>
              <w:rPr>
                <w:kern w:val="0"/>
                <w:sz w:val="24"/>
                <w:lang w:val="zh-CN"/>
              </w:rPr>
            </w:pPr>
            <w:r>
              <w:rPr>
                <w:rFonts w:hint="eastAsia"/>
                <w:kern w:val="0"/>
                <w:sz w:val="24"/>
                <w:lang w:val="zh-CN"/>
              </w:rPr>
              <w:t>本项目主要生产钢结构产品及装配式绿色建筑材料，产品主要用于建筑钢结构构件以及门窗等绿色建造材料等。其工艺流程简述如下：</w:t>
            </w:r>
          </w:p>
          <w:p>
            <w:pPr>
              <w:spacing w:line="360" w:lineRule="auto"/>
              <w:ind w:firstLine="480" w:firstLineChars="200"/>
              <w:rPr>
                <w:kern w:val="0"/>
                <w:sz w:val="24"/>
                <w:lang w:val="zh-CN"/>
              </w:rPr>
            </w:pPr>
            <w:r>
              <w:rPr>
                <w:rFonts w:hint="eastAsia"/>
                <w:kern w:val="0"/>
                <w:sz w:val="24"/>
                <w:lang w:val="zh-CN"/>
              </w:rPr>
              <w:t>（</w:t>
            </w:r>
            <w:r>
              <w:rPr>
                <w:rFonts w:hint="eastAsia"/>
                <w:kern w:val="0"/>
                <w:sz w:val="24"/>
              </w:rPr>
              <w:t>1</w:t>
            </w:r>
            <w:r>
              <w:rPr>
                <w:rFonts w:hint="eastAsia"/>
                <w:kern w:val="0"/>
                <w:sz w:val="24"/>
                <w:lang w:val="zh-CN"/>
              </w:rPr>
              <w:t>）下料、加工</w:t>
            </w:r>
          </w:p>
          <w:p>
            <w:pPr>
              <w:spacing w:line="360" w:lineRule="auto"/>
              <w:ind w:firstLine="480" w:firstLineChars="200"/>
              <w:rPr>
                <w:kern w:val="0"/>
                <w:sz w:val="24"/>
                <w:lang w:val="zh-CN"/>
              </w:rPr>
            </w:pPr>
            <w:r>
              <w:rPr>
                <w:rFonts w:hint="eastAsia"/>
                <w:kern w:val="0"/>
                <w:sz w:val="24"/>
                <w:lang w:val="zh-CN"/>
              </w:rPr>
              <w:t>依据施工详图，画出各构件的实际尺寸、形状，部分较复杂的构件必须经过展开，然后作成样板、样带，作为落样、切割、组合之用。下料前先检查原材料材质是否与设计图纸材质一样，检验合格后方能下 料。采用液压剪板机、数控切割机等设备进行下料，切割速度快，断面平整美观，几何尺寸标准。下料工序将产生钢材边角料、切割噪声。</w:t>
            </w:r>
          </w:p>
          <w:p>
            <w:pPr>
              <w:spacing w:line="360" w:lineRule="auto"/>
              <w:ind w:firstLine="480" w:firstLineChars="200"/>
              <w:rPr>
                <w:kern w:val="0"/>
                <w:sz w:val="24"/>
                <w:lang w:val="zh-CN"/>
              </w:rPr>
            </w:pPr>
            <w:r>
              <w:rPr>
                <w:rFonts w:hint="eastAsia"/>
                <w:kern w:val="0"/>
                <w:sz w:val="24"/>
                <w:lang w:val="zh-CN"/>
              </w:rPr>
              <w:t>（</w:t>
            </w:r>
            <w:r>
              <w:rPr>
                <w:rFonts w:hint="eastAsia"/>
                <w:kern w:val="0"/>
                <w:sz w:val="24"/>
              </w:rPr>
              <w:t>2</w:t>
            </w:r>
            <w:r>
              <w:rPr>
                <w:rFonts w:hint="eastAsia"/>
                <w:kern w:val="0"/>
                <w:sz w:val="24"/>
                <w:lang w:val="zh-CN"/>
              </w:rPr>
              <w:t>）组立、装配</w:t>
            </w:r>
          </w:p>
          <w:p>
            <w:pPr>
              <w:spacing w:line="360" w:lineRule="auto"/>
              <w:ind w:firstLine="480" w:firstLineChars="200"/>
              <w:rPr>
                <w:kern w:val="0"/>
                <w:sz w:val="24"/>
                <w:lang w:val="zh-CN"/>
              </w:rPr>
            </w:pPr>
            <w:r>
              <w:rPr>
                <w:rFonts w:hint="eastAsia"/>
                <w:kern w:val="0"/>
                <w:sz w:val="24"/>
                <w:lang w:val="zh-CN"/>
              </w:rPr>
              <w:t>采用行车进行大型工件的组立，组立速度快，精度高。组立工序将产生行车的机械噪声和工件的撞击噪声。</w:t>
            </w:r>
          </w:p>
          <w:p>
            <w:pPr>
              <w:spacing w:line="360" w:lineRule="auto"/>
              <w:ind w:firstLine="480" w:firstLineChars="200"/>
              <w:rPr>
                <w:kern w:val="0"/>
                <w:sz w:val="24"/>
                <w:lang w:val="zh-CN"/>
              </w:rPr>
            </w:pPr>
            <w:r>
              <w:rPr>
                <w:rFonts w:hint="eastAsia"/>
                <w:kern w:val="0"/>
                <w:sz w:val="24"/>
                <w:lang w:val="zh-CN"/>
              </w:rPr>
              <w:t>（</w:t>
            </w:r>
            <w:r>
              <w:rPr>
                <w:rFonts w:hint="eastAsia"/>
                <w:kern w:val="0"/>
                <w:sz w:val="24"/>
              </w:rPr>
              <w:t>3</w:t>
            </w:r>
            <w:r>
              <w:rPr>
                <w:rFonts w:hint="eastAsia"/>
                <w:kern w:val="0"/>
                <w:sz w:val="24"/>
                <w:lang w:val="zh-CN"/>
              </w:rPr>
              <w:t>）焊接</w:t>
            </w:r>
          </w:p>
          <w:p>
            <w:pPr>
              <w:spacing w:line="360" w:lineRule="auto"/>
              <w:ind w:firstLine="480" w:firstLineChars="200"/>
              <w:rPr>
                <w:kern w:val="0"/>
                <w:sz w:val="24"/>
                <w:lang w:val="zh-CN"/>
              </w:rPr>
            </w:pPr>
            <w:r>
              <w:rPr>
                <w:rFonts w:hint="eastAsia"/>
                <w:kern w:val="0"/>
                <w:sz w:val="24"/>
                <w:lang w:val="zh-CN"/>
              </w:rPr>
              <w:t>采用门型埋弧焊机、电渣焊机对组立的大型工件进行焊接，采用 CO2 保护焊及低锰焊丝、焊条，速度快，质量好，大大提高生产速度，焊接完成后，必须将焊渣及飞溅渣清除干净。焊接工序将产生焊接烟尘和焊渣。</w:t>
            </w:r>
          </w:p>
          <w:p>
            <w:pPr>
              <w:spacing w:line="360" w:lineRule="auto"/>
              <w:ind w:firstLine="480" w:firstLineChars="200"/>
              <w:rPr>
                <w:kern w:val="0"/>
                <w:sz w:val="24"/>
                <w:lang w:val="zh-CN"/>
              </w:rPr>
            </w:pPr>
            <w:r>
              <w:rPr>
                <w:rFonts w:hint="eastAsia"/>
                <w:kern w:val="0"/>
                <w:sz w:val="24"/>
                <w:lang w:val="zh-CN"/>
              </w:rPr>
              <w:t>（</w:t>
            </w:r>
            <w:r>
              <w:rPr>
                <w:rFonts w:hint="eastAsia"/>
                <w:kern w:val="0"/>
                <w:sz w:val="24"/>
              </w:rPr>
              <w:t>4</w:t>
            </w:r>
            <w:r>
              <w:rPr>
                <w:rFonts w:hint="eastAsia"/>
                <w:kern w:val="0"/>
                <w:sz w:val="24"/>
                <w:lang w:val="zh-CN"/>
              </w:rPr>
              <w:t>）制孔</w:t>
            </w:r>
          </w:p>
          <w:p>
            <w:pPr>
              <w:spacing w:line="360" w:lineRule="auto"/>
              <w:ind w:firstLine="480" w:firstLineChars="200"/>
              <w:rPr>
                <w:kern w:val="0"/>
                <w:sz w:val="24"/>
                <w:lang w:val="zh-CN"/>
              </w:rPr>
            </w:pPr>
            <w:r>
              <w:rPr>
                <w:rFonts w:hint="eastAsia"/>
                <w:kern w:val="0"/>
                <w:sz w:val="24"/>
                <w:lang w:val="zh-CN"/>
              </w:rPr>
              <w:t>使用数控平面钻床、数控切割机等对工件进行剪切、制孔等加工，剪切的板料、型钢、孔径、孔位、孔间距须符合图纸规定并达到质量要求。制孔工序钻床运行的机械噪声和铁屑。</w:t>
            </w:r>
          </w:p>
          <w:p>
            <w:pPr>
              <w:spacing w:line="360" w:lineRule="auto"/>
              <w:ind w:firstLine="480" w:firstLineChars="200"/>
              <w:rPr>
                <w:kern w:val="0"/>
                <w:sz w:val="24"/>
                <w:lang w:val="zh-CN"/>
              </w:rPr>
            </w:pPr>
            <w:r>
              <w:rPr>
                <w:rFonts w:hint="eastAsia"/>
                <w:kern w:val="0"/>
                <w:sz w:val="24"/>
                <w:lang w:val="zh-CN"/>
              </w:rPr>
              <w:t>（</w:t>
            </w:r>
            <w:r>
              <w:rPr>
                <w:rFonts w:hint="eastAsia"/>
                <w:kern w:val="0"/>
                <w:sz w:val="24"/>
              </w:rPr>
              <w:t>5</w:t>
            </w:r>
            <w:r>
              <w:rPr>
                <w:rFonts w:hint="eastAsia"/>
                <w:kern w:val="0"/>
                <w:sz w:val="24"/>
                <w:lang w:val="zh-CN"/>
              </w:rPr>
              <w:t>）矫正型钢</w:t>
            </w:r>
          </w:p>
          <w:p>
            <w:pPr>
              <w:spacing w:line="360" w:lineRule="auto"/>
              <w:ind w:firstLine="480" w:firstLineChars="200"/>
              <w:rPr>
                <w:kern w:val="0"/>
                <w:sz w:val="24"/>
                <w:lang w:val="zh-CN"/>
              </w:rPr>
            </w:pPr>
            <w:r>
              <w:rPr>
                <w:rFonts w:hint="eastAsia"/>
                <w:kern w:val="0"/>
                <w:sz w:val="24"/>
                <w:lang w:val="zh-CN"/>
              </w:rPr>
              <w:t>型钢在焊接过程中，由于高温会使型钢产生弯曲变形，采用液压矫正机对部分型钢的边缘进行液压矫正。液压矫正就是使钢板达到矫正的目的，矫正后的钢板表面没有凹面或毁伤。矫正工序主要为液压矫正机产生的机械噪声。</w:t>
            </w:r>
          </w:p>
          <w:p>
            <w:pPr>
              <w:spacing w:line="360" w:lineRule="auto"/>
              <w:ind w:firstLine="480" w:firstLineChars="200"/>
              <w:rPr>
                <w:kern w:val="0"/>
                <w:sz w:val="24"/>
                <w:lang w:val="zh-CN"/>
              </w:rPr>
            </w:pPr>
            <w:r>
              <w:rPr>
                <w:rFonts w:hint="eastAsia"/>
                <w:kern w:val="0"/>
                <w:sz w:val="24"/>
                <w:lang w:val="zh-CN"/>
              </w:rPr>
              <w:t>（</w:t>
            </w:r>
            <w:r>
              <w:rPr>
                <w:rFonts w:hint="eastAsia"/>
                <w:kern w:val="0"/>
                <w:sz w:val="24"/>
              </w:rPr>
              <w:t>6</w:t>
            </w:r>
            <w:r>
              <w:rPr>
                <w:rFonts w:hint="eastAsia"/>
                <w:kern w:val="0"/>
                <w:sz w:val="24"/>
                <w:lang w:val="zh-CN"/>
              </w:rPr>
              <w:t>）预组装</w:t>
            </w:r>
          </w:p>
          <w:p>
            <w:pPr>
              <w:spacing w:line="360" w:lineRule="auto"/>
              <w:ind w:firstLine="480" w:firstLineChars="200"/>
              <w:rPr>
                <w:kern w:val="0"/>
                <w:sz w:val="24"/>
                <w:lang w:val="zh-CN"/>
              </w:rPr>
            </w:pPr>
            <w:r>
              <w:rPr>
                <w:rFonts w:hint="eastAsia"/>
                <w:kern w:val="0"/>
                <w:sz w:val="24"/>
                <w:lang w:val="zh-CN"/>
              </w:rPr>
              <w:t>为确保钢结构工厂加工制作质量，十字柱与柱间H型钢支撑、屋架梁出厂前均需进行预拼装，各节点空间尺寸符合规范要求后方可出厂。预拼装时将预拼装胎架顶面用仪器调整到水平，在预拼装胎架上按图纸所示标记出结构的大样尺寸线，将相应构件按标记线摆放、连接，检查各节点接口、连接板、焊缝及螺栓孔的详细尺寸。组装时将产生撞击噪声。</w:t>
            </w:r>
          </w:p>
          <w:p>
            <w:pPr>
              <w:spacing w:line="360" w:lineRule="auto"/>
              <w:ind w:firstLine="480" w:firstLineChars="200"/>
              <w:rPr>
                <w:kern w:val="0"/>
                <w:sz w:val="24"/>
                <w:lang w:val="zh-CN"/>
              </w:rPr>
            </w:pPr>
            <w:r>
              <w:rPr>
                <w:rFonts w:hint="eastAsia"/>
                <w:kern w:val="0"/>
                <w:sz w:val="24"/>
                <w:lang w:val="zh-CN"/>
              </w:rPr>
              <w:t>（</w:t>
            </w:r>
            <w:r>
              <w:rPr>
                <w:rFonts w:hint="eastAsia"/>
                <w:kern w:val="0"/>
                <w:sz w:val="24"/>
              </w:rPr>
              <w:t>7</w:t>
            </w:r>
            <w:r>
              <w:rPr>
                <w:rFonts w:hint="eastAsia"/>
                <w:kern w:val="0"/>
                <w:sz w:val="24"/>
                <w:lang w:val="zh-CN"/>
              </w:rPr>
              <w:t>）抛丸除锈</w:t>
            </w:r>
          </w:p>
          <w:p>
            <w:pPr>
              <w:spacing w:line="360" w:lineRule="auto"/>
              <w:ind w:firstLine="480" w:firstLineChars="200"/>
              <w:rPr>
                <w:kern w:val="0"/>
                <w:sz w:val="24"/>
                <w:lang w:val="zh-CN"/>
              </w:rPr>
            </w:pPr>
            <w:r>
              <w:rPr>
                <w:rFonts w:hint="eastAsia"/>
                <w:kern w:val="0"/>
                <w:sz w:val="24"/>
                <w:lang w:val="zh-CN"/>
              </w:rPr>
              <w:t>在抛丸间内采用抛丸除锈设备进行钢构件表面处理，抛丸除锈可完全除去黑皮、铁锈与其他外界异物，再经过吸尘机或压缩空气彻底清除灰尘与锈垢，仅允许少量点锈或丝锈存在，钢铁表面呈近似灰白色金属。本项目抛丸机抛丸过程处于密封状态，采用钢丸进行抛射，抛丸机自带丸料循环净化系统，钢丸经清理后循环使用；此外，抛丸机自带布袋除尘器处理装置，抛丸产生的粉尘经除尘后通过1#排气筒排放。抛丸工序为连续作业，每天抛丸工序时间约4h。</w:t>
            </w:r>
          </w:p>
          <w:p>
            <w:pPr>
              <w:spacing w:line="360" w:lineRule="auto"/>
              <w:ind w:firstLine="480" w:firstLineChars="200"/>
              <w:rPr>
                <w:kern w:val="0"/>
                <w:sz w:val="24"/>
                <w:lang w:val="zh-CN"/>
              </w:rPr>
            </w:pPr>
            <w:r>
              <w:rPr>
                <w:rFonts w:hint="eastAsia"/>
                <w:kern w:val="0"/>
                <w:sz w:val="24"/>
                <w:lang w:val="zh-CN"/>
              </w:rPr>
              <w:t>（</w:t>
            </w:r>
            <w:r>
              <w:rPr>
                <w:rFonts w:hint="eastAsia"/>
                <w:kern w:val="0"/>
                <w:sz w:val="24"/>
              </w:rPr>
              <w:t>8</w:t>
            </w:r>
            <w:r>
              <w:rPr>
                <w:rFonts w:hint="eastAsia"/>
                <w:kern w:val="0"/>
                <w:sz w:val="24"/>
                <w:lang w:val="zh-CN"/>
              </w:rPr>
              <w:t>）喷涂防腐</w:t>
            </w:r>
          </w:p>
          <w:p>
            <w:pPr>
              <w:spacing w:line="360" w:lineRule="auto"/>
              <w:ind w:firstLine="480" w:firstLineChars="200"/>
              <w:rPr>
                <w:kern w:val="0"/>
                <w:sz w:val="24"/>
                <w:lang w:val="zh-CN"/>
              </w:rPr>
            </w:pPr>
            <w:r>
              <w:rPr>
                <w:rFonts w:hint="eastAsia"/>
                <w:kern w:val="0"/>
                <w:sz w:val="24"/>
                <w:lang w:val="zh-CN"/>
              </w:rPr>
              <w:t>抛丸除锈完成并经检验人员检验合格后，在涂装车间内对工件进行人工喷底漆、面漆处理，在工厂内钢结构只喷底漆和第一道防腐面漆，钢构件在使用安装现场再根据客户的需要进行第二道刷面漆处理。喷涂防腐处理工序主要产生喷漆废气，如 VOCS、甲苯、二甲苯、漆雾等。具体如下：</w:t>
            </w:r>
          </w:p>
          <w:p>
            <w:pPr>
              <w:spacing w:line="360" w:lineRule="auto"/>
              <w:ind w:firstLine="480" w:firstLineChars="200"/>
              <w:rPr>
                <w:kern w:val="0"/>
                <w:sz w:val="24"/>
                <w:lang w:val="zh-CN"/>
              </w:rPr>
            </w:pPr>
            <w:r>
              <w:rPr>
                <w:rFonts w:hint="eastAsia"/>
                <w:kern w:val="0"/>
                <w:sz w:val="24"/>
                <w:lang w:val="zh-CN"/>
              </w:rPr>
              <w:t>①调漆</w:t>
            </w:r>
          </w:p>
          <w:p>
            <w:pPr>
              <w:spacing w:line="360" w:lineRule="auto"/>
              <w:ind w:firstLine="480" w:firstLineChars="200"/>
              <w:rPr>
                <w:kern w:val="0"/>
                <w:sz w:val="24"/>
                <w:lang w:val="zh-CN"/>
              </w:rPr>
            </w:pPr>
            <w:r>
              <w:rPr>
                <w:rFonts w:hint="eastAsia"/>
                <w:kern w:val="0"/>
                <w:sz w:val="24"/>
                <w:lang w:val="zh-CN"/>
              </w:rPr>
              <w:t>本项目涂料分为油性涂料和水性涂料，油漆使用前需要进行调配，本项目调漆工序设置在移动式喷漆室内，即调即用。按比例将油性漆、固化剂和稀释剂混合，搅拌均匀后待用；或使用水性漆时，按比例将水性漆和水混合，搅拌均匀后待用。本项目每天调漆</w:t>
            </w:r>
            <w:r>
              <w:rPr>
                <w:rFonts w:hint="eastAsia"/>
                <w:kern w:val="0"/>
                <w:sz w:val="24"/>
              </w:rPr>
              <w:t>5</w:t>
            </w:r>
            <w:r>
              <w:rPr>
                <w:rFonts w:hint="eastAsia"/>
                <w:kern w:val="0"/>
                <w:sz w:val="24"/>
                <w:lang w:val="zh-CN"/>
              </w:rPr>
              <w:t>次，每次约10min。</w:t>
            </w:r>
          </w:p>
          <w:p>
            <w:pPr>
              <w:spacing w:line="360" w:lineRule="auto"/>
              <w:ind w:firstLine="480" w:firstLineChars="200"/>
              <w:rPr>
                <w:kern w:val="0"/>
                <w:sz w:val="24"/>
                <w:lang w:val="zh-CN"/>
              </w:rPr>
            </w:pPr>
            <w:r>
              <w:rPr>
                <w:rFonts w:hint="eastAsia"/>
                <w:kern w:val="0"/>
                <w:sz w:val="24"/>
                <w:lang w:val="zh-CN"/>
              </w:rPr>
              <w:t>②喷底漆</w:t>
            </w:r>
          </w:p>
          <w:p>
            <w:pPr>
              <w:spacing w:line="360" w:lineRule="auto"/>
              <w:ind w:firstLine="480" w:firstLineChars="200"/>
              <w:rPr>
                <w:kern w:val="0"/>
                <w:sz w:val="24"/>
                <w:lang w:val="zh-CN"/>
              </w:rPr>
            </w:pPr>
            <w:r>
              <w:rPr>
                <w:rFonts w:hint="eastAsia"/>
                <w:kern w:val="0"/>
                <w:sz w:val="24"/>
                <w:lang w:val="zh-CN"/>
              </w:rPr>
              <w:t>人工使用喷枪在工件表面均匀喷涂上一层油性底漆料或水性底漆料，其中环氧富锌防腐底漆质量为底漆、稀释剂、固化剂混合比75:15:10，铁红醇酸防锈底漆为底漆、稀释剂混合比 85:15，水性丙烯酸防锈底漆为底漆、水混合比80:20，本项目喷漆工作过程中，在风机作用下废气经干式过滤器去除漆雾后，进入“干式过滤器+活性炭吸附+脱附+催化燃烧”处理系统进行后续处理，经15m高排气筒高空排放。项目喷漆室在喷漆过程中维持负压状态，确保有机废气收集率达到 96%。本项目喷漆室每天喷底漆</w:t>
            </w:r>
            <w:r>
              <w:rPr>
                <w:rFonts w:hint="eastAsia"/>
                <w:kern w:val="0"/>
                <w:sz w:val="24"/>
              </w:rPr>
              <w:t>5</w:t>
            </w:r>
            <w:r>
              <w:rPr>
                <w:rFonts w:hint="eastAsia"/>
                <w:kern w:val="0"/>
                <w:sz w:val="24"/>
                <w:lang w:val="zh-CN"/>
              </w:rPr>
              <w:t>次，每次约20min。</w:t>
            </w:r>
          </w:p>
          <w:p>
            <w:pPr>
              <w:spacing w:line="360" w:lineRule="auto"/>
              <w:ind w:firstLine="480" w:firstLineChars="200"/>
              <w:rPr>
                <w:kern w:val="0"/>
                <w:sz w:val="24"/>
                <w:lang w:val="zh-CN"/>
              </w:rPr>
            </w:pPr>
            <w:r>
              <w:rPr>
                <w:rFonts w:hint="eastAsia"/>
                <w:kern w:val="0"/>
                <w:sz w:val="24"/>
                <w:lang w:val="zh-CN"/>
              </w:rPr>
              <w:t>③晾干各部件经喷底漆后于喷漆室内各喷漆台原地进行自然晾干，晾干时间约为10min，使工件表面底漆干燥、固化成膜。</w:t>
            </w:r>
          </w:p>
          <w:p>
            <w:pPr>
              <w:spacing w:line="360" w:lineRule="auto"/>
              <w:ind w:firstLine="480" w:firstLineChars="200"/>
              <w:rPr>
                <w:kern w:val="0"/>
                <w:sz w:val="24"/>
                <w:lang w:val="zh-CN"/>
              </w:rPr>
            </w:pPr>
            <w:r>
              <w:rPr>
                <w:rFonts w:hint="eastAsia"/>
                <w:kern w:val="0"/>
                <w:sz w:val="24"/>
                <w:lang w:val="zh-CN"/>
              </w:rPr>
              <w:t>④喷面漆</w:t>
            </w:r>
          </w:p>
          <w:p>
            <w:pPr>
              <w:spacing w:line="360" w:lineRule="auto"/>
              <w:ind w:firstLine="480" w:firstLineChars="200"/>
              <w:rPr>
                <w:kern w:val="0"/>
                <w:sz w:val="24"/>
                <w:lang w:val="zh-CN"/>
              </w:rPr>
            </w:pPr>
            <w:r>
              <w:rPr>
                <w:rFonts w:hint="eastAsia"/>
                <w:kern w:val="0"/>
                <w:sz w:val="24"/>
                <w:lang w:val="zh-CN"/>
              </w:rPr>
              <w:t>人工使用喷枪在工件表面均匀喷涂上一层油性面漆料或水性面漆料，丙烯酸聚氨酯面漆为面漆、稀释剂、固化剂混合比75:15:10、水性丙烯酸防腐面漆为面漆、水混合比 80:20，本项目喷漆室工作过程中，在风机作用下废气经干式过滤器去除漆雾后进入“干式过滤器+活性炭吸附+脱附+催化燃烧”处理系统进行后续处理。项目喷漆室喷漆过程中维持负压状态，确保有机废气收集率达到90%。本项目喷漆室每天喷面漆</w:t>
            </w:r>
            <w:r>
              <w:rPr>
                <w:rFonts w:hint="eastAsia"/>
                <w:kern w:val="0"/>
                <w:sz w:val="24"/>
              </w:rPr>
              <w:t>5</w:t>
            </w:r>
            <w:r>
              <w:rPr>
                <w:rFonts w:hint="eastAsia"/>
                <w:kern w:val="0"/>
                <w:sz w:val="24"/>
                <w:lang w:val="zh-CN"/>
              </w:rPr>
              <w:t>次，每次约20min。</w:t>
            </w:r>
          </w:p>
          <w:p>
            <w:pPr>
              <w:spacing w:line="360" w:lineRule="auto"/>
              <w:ind w:firstLine="480" w:firstLineChars="200"/>
              <w:rPr>
                <w:kern w:val="0"/>
                <w:sz w:val="24"/>
                <w:lang w:val="zh-CN"/>
              </w:rPr>
            </w:pPr>
            <w:r>
              <w:rPr>
                <w:rFonts w:hint="eastAsia"/>
                <w:kern w:val="0"/>
                <w:sz w:val="24"/>
                <w:lang w:val="zh-CN"/>
              </w:rPr>
              <w:t>⑤烘干</w:t>
            </w:r>
          </w:p>
          <w:p>
            <w:pPr>
              <w:spacing w:line="360" w:lineRule="auto"/>
              <w:ind w:firstLine="480" w:firstLineChars="200"/>
              <w:rPr>
                <w:kern w:val="0"/>
                <w:sz w:val="24"/>
                <w:lang w:val="zh-CN"/>
              </w:rPr>
            </w:pPr>
            <w:r>
              <w:rPr>
                <w:rFonts w:hint="eastAsia"/>
                <w:kern w:val="0"/>
                <w:sz w:val="24"/>
                <w:lang w:val="zh-CN"/>
              </w:rPr>
              <w:t>工件经喷面漆后通过轨道移动装置推进烘干室进行烘干，使面漆料干燥、固化成膜。烘干室为密闭设置，本项目使用电能作为能源，采用加热管间接加热烤漆房内空气的方式来烘干工件表面漆料。烤漆房使用温度不低于60℃，烘干室每天工作</w:t>
            </w:r>
            <w:r>
              <w:rPr>
                <w:rFonts w:hint="eastAsia"/>
                <w:kern w:val="0"/>
                <w:sz w:val="24"/>
              </w:rPr>
              <w:t>5</w:t>
            </w:r>
            <w:r>
              <w:rPr>
                <w:rFonts w:hint="eastAsia"/>
                <w:kern w:val="0"/>
                <w:sz w:val="24"/>
                <w:lang w:val="zh-CN"/>
              </w:rPr>
              <w:t>次，每次工作时间约20min。</w:t>
            </w:r>
          </w:p>
          <w:p>
            <w:pPr>
              <w:spacing w:line="360" w:lineRule="auto"/>
              <w:ind w:firstLine="480" w:firstLineChars="200"/>
              <w:rPr>
                <w:kern w:val="0"/>
                <w:sz w:val="24"/>
                <w:lang w:val="zh-CN"/>
              </w:rPr>
            </w:pPr>
            <w:r>
              <w:rPr>
                <w:rFonts w:hint="eastAsia"/>
                <w:kern w:val="0"/>
                <w:sz w:val="24"/>
                <w:lang w:val="zh-CN"/>
              </w:rPr>
              <w:t>⑥冷却、入库</w:t>
            </w:r>
          </w:p>
          <w:p>
            <w:pPr>
              <w:spacing w:line="360" w:lineRule="auto"/>
              <w:ind w:firstLine="480" w:firstLineChars="200"/>
              <w:rPr>
                <w:kern w:val="0"/>
                <w:sz w:val="24"/>
                <w:lang w:val="zh-CN"/>
              </w:rPr>
            </w:pPr>
            <w:r>
              <w:rPr>
                <w:rFonts w:hint="eastAsia"/>
                <w:kern w:val="0"/>
                <w:sz w:val="24"/>
                <w:lang w:val="zh-CN"/>
              </w:rPr>
              <w:t>工件待烘干后再通过轨道移动装置推进冷却室进行漆料自然冷却，待漆料冷却后出件入库外销。冷却室每天工作</w:t>
            </w:r>
            <w:r>
              <w:rPr>
                <w:rFonts w:hint="eastAsia"/>
                <w:kern w:val="0"/>
                <w:sz w:val="24"/>
              </w:rPr>
              <w:t>5</w:t>
            </w:r>
            <w:r>
              <w:rPr>
                <w:rFonts w:hint="eastAsia"/>
                <w:kern w:val="0"/>
                <w:sz w:val="24"/>
                <w:lang w:val="zh-CN"/>
              </w:rPr>
              <w:t>次，每次冷却时间约1h。</w:t>
            </w:r>
          </w:p>
          <w:p>
            <w:pPr>
              <w:spacing w:line="360" w:lineRule="auto"/>
              <w:ind w:firstLine="480" w:firstLineChars="200"/>
              <w:rPr>
                <w:kern w:val="0"/>
                <w:sz w:val="24"/>
                <w:lang w:val="zh-CN"/>
              </w:rPr>
            </w:pPr>
            <w:r>
              <w:rPr>
                <w:rFonts w:hint="eastAsia"/>
                <w:kern w:val="0"/>
                <w:sz w:val="24"/>
                <w:lang w:val="zh-CN"/>
              </w:rPr>
              <w:t>⑦清洗喷枪</w:t>
            </w:r>
          </w:p>
          <w:p>
            <w:pPr>
              <w:spacing w:line="360" w:lineRule="auto"/>
              <w:ind w:firstLine="480" w:firstLineChars="200"/>
              <w:rPr>
                <w:kern w:val="0"/>
                <w:sz w:val="24"/>
                <w:lang w:val="zh-CN"/>
              </w:rPr>
            </w:pPr>
            <w:r>
              <w:rPr>
                <w:rFonts w:hint="eastAsia"/>
                <w:kern w:val="0"/>
                <w:sz w:val="24"/>
                <w:lang w:val="zh-CN"/>
              </w:rPr>
              <w:t>本项目油漆喷枪需定期清洗以防止喷枪内涂料干化后堵塞喷嘴，从而影响喷涂质量。本项目设</w:t>
            </w:r>
            <w:r>
              <w:rPr>
                <w:rFonts w:hint="eastAsia"/>
                <w:kern w:val="0"/>
                <w:sz w:val="24"/>
              </w:rPr>
              <w:t>6</w:t>
            </w:r>
            <w:r>
              <w:rPr>
                <w:rFonts w:hint="eastAsia"/>
                <w:kern w:val="0"/>
                <w:sz w:val="24"/>
                <w:lang w:val="zh-CN"/>
              </w:rPr>
              <w:t>支油漆喷枪，油漆喷枪喷嘴每天清洗一次，使用密封容器盛装油漆稀释剂，喷枪抽管从容器顶部封口处放入，吸取稀释剂后从喷嘴将稀释剂从容器顶部封口喷射回容器内，吸取的稀释剂将喷枪内的固化漆料溶解清洗后一同喷回稀释剂容器内。将喷嘴沥干后放置一旁待用，清洗后的稀释剂混入油漆中下次调配使用，不外排。本项目油性喷枪每天清洗一次，清洗时间约为15min/d。</w:t>
            </w:r>
          </w:p>
          <w:p>
            <w:pPr>
              <w:spacing w:line="360" w:lineRule="auto"/>
              <w:ind w:firstLine="480" w:firstLineChars="200"/>
              <w:rPr>
                <w:kern w:val="0"/>
                <w:sz w:val="24"/>
                <w:lang w:val="zh-CN"/>
              </w:rPr>
            </w:pPr>
            <w:r>
              <w:rPr>
                <w:rFonts w:hint="eastAsia"/>
                <w:kern w:val="0"/>
                <w:sz w:val="24"/>
                <w:lang w:val="zh-CN"/>
              </w:rPr>
              <w:t>（</w:t>
            </w:r>
            <w:r>
              <w:rPr>
                <w:rFonts w:hint="eastAsia"/>
                <w:kern w:val="0"/>
                <w:sz w:val="24"/>
              </w:rPr>
              <w:t>9</w:t>
            </w:r>
            <w:r>
              <w:rPr>
                <w:rFonts w:hint="eastAsia"/>
                <w:kern w:val="0"/>
                <w:sz w:val="24"/>
                <w:lang w:val="zh-CN"/>
              </w:rPr>
              <w:t>）检验、编号</w:t>
            </w:r>
          </w:p>
          <w:p>
            <w:pPr>
              <w:spacing w:line="360" w:lineRule="auto"/>
              <w:ind w:firstLine="480" w:firstLineChars="200"/>
              <w:rPr>
                <w:kern w:val="0"/>
                <w:sz w:val="24"/>
                <w:lang w:val="zh-CN"/>
              </w:rPr>
            </w:pPr>
            <w:r>
              <w:rPr>
                <w:rFonts w:hint="eastAsia"/>
                <w:kern w:val="0"/>
                <w:sz w:val="24"/>
                <w:lang w:val="zh-CN"/>
              </w:rPr>
              <w:t>检验贯穿在钢结构制造的各工序中，工件按要求完成后应按图纸和相关规范标准进行质量检验，产品零部件经过质量检验合格后才能进行工件的组焊工序。每个工序检验合格后，按组装顺序编号，然后工件进行产品质量的终检评定，检测合格入库暂存或运抵安装现场。</w:t>
            </w:r>
          </w:p>
          <w:p>
            <w:pPr>
              <w:spacing w:line="360" w:lineRule="auto"/>
              <w:ind w:firstLine="482" w:firstLineChars="200"/>
              <w:rPr>
                <w:b/>
                <w:bCs/>
                <w:kern w:val="0"/>
                <w:sz w:val="24"/>
                <w:lang w:val="zh-CN"/>
              </w:rPr>
            </w:pPr>
            <w:r>
              <w:rPr>
                <w:rFonts w:hint="eastAsia"/>
                <w:b/>
                <w:bCs/>
                <w:kern w:val="0"/>
                <w:sz w:val="24"/>
              </w:rPr>
              <w:t>2</w:t>
            </w:r>
            <w:r>
              <w:rPr>
                <w:rFonts w:hint="eastAsia"/>
                <w:b/>
                <w:bCs/>
                <w:kern w:val="0"/>
                <w:sz w:val="24"/>
                <w:lang w:val="zh-CN"/>
              </w:rPr>
              <w:t>、现有工程污染治理措施及达标排放情况</w:t>
            </w:r>
          </w:p>
          <w:p>
            <w:pPr>
              <w:spacing w:line="360" w:lineRule="auto"/>
              <w:ind w:firstLine="482" w:firstLineChars="200"/>
              <w:rPr>
                <w:b/>
                <w:bCs/>
                <w:kern w:val="0"/>
                <w:sz w:val="24"/>
              </w:rPr>
            </w:pPr>
            <w:r>
              <w:rPr>
                <w:rFonts w:hint="eastAsia"/>
                <w:b/>
                <w:bCs/>
                <w:kern w:val="0"/>
                <w:sz w:val="24"/>
              </w:rPr>
              <w:t>2.1 现有工程污染防治措施</w:t>
            </w:r>
          </w:p>
          <w:p>
            <w:pPr>
              <w:spacing w:line="360" w:lineRule="auto"/>
              <w:ind w:firstLine="482" w:firstLineChars="200"/>
              <w:jc w:val="center"/>
              <w:rPr>
                <w:b/>
                <w:bCs/>
                <w:kern w:val="0"/>
                <w:sz w:val="24"/>
              </w:rPr>
            </w:pPr>
            <w:r>
              <w:rPr>
                <w:rFonts w:hint="eastAsia"/>
                <w:b/>
                <w:bCs/>
                <w:kern w:val="0"/>
                <w:sz w:val="24"/>
              </w:rPr>
              <w:t>表2-1</w:t>
            </w:r>
            <w:r>
              <w:rPr>
                <w:rFonts w:hint="eastAsia"/>
                <w:b/>
                <w:bCs/>
                <w:kern w:val="0"/>
                <w:sz w:val="24"/>
                <w:lang w:val="en-US" w:eastAsia="zh-CN"/>
              </w:rPr>
              <w:t>8</w:t>
            </w:r>
            <w:r>
              <w:rPr>
                <w:rFonts w:hint="eastAsia"/>
                <w:b/>
                <w:bCs/>
                <w:kern w:val="0"/>
                <w:sz w:val="24"/>
              </w:rPr>
              <w:t xml:space="preserve">  现有工程采取的污染防治措施一览表</w:t>
            </w:r>
          </w:p>
          <w:tbl>
            <w:tblPr>
              <w:tblStyle w:val="58"/>
              <w:tblW w:w="499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74"/>
              <w:gridCol w:w="1751"/>
              <w:gridCol w:w="2825"/>
              <w:gridCol w:w="25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703" w:type="pct"/>
                  <w:tcBorders>
                    <w:tl2br w:val="nil"/>
                    <w:tr2bl w:val="nil"/>
                  </w:tcBorders>
                  <w:vAlign w:val="center"/>
                </w:tcPr>
                <w:p>
                  <w:pPr>
                    <w:pStyle w:val="217"/>
                    <w:spacing w:before="22"/>
                    <w:ind w:left="107"/>
                    <w:rPr>
                      <w:rFonts w:ascii="Times New Roman" w:hAnsi="Times New Roman"/>
                      <w:b/>
                      <w:bCs/>
                      <w:sz w:val="21"/>
                    </w:rPr>
                  </w:pPr>
                  <w:r>
                    <w:rPr>
                      <w:rFonts w:ascii="Times New Roman" w:hAnsi="Times New Roman"/>
                      <w:b/>
                      <w:bCs/>
                      <w:sz w:val="21"/>
                    </w:rPr>
                    <w:t>运营期</w:t>
                  </w:r>
                </w:p>
                <w:p>
                  <w:pPr>
                    <w:pStyle w:val="217"/>
                    <w:spacing w:before="43"/>
                    <w:ind w:left="213"/>
                    <w:rPr>
                      <w:rFonts w:ascii="Times New Roman" w:hAnsi="Times New Roman"/>
                      <w:b/>
                      <w:bCs/>
                      <w:sz w:val="21"/>
                    </w:rPr>
                  </w:pPr>
                  <w:r>
                    <w:rPr>
                      <w:rFonts w:ascii="Times New Roman" w:hAnsi="Times New Roman"/>
                      <w:b/>
                      <w:bCs/>
                      <w:sz w:val="21"/>
                    </w:rPr>
                    <w:t>阶段</w:t>
                  </w:r>
                </w:p>
              </w:tc>
              <w:tc>
                <w:tcPr>
                  <w:tcW w:w="1049" w:type="pct"/>
                  <w:tcBorders>
                    <w:tl2br w:val="nil"/>
                    <w:tr2bl w:val="nil"/>
                  </w:tcBorders>
                  <w:vAlign w:val="center"/>
                </w:tcPr>
                <w:p>
                  <w:pPr>
                    <w:pStyle w:val="217"/>
                    <w:spacing w:before="178"/>
                    <w:ind w:left="92" w:right="78"/>
                    <w:rPr>
                      <w:rFonts w:ascii="Times New Roman" w:hAnsi="Times New Roman"/>
                      <w:b/>
                      <w:bCs/>
                      <w:sz w:val="21"/>
                    </w:rPr>
                  </w:pPr>
                  <w:r>
                    <w:rPr>
                      <w:rFonts w:ascii="Times New Roman" w:hAnsi="Times New Roman"/>
                      <w:b/>
                      <w:bCs/>
                      <w:sz w:val="21"/>
                    </w:rPr>
                    <w:t>污染源</w:t>
                  </w:r>
                </w:p>
              </w:tc>
              <w:tc>
                <w:tcPr>
                  <w:tcW w:w="1692" w:type="pct"/>
                  <w:tcBorders>
                    <w:tl2br w:val="nil"/>
                    <w:tr2bl w:val="nil"/>
                  </w:tcBorders>
                  <w:vAlign w:val="center"/>
                </w:tcPr>
                <w:p>
                  <w:pPr>
                    <w:pStyle w:val="217"/>
                    <w:spacing w:before="178"/>
                    <w:ind w:left="106" w:right="98"/>
                    <w:rPr>
                      <w:rFonts w:ascii="Times New Roman" w:hAnsi="Times New Roman"/>
                      <w:b/>
                      <w:bCs/>
                      <w:sz w:val="21"/>
                    </w:rPr>
                  </w:pPr>
                  <w:r>
                    <w:rPr>
                      <w:rFonts w:hint="eastAsia" w:ascii="Times New Roman" w:hAnsi="Times New Roman"/>
                      <w:b/>
                      <w:bCs/>
                      <w:sz w:val="21"/>
                      <w:lang w:val="en-US"/>
                    </w:rPr>
                    <w:t>污染物名称</w:t>
                  </w:r>
                </w:p>
              </w:tc>
              <w:tc>
                <w:tcPr>
                  <w:tcW w:w="1553" w:type="pct"/>
                  <w:tcBorders>
                    <w:tl2br w:val="nil"/>
                    <w:tr2bl w:val="nil"/>
                  </w:tcBorders>
                  <w:vAlign w:val="center"/>
                </w:tcPr>
                <w:p>
                  <w:pPr>
                    <w:pStyle w:val="217"/>
                    <w:spacing w:before="178"/>
                    <w:ind w:left="113" w:right="103"/>
                    <w:rPr>
                      <w:rFonts w:ascii="Times New Roman" w:hAnsi="Times New Roman"/>
                      <w:b/>
                      <w:bCs/>
                      <w:sz w:val="21"/>
                    </w:rPr>
                  </w:pPr>
                  <w:r>
                    <w:rPr>
                      <w:rFonts w:hint="eastAsia" w:ascii="Times New Roman" w:hAnsi="Times New Roman"/>
                      <w:b/>
                      <w:bCs/>
                      <w:sz w:val="21"/>
                      <w:lang w:val="en-US"/>
                    </w:rPr>
                    <w:t>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703" w:type="pct"/>
                  <w:vMerge w:val="restart"/>
                  <w:tcBorders>
                    <w:tl2br w:val="nil"/>
                    <w:tr2bl w:val="nil"/>
                  </w:tcBorders>
                  <w:vAlign w:val="center"/>
                </w:tcPr>
                <w:p>
                  <w:pPr>
                    <w:pStyle w:val="217"/>
                    <w:spacing w:line="278" w:lineRule="auto"/>
                    <w:ind w:left="213" w:right="93" w:hanging="106"/>
                    <w:rPr>
                      <w:rFonts w:ascii="Times New Roman" w:hAnsi="Times New Roman"/>
                      <w:sz w:val="21"/>
                    </w:rPr>
                  </w:pPr>
                  <w:r>
                    <w:rPr>
                      <w:rFonts w:ascii="Times New Roman" w:hAnsi="Times New Roman"/>
                      <w:sz w:val="21"/>
                    </w:rPr>
                    <w:t>大气污染物</w:t>
                  </w:r>
                </w:p>
              </w:tc>
              <w:tc>
                <w:tcPr>
                  <w:tcW w:w="1049" w:type="pct"/>
                  <w:tcBorders>
                    <w:tl2br w:val="nil"/>
                    <w:tr2bl w:val="nil"/>
                  </w:tcBorders>
                  <w:vAlign w:val="center"/>
                </w:tcPr>
                <w:p>
                  <w:pPr>
                    <w:pStyle w:val="217"/>
                    <w:ind w:left="92" w:right="80"/>
                    <w:rPr>
                      <w:rFonts w:ascii="Times New Roman" w:hAnsi="Times New Roman"/>
                      <w:sz w:val="21"/>
                    </w:rPr>
                  </w:pPr>
                  <w:r>
                    <w:rPr>
                      <w:rFonts w:ascii="Times New Roman" w:hAnsi="Times New Roman"/>
                      <w:sz w:val="21"/>
                    </w:rPr>
                    <w:t>抛丸粉尘</w:t>
                  </w:r>
                </w:p>
              </w:tc>
              <w:tc>
                <w:tcPr>
                  <w:tcW w:w="1692" w:type="pct"/>
                  <w:tcBorders>
                    <w:tl2br w:val="nil"/>
                    <w:tr2bl w:val="nil"/>
                  </w:tcBorders>
                  <w:vAlign w:val="center"/>
                </w:tcPr>
                <w:p>
                  <w:pPr>
                    <w:pStyle w:val="217"/>
                    <w:spacing w:before="178" w:line="278" w:lineRule="auto"/>
                    <w:ind w:left="698" w:right="100" w:hanging="586"/>
                    <w:rPr>
                      <w:rFonts w:ascii="Times New Roman" w:hAnsi="Times New Roman"/>
                      <w:sz w:val="21"/>
                    </w:rPr>
                  </w:pPr>
                  <w:r>
                    <w:rPr>
                      <w:rFonts w:ascii="Times New Roman" w:hAnsi="Times New Roman"/>
                      <w:sz w:val="21"/>
                    </w:rPr>
                    <w:t>颗粒物</w:t>
                  </w:r>
                </w:p>
              </w:tc>
              <w:tc>
                <w:tcPr>
                  <w:tcW w:w="1553" w:type="pct"/>
                  <w:tcBorders>
                    <w:tl2br w:val="nil"/>
                    <w:tr2bl w:val="nil"/>
                  </w:tcBorders>
                  <w:vAlign w:val="center"/>
                </w:tcPr>
                <w:p>
                  <w:pPr>
                    <w:pStyle w:val="217"/>
                    <w:spacing w:before="22" w:line="278" w:lineRule="auto"/>
                    <w:ind w:left="172" w:right="160" w:firstLine="1"/>
                    <w:rPr>
                      <w:rFonts w:ascii="Times New Roman" w:hAnsi="Times New Roman"/>
                      <w:sz w:val="21"/>
                    </w:rPr>
                  </w:pPr>
                  <w:r>
                    <w:rPr>
                      <w:rFonts w:ascii="Times New Roman" w:hAnsi="Times New Roman"/>
                      <w:sz w:val="21"/>
                    </w:rPr>
                    <w:t>旋风除尘器+布袋除尘器+15m 高排气筒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 w:hRule="atLeast"/>
              </w:trPr>
              <w:tc>
                <w:tcPr>
                  <w:tcW w:w="703" w:type="pct"/>
                  <w:vMerge w:val="continue"/>
                  <w:tcBorders>
                    <w:tl2br w:val="nil"/>
                    <w:tr2bl w:val="nil"/>
                  </w:tcBorders>
                  <w:vAlign w:val="center"/>
                </w:tcPr>
                <w:p>
                  <w:pPr>
                    <w:jc w:val="center"/>
                    <w:rPr>
                      <w:szCs w:val="2"/>
                    </w:rPr>
                  </w:pPr>
                </w:p>
              </w:tc>
              <w:tc>
                <w:tcPr>
                  <w:tcW w:w="1049" w:type="pct"/>
                  <w:tcBorders>
                    <w:tl2br w:val="nil"/>
                    <w:tr2bl w:val="nil"/>
                  </w:tcBorders>
                  <w:vAlign w:val="center"/>
                </w:tcPr>
                <w:p>
                  <w:pPr>
                    <w:pStyle w:val="217"/>
                    <w:spacing w:before="22"/>
                    <w:ind w:left="110" w:firstLine="105"/>
                    <w:rPr>
                      <w:rFonts w:ascii="Times New Roman" w:hAnsi="Times New Roman"/>
                      <w:sz w:val="21"/>
                    </w:rPr>
                  </w:pPr>
                  <w:r>
                    <w:rPr>
                      <w:rFonts w:ascii="Times New Roman" w:hAnsi="Times New Roman"/>
                      <w:sz w:val="21"/>
                    </w:rPr>
                    <w:t>机加工粉尘、焊接烟尘</w:t>
                  </w:r>
                </w:p>
              </w:tc>
              <w:tc>
                <w:tcPr>
                  <w:tcW w:w="1692" w:type="pct"/>
                  <w:tcBorders>
                    <w:tl2br w:val="nil"/>
                    <w:tr2bl w:val="nil"/>
                  </w:tcBorders>
                  <w:vAlign w:val="center"/>
                </w:tcPr>
                <w:p>
                  <w:pPr>
                    <w:pStyle w:val="217"/>
                    <w:ind w:left="105" w:right="98"/>
                    <w:rPr>
                      <w:rFonts w:ascii="Times New Roman" w:hAnsi="Times New Roman"/>
                      <w:sz w:val="21"/>
                    </w:rPr>
                  </w:pPr>
                  <w:r>
                    <w:rPr>
                      <w:rFonts w:ascii="Times New Roman" w:hAnsi="Times New Roman"/>
                      <w:sz w:val="21"/>
                    </w:rPr>
                    <w:t>颗粒物</w:t>
                  </w:r>
                </w:p>
              </w:tc>
              <w:tc>
                <w:tcPr>
                  <w:tcW w:w="1553" w:type="pct"/>
                  <w:tcBorders>
                    <w:tl2br w:val="nil"/>
                    <w:tr2bl w:val="nil"/>
                  </w:tcBorders>
                  <w:vAlign w:val="center"/>
                </w:tcPr>
                <w:p>
                  <w:pPr>
                    <w:pStyle w:val="217"/>
                    <w:ind w:left="112" w:right="103"/>
                    <w:rPr>
                      <w:rFonts w:ascii="Times New Roman" w:hAnsi="Times New Roman"/>
                      <w:sz w:val="21"/>
                    </w:rPr>
                  </w:pPr>
                  <w:r>
                    <w:rPr>
                      <w:rFonts w:ascii="Times New Roman" w:hAnsi="Times New Roman"/>
                      <w:sz w:val="21"/>
                    </w:rPr>
                    <w:t>移动式除尘器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2" w:hRule="atLeast"/>
              </w:trPr>
              <w:tc>
                <w:tcPr>
                  <w:tcW w:w="703" w:type="pct"/>
                  <w:vMerge w:val="continue"/>
                  <w:tcBorders>
                    <w:tl2br w:val="nil"/>
                    <w:tr2bl w:val="nil"/>
                  </w:tcBorders>
                  <w:vAlign w:val="center"/>
                </w:tcPr>
                <w:p>
                  <w:pPr>
                    <w:jc w:val="center"/>
                    <w:rPr>
                      <w:szCs w:val="2"/>
                    </w:rPr>
                  </w:pPr>
                </w:p>
              </w:tc>
              <w:tc>
                <w:tcPr>
                  <w:tcW w:w="1049" w:type="pct"/>
                  <w:tcBorders>
                    <w:tl2br w:val="nil"/>
                    <w:tr2bl w:val="nil"/>
                  </w:tcBorders>
                  <w:vAlign w:val="center"/>
                </w:tcPr>
                <w:p>
                  <w:pPr>
                    <w:pStyle w:val="217"/>
                    <w:spacing w:line="278" w:lineRule="auto"/>
                    <w:ind w:left="530" w:right="96" w:hanging="421"/>
                    <w:rPr>
                      <w:rFonts w:ascii="Times New Roman" w:hAnsi="Times New Roman"/>
                      <w:sz w:val="21"/>
                    </w:rPr>
                  </w:pPr>
                  <w:r>
                    <w:rPr>
                      <w:rFonts w:ascii="Times New Roman" w:hAnsi="Times New Roman"/>
                      <w:sz w:val="21"/>
                    </w:rPr>
                    <w:t>喷涂有机废气</w:t>
                  </w:r>
                </w:p>
              </w:tc>
              <w:tc>
                <w:tcPr>
                  <w:tcW w:w="1692" w:type="pct"/>
                  <w:tcBorders>
                    <w:tl2br w:val="nil"/>
                    <w:tr2bl w:val="nil"/>
                  </w:tcBorders>
                  <w:vAlign w:val="center"/>
                </w:tcPr>
                <w:p>
                  <w:pPr>
                    <w:pStyle w:val="217"/>
                    <w:spacing w:before="43" w:line="278" w:lineRule="auto"/>
                    <w:ind w:left="278" w:right="268" w:firstLine="230"/>
                    <w:rPr>
                      <w:rFonts w:hint="default" w:ascii="Times New Roman" w:hAnsi="Times New Roman" w:eastAsia="宋体"/>
                      <w:sz w:val="21"/>
                      <w:lang w:val="en-US" w:eastAsia="zh-CN"/>
                    </w:rPr>
                  </w:pPr>
                  <w:r>
                    <w:rPr>
                      <w:rFonts w:ascii="Times New Roman" w:hAnsi="Times New Roman"/>
                      <w:sz w:val="21"/>
                    </w:rPr>
                    <w:t>VOCS、甲苯、</w:t>
                  </w:r>
                  <w:r>
                    <w:rPr>
                      <w:rFonts w:hint="eastAsia" w:ascii="Times New Roman" w:hAnsi="Times New Roman"/>
                      <w:sz w:val="21"/>
                      <w:lang w:val="en-US" w:eastAsia="zh-CN"/>
                    </w:rPr>
                    <w:t>二甲苯</w:t>
                  </w:r>
                  <w:r>
                    <w:rPr>
                      <w:rFonts w:hint="eastAsia" w:ascii="Times New Roman" w:hAnsi="Times New Roman"/>
                      <w:sz w:val="21"/>
                      <w:lang w:eastAsia="zh-CN"/>
                    </w:rPr>
                    <w:t>、</w:t>
                  </w:r>
                  <w:r>
                    <w:rPr>
                      <w:rFonts w:hint="eastAsia" w:ascii="Times New Roman" w:hAnsi="Times New Roman"/>
                      <w:sz w:val="21"/>
                      <w:lang w:val="en-US" w:eastAsia="zh-CN"/>
                    </w:rPr>
                    <w:t>颗粒物</w:t>
                  </w:r>
                </w:p>
              </w:tc>
              <w:tc>
                <w:tcPr>
                  <w:tcW w:w="1553" w:type="pct"/>
                  <w:tcBorders>
                    <w:tl2br w:val="nil"/>
                    <w:tr2bl w:val="nil"/>
                  </w:tcBorders>
                  <w:vAlign w:val="center"/>
                </w:tcPr>
                <w:p>
                  <w:pPr>
                    <w:pStyle w:val="217"/>
                    <w:spacing w:before="22"/>
                    <w:ind w:left="115" w:right="103"/>
                    <w:rPr>
                      <w:rFonts w:ascii="Times New Roman" w:hAnsi="Times New Roman"/>
                      <w:sz w:val="21"/>
                    </w:rPr>
                  </w:pPr>
                  <w:r>
                    <w:rPr>
                      <w:rFonts w:ascii="Times New Roman" w:hAnsi="Times New Roman"/>
                      <w:sz w:val="21"/>
                    </w:rPr>
                    <w:t>干式过滤器</w:t>
                  </w:r>
                </w:p>
                <w:p>
                  <w:pPr>
                    <w:pStyle w:val="217"/>
                    <w:spacing w:before="2" w:line="310" w:lineRule="atLeast"/>
                    <w:ind w:left="115" w:right="103"/>
                    <w:rPr>
                      <w:rFonts w:ascii="Times New Roman" w:hAnsi="Times New Roman"/>
                      <w:sz w:val="21"/>
                    </w:rPr>
                  </w:pPr>
                  <w:r>
                    <w:rPr>
                      <w:rFonts w:ascii="Times New Roman" w:hAnsi="Times New Roman"/>
                      <w:sz w:val="21"/>
                    </w:rPr>
                    <w:t>+活性炭吸附脱附+催化燃烧+15m高排气筒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703" w:type="pct"/>
                  <w:tcBorders>
                    <w:tl2br w:val="nil"/>
                    <w:tr2bl w:val="nil"/>
                  </w:tcBorders>
                  <w:vAlign w:val="center"/>
                </w:tcPr>
                <w:p>
                  <w:pPr>
                    <w:pStyle w:val="217"/>
                    <w:spacing w:before="178" w:line="278" w:lineRule="auto"/>
                    <w:ind w:left="316" w:right="93" w:hanging="209"/>
                    <w:rPr>
                      <w:rFonts w:ascii="Times New Roman" w:hAnsi="Times New Roman"/>
                      <w:sz w:val="21"/>
                    </w:rPr>
                  </w:pPr>
                  <w:r>
                    <w:rPr>
                      <w:rFonts w:ascii="Times New Roman" w:hAnsi="Times New Roman"/>
                      <w:sz w:val="21"/>
                    </w:rPr>
                    <w:t>水污染物</w:t>
                  </w:r>
                </w:p>
              </w:tc>
              <w:tc>
                <w:tcPr>
                  <w:tcW w:w="1049" w:type="pct"/>
                  <w:tcBorders>
                    <w:tl2br w:val="nil"/>
                    <w:tr2bl w:val="nil"/>
                  </w:tcBorders>
                  <w:vAlign w:val="center"/>
                </w:tcPr>
                <w:p>
                  <w:pPr>
                    <w:pStyle w:val="217"/>
                    <w:ind w:left="92" w:right="80"/>
                    <w:rPr>
                      <w:rFonts w:ascii="Times New Roman" w:hAnsi="Times New Roman"/>
                      <w:sz w:val="21"/>
                    </w:rPr>
                  </w:pPr>
                  <w:r>
                    <w:rPr>
                      <w:rFonts w:ascii="Times New Roman" w:hAnsi="Times New Roman"/>
                      <w:sz w:val="21"/>
                    </w:rPr>
                    <w:t>生活废水</w:t>
                  </w:r>
                </w:p>
              </w:tc>
              <w:tc>
                <w:tcPr>
                  <w:tcW w:w="1692" w:type="pct"/>
                  <w:tcBorders>
                    <w:tl2br w:val="nil"/>
                    <w:tr2bl w:val="nil"/>
                  </w:tcBorders>
                  <w:vAlign w:val="center"/>
                </w:tcPr>
                <w:p>
                  <w:pPr>
                    <w:pStyle w:val="217"/>
                    <w:spacing w:before="2" w:line="310" w:lineRule="atLeast"/>
                    <w:ind w:left="909" w:right="163" w:hanging="735"/>
                    <w:rPr>
                      <w:rFonts w:ascii="Times New Roman" w:hAnsi="Times New Roman"/>
                      <w:sz w:val="21"/>
                      <w:lang w:val="en-US"/>
                    </w:rPr>
                  </w:pPr>
                  <w:r>
                    <w:rPr>
                      <w:rFonts w:hint="eastAsia" w:ascii="Times New Roman" w:hAnsi="Times New Roman"/>
                      <w:sz w:val="21"/>
                      <w:lang w:val="en-US"/>
                    </w:rPr>
                    <w:t>PH、COD、BOD</w:t>
                  </w:r>
                  <w:r>
                    <w:rPr>
                      <w:rFonts w:hint="eastAsia" w:ascii="Times New Roman" w:hAnsi="Times New Roman"/>
                      <w:sz w:val="21"/>
                      <w:vertAlign w:val="subscript"/>
                      <w:lang w:val="en-US"/>
                    </w:rPr>
                    <w:t>5</w:t>
                  </w:r>
                  <w:r>
                    <w:rPr>
                      <w:rFonts w:hint="eastAsia" w:ascii="Times New Roman" w:hAnsi="Times New Roman"/>
                      <w:sz w:val="21"/>
                      <w:lang w:val="en-US"/>
                    </w:rPr>
                    <w:t>、SS、NH</w:t>
                  </w:r>
                  <w:r>
                    <w:rPr>
                      <w:rFonts w:hint="eastAsia" w:ascii="Times New Roman" w:hAnsi="Times New Roman"/>
                      <w:sz w:val="21"/>
                      <w:vertAlign w:val="subscript"/>
                      <w:lang w:val="en-US"/>
                    </w:rPr>
                    <w:t>3</w:t>
                  </w:r>
                  <w:r>
                    <w:rPr>
                      <w:rFonts w:hint="eastAsia" w:ascii="Times New Roman" w:hAnsi="Times New Roman"/>
                      <w:sz w:val="21"/>
                      <w:lang w:val="en-US"/>
                    </w:rPr>
                    <w:t>-N、动植物油</w:t>
                  </w:r>
                </w:p>
              </w:tc>
              <w:tc>
                <w:tcPr>
                  <w:tcW w:w="1553" w:type="pct"/>
                  <w:tcBorders>
                    <w:tl2br w:val="nil"/>
                    <w:tr2bl w:val="nil"/>
                  </w:tcBorders>
                  <w:vAlign w:val="center"/>
                </w:tcPr>
                <w:p>
                  <w:pPr>
                    <w:pStyle w:val="217"/>
                    <w:ind w:left="112" w:right="103"/>
                    <w:rPr>
                      <w:rFonts w:ascii="Times New Roman" w:hAnsi="Times New Roman"/>
                      <w:sz w:val="21"/>
                    </w:rPr>
                  </w:pPr>
                  <w:r>
                    <w:rPr>
                      <w:rFonts w:ascii="Times New Roman" w:hAnsi="Times New Roman"/>
                      <w:sz w:val="21"/>
                    </w:rPr>
                    <w:t>雨水管网、污水管网、化粪池、隔油池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703" w:type="pct"/>
                  <w:tcBorders>
                    <w:tl2br w:val="nil"/>
                    <w:tr2bl w:val="nil"/>
                  </w:tcBorders>
                  <w:vAlign w:val="center"/>
                </w:tcPr>
                <w:p>
                  <w:pPr>
                    <w:pStyle w:val="217"/>
                    <w:spacing w:before="1"/>
                    <w:ind w:left="213"/>
                    <w:rPr>
                      <w:rFonts w:ascii="Times New Roman" w:hAnsi="Times New Roman"/>
                      <w:sz w:val="21"/>
                    </w:rPr>
                  </w:pPr>
                  <w:r>
                    <w:rPr>
                      <w:rFonts w:ascii="Times New Roman" w:hAnsi="Times New Roman"/>
                      <w:sz w:val="21"/>
                    </w:rPr>
                    <w:t>噪声</w:t>
                  </w:r>
                </w:p>
              </w:tc>
              <w:tc>
                <w:tcPr>
                  <w:tcW w:w="1049" w:type="pct"/>
                  <w:tcBorders>
                    <w:tl2br w:val="nil"/>
                    <w:tr2bl w:val="nil"/>
                  </w:tcBorders>
                  <w:vAlign w:val="center"/>
                </w:tcPr>
                <w:p>
                  <w:pPr>
                    <w:pStyle w:val="217"/>
                    <w:spacing w:before="1"/>
                    <w:ind w:left="92" w:right="80"/>
                    <w:rPr>
                      <w:rFonts w:ascii="Times New Roman" w:hAnsi="Times New Roman"/>
                      <w:sz w:val="21"/>
                    </w:rPr>
                  </w:pPr>
                  <w:r>
                    <w:rPr>
                      <w:rFonts w:hint="eastAsia" w:ascii="Times New Roman" w:hAnsi="Times New Roman"/>
                      <w:sz w:val="21"/>
                      <w:lang w:val="en-US"/>
                    </w:rPr>
                    <w:t>生产设备</w:t>
                  </w:r>
                </w:p>
              </w:tc>
              <w:tc>
                <w:tcPr>
                  <w:tcW w:w="1692" w:type="pct"/>
                  <w:tcBorders>
                    <w:tl2br w:val="nil"/>
                    <w:tr2bl w:val="nil"/>
                  </w:tcBorders>
                  <w:vAlign w:val="center"/>
                </w:tcPr>
                <w:p>
                  <w:pPr>
                    <w:pStyle w:val="217"/>
                    <w:spacing w:line="269" w:lineRule="exact"/>
                    <w:ind w:left="107" w:right="98"/>
                    <w:rPr>
                      <w:rFonts w:ascii="Times New Roman" w:hAnsi="Times New Roman"/>
                      <w:sz w:val="21"/>
                      <w:lang w:val="en-US"/>
                    </w:rPr>
                  </w:pPr>
                  <w:r>
                    <w:rPr>
                      <w:rFonts w:hint="eastAsia" w:ascii="Times New Roman" w:hAnsi="Times New Roman"/>
                      <w:sz w:val="21"/>
                      <w:lang w:val="en-US"/>
                    </w:rPr>
                    <w:t>设备噪声</w:t>
                  </w:r>
                </w:p>
              </w:tc>
              <w:tc>
                <w:tcPr>
                  <w:tcW w:w="1553" w:type="pct"/>
                  <w:tcBorders>
                    <w:tl2br w:val="nil"/>
                    <w:tr2bl w:val="nil"/>
                  </w:tcBorders>
                  <w:vAlign w:val="center"/>
                </w:tcPr>
                <w:p>
                  <w:pPr>
                    <w:pStyle w:val="217"/>
                    <w:spacing w:before="1"/>
                    <w:ind w:left="112" w:right="103"/>
                    <w:rPr>
                      <w:rFonts w:ascii="Times New Roman" w:hAnsi="Times New Roman"/>
                      <w:sz w:val="21"/>
                    </w:rPr>
                  </w:pPr>
                  <w:r>
                    <w:rPr>
                      <w:rFonts w:ascii="Times New Roman" w:hAnsi="Times New Roman"/>
                      <w:sz w:val="21"/>
                    </w:rPr>
                    <w:t>选用低噪音设备、安装减震基座、建筑消声隔声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703" w:type="pct"/>
                  <w:vMerge w:val="restart"/>
                  <w:tcBorders>
                    <w:tl2br w:val="nil"/>
                    <w:tr2bl w:val="nil"/>
                  </w:tcBorders>
                  <w:vAlign w:val="center"/>
                </w:tcPr>
                <w:p>
                  <w:pPr>
                    <w:pStyle w:val="217"/>
                    <w:ind w:left="213"/>
                    <w:rPr>
                      <w:rFonts w:ascii="Times New Roman" w:hAnsi="Times New Roman"/>
                      <w:sz w:val="21"/>
                    </w:rPr>
                  </w:pPr>
                  <w:r>
                    <w:rPr>
                      <w:rFonts w:ascii="Times New Roman" w:hAnsi="Times New Roman"/>
                      <w:sz w:val="21"/>
                    </w:rPr>
                    <w:t>固废</w:t>
                  </w:r>
                </w:p>
              </w:tc>
              <w:tc>
                <w:tcPr>
                  <w:tcW w:w="1049" w:type="pct"/>
                  <w:tcBorders>
                    <w:tl2br w:val="nil"/>
                    <w:tr2bl w:val="nil"/>
                  </w:tcBorders>
                  <w:vAlign w:val="center"/>
                </w:tcPr>
                <w:p>
                  <w:pPr>
                    <w:pStyle w:val="217"/>
                    <w:ind w:left="92" w:right="80"/>
                    <w:rPr>
                      <w:rFonts w:ascii="Times New Roman" w:hAnsi="Times New Roman"/>
                      <w:sz w:val="21"/>
                      <w:lang w:val="en-US"/>
                    </w:rPr>
                  </w:pPr>
                  <w:r>
                    <w:rPr>
                      <w:rFonts w:hint="eastAsia" w:ascii="Times New Roman" w:hAnsi="Times New Roman"/>
                      <w:sz w:val="21"/>
                      <w:lang w:val="en-US"/>
                    </w:rPr>
                    <w:t>职工生活</w:t>
                  </w:r>
                </w:p>
              </w:tc>
              <w:tc>
                <w:tcPr>
                  <w:tcW w:w="1692" w:type="pct"/>
                  <w:tcBorders>
                    <w:tl2br w:val="nil"/>
                    <w:tr2bl w:val="nil"/>
                  </w:tcBorders>
                  <w:vAlign w:val="center"/>
                </w:tcPr>
                <w:p>
                  <w:pPr>
                    <w:pStyle w:val="217"/>
                    <w:ind w:left="92" w:right="80"/>
                    <w:rPr>
                      <w:rFonts w:ascii="Times New Roman" w:hAnsi="Times New Roman"/>
                      <w:sz w:val="21"/>
                    </w:rPr>
                  </w:pPr>
                  <w:r>
                    <w:rPr>
                      <w:rFonts w:ascii="Times New Roman" w:hAnsi="Times New Roman"/>
                      <w:sz w:val="21"/>
                    </w:rPr>
                    <w:t>生活垃圾</w:t>
                  </w:r>
                </w:p>
              </w:tc>
              <w:tc>
                <w:tcPr>
                  <w:tcW w:w="1553" w:type="pct"/>
                  <w:tcBorders>
                    <w:tl2br w:val="nil"/>
                    <w:tr2bl w:val="nil"/>
                  </w:tcBorders>
                  <w:vAlign w:val="center"/>
                </w:tcPr>
                <w:p>
                  <w:pPr>
                    <w:autoSpaceDE w:val="0"/>
                    <w:autoSpaceDN w:val="0"/>
                    <w:spacing w:before="22" w:line="278" w:lineRule="auto"/>
                    <w:ind w:left="151" w:right="137"/>
                    <w:jc w:val="center"/>
                  </w:pPr>
                  <w:r>
                    <w:rPr>
                      <w:rFonts w:ascii="宋体" w:hAnsi="宋体" w:cs="宋体"/>
                      <w:szCs w:val="22"/>
                      <w:lang w:val="zh-CN" w:bidi="zh-CN"/>
                    </w:rPr>
                    <w:t>收集后交由市政环卫部门统一清运、处置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03" w:type="pct"/>
                  <w:vMerge w:val="continue"/>
                  <w:tcBorders>
                    <w:tl2br w:val="nil"/>
                    <w:tr2bl w:val="nil"/>
                  </w:tcBorders>
                  <w:vAlign w:val="center"/>
                </w:tcPr>
                <w:p>
                  <w:pPr>
                    <w:jc w:val="center"/>
                    <w:rPr>
                      <w:szCs w:val="2"/>
                    </w:rPr>
                  </w:pPr>
                </w:p>
              </w:tc>
              <w:tc>
                <w:tcPr>
                  <w:tcW w:w="1049" w:type="pct"/>
                  <w:vMerge w:val="restart"/>
                  <w:tcBorders>
                    <w:tl2br w:val="nil"/>
                    <w:tr2bl w:val="nil"/>
                  </w:tcBorders>
                  <w:vAlign w:val="center"/>
                </w:tcPr>
                <w:p>
                  <w:pPr>
                    <w:pStyle w:val="217"/>
                    <w:spacing w:before="22"/>
                    <w:ind w:left="92" w:right="80"/>
                    <w:rPr>
                      <w:rFonts w:ascii="Times New Roman" w:hAnsi="Times New Roman"/>
                      <w:sz w:val="21"/>
                      <w:lang w:val="en-US"/>
                    </w:rPr>
                  </w:pPr>
                  <w:r>
                    <w:rPr>
                      <w:rFonts w:hint="eastAsia" w:ascii="Times New Roman" w:hAnsi="Times New Roman"/>
                      <w:sz w:val="21"/>
                      <w:lang w:val="en-US"/>
                    </w:rPr>
                    <w:t>一般固废</w:t>
                  </w:r>
                </w:p>
              </w:tc>
              <w:tc>
                <w:tcPr>
                  <w:tcW w:w="1692" w:type="pct"/>
                  <w:tcBorders>
                    <w:tl2br w:val="nil"/>
                    <w:tr2bl w:val="nil"/>
                  </w:tcBorders>
                  <w:vAlign w:val="center"/>
                </w:tcPr>
                <w:p>
                  <w:pPr>
                    <w:pStyle w:val="217"/>
                    <w:spacing w:before="22"/>
                    <w:ind w:left="92" w:right="80"/>
                    <w:rPr>
                      <w:rFonts w:ascii="Times New Roman" w:hAnsi="Times New Roman"/>
                      <w:sz w:val="21"/>
                    </w:rPr>
                  </w:pPr>
                  <w:r>
                    <w:rPr>
                      <w:rFonts w:ascii="Times New Roman" w:hAnsi="Times New Roman"/>
                      <w:sz w:val="21"/>
                    </w:rPr>
                    <w:t>边角废料</w:t>
                  </w:r>
                </w:p>
              </w:tc>
              <w:tc>
                <w:tcPr>
                  <w:tcW w:w="1553" w:type="pct"/>
                  <w:vMerge w:val="restart"/>
                  <w:tcBorders>
                    <w:tl2br w:val="nil"/>
                    <w:tr2bl w:val="nil"/>
                  </w:tcBorders>
                  <w:vAlign w:val="center"/>
                </w:tcPr>
                <w:p>
                  <w:pPr>
                    <w:pStyle w:val="217"/>
                    <w:spacing w:before="153"/>
                    <w:rPr>
                      <w:rFonts w:ascii="Times New Roman" w:hAnsi="Times New Roman"/>
                      <w:sz w:val="21"/>
                    </w:rPr>
                  </w:pPr>
                  <w:r>
                    <w:rPr>
                      <w:kern w:val="2"/>
                      <w:sz w:val="21"/>
                    </w:rPr>
                    <w:t>收集后交由物资回收部门回收处理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03" w:type="pct"/>
                  <w:vMerge w:val="continue"/>
                  <w:tcBorders>
                    <w:tl2br w:val="nil"/>
                    <w:tr2bl w:val="nil"/>
                  </w:tcBorders>
                  <w:vAlign w:val="center"/>
                </w:tcPr>
                <w:p>
                  <w:pPr>
                    <w:jc w:val="center"/>
                    <w:rPr>
                      <w:szCs w:val="2"/>
                    </w:rPr>
                  </w:pPr>
                </w:p>
              </w:tc>
              <w:tc>
                <w:tcPr>
                  <w:tcW w:w="1049" w:type="pct"/>
                  <w:vMerge w:val="continue"/>
                  <w:tcBorders>
                    <w:tl2br w:val="nil"/>
                    <w:tr2bl w:val="nil"/>
                  </w:tcBorders>
                  <w:vAlign w:val="center"/>
                </w:tcPr>
                <w:p>
                  <w:pPr>
                    <w:pStyle w:val="217"/>
                    <w:spacing w:before="22"/>
                    <w:ind w:left="92" w:right="80"/>
                    <w:rPr>
                      <w:rFonts w:ascii="Times New Roman" w:hAnsi="Times New Roman"/>
                      <w:sz w:val="21"/>
                    </w:rPr>
                  </w:pPr>
                </w:p>
              </w:tc>
              <w:tc>
                <w:tcPr>
                  <w:tcW w:w="1692" w:type="pct"/>
                  <w:tcBorders>
                    <w:tl2br w:val="nil"/>
                    <w:tr2bl w:val="nil"/>
                  </w:tcBorders>
                  <w:vAlign w:val="center"/>
                </w:tcPr>
                <w:p>
                  <w:pPr>
                    <w:pStyle w:val="217"/>
                    <w:spacing w:before="22"/>
                    <w:ind w:left="92" w:right="80"/>
                    <w:rPr>
                      <w:rFonts w:ascii="Times New Roman" w:hAnsi="Times New Roman"/>
                      <w:sz w:val="21"/>
                    </w:rPr>
                  </w:pPr>
                  <w:r>
                    <w:rPr>
                      <w:rFonts w:ascii="Times New Roman" w:hAnsi="Times New Roman"/>
                      <w:sz w:val="21"/>
                    </w:rPr>
                    <w:t>机加工粉尘</w:t>
                  </w:r>
                </w:p>
              </w:tc>
              <w:tc>
                <w:tcPr>
                  <w:tcW w:w="1553" w:type="pct"/>
                  <w:vMerge w:val="continue"/>
                  <w:tcBorders>
                    <w:tl2br w:val="nil"/>
                    <w:tr2bl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03" w:type="pct"/>
                  <w:vMerge w:val="continue"/>
                  <w:tcBorders>
                    <w:tl2br w:val="nil"/>
                    <w:tr2bl w:val="nil"/>
                  </w:tcBorders>
                  <w:vAlign w:val="center"/>
                </w:tcPr>
                <w:p>
                  <w:pPr>
                    <w:jc w:val="center"/>
                    <w:rPr>
                      <w:szCs w:val="2"/>
                    </w:rPr>
                  </w:pPr>
                </w:p>
              </w:tc>
              <w:tc>
                <w:tcPr>
                  <w:tcW w:w="1049" w:type="pct"/>
                  <w:vMerge w:val="continue"/>
                  <w:tcBorders>
                    <w:tl2br w:val="nil"/>
                    <w:tr2bl w:val="nil"/>
                  </w:tcBorders>
                  <w:vAlign w:val="center"/>
                </w:tcPr>
                <w:p>
                  <w:pPr>
                    <w:pStyle w:val="217"/>
                    <w:spacing w:before="22"/>
                    <w:ind w:left="92" w:right="80"/>
                    <w:rPr>
                      <w:rFonts w:ascii="Times New Roman" w:hAnsi="Times New Roman"/>
                      <w:sz w:val="21"/>
                    </w:rPr>
                  </w:pPr>
                </w:p>
              </w:tc>
              <w:tc>
                <w:tcPr>
                  <w:tcW w:w="1692" w:type="pct"/>
                  <w:tcBorders>
                    <w:tl2br w:val="nil"/>
                    <w:tr2bl w:val="nil"/>
                  </w:tcBorders>
                  <w:vAlign w:val="center"/>
                </w:tcPr>
                <w:p>
                  <w:pPr>
                    <w:pStyle w:val="217"/>
                    <w:spacing w:before="22"/>
                    <w:ind w:left="92" w:right="80"/>
                    <w:rPr>
                      <w:rFonts w:ascii="Times New Roman" w:hAnsi="Times New Roman"/>
                      <w:sz w:val="21"/>
                    </w:rPr>
                  </w:pPr>
                  <w:r>
                    <w:rPr>
                      <w:rFonts w:ascii="Times New Roman" w:hAnsi="Times New Roman"/>
                      <w:sz w:val="21"/>
                    </w:rPr>
                    <w:t>抛丸粉尘</w:t>
                  </w:r>
                </w:p>
              </w:tc>
              <w:tc>
                <w:tcPr>
                  <w:tcW w:w="1553" w:type="pct"/>
                  <w:vMerge w:val="continue"/>
                  <w:tcBorders>
                    <w:tl2br w:val="nil"/>
                    <w:tr2bl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03" w:type="pct"/>
                  <w:vMerge w:val="continue"/>
                  <w:tcBorders>
                    <w:tl2br w:val="nil"/>
                    <w:tr2bl w:val="nil"/>
                  </w:tcBorders>
                  <w:vAlign w:val="center"/>
                </w:tcPr>
                <w:p>
                  <w:pPr>
                    <w:jc w:val="center"/>
                    <w:rPr>
                      <w:szCs w:val="2"/>
                    </w:rPr>
                  </w:pPr>
                </w:p>
              </w:tc>
              <w:tc>
                <w:tcPr>
                  <w:tcW w:w="1049" w:type="pct"/>
                  <w:vMerge w:val="continue"/>
                  <w:tcBorders>
                    <w:tl2br w:val="nil"/>
                    <w:tr2bl w:val="nil"/>
                  </w:tcBorders>
                  <w:vAlign w:val="center"/>
                </w:tcPr>
                <w:p>
                  <w:pPr>
                    <w:pStyle w:val="217"/>
                    <w:spacing w:before="22"/>
                    <w:ind w:left="92" w:right="80"/>
                    <w:rPr>
                      <w:rFonts w:ascii="Times New Roman" w:hAnsi="Times New Roman"/>
                      <w:sz w:val="21"/>
                    </w:rPr>
                  </w:pPr>
                </w:p>
              </w:tc>
              <w:tc>
                <w:tcPr>
                  <w:tcW w:w="1692" w:type="pct"/>
                  <w:tcBorders>
                    <w:tl2br w:val="nil"/>
                    <w:tr2bl w:val="nil"/>
                  </w:tcBorders>
                  <w:vAlign w:val="center"/>
                </w:tcPr>
                <w:p>
                  <w:pPr>
                    <w:pStyle w:val="217"/>
                    <w:spacing w:before="22"/>
                    <w:ind w:left="92" w:right="80"/>
                    <w:rPr>
                      <w:rFonts w:ascii="Times New Roman" w:hAnsi="Times New Roman"/>
                      <w:sz w:val="21"/>
                    </w:rPr>
                  </w:pPr>
                  <w:r>
                    <w:rPr>
                      <w:rFonts w:ascii="Times New Roman" w:hAnsi="Times New Roman"/>
                      <w:sz w:val="21"/>
                    </w:rPr>
                    <w:t>焊接烟尘</w:t>
                  </w:r>
                </w:p>
              </w:tc>
              <w:tc>
                <w:tcPr>
                  <w:tcW w:w="1553" w:type="pct"/>
                  <w:vMerge w:val="continue"/>
                  <w:tcBorders>
                    <w:tl2br w:val="nil"/>
                    <w:tr2bl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3" w:hRule="atLeast"/>
              </w:trPr>
              <w:tc>
                <w:tcPr>
                  <w:tcW w:w="703" w:type="pct"/>
                  <w:vMerge w:val="continue"/>
                  <w:tcBorders>
                    <w:tl2br w:val="nil"/>
                    <w:tr2bl w:val="nil"/>
                  </w:tcBorders>
                  <w:vAlign w:val="center"/>
                </w:tcPr>
                <w:p>
                  <w:pPr>
                    <w:jc w:val="center"/>
                    <w:rPr>
                      <w:szCs w:val="2"/>
                    </w:rPr>
                  </w:pPr>
                </w:p>
              </w:tc>
              <w:tc>
                <w:tcPr>
                  <w:tcW w:w="1049" w:type="pct"/>
                  <w:vMerge w:val="continue"/>
                  <w:tcBorders>
                    <w:tl2br w:val="nil"/>
                    <w:tr2bl w:val="nil"/>
                  </w:tcBorders>
                  <w:vAlign w:val="center"/>
                </w:tcPr>
                <w:p>
                  <w:pPr>
                    <w:pStyle w:val="217"/>
                    <w:spacing w:before="25"/>
                    <w:ind w:left="92" w:right="78"/>
                    <w:rPr>
                      <w:rFonts w:ascii="Times New Roman" w:hAnsi="Times New Roman"/>
                      <w:sz w:val="21"/>
                    </w:rPr>
                  </w:pPr>
                </w:p>
              </w:tc>
              <w:tc>
                <w:tcPr>
                  <w:tcW w:w="1692" w:type="pct"/>
                  <w:tcBorders>
                    <w:tl2br w:val="nil"/>
                    <w:tr2bl w:val="nil"/>
                  </w:tcBorders>
                  <w:vAlign w:val="center"/>
                </w:tcPr>
                <w:p>
                  <w:pPr>
                    <w:pStyle w:val="217"/>
                    <w:spacing w:before="25"/>
                    <w:ind w:left="92" w:right="78"/>
                    <w:rPr>
                      <w:rFonts w:ascii="Times New Roman" w:hAnsi="Times New Roman"/>
                      <w:sz w:val="21"/>
                    </w:rPr>
                  </w:pPr>
                  <w:r>
                    <w:rPr>
                      <w:rFonts w:ascii="Times New Roman" w:hAnsi="Times New Roman"/>
                      <w:sz w:val="21"/>
                    </w:rPr>
                    <w:t>焊渣</w:t>
                  </w:r>
                </w:p>
              </w:tc>
              <w:tc>
                <w:tcPr>
                  <w:tcW w:w="1553" w:type="pct"/>
                  <w:vMerge w:val="continue"/>
                  <w:tcBorders>
                    <w:tl2br w:val="nil"/>
                    <w:tr2bl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703" w:type="pct"/>
                  <w:vMerge w:val="continue"/>
                  <w:tcBorders>
                    <w:tl2br w:val="nil"/>
                    <w:tr2bl w:val="nil"/>
                  </w:tcBorders>
                  <w:vAlign w:val="center"/>
                </w:tcPr>
                <w:p>
                  <w:pPr>
                    <w:jc w:val="center"/>
                    <w:rPr>
                      <w:szCs w:val="2"/>
                    </w:rPr>
                  </w:pPr>
                </w:p>
              </w:tc>
              <w:tc>
                <w:tcPr>
                  <w:tcW w:w="1049" w:type="pct"/>
                  <w:vMerge w:val="restart"/>
                  <w:tcBorders>
                    <w:tl2br w:val="nil"/>
                    <w:tr2bl w:val="nil"/>
                  </w:tcBorders>
                  <w:vAlign w:val="center"/>
                </w:tcPr>
                <w:p>
                  <w:pPr>
                    <w:pStyle w:val="217"/>
                    <w:spacing w:before="22"/>
                    <w:ind w:left="92" w:right="78"/>
                    <w:rPr>
                      <w:rFonts w:ascii="Times New Roman" w:hAnsi="Times New Roman"/>
                      <w:sz w:val="21"/>
                      <w:lang w:val="en-US"/>
                    </w:rPr>
                  </w:pPr>
                  <w:r>
                    <w:rPr>
                      <w:rFonts w:hint="eastAsia" w:ascii="Times New Roman" w:hAnsi="Times New Roman"/>
                      <w:sz w:val="21"/>
                      <w:lang w:val="en-US"/>
                    </w:rPr>
                    <w:t>危险废物</w:t>
                  </w:r>
                </w:p>
              </w:tc>
              <w:tc>
                <w:tcPr>
                  <w:tcW w:w="1692" w:type="pct"/>
                  <w:tcBorders>
                    <w:tl2br w:val="nil"/>
                    <w:tr2bl w:val="nil"/>
                  </w:tcBorders>
                  <w:vAlign w:val="center"/>
                </w:tcPr>
                <w:p>
                  <w:pPr>
                    <w:pStyle w:val="217"/>
                    <w:spacing w:before="22"/>
                    <w:ind w:left="92" w:right="78"/>
                    <w:rPr>
                      <w:rFonts w:ascii="Times New Roman" w:hAnsi="Times New Roman"/>
                      <w:sz w:val="21"/>
                    </w:rPr>
                  </w:pPr>
                  <w:r>
                    <w:rPr>
                      <w:rFonts w:ascii="Times New Roman" w:hAnsi="Times New Roman"/>
                      <w:sz w:val="21"/>
                    </w:rPr>
                    <w:t>废机油</w:t>
                  </w:r>
                </w:p>
              </w:tc>
              <w:tc>
                <w:tcPr>
                  <w:tcW w:w="1553" w:type="pct"/>
                  <w:vMerge w:val="restart"/>
                  <w:tcBorders>
                    <w:tl2br w:val="nil"/>
                    <w:tr2bl w:val="nil"/>
                  </w:tcBorders>
                  <w:vAlign w:val="center"/>
                </w:tcPr>
                <w:p>
                  <w:pPr>
                    <w:pStyle w:val="217"/>
                    <w:spacing w:line="269" w:lineRule="exact"/>
                    <w:ind w:left="113" w:right="103"/>
                    <w:rPr>
                      <w:rFonts w:ascii="Times New Roman" w:hAnsi="Times New Roman"/>
                      <w:sz w:val="21"/>
                    </w:rPr>
                  </w:pPr>
                  <w:r>
                    <w:rPr>
                      <w:rFonts w:ascii="Times New Roman" w:hAnsi="Times New Roman"/>
                      <w:sz w:val="21"/>
                    </w:rPr>
                    <w:t>收集暂存，定期交由有资质的单位处理（芜湖致源环保科技有限公司）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03" w:type="pct"/>
                  <w:vMerge w:val="continue"/>
                  <w:tcBorders>
                    <w:tl2br w:val="nil"/>
                    <w:tr2bl w:val="nil"/>
                  </w:tcBorders>
                  <w:vAlign w:val="center"/>
                </w:tcPr>
                <w:p>
                  <w:pPr>
                    <w:jc w:val="center"/>
                    <w:rPr>
                      <w:szCs w:val="2"/>
                    </w:rPr>
                  </w:pPr>
                </w:p>
              </w:tc>
              <w:tc>
                <w:tcPr>
                  <w:tcW w:w="1049" w:type="pct"/>
                  <w:vMerge w:val="continue"/>
                  <w:tcBorders>
                    <w:tl2br w:val="nil"/>
                    <w:tr2bl w:val="nil"/>
                  </w:tcBorders>
                  <w:vAlign w:val="center"/>
                </w:tcPr>
                <w:p>
                  <w:pPr>
                    <w:pStyle w:val="217"/>
                    <w:spacing w:before="22"/>
                    <w:ind w:left="92" w:right="80"/>
                    <w:rPr>
                      <w:rFonts w:ascii="Times New Roman" w:hAnsi="Times New Roman"/>
                      <w:sz w:val="21"/>
                    </w:rPr>
                  </w:pPr>
                </w:p>
              </w:tc>
              <w:tc>
                <w:tcPr>
                  <w:tcW w:w="1692" w:type="pct"/>
                  <w:tcBorders>
                    <w:tl2br w:val="nil"/>
                    <w:tr2bl w:val="nil"/>
                  </w:tcBorders>
                  <w:vAlign w:val="center"/>
                </w:tcPr>
                <w:p>
                  <w:pPr>
                    <w:pStyle w:val="217"/>
                    <w:spacing w:before="22"/>
                    <w:ind w:left="92" w:right="80"/>
                    <w:rPr>
                      <w:rFonts w:ascii="Times New Roman" w:hAnsi="Times New Roman"/>
                      <w:sz w:val="21"/>
                    </w:rPr>
                  </w:pPr>
                  <w:r>
                    <w:rPr>
                      <w:rFonts w:ascii="Times New Roman" w:hAnsi="Times New Roman"/>
                      <w:sz w:val="21"/>
                    </w:rPr>
                    <w:t>废乳化液</w:t>
                  </w:r>
                </w:p>
              </w:tc>
              <w:tc>
                <w:tcPr>
                  <w:tcW w:w="1553" w:type="pct"/>
                  <w:vMerge w:val="continue"/>
                  <w:tcBorders>
                    <w:tl2br w:val="nil"/>
                    <w:tr2bl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703" w:type="pct"/>
                  <w:vMerge w:val="continue"/>
                  <w:tcBorders>
                    <w:tl2br w:val="nil"/>
                    <w:tr2bl w:val="nil"/>
                  </w:tcBorders>
                  <w:vAlign w:val="center"/>
                </w:tcPr>
                <w:p>
                  <w:pPr>
                    <w:jc w:val="center"/>
                    <w:rPr>
                      <w:szCs w:val="2"/>
                    </w:rPr>
                  </w:pPr>
                </w:p>
              </w:tc>
              <w:tc>
                <w:tcPr>
                  <w:tcW w:w="1049" w:type="pct"/>
                  <w:vMerge w:val="continue"/>
                  <w:tcBorders>
                    <w:tl2br w:val="nil"/>
                    <w:tr2bl w:val="nil"/>
                  </w:tcBorders>
                  <w:vAlign w:val="center"/>
                </w:tcPr>
                <w:p>
                  <w:pPr>
                    <w:pStyle w:val="217"/>
                    <w:spacing w:before="22"/>
                    <w:ind w:left="92" w:right="80"/>
                    <w:rPr>
                      <w:rFonts w:ascii="Times New Roman" w:hAnsi="Times New Roman"/>
                      <w:sz w:val="21"/>
                    </w:rPr>
                  </w:pPr>
                </w:p>
              </w:tc>
              <w:tc>
                <w:tcPr>
                  <w:tcW w:w="1692" w:type="pct"/>
                  <w:tcBorders>
                    <w:tl2br w:val="nil"/>
                    <w:tr2bl w:val="nil"/>
                  </w:tcBorders>
                  <w:vAlign w:val="center"/>
                </w:tcPr>
                <w:p>
                  <w:pPr>
                    <w:pStyle w:val="217"/>
                    <w:spacing w:before="22"/>
                    <w:ind w:left="92" w:right="80"/>
                    <w:rPr>
                      <w:rFonts w:ascii="Times New Roman" w:hAnsi="Times New Roman"/>
                      <w:sz w:val="21"/>
                    </w:rPr>
                  </w:pPr>
                  <w:r>
                    <w:rPr>
                      <w:rFonts w:ascii="Times New Roman" w:hAnsi="Times New Roman"/>
                      <w:sz w:val="21"/>
                    </w:rPr>
                    <w:t>废活性碳</w:t>
                  </w:r>
                </w:p>
              </w:tc>
              <w:tc>
                <w:tcPr>
                  <w:tcW w:w="1553" w:type="pct"/>
                  <w:vMerge w:val="continue"/>
                  <w:tcBorders>
                    <w:tl2br w:val="nil"/>
                    <w:tr2bl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03" w:type="pct"/>
                  <w:vMerge w:val="continue"/>
                  <w:tcBorders>
                    <w:tl2br w:val="nil"/>
                    <w:tr2bl w:val="nil"/>
                  </w:tcBorders>
                  <w:vAlign w:val="center"/>
                </w:tcPr>
                <w:p>
                  <w:pPr>
                    <w:jc w:val="center"/>
                    <w:rPr>
                      <w:szCs w:val="2"/>
                    </w:rPr>
                  </w:pPr>
                </w:p>
              </w:tc>
              <w:tc>
                <w:tcPr>
                  <w:tcW w:w="1049" w:type="pct"/>
                  <w:vMerge w:val="continue"/>
                  <w:tcBorders>
                    <w:tl2br w:val="nil"/>
                    <w:tr2bl w:val="nil"/>
                  </w:tcBorders>
                  <w:vAlign w:val="center"/>
                </w:tcPr>
                <w:p>
                  <w:pPr>
                    <w:pStyle w:val="217"/>
                    <w:spacing w:before="22"/>
                    <w:ind w:left="216"/>
                    <w:rPr>
                      <w:sz w:val="21"/>
                    </w:rPr>
                  </w:pPr>
                </w:p>
              </w:tc>
              <w:tc>
                <w:tcPr>
                  <w:tcW w:w="1692" w:type="pct"/>
                  <w:tcBorders>
                    <w:tl2br w:val="nil"/>
                    <w:tr2bl w:val="nil"/>
                  </w:tcBorders>
                  <w:vAlign w:val="center"/>
                </w:tcPr>
                <w:p>
                  <w:pPr>
                    <w:pStyle w:val="217"/>
                    <w:spacing w:before="22"/>
                    <w:ind w:left="216"/>
                    <w:rPr>
                      <w:sz w:val="21"/>
                    </w:rPr>
                  </w:pPr>
                  <w:r>
                    <w:rPr>
                      <w:sz w:val="21"/>
                    </w:rPr>
                    <w:t>废过滤棉</w:t>
                  </w:r>
                </w:p>
              </w:tc>
              <w:tc>
                <w:tcPr>
                  <w:tcW w:w="1553" w:type="pct"/>
                  <w:vMerge w:val="continue"/>
                  <w:tcBorders>
                    <w:tl2br w:val="nil"/>
                    <w:tr2bl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03" w:type="pct"/>
                  <w:vMerge w:val="continue"/>
                  <w:tcBorders>
                    <w:tl2br w:val="nil"/>
                    <w:tr2bl w:val="nil"/>
                  </w:tcBorders>
                  <w:vAlign w:val="center"/>
                </w:tcPr>
                <w:p>
                  <w:pPr>
                    <w:jc w:val="center"/>
                    <w:rPr>
                      <w:szCs w:val="2"/>
                    </w:rPr>
                  </w:pPr>
                </w:p>
              </w:tc>
              <w:tc>
                <w:tcPr>
                  <w:tcW w:w="1049" w:type="pct"/>
                  <w:vMerge w:val="continue"/>
                  <w:tcBorders>
                    <w:tl2br w:val="nil"/>
                    <w:tr2bl w:val="nil"/>
                  </w:tcBorders>
                  <w:vAlign w:val="center"/>
                </w:tcPr>
                <w:p>
                  <w:pPr>
                    <w:pStyle w:val="217"/>
                    <w:spacing w:before="43"/>
                    <w:ind w:left="92" w:right="78"/>
                    <w:rPr>
                      <w:sz w:val="21"/>
                    </w:rPr>
                  </w:pPr>
                </w:p>
              </w:tc>
              <w:tc>
                <w:tcPr>
                  <w:tcW w:w="1692" w:type="pct"/>
                  <w:tcBorders>
                    <w:tl2br w:val="nil"/>
                    <w:tr2bl w:val="nil"/>
                  </w:tcBorders>
                  <w:vAlign w:val="center"/>
                </w:tcPr>
                <w:p>
                  <w:pPr>
                    <w:pStyle w:val="217"/>
                    <w:spacing w:before="22"/>
                    <w:ind w:left="92" w:right="80"/>
                    <w:rPr>
                      <w:sz w:val="21"/>
                    </w:rPr>
                  </w:pPr>
                  <w:r>
                    <w:rPr>
                      <w:sz w:val="21"/>
                    </w:rPr>
                    <w:t>废抹布和废手套</w:t>
                  </w:r>
                </w:p>
              </w:tc>
              <w:tc>
                <w:tcPr>
                  <w:tcW w:w="1553" w:type="pct"/>
                  <w:vMerge w:val="continue"/>
                  <w:tcBorders>
                    <w:tl2br w:val="nil"/>
                    <w:tr2bl w:val="nil"/>
                  </w:tcBorders>
                  <w:vAlign w:val="center"/>
                </w:tcPr>
                <w:p>
                  <w:pPr>
                    <w:jc w:val="center"/>
                    <w:rPr>
                      <w:szCs w:val="2"/>
                    </w:rPr>
                  </w:pPr>
                </w:p>
              </w:tc>
            </w:tr>
          </w:tbl>
          <w:p>
            <w:pPr>
              <w:spacing w:line="360" w:lineRule="auto"/>
              <w:ind w:firstLine="482" w:firstLineChars="200"/>
              <w:rPr>
                <w:b/>
                <w:bCs/>
                <w:kern w:val="0"/>
                <w:sz w:val="24"/>
              </w:rPr>
            </w:pPr>
            <w:r>
              <w:rPr>
                <w:rFonts w:hint="eastAsia"/>
                <w:b/>
                <w:bCs/>
                <w:kern w:val="0"/>
                <w:sz w:val="24"/>
              </w:rPr>
              <w:t>2.1 现有工程主要污染物排放达标情况</w:t>
            </w:r>
          </w:p>
          <w:p>
            <w:pPr>
              <w:spacing w:line="360" w:lineRule="auto"/>
              <w:ind w:firstLine="480" w:firstLineChars="200"/>
              <w:rPr>
                <w:kern w:val="0"/>
                <w:sz w:val="24"/>
              </w:rPr>
            </w:pPr>
            <w:r>
              <w:rPr>
                <w:rFonts w:hint="eastAsia"/>
                <w:kern w:val="0"/>
                <w:sz w:val="24"/>
              </w:rPr>
              <w:t>（1）废气</w:t>
            </w:r>
          </w:p>
          <w:p>
            <w:pPr>
              <w:spacing w:line="360" w:lineRule="auto"/>
              <w:ind w:firstLine="480" w:firstLineChars="200"/>
              <w:rPr>
                <w:kern w:val="0"/>
                <w:sz w:val="24"/>
              </w:rPr>
            </w:pPr>
            <w:r>
              <w:rPr>
                <w:kern w:val="0"/>
                <w:sz w:val="24"/>
              </w:rPr>
              <w:t>该项目生产过程中排放的废气，按照排放方式的不同，分为有组织和无组织排放。</w:t>
            </w:r>
          </w:p>
          <w:p>
            <w:pPr>
              <w:spacing w:line="360" w:lineRule="auto"/>
              <w:ind w:firstLine="480" w:firstLineChars="200"/>
              <w:rPr>
                <w:kern w:val="0"/>
                <w:sz w:val="24"/>
              </w:rPr>
            </w:pPr>
            <w:r>
              <w:rPr>
                <w:kern w:val="0"/>
                <w:sz w:val="24"/>
              </w:rPr>
              <w:t>①有组织废气排放</w:t>
            </w:r>
          </w:p>
          <w:tbl>
            <w:tblPr>
              <w:tblStyle w:val="5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25"/>
              <w:gridCol w:w="1603"/>
              <w:gridCol w:w="53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53" w:type="pct"/>
                  <w:vAlign w:val="center"/>
                </w:tcPr>
                <w:p>
                  <w:pPr>
                    <w:pStyle w:val="217"/>
                    <w:spacing w:before="178"/>
                    <w:ind w:left="265" w:right="256"/>
                    <w:rPr>
                      <w:rFonts w:ascii="Times New Roman" w:hAnsi="Times New Roman"/>
                      <w:b/>
                      <w:bCs/>
                      <w:sz w:val="21"/>
                    </w:rPr>
                  </w:pPr>
                  <w:r>
                    <w:rPr>
                      <w:rFonts w:ascii="Times New Roman" w:hAnsi="Times New Roman"/>
                      <w:b/>
                      <w:bCs/>
                      <w:sz w:val="21"/>
                    </w:rPr>
                    <w:t>废气名称</w:t>
                  </w:r>
                </w:p>
              </w:tc>
              <w:tc>
                <w:tcPr>
                  <w:tcW w:w="960" w:type="pct"/>
                  <w:vAlign w:val="center"/>
                </w:tcPr>
                <w:p>
                  <w:pPr>
                    <w:pStyle w:val="217"/>
                    <w:spacing w:before="22"/>
                    <w:rPr>
                      <w:rFonts w:ascii="Times New Roman" w:hAnsi="Times New Roman"/>
                      <w:b/>
                      <w:bCs/>
                      <w:sz w:val="21"/>
                    </w:rPr>
                  </w:pPr>
                  <w:r>
                    <w:rPr>
                      <w:rFonts w:ascii="Times New Roman" w:hAnsi="Times New Roman"/>
                      <w:b/>
                      <w:bCs/>
                      <w:sz w:val="21"/>
                    </w:rPr>
                    <w:t>污染物种类</w:t>
                  </w:r>
                </w:p>
              </w:tc>
              <w:tc>
                <w:tcPr>
                  <w:tcW w:w="3185" w:type="pct"/>
                  <w:tcBorders>
                    <w:right w:val="single" w:color="000000" w:sz="4" w:space="0"/>
                  </w:tcBorders>
                  <w:vAlign w:val="center"/>
                </w:tcPr>
                <w:p>
                  <w:pPr>
                    <w:pStyle w:val="217"/>
                    <w:spacing w:before="178"/>
                    <w:ind w:left="723" w:right="722"/>
                    <w:rPr>
                      <w:rFonts w:ascii="Times New Roman" w:hAnsi="Times New Roman"/>
                      <w:b/>
                      <w:bCs/>
                      <w:sz w:val="21"/>
                      <w:lang w:val="en-US"/>
                    </w:rPr>
                  </w:pPr>
                  <w:r>
                    <w:rPr>
                      <w:rFonts w:hint="eastAsia" w:ascii="Times New Roman" w:hAnsi="Times New Roman"/>
                      <w:b/>
                      <w:bCs/>
                      <w:sz w:val="21"/>
                      <w:lang w:val="en-US"/>
                    </w:rPr>
                    <w:t>排放标准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trPr>
              <w:tc>
                <w:tcPr>
                  <w:tcW w:w="853" w:type="pct"/>
                  <w:vAlign w:val="center"/>
                </w:tcPr>
                <w:p>
                  <w:pPr>
                    <w:pStyle w:val="217"/>
                    <w:spacing w:before="134"/>
                    <w:ind w:right="257"/>
                    <w:rPr>
                      <w:rFonts w:ascii="Times New Roman" w:hAnsi="Times New Roman"/>
                      <w:sz w:val="21"/>
                    </w:rPr>
                  </w:pPr>
                  <w:r>
                    <w:rPr>
                      <w:rFonts w:ascii="Times New Roman" w:hAnsi="Times New Roman"/>
                      <w:sz w:val="21"/>
                    </w:rPr>
                    <w:t>抛丸粉尘</w:t>
                  </w:r>
                </w:p>
              </w:tc>
              <w:tc>
                <w:tcPr>
                  <w:tcW w:w="960" w:type="pct"/>
                  <w:vAlign w:val="center"/>
                </w:tcPr>
                <w:p>
                  <w:pPr>
                    <w:pStyle w:val="217"/>
                    <w:spacing w:before="134"/>
                    <w:rPr>
                      <w:rFonts w:ascii="Times New Roman" w:hAnsi="Times New Roman"/>
                      <w:sz w:val="21"/>
                    </w:rPr>
                  </w:pPr>
                  <w:r>
                    <w:rPr>
                      <w:rFonts w:ascii="Times New Roman" w:hAnsi="Times New Roman"/>
                      <w:sz w:val="21"/>
                    </w:rPr>
                    <w:t>颗粒物</w:t>
                  </w:r>
                </w:p>
              </w:tc>
              <w:tc>
                <w:tcPr>
                  <w:tcW w:w="3185" w:type="pct"/>
                  <w:vAlign w:val="center"/>
                </w:tcPr>
                <w:p>
                  <w:pPr>
                    <w:pStyle w:val="217"/>
                    <w:spacing w:before="22" w:line="278" w:lineRule="auto"/>
                    <w:ind w:left="147" w:right="140" w:hanging="4"/>
                    <w:rPr>
                      <w:rFonts w:ascii="Times New Roman" w:hAnsi="Times New Roman"/>
                      <w:spacing w:val="-3"/>
                      <w:sz w:val="21"/>
                    </w:rPr>
                  </w:pPr>
                  <w:r>
                    <w:rPr>
                      <w:rFonts w:ascii="Times New Roman" w:hAnsi="Times New Roman"/>
                      <w:spacing w:val="-3"/>
                      <w:sz w:val="21"/>
                    </w:rPr>
                    <w:t>有组织排放的颗粒物浓度满足《大气污染物综合排放标准》（GB16297-1996）表 2 中二级标准浓度限值要求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853" w:type="pct"/>
                  <w:vAlign w:val="center"/>
                </w:tcPr>
                <w:p>
                  <w:pPr>
                    <w:pStyle w:val="217"/>
                    <w:spacing w:line="278" w:lineRule="auto"/>
                    <w:ind w:right="168"/>
                    <w:rPr>
                      <w:rFonts w:ascii="Times New Roman" w:hAnsi="Times New Roman"/>
                      <w:sz w:val="21"/>
                    </w:rPr>
                  </w:pPr>
                  <w:r>
                    <w:rPr>
                      <w:rFonts w:ascii="Times New Roman" w:hAnsi="Times New Roman"/>
                      <w:sz w:val="21"/>
                    </w:rPr>
                    <w:t>喷涂有机废气</w:t>
                  </w:r>
                </w:p>
              </w:tc>
              <w:tc>
                <w:tcPr>
                  <w:tcW w:w="960" w:type="pct"/>
                  <w:vAlign w:val="center"/>
                </w:tcPr>
                <w:p>
                  <w:pPr>
                    <w:pStyle w:val="217"/>
                    <w:spacing w:line="278" w:lineRule="auto"/>
                    <w:ind w:right="116"/>
                    <w:rPr>
                      <w:rFonts w:ascii="Times New Roman" w:hAnsi="Times New Roman"/>
                      <w:sz w:val="21"/>
                    </w:rPr>
                  </w:pPr>
                  <w:r>
                    <w:rPr>
                      <w:rFonts w:hint="eastAsia" w:ascii="Times New Roman" w:hAnsi="Times New Roman"/>
                      <w:sz w:val="21"/>
                      <w:lang w:val="en-US"/>
                    </w:rPr>
                    <w:t>甲苯、二甲苯以及VOCS</w:t>
                  </w:r>
                  <w:r>
                    <w:rPr>
                      <w:rFonts w:ascii="Times New Roman" w:hAnsi="Times New Roman"/>
                      <w:sz w:val="21"/>
                    </w:rPr>
                    <w:t>、颗粒物</w:t>
                  </w:r>
                </w:p>
              </w:tc>
              <w:tc>
                <w:tcPr>
                  <w:tcW w:w="3185" w:type="pct"/>
                  <w:vAlign w:val="center"/>
                </w:tcPr>
                <w:p>
                  <w:pPr>
                    <w:pStyle w:val="217"/>
                    <w:spacing w:before="178" w:line="278" w:lineRule="auto"/>
                    <w:ind w:left="147" w:right="141" w:hanging="3"/>
                    <w:rPr>
                      <w:rFonts w:ascii="Times New Roman" w:hAnsi="Times New Roman"/>
                      <w:spacing w:val="-3"/>
                      <w:sz w:val="21"/>
                    </w:rPr>
                  </w:pPr>
                  <w:r>
                    <w:rPr>
                      <w:rFonts w:ascii="Times New Roman" w:hAnsi="Times New Roman"/>
                      <w:spacing w:val="-3"/>
                      <w:sz w:val="21"/>
                    </w:rPr>
                    <w:t>1#排气筒有组织排放的甲苯、二甲苯浓度满足《大气污染物综合排放标准》（GB16297-1996）表 2 中二级标准浓度限值要求，有组织排放的 VOCS 浓度满足《表面涂装（汽车制造业）挥发性有机化合物排放标准》（DB44/816-2010）中第Ⅱ时段排放限值要求</w:t>
                  </w:r>
                </w:p>
              </w:tc>
            </w:tr>
          </w:tbl>
          <w:p>
            <w:pPr>
              <w:spacing w:line="360" w:lineRule="auto"/>
              <w:ind w:firstLine="480" w:firstLineChars="200"/>
              <w:rPr>
                <w:kern w:val="0"/>
                <w:sz w:val="24"/>
              </w:rPr>
            </w:pPr>
            <w:r>
              <w:rPr>
                <w:rFonts w:hint="eastAsia"/>
                <w:kern w:val="0"/>
                <w:sz w:val="24"/>
              </w:rPr>
              <w:t>根据芜湖恒驰钢构有限公司钢结构及装配式绿色建筑材料项目（一期工程）竣工环境保护验收监测报告，</w:t>
            </w:r>
            <w:r>
              <w:rPr>
                <w:kern w:val="0"/>
                <w:sz w:val="24"/>
              </w:rPr>
              <w:t>2020年</w:t>
            </w:r>
            <w:r>
              <w:rPr>
                <w:rFonts w:hint="eastAsia"/>
                <w:kern w:val="0"/>
                <w:sz w:val="24"/>
              </w:rPr>
              <w:t>4</w:t>
            </w:r>
            <w:r>
              <w:rPr>
                <w:kern w:val="0"/>
                <w:sz w:val="24"/>
              </w:rPr>
              <w:t>月23日至24日，由安徽威正测试技术有限公司公司对项目有组织废气进行监测，结果见</w:t>
            </w:r>
            <w:r>
              <w:rPr>
                <w:rFonts w:hint="eastAsia"/>
                <w:kern w:val="0"/>
                <w:sz w:val="24"/>
              </w:rPr>
              <w:t>下表：</w:t>
            </w:r>
          </w:p>
          <w:p>
            <w:pPr>
              <w:spacing w:line="360" w:lineRule="auto"/>
              <w:ind w:firstLine="480" w:firstLineChars="200"/>
              <w:jc w:val="center"/>
              <w:rPr>
                <w:kern w:val="0"/>
                <w:sz w:val="24"/>
              </w:rPr>
            </w:pPr>
            <w:r>
              <w:rPr>
                <w:rFonts w:hint="eastAsia"/>
                <w:kern w:val="0"/>
                <w:sz w:val="24"/>
              </w:rPr>
              <w:t>表2-1</w:t>
            </w:r>
            <w:r>
              <w:rPr>
                <w:rFonts w:hint="eastAsia"/>
                <w:kern w:val="0"/>
                <w:sz w:val="24"/>
                <w:lang w:val="en-US" w:eastAsia="zh-CN"/>
              </w:rPr>
              <w:t>9</w:t>
            </w:r>
            <w:r>
              <w:rPr>
                <w:rFonts w:hint="eastAsia"/>
                <w:kern w:val="0"/>
                <w:sz w:val="24"/>
              </w:rPr>
              <w:t xml:space="preserve">  有组织废气监测结果（浓度：mg/m</w:t>
            </w:r>
            <w:r>
              <w:rPr>
                <w:rFonts w:hint="eastAsia"/>
                <w:kern w:val="0"/>
                <w:sz w:val="24"/>
                <w:vertAlign w:val="superscript"/>
              </w:rPr>
              <w:t>3</w:t>
            </w:r>
            <w:r>
              <w:rPr>
                <w:rFonts w:hint="eastAsia"/>
                <w:kern w:val="0"/>
                <w:sz w:val="24"/>
              </w:rPr>
              <w:t>；速率：kg/h）</w:t>
            </w:r>
          </w:p>
          <w:tbl>
            <w:tblPr>
              <w:tblStyle w:val="5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65"/>
              <w:gridCol w:w="656"/>
              <w:gridCol w:w="657"/>
              <w:gridCol w:w="656"/>
              <w:gridCol w:w="931"/>
              <w:gridCol w:w="920"/>
              <w:gridCol w:w="1034"/>
              <w:gridCol w:w="1032"/>
              <w:gridCol w:w="10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38" w:type="pct"/>
                  <w:vAlign w:val="center"/>
                </w:tcPr>
                <w:p>
                  <w:pPr>
                    <w:pStyle w:val="217"/>
                    <w:spacing w:before="37"/>
                    <w:ind w:left="170" w:right="161"/>
                    <w:rPr>
                      <w:rFonts w:ascii="Times New Roman" w:hAnsi="Times New Roman"/>
                      <w:b/>
                      <w:bCs/>
                      <w:sz w:val="21"/>
                    </w:rPr>
                  </w:pPr>
                  <w:r>
                    <w:rPr>
                      <w:rFonts w:ascii="Times New Roman" w:hAnsi="Times New Roman"/>
                      <w:b/>
                      <w:bCs/>
                      <w:sz w:val="21"/>
                    </w:rPr>
                    <w:t>监测时间</w:t>
                  </w:r>
                </w:p>
              </w:tc>
              <w:tc>
                <w:tcPr>
                  <w:tcW w:w="4161" w:type="pct"/>
                  <w:gridSpan w:val="8"/>
                  <w:vAlign w:val="center"/>
                </w:tcPr>
                <w:p>
                  <w:pPr>
                    <w:pStyle w:val="217"/>
                    <w:spacing w:before="51"/>
                    <w:ind w:left="2779" w:right="2766"/>
                    <w:rPr>
                      <w:rFonts w:ascii="Times New Roman" w:hAnsi="Times New Roman"/>
                      <w:b/>
                      <w:bCs/>
                      <w:sz w:val="21"/>
                    </w:rPr>
                  </w:pPr>
                  <w:r>
                    <w:rPr>
                      <w:rFonts w:ascii="Times New Roman" w:hAnsi="Times New Roman"/>
                      <w:b/>
                      <w:bCs/>
                      <w:sz w:val="21"/>
                    </w:rPr>
                    <w:t>2020.4.23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38" w:type="pct"/>
                  <w:vAlign w:val="center"/>
                </w:tcPr>
                <w:p>
                  <w:pPr>
                    <w:pStyle w:val="217"/>
                    <w:spacing w:before="178"/>
                    <w:ind w:left="170" w:right="161"/>
                    <w:rPr>
                      <w:rFonts w:ascii="Times New Roman" w:hAnsi="Times New Roman"/>
                      <w:sz w:val="21"/>
                    </w:rPr>
                  </w:pPr>
                  <w:r>
                    <w:rPr>
                      <w:rFonts w:ascii="Times New Roman" w:hAnsi="Times New Roman"/>
                      <w:sz w:val="21"/>
                    </w:rPr>
                    <w:t>监测点位</w:t>
                  </w:r>
                </w:p>
              </w:tc>
              <w:tc>
                <w:tcPr>
                  <w:tcW w:w="1198" w:type="pct"/>
                  <w:gridSpan w:val="3"/>
                  <w:vAlign w:val="center"/>
                </w:tcPr>
                <w:p>
                  <w:pPr>
                    <w:pStyle w:val="217"/>
                    <w:spacing w:before="178"/>
                    <w:rPr>
                      <w:rFonts w:ascii="Times New Roman" w:hAnsi="Times New Roman"/>
                      <w:sz w:val="21"/>
                    </w:rPr>
                  </w:pPr>
                  <w:r>
                    <w:rPr>
                      <w:rFonts w:ascii="Times New Roman" w:hAnsi="Times New Roman"/>
                      <w:sz w:val="21"/>
                    </w:rPr>
                    <w:t>喷漆房排气筒进口</w:t>
                  </w:r>
                </w:p>
              </w:tc>
              <w:tc>
                <w:tcPr>
                  <w:tcW w:w="579" w:type="pct"/>
                  <w:vAlign w:val="center"/>
                </w:tcPr>
                <w:p>
                  <w:pPr>
                    <w:pStyle w:val="217"/>
                    <w:spacing w:before="22"/>
                    <w:ind w:left="152" w:right="137"/>
                    <w:rPr>
                      <w:rFonts w:ascii="Times New Roman" w:hAnsi="Times New Roman"/>
                      <w:sz w:val="21"/>
                    </w:rPr>
                  </w:pPr>
                  <w:r>
                    <w:rPr>
                      <w:rFonts w:ascii="Times New Roman" w:hAnsi="Times New Roman"/>
                      <w:sz w:val="21"/>
                    </w:rPr>
                    <w:t>平均值</w:t>
                  </w:r>
                </w:p>
              </w:tc>
              <w:tc>
                <w:tcPr>
                  <w:tcW w:w="1708" w:type="pct"/>
                  <w:gridSpan w:val="3"/>
                  <w:vAlign w:val="center"/>
                </w:tcPr>
                <w:p>
                  <w:pPr>
                    <w:pStyle w:val="217"/>
                    <w:spacing w:before="178"/>
                    <w:rPr>
                      <w:rFonts w:ascii="Times New Roman" w:hAnsi="Times New Roman"/>
                      <w:sz w:val="21"/>
                    </w:rPr>
                  </w:pPr>
                  <w:r>
                    <w:rPr>
                      <w:rFonts w:ascii="Times New Roman" w:hAnsi="Times New Roman"/>
                      <w:sz w:val="21"/>
                    </w:rPr>
                    <w:t>喷漆房排气筒出口</w:t>
                  </w:r>
                </w:p>
              </w:tc>
              <w:tc>
                <w:tcPr>
                  <w:tcW w:w="674" w:type="pct"/>
                  <w:vAlign w:val="center"/>
                </w:tcPr>
                <w:p>
                  <w:pPr>
                    <w:pStyle w:val="217"/>
                    <w:spacing w:before="178"/>
                    <w:ind w:left="113" w:right="93"/>
                    <w:rPr>
                      <w:rFonts w:ascii="Times New Roman" w:hAnsi="Times New Roman"/>
                      <w:sz w:val="21"/>
                    </w:rPr>
                  </w:pPr>
                  <w:r>
                    <w:rPr>
                      <w:rFonts w:ascii="Times New Roman" w:hAnsi="Times New Roman"/>
                      <w:sz w:val="21"/>
                    </w:rPr>
                    <w:t>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1" w:right="161"/>
                    <w:rPr>
                      <w:rFonts w:ascii="Times New Roman" w:hAnsi="Times New Roman"/>
                      <w:sz w:val="21"/>
                    </w:rPr>
                  </w:pPr>
                  <w:r>
                    <w:rPr>
                      <w:rFonts w:ascii="Times New Roman" w:hAnsi="Times New Roman"/>
                      <w:sz w:val="21"/>
                    </w:rPr>
                    <w:t>VOCS实测浓度</w:t>
                  </w:r>
                </w:p>
              </w:tc>
              <w:tc>
                <w:tcPr>
                  <w:tcW w:w="372" w:type="pct"/>
                  <w:vAlign w:val="center"/>
                </w:tcPr>
                <w:p>
                  <w:pPr>
                    <w:pStyle w:val="217"/>
                    <w:spacing w:before="37"/>
                    <w:rPr>
                      <w:rFonts w:ascii="Times New Roman" w:hAnsi="Times New Roman"/>
                      <w:sz w:val="21"/>
                    </w:rPr>
                  </w:pPr>
                  <w:r>
                    <w:rPr>
                      <w:rFonts w:ascii="Times New Roman" w:hAnsi="Times New Roman"/>
                      <w:sz w:val="21"/>
                    </w:rPr>
                    <w:t>20.3</w:t>
                  </w:r>
                </w:p>
              </w:tc>
              <w:tc>
                <w:tcPr>
                  <w:tcW w:w="409" w:type="pct"/>
                  <w:vAlign w:val="center"/>
                </w:tcPr>
                <w:p>
                  <w:pPr>
                    <w:pStyle w:val="217"/>
                    <w:spacing w:before="37"/>
                    <w:rPr>
                      <w:rFonts w:ascii="Times New Roman" w:hAnsi="Times New Roman"/>
                      <w:sz w:val="21"/>
                    </w:rPr>
                  </w:pPr>
                  <w:r>
                    <w:rPr>
                      <w:rFonts w:ascii="Times New Roman" w:hAnsi="Times New Roman"/>
                      <w:sz w:val="21"/>
                    </w:rPr>
                    <w:t>19.6</w:t>
                  </w:r>
                </w:p>
              </w:tc>
              <w:tc>
                <w:tcPr>
                  <w:tcW w:w="416" w:type="pct"/>
                  <w:vAlign w:val="center"/>
                </w:tcPr>
                <w:p>
                  <w:pPr>
                    <w:pStyle w:val="217"/>
                    <w:spacing w:before="37"/>
                    <w:rPr>
                      <w:rFonts w:ascii="Times New Roman" w:hAnsi="Times New Roman"/>
                      <w:sz w:val="21"/>
                    </w:rPr>
                  </w:pPr>
                  <w:r>
                    <w:rPr>
                      <w:rFonts w:ascii="Times New Roman" w:hAnsi="Times New Roman"/>
                      <w:sz w:val="21"/>
                    </w:rPr>
                    <w:t>19.8</w:t>
                  </w:r>
                </w:p>
              </w:tc>
              <w:tc>
                <w:tcPr>
                  <w:tcW w:w="579" w:type="pct"/>
                  <w:vAlign w:val="center"/>
                </w:tcPr>
                <w:p>
                  <w:pPr>
                    <w:pStyle w:val="217"/>
                    <w:spacing w:before="51"/>
                    <w:rPr>
                      <w:rFonts w:ascii="Times New Roman" w:hAnsi="Times New Roman"/>
                      <w:sz w:val="21"/>
                    </w:rPr>
                  </w:pPr>
                  <w:r>
                    <w:rPr>
                      <w:rFonts w:ascii="Times New Roman" w:hAnsi="Times New Roman"/>
                      <w:sz w:val="21"/>
                    </w:rPr>
                    <w:t>19.9</w:t>
                  </w:r>
                </w:p>
              </w:tc>
              <w:tc>
                <w:tcPr>
                  <w:tcW w:w="534" w:type="pct"/>
                  <w:vAlign w:val="center"/>
                </w:tcPr>
                <w:p>
                  <w:pPr>
                    <w:pStyle w:val="217"/>
                    <w:spacing w:before="51"/>
                    <w:ind w:left="186"/>
                    <w:rPr>
                      <w:rFonts w:ascii="Times New Roman" w:hAnsi="Times New Roman"/>
                      <w:sz w:val="21"/>
                    </w:rPr>
                  </w:pPr>
                  <w:r>
                    <w:rPr>
                      <w:rFonts w:ascii="Times New Roman" w:hAnsi="Times New Roman"/>
                      <w:sz w:val="21"/>
                    </w:rPr>
                    <w:t>0.226</w:t>
                  </w:r>
                </w:p>
              </w:tc>
              <w:tc>
                <w:tcPr>
                  <w:tcW w:w="594" w:type="pct"/>
                  <w:vAlign w:val="center"/>
                </w:tcPr>
                <w:p>
                  <w:pPr>
                    <w:pStyle w:val="217"/>
                    <w:spacing w:before="51"/>
                    <w:ind w:left="187"/>
                    <w:jc w:val="both"/>
                    <w:rPr>
                      <w:rFonts w:ascii="Times New Roman" w:hAnsi="Times New Roman"/>
                      <w:sz w:val="21"/>
                    </w:rPr>
                  </w:pPr>
                  <w:r>
                    <w:rPr>
                      <w:rFonts w:ascii="Times New Roman" w:hAnsi="Times New Roman"/>
                      <w:sz w:val="21"/>
                    </w:rPr>
                    <w:t>0.228</w:t>
                  </w:r>
                </w:p>
              </w:tc>
              <w:tc>
                <w:tcPr>
                  <w:tcW w:w="579" w:type="pct"/>
                  <w:vAlign w:val="center"/>
                </w:tcPr>
                <w:p>
                  <w:pPr>
                    <w:pStyle w:val="217"/>
                    <w:spacing w:before="51"/>
                    <w:ind w:left="190"/>
                    <w:jc w:val="both"/>
                    <w:rPr>
                      <w:rFonts w:ascii="Times New Roman" w:hAnsi="Times New Roman"/>
                      <w:sz w:val="21"/>
                    </w:rPr>
                  </w:pPr>
                  <w:r>
                    <w:rPr>
                      <w:rFonts w:ascii="Times New Roman" w:hAnsi="Times New Roman"/>
                      <w:sz w:val="21"/>
                    </w:rPr>
                    <w:t>0.301</w:t>
                  </w:r>
                </w:p>
              </w:tc>
              <w:tc>
                <w:tcPr>
                  <w:tcW w:w="674" w:type="pct"/>
                  <w:vAlign w:val="center"/>
                </w:tcPr>
                <w:p>
                  <w:pPr>
                    <w:pStyle w:val="217"/>
                    <w:spacing w:before="51"/>
                    <w:ind w:left="113" w:right="92"/>
                    <w:rPr>
                      <w:rFonts w:ascii="Times New Roman" w:hAnsi="Times New Roman"/>
                      <w:sz w:val="21"/>
                    </w:rPr>
                  </w:pPr>
                  <w:r>
                    <w:rPr>
                      <w:rFonts w:ascii="Times New Roman" w:hAnsi="Times New Roman"/>
                      <w:sz w:val="21"/>
                    </w:rPr>
                    <w:t>0.252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838" w:type="pct"/>
                  <w:vAlign w:val="center"/>
                </w:tcPr>
                <w:p>
                  <w:pPr>
                    <w:pStyle w:val="217"/>
                    <w:spacing w:before="178"/>
                    <w:ind w:left="171" w:right="161"/>
                    <w:rPr>
                      <w:rFonts w:ascii="Times New Roman" w:hAnsi="Times New Roman"/>
                      <w:sz w:val="21"/>
                    </w:rPr>
                  </w:pPr>
                  <w:r>
                    <w:rPr>
                      <w:rFonts w:ascii="Times New Roman" w:hAnsi="Times New Roman"/>
                      <w:sz w:val="21"/>
                    </w:rPr>
                    <w:t>VOCS排放速率</w:t>
                  </w:r>
                </w:p>
              </w:tc>
              <w:tc>
                <w:tcPr>
                  <w:tcW w:w="372" w:type="pct"/>
                  <w:vAlign w:val="center"/>
                </w:tcPr>
                <w:p>
                  <w:pPr>
                    <w:pStyle w:val="217"/>
                    <w:spacing w:before="178"/>
                    <w:ind w:right="153"/>
                    <w:rPr>
                      <w:rFonts w:ascii="Times New Roman" w:hAnsi="Times New Roman"/>
                      <w:sz w:val="21"/>
                    </w:rPr>
                  </w:pPr>
                  <w:r>
                    <w:rPr>
                      <w:rFonts w:ascii="Times New Roman" w:hAnsi="Times New Roman"/>
                      <w:sz w:val="21"/>
                    </w:rPr>
                    <w:t>1.73</w:t>
                  </w:r>
                </w:p>
              </w:tc>
              <w:tc>
                <w:tcPr>
                  <w:tcW w:w="409" w:type="pct"/>
                  <w:vAlign w:val="center"/>
                </w:tcPr>
                <w:p>
                  <w:pPr>
                    <w:pStyle w:val="217"/>
                    <w:spacing w:before="178"/>
                    <w:ind w:right="152"/>
                    <w:rPr>
                      <w:rFonts w:ascii="Times New Roman" w:hAnsi="Times New Roman"/>
                      <w:sz w:val="21"/>
                    </w:rPr>
                  </w:pPr>
                  <w:r>
                    <w:rPr>
                      <w:rFonts w:ascii="Times New Roman" w:hAnsi="Times New Roman"/>
                      <w:sz w:val="21"/>
                    </w:rPr>
                    <w:t>1.70</w:t>
                  </w:r>
                </w:p>
              </w:tc>
              <w:tc>
                <w:tcPr>
                  <w:tcW w:w="416" w:type="pct"/>
                  <w:vAlign w:val="center"/>
                </w:tcPr>
                <w:p>
                  <w:pPr>
                    <w:pStyle w:val="217"/>
                    <w:spacing w:before="178"/>
                    <w:ind w:right="152"/>
                    <w:jc w:val="right"/>
                    <w:rPr>
                      <w:rFonts w:ascii="Times New Roman" w:hAnsi="Times New Roman"/>
                      <w:sz w:val="21"/>
                    </w:rPr>
                  </w:pPr>
                  <w:r>
                    <w:rPr>
                      <w:rFonts w:ascii="Times New Roman" w:hAnsi="Times New Roman"/>
                      <w:sz w:val="21"/>
                    </w:rPr>
                    <w:t>1.71</w:t>
                  </w:r>
                </w:p>
              </w:tc>
              <w:tc>
                <w:tcPr>
                  <w:tcW w:w="579" w:type="pct"/>
                  <w:vAlign w:val="center"/>
                </w:tcPr>
                <w:p>
                  <w:pPr>
                    <w:pStyle w:val="217"/>
                    <w:spacing w:before="192"/>
                    <w:ind w:left="152" w:right="137"/>
                    <w:rPr>
                      <w:rFonts w:ascii="Times New Roman" w:hAnsi="Times New Roman"/>
                      <w:sz w:val="21"/>
                    </w:rPr>
                  </w:pPr>
                  <w:r>
                    <w:rPr>
                      <w:rFonts w:ascii="Times New Roman" w:hAnsi="Times New Roman"/>
                      <w:sz w:val="21"/>
                    </w:rPr>
                    <w:t>1.71</w:t>
                  </w:r>
                </w:p>
              </w:tc>
              <w:tc>
                <w:tcPr>
                  <w:tcW w:w="534" w:type="pct"/>
                  <w:vAlign w:val="center"/>
                </w:tcPr>
                <w:p>
                  <w:pPr>
                    <w:pStyle w:val="217"/>
                    <w:spacing w:before="22"/>
                    <w:ind w:right="100"/>
                    <w:rPr>
                      <w:rFonts w:ascii="Times New Roman" w:hAnsi="Times New Roman"/>
                      <w:sz w:val="21"/>
                      <w:lang w:val="en-US"/>
                    </w:rPr>
                  </w:pPr>
                  <w:r>
                    <w:rPr>
                      <w:rFonts w:ascii="Times New Roman" w:hAnsi="Times New Roman"/>
                      <w:sz w:val="21"/>
                    </w:rPr>
                    <w:t>1.94×</w:t>
                  </w:r>
                  <w:r>
                    <w:rPr>
                      <w:rFonts w:hint="eastAsia" w:ascii="Times New Roman" w:hAnsi="Times New Roman"/>
                      <w:sz w:val="21"/>
                      <w:lang w:val="en-US"/>
                    </w:rPr>
                    <w:t>10</w:t>
                  </w:r>
                  <w:r>
                    <w:rPr>
                      <w:rFonts w:hint="eastAsia" w:ascii="Times New Roman" w:hAnsi="Times New Roman"/>
                      <w:sz w:val="21"/>
                      <w:vertAlign w:val="superscript"/>
                      <w:lang w:val="en-US"/>
                    </w:rPr>
                    <w:t>-2</w:t>
                  </w:r>
                </w:p>
              </w:tc>
              <w:tc>
                <w:tcPr>
                  <w:tcW w:w="594" w:type="pct"/>
                  <w:vAlign w:val="center"/>
                </w:tcPr>
                <w:p>
                  <w:pPr>
                    <w:pStyle w:val="217"/>
                    <w:spacing w:before="53"/>
                    <w:ind w:left="115" w:right="99"/>
                    <w:rPr>
                      <w:rFonts w:ascii="Times New Roman" w:hAnsi="Times New Roman"/>
                      <w:sz w:val="21"/>
                    </w:rPr>
                  </w:pPr>
                  <w:r>
                    <w:rPr>
                      <w:rFonts w:ascii="Times New Roman" w:hAnsi="Times New Roman"/>
                      <w:sz w:val="21"/>
                    </w:rPr>
                    <w:t>1.99×</w:t>
                  </w:r>
                  <w:r>
                    <w:rPr>
                      <w:rFonts w:hint="eastAsia" w:ascii="Times New Roman" w:hAnsi="Times New Roman"/>
                      <w:sz w:val="21"/>
                      <w:lang w:val="en-US"/>
                    </w:rPr>
                    <w:t>10</w:t>
                  </w:r>
                  <w:r>
                    <w:rPr>
                      <w:rFonts w:hint="eastAsia" w:ascii="Times New Roman" w:hAnsi="Times New Roman"/>
                      <w:sz w:val="21"/>
                      <w:vertAlign w:val="superscript"/>
                      <w:lang w:val="en-US"/>
                    </w:rPr>
                    <w:t>-2</w:t>
                  </w:r>
                </w:p>
              </w:tc>
              <w:tc>
                <w:tcPr>
                  <w:tcW w:w="579" w:type="pct"/>
                  <w:vAlign w:val="center"/>
                </w:tcPr>
                <w:p>
                  <w:pPr>
                    <w:pStyle w:val="217"/>
                    <w:spacing w:before="53"/>
                    <w:ind w:left="113" w:right="98"/>
                    <w:rPr>
                      <w:rFonts w:ascii="Times New Roman" w:hAnsi="Times New Roman"/>
                      <w:sz w:val="21"/>
                    </w:rPr>
                  </w:pPr>
                  <w:r>
                    <w:rPr>
                      <w:rFonts w:ascii="Times New Roman" w:hAnsi="Times New Roman"/>
                      <w:sz w:val="21"/>
                    </w:rPr>
                    <w:t>2.61×</w:t>
                  </w:r>
                  <w:r>
                    <w:rPr>
                      <w:rFonts w:hint="eastAsia" w:ascii="Times New Roman" w:hAnsi="Times New Roman"/>
                      <w:sz w:val="21"/>
                      <w:lang w:val="en-US"/>
                    </w:rPr>
                    <w:t>10</w:t>
                  </w:r>
                  <w:r>
                    <w:rPr>
                      <w:rFonts w:hint="eastAsia" w:ascii="Times New Roman" w:hAnsi="Times New Roman"/>
                      <w:sz w:val="21"/>
                      <w:vertAlign w:val="superscript"/>
                      <w:lang w:val="en-US"/>
                    </w:rPr>
                    <w:t>-2</w:t>
                  </w:r>
                </w:p>
              </w:tc>
              <w:tc>
                <w:tcPr>
                  <w:tcW w:w="674" w:type="pct"/>
                  <w:vAlign w:val="center"/>
                </w:tcPr>
                <w:p>
                  <w:pPr>
                    <w:pStyle w:val="217"/>
                    <w:spacing w:before="53"/>
                    <w:ind w:right="263"/>
                    <w:jc w:val="both"/>
                    <w:rPr>
                      <w:rFonts w:ascii="Times New Roman" w:hAnsi="Times New Roman"/>
                      <w:sz w:val="21"/>
                    </w:rPr>
                  </w:pPr>
                  <w:r>
                    <w:rPr>
                      <w:rFonts w:ascii="Times New Roman" w:hAnsi="Times New Roman"/>
                      <w:sz w:val="21"/>
                    </w:rPr>
                    <w:t>2.18×</w:t>
                  </w:r>
                  <w:r>
                    <w:rPr>
                      <w:rFonts w:hint="eastAsia" w:ascii="Times New Roman" w:hAnsi="Times New Roman"/>
                      <w:sz w:val="21"/>
                      <w:lang w:val="en-US"/>
                    </w:rPr>
                    <w:t>10</w:t>
                  </w:r>
                  <w:r>
                    <w:rPr>
                      <w:rFonts w:hint="eastAsia" w:ascii="Times New Roman" w:hAnsi="Times New Roman"/>
                      <w:sz w:val="21"/>
                      <w:vertAlign w:val="superscript"/>
                      <w:lang w:val="en-US"/>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68" w:right="161"/>
                    <w:rPr>
                      <w:rFonts w:ascii="Times New Roman" w:hAnsi="Times New Roman"/>
                      <w:sz w:val="21"/>
                    </w:rPr>
                  </w:pPr>
                  <w:r>
                    <w:rPr>
                      <w:rFonts w:ascii="Times New Roman" w:hAnsi="Times New Roman"/>
                      <w:sz w:val="21"/>
                    </w:rPr>
                    <w:t>VOCS限值</w:t>
                  </w:r>
                </w:p>
              </w:tc>
              <w:tc>
                <w:tcPr>
                  <w:tcW w:w="1777" w:type="pct"/>
                  <w:gridSpan w:val="4"/>
                  <w:vAlign w:val="center"/>
                </w:tcPr>
                <w:p>
                  <w:pPr>
                    <w:pStyle w:val="217"/>
                    <w:spacing w:before="51"/>
                    <w:ind w:left="10"/>
                    <w:rPr>
                      <w:rFonts w:ascii="Times New Roman" w:hAnsi="Times New Roman"/>
                      <w:sz w:val="21"/>
                    </w:rPr>
                  </w:pPr>
                  <w:r>
                    <w:rPr>
                      <w:rFonts w:ascii="Times New Roman" w:hAnsi="Times New Roman"/>
                      <w:sz w:val="21"/>
                    </w:rPr>
                    <w:t>/</w:t>
                  </w:r>
                </w:p>
              </w:tc>
              <w:tc>
                <w:tcPr>
                  <w:tcW w:w="2383" w:type="pct"/>
                  <w:gridSpan w:val="4"/>
                  <w:vAlign w:val="center"/>
                </w:tcPr>
                <w:p>
                  <w:pPr>
                    <w:pStyle w:val="217"/>
                    <w:spacing w:before="37"/>
                    <w:ind w:left="906"/>
                    <w:rPr>
                      <w:rFonts w:ascii="Times New Roman" w:hAnsi="Times New Roman"/>
                      <w:sz w:val="21"/>
                    </w:rPr>
                  </w:pPr>
                  <w:r>
                    <w:rPr>
                      <w:rFonts w:ascii="Times New Roman" w:hAnsi="Times New Roman"/>
                      <w:sz w:val="21"/>
                    </w:rPr>
                    <w:t>50mg/m</w:t>
                  </w:r>
                  <w:r>
                    <w:rPr>
                      <w:rFonts w:ascii="Times New Roman" w:hAnsi="Times New Roman"/>
                      <w:position w:val="7"/>
                      <w:sz w:val="21"/>
                    </w:rPr>
                    <w:t>3</w:t>
                  </w:r>
                  <w:r>
                    <w:rPr>
                      <w:rFonts w:ascii="Times New Roman" w:hAnsi="Times New Roman"/>
                      <w:sz w:val="21"/>
                    </w:rPr>
                    <w:t>；1.4kg/h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3" w:right="161"/>
                    <w:rPr>
                      <w:rFonts w:ascii="Times New Roman" w:hAnsi="Times New Roman"/>
                      <w:sz w:val="21"/>
                    </w:rPr>
                  </w:pPr>
                  <w:r>
                    <w:rPr>
                      <w:rFonts w:ascii="Times New Roman" w:hAnsi="Times New Roman"/>
                      <w:sz w:val="21"/>
                    </w:rPr>
                    <w:t>甲苯实测浓度</w:t>
                  </w:r>
                </w:p>
              </w:tc>
              <w:tc>
                <w:tcPr>
                  <w:tcW w:w="372" w:type="pct"/>
                  <w:vAlign w:val="center"/>
                </w:tcPr>
                <w:p>
                  <w:pPr>
                    <w:pStyle w:val="217"/>
                    <w:spacing w:before="30"/>
                    <w:ind w:right="157"/>
                    <w:rPr>
                      <w:rFonts w:ascii="Times New Roman" w:hAnsi="Times New Roman"/>
                      <w:sz w:val="21"/>
                    </w:rPr>
                  </w:pPr>
                  <w:r>
                    <w:rPr>
                      <w:rFonts w:ascii="Times New Roman" w:hAnsi="Times New Roman"/>
                      <w:w w:val="105"/>
                      <w:sz w:val="21"/>
                    </w:rPr>
                    <w:t>8.23</w:t>
                  </w:r>
                </w:p>
              </w:tc>
              <w:tc>
                <w:tcPr>
                  <w:tcW w:w="409" w:type="pct"/>
                  <w:vAlign w:val="center"/>
                </w:tcPr>
                <w:p>
                  <w:pPr>
                    <w:pStyle w:val="217"/>
                    <w:spacing w:before="30"/>
                    <w:ind w:right="157"/>
                    <w:rPr>
                      <w:rFonts w:ascii="Times New Roman" w:hAnsi="Times New Roman"/>
                      <w:sz w:val="21"/>
                    </w:rPr>
                  </w:pPr>
                  <w:r>
                    <w:rPr>
                      <w:rFonts w:ascii="Times New Roman" w:hAnsi="Times New Roman"/>
                      <w:w w:val="105"/>
                      <w:sz w:val="21"/>
                    </w:rPr>
                    <w:t>7.64</w:t>
                  </w:r>
                </w:p>
              </w:tc>
              <w:tc>
                <w:tcPr>
                  <w:tcW w:w="416" w:type="pct"/>
                  <w:vAlign w:val="center"/>
                </w:tcPr>
                <w:p>
                  <w:pPr>
                    <w:pStyle w:val="217"/>
                    <w:spacing w:before="30"/>
                    <w:ind w:right="157"/>
                    <w:rPr>
                      <w:rFonts w:ascii="Times New Roman" w:hAnsi="Times New Roman"/>
                      <w:sz w:val="21"/>
                    </w:rPr>
                  </w:pPr>
                  <w:r>
                    <w:rPr>
                      <w:rFonts w:ascii="Times New Roman" w:hAnsi="Times New Roman"/>
                      <w:w w:val="105"/>
                      <w:sz w:val="21"/>
                    </w:rPr>
                    <w:t>6.91</w:t>
                  </w:r>
                </w:p>
              </w:tc>
              <w:tc>
                <w:tcPr>
                  <w:tcW w:w="579" w:type="pct"/>
                  <w:vAlign w:val="center"/>
                </w:tcPr>
                <w:p>
                  <w:pPr>
                    <w:pStyle w:val="217"/>
                    <w:spacing w:before="51"/>
                    <w:ind w:left="152" w:right="137"/>
                    <w:rPr>
                      <w:rFonts w:ascii="Times New Roman" w:hAnsi="Times New Roman"/>
                      <w:sz w:val="21"/>
                    </w:rPr>
                  </w:pPr>
                  <w:r>
                    <w:rPr>
                      <w:rFonts w:ascii="Times New Roman" w:hAnsi="Times New Roman"/>
                      <w:sz w:val="21"/>
                    </w:rPr>
                    <w:t>7.59</w:t>
                  </w:r>
                </w:p>
              </w:tc>
              <w:tc>
                <w:tcPr>
                  <w:tcW w:w="534" w:type="pct"/>
                  <w:vAlign w:val="center"/>
                </w:tcPr>
                <w:p>
                  <w:pPr>
                    <w:pStyle w:val="217"/>
                    <w:spacing w:before="65"/>
                    <w:ind w:left="114" w:right="100"/>
                    <w:rPr>
                      <w:rFonts w:ascii="Times New Roman" w:hAnsi="Times New Roman"/>
                      <w:sz w:val="21"/>
                    </w:rPr>
                  </w:pPr>
                  <w:r>
                    <w:rPr>
                      <w:rFonts w:ascii="Times New Roman" w:hAnsi="Times New Roman"/>
                      <w:sz w:val="21"/>
                    </w:rPr>
                    <w:t>0.0143</w:t>
                  </w:r>
                </w:p>
              </w:tc>
              <w:tc>
                <w:tcPr>
                  <w:tcW w:w="594" w:type="pct"/>
                  <w:vAlign w:val="center"/>
                </w:tcPr>
                <w:p>
                  <w:pPr>
                    <w:pStyle w:val="217"/>
                    <w:spacing w:before="65"/>
                    <w:ind w:left="139"/>
                    <w:rPr>
                      <w:rFonts w:ascii="Times New Roman" w:hAnsi="Times New Roman"/>
                      <w:sz w:val="21"/>
                    </w:rPr>
                  </w:pPr>
                  <w:r>
                    <w:rPr>
                      <w:rFonts w:ascii="Times New Roman" w:hAnsi="Times New Roman"/>
                      <w:sz w:val="21"/>
                    </w:rPr>
                    <w:t>0.0113</w:t>
                  </w:r>
                </w:p>
              </w:tc>
              <w:tc>
                <w:tcPr>
                  <w:tcW w:w="579" w:type="pct"/>
                  <w:vAlign w:val="center"/>
                </w:tcPr>
                <w:p>
                  <w:pPr>
                    <w:pStyle w:val="217"/>
                    <w:spacing w:before="65"/>
                    <w:ind w:left="118" w:right="98"/>
                    <w:rPr>
                      <w:rFonts w:ascii="Times New Roman" w:hAnsi="Times New Roman"/>
                      <w:sz w:val="21"/>
                    </w:rPr>
                  </w:pPr>
                  <w:r>
                    <w:rPr>
                      <w:rFonts w:ascii="Times New Roman" w:hAnsi="Times New Roman"/>
                      <w:sz w:val="21"/>
                    </w:rPr>
                    <w:t>0.0128</w:t>
                  </w:r>
                </w:p>
              </w:tc>
              <w:tc>
                <w:tcPr>
                  <w:tcW w:w="674" w:type="pct"/>
                  <w:vAlign w:val="center"/>
                </w:tcPr>
                <w:p>
                  <w:pPr>
                    <w:pStyle w:val="217"/>
                    <w:spacing w:before="51"/>
                    <w:ind w:left="113" w:right="93"/>
                    <w:rPr>
                      <w:rFonts w:ascii="Times New Roman" w:hAnsi="Times New Roman"/>
                      <w:sz w:val="21"/>
                    </w:rPr>
                  </w:pPr>
                  <w:r>
                    <w:rPr>
                      <w:rFonts w:ascii="Times New Roman" w:hAnsi="Times New Roman"/>
                      <w:sz w:val="21"/>
                    </w:rPr>
                    <w:t>0.0128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178"/>
                    <w:ind w:left="173" w:right="161"/>
                    <w:rPr>
                      <w:rFonts w:ascii="Times New Roman" w:hAnsi="Times New Roman"/>
                      <w:sz w:val="21"/>
                    </w:rPr>
                  </w:pPr>
                  <w:r>
                    <w:rPr>
                      <w:rFonts w:ascii="Times New Roman" w:hAnsi="Times New Roman"/>
                      <w:sz w:val="21"/>
                    </w:rPr>
                    <w:t>甲苯排放速率</w:t>
                  </w:r>
                </w:p>
              </w:tc>
              <w:tc>
                <w:tcPr>
                  <w:tcW w:w="372" w:type="pct"/>
                  <w:vAlign w:val="center"/>
                </w:tcPr>
                <w:p>
                  <w:pPr>
                    <w:pStyle w:val="217"/>
                    <w:spacing w:before="178"/>
                    <w:ind w:right="95"/>
                    <w:rPr>
                      <w:rFonts w:ascii="Times New Roman" w:hAnsi="Times New Roman"/>
                      <w:sz w:val="21"/>
                    </w:rPr>
                  </w:pPr>
                  <w:r>
                    <w:rPr>
                      <w:rFonts w:ascii="Times New Roman" w:hAnsi="Times New Roman"/>
                      <w:sz w:val="21"/>
                    </w:rPr>
                    <w:t>0.701</w:t>
                  </w:r>
                </w:p>
              </w:tc>
              <w:tc>
                <w:tcPr>
                  <w:tcW w:w="409" w:type="pct"/>
                  <w:vAlign w:val="center"/>
                </w:tcPr>
                <w:p>
                  <w:pPr>
                    <w:pStyle w:val="217"/>
                    <w:spacing w:before="178"/>
                    <w:ind w:right="95"/>
                    <w:rPr>
                      <w:rFonts w:ascii="Times New Roman" w:hAnsi="Times New Roman"/>
                      <w:sz w:val="21"/>
                    </w:rPr>
                  </w:pPr>
                  <w:r>
                    <w:rPr>
                      <w:rFonts w:ascii="Times New Roman" w:hAnsi="Times New Roman"/>
                      <w:sz w:val="21"/>
                    </w:rPr>
                    <w:t>0.663</w:t>
                  </w:r>
                </w:p>
              </w:tc>
              <w:tc>
                <w:tcPr>
                  <w:tcW w:w="416" w:type="pct"/>
                  <w:vAlign w:val="center"/>
                </w:tcPr>
                <w:p>
                  <w:pPr>
                    <w:pStyle w:val="217"/>
                    <w:spacing w:before="178"/>
                    <w:ind w:right="94"/>
                    <w:rPr>
                      <w:rFonts w:ascii="Times New Roman" w:hAnsi="Times New Roman"/>
                      <w:sz w:val="21"/>
                    </w:rPr>
                  </w:pPr>
                  <w:r>
                    <w:rPr>
                      <w:rFonts w:ascii="Times New Roman" w:hAnsi="Times New Roman"/>
                      <w:sz w:val="21"/>
                    </w:rPr>
                    <w:t>0.596</w:t>
                  </w:r>
                </w:p>
              </w:tc>
              <w:tc>
                <w:tcPr>
                  <w:tcW w:w="579" w:type="pct"/>
                  <w:vAlign w:val="center"/>
                </w:tcPr>
                <w:p>
                  <w:pPr>
                    <w:pStyle w:val="217"/>
                    <w:spacing w:before="192"/>
                    <w:ind w:left="152" w:right="137"/>
                    <w:rPr>
                      <w:rFonts w:ascii="Times New Roman" w:hAnsi="Times New Roman"/>
                      <w:sz w:val="21"/>
                    </w:rPr>
                  </w:pPr>
                  <w:r>
                    <w:rPr>
                      <w:rFonts w:ascii="Times New Roman" w:hAnsi="Times New Roman"/>
                      <w:sz w:val="21"/>
                    </w:rPr>
                    <w:t>0.653</w:t>
                  </w:r>
                </w:p>
              </w:tc>
              <w:tc>
                <w:tcPr>
                  <w:tcW w:w="534" w:type="pct"/>
                  <w:vAlign w:val="center"/>
                </w:tcPr>
                <w:p>
                  <w:pPr>
                    <w:pStyle w:val="217"/>
                    <w:spacing w:before="22"/>
                    <w:ind w:left="114" w:right="100"/>
                    <w:rPr>
                      <w:rFonts w:ascii="Times New Roman" w:hAnsi="Times New Roman"/>
                      <w:sz w:val="21"/>
                    </w:rPr>
                  </w:pPr>
                  <w:r>
                    <w:rPr>
                      <w:rFonts w:ascii="Times New Roman" w:hAnsi="Times New Roman"/>
                      <w:sz w:val="21"/>
                    </w:rPr>
                    <w:t>1.23×</w:t>
                  </w:r>
                </w:p>
                <w:p>
                  <w:pPr>
                    <w:pStyle w:val="217"/>
                    <w:spacing w:before="53"/>
                    <w:ind w:left="114" w:right="100"/>
                    <w:rPr>
                      <w:rFonts w:ascii="Times New Roman" w:hAnsi="Times New Roman"/>
                      <w:sz w:val="21"/>
                    </w:rPr>
                  </w:pPr>
                  <w:r>
                    <w:rPr>
                      <w:rFonts w:ascii="Times New Roman" w:hAnsi="Times New Roman"/>
                      <w:position w:val="-6"/>
                      <w:sz w:val="21"/>
                    </w:rPr>
                    <w:t>10</w:t>
                  </w:r>
                  <w:r>
                    <w:rPr>
                      <w:rFonts w:ascii="Times New Roman" w:hAnsi="Times New Roman"/>
                      <w:sz w:val="21"/>
                    </w:rPr>
                    <w:t>-3</w:t>
                  </w:r>
                </w:p>
              </w:tc>
              <w:tc>
                <w:tcPr>
                  <w:tcW w:w="594" w:type="pct"/>
                  <w:vAlign w:val="center"/>
                </w:tcPr>
                <w:p>
                  <w:pPr>
                    <w:pStyle w:val="217"/>
                    <w:spacing w:before="22"/>
                    <w:ind w:left="115" w:right="99"/>
                    <w:rPr>
                      <w:rFonts w:ascii="Times New Roman" w:hAnsi="Times New Roman"/>
                      <w:sz w:val="21"/>
                    </w:rPr>
                  </w:pPr>
                  <w:r>
                    <w:rPr>
                      <w:rFonts w:ascii="Times New Roman" w:hAnsi="Times New Roman"/>
                      <w:sz w:val="21"/>
                    </w:rPr>
                    <w:t>9.88×</w:t>
                  </w:r>
                </w:p>
                <w:p>
                  <w:pPr>
                    <w:pStyle w:val="217"/>
                    <w:spacing w:before="53"/>
                    <w:ind w:left="115" w:right="99"/>
                    <w:rPr>
                      <w:rFonts w:ascii="Times New Roman" w:hAnsi="Times New Roman"/>
                      <w:sz w:val="21"/>
                    </w:rPr>
                  </w:pPr>
                  <w:r>
                    <w:rPr>
                      <w:rFonts w:ascii="Times New Roman" w:hAnsi="Times New Roman"/>
                      <w:position w:val="-6"/>
                      <w:sz w:val="21"/>
                    </w:rPr>
                    <w:t>10</w:t>
                  </w:r>
                  <w:r>
                    <w:rPr>
                      <w:rFonts w:ascii="Times New Roman" w:hAnsi="Times New Roman"/>
                      <w:sz w:val="21"/>
                    </w:rPr>
                    <w:t>-4</w:t>
                  </w:r>
                </w:p>
              </w:tc>
              <w:tc>
                <w:tcPr>
                  <w:tcW w:w="579" w:type="pct"/>
                  <w:vAlign w:val="center"/>
                </w:tcPr>
                <w:p>
                  <w:pPr>
                    <w:pStyle w:val="217"/>
                    <w:spacing w:before="22"/>
                    <w:ind w:left="118" w:right="98"/>
                    <w:rPr>
                      <w:rFonts w:ascii="Times New Roman" w:hAnsi="Times New Roman"/>
                      <w:sz w:val="21"/>
                    </w:rPr>
                  </w:pPr>
                  <w:r>
                    <w:rPr>
                      <w:rFonts w:ascii="Times New Roman" w:hAnsi="Times New Roman"/>
                      <w:sz w:val="21"/>
                    </w:rPr>
                    <w:t>1.11×</w:t>
                  </w:r>
                </w:p>
                <w:p>
                  <w:pPr>
                    <w:pStyle w:val="217"/>
                    <w:spacing w:before="53"/>
                    <w:ind w:left="113" w:right="98"/>
                    <w:rPr>
                      <w:rFonts w:ascii="Times New Roman" w:hAnsi="Times New Roman"/>
                      <w:sz w:val="21"/>
                    </w:rPr>
                  </w:pPr>
                  <w:r>
                    <w:rPr>
                      <w:rFonts w:ascii="Times New Roman" w:hAnsi="Times New Roman"/>
                      <w:position w:val="-6"/>
                      <w:sz w:val="21"/>
                    </w:rPr>
                    <w:t>10</w:t>
                  </w:r>
                  <w:r>
                    <w:rPr>
                      <w:rFonts w:ascii="Times New Roman" w:hAnsi="Times New Roman"/>
                      <w:sz w:val="21"/>
                    </w:rPr>
                    <w:t>-3</w:t>
                  </w:r>
                </w:p>
              </w:tc>
              <w:tc>
                <w:tcPr>
                  <w:tcW w:w="674" w:type="pct"/>
                  <w:vAlign w:val="center"/>
                </w:tcPr>
                <w:p>
                  <w:pPr>
                    <w:pStyle w:val="217"/>
                    <w:spacing w:before="53"/>
                    <w:ind w:left="113" w:right="93"/>
                    <w:rPr>
                      <w:rFonts w:ascii="Times New Roman" w:hAnsi="Times New Roman"/>
                      <w:sz w:val="21"/>
                    </w:rPr>
                  </w:pPr>
                  <w:r>
                    <w:rPr>
                      <w:rFonts w:ascii="Times New Roman" w:hAnsi="Times New Roman"/>
                      <w:sz w:val="21"/>
                    </w:rPr>
                    <w:t>1.11×</w:t>
                  </w:r>
                  <w:r>
                    <w:rPr>
                      <w:rFonts w:hint="eastAsia" w:ascii="Times New Roman" w:hAnsi="Times New Roman"/>
                      <w:sz w:val="21"/>
                      <w:lang w:val="en-US"/>
                    </w:rPr>
                    <w:t>10</w:t>
                  </w:r>
                  <w:r>
                    <w:rPr>
                      <w:rFonts w:hint="eastAsia" w:ascii="Times New Roman" w:hAnsi="Times New Roman"/>
                      <w:sz w:val="21"/>
                      <w:vertAlign w:val="superscript"/>
                      <w:lang w:val="en-US"/>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0" w:right="161"/>
                    <w:rPr>
                      <w:rFonts w:ascii="Times New Roman" w:hAnsi="Times New Roman"/>
                      <w:sz w:val="21"/>
                    </w:rPr>
                  </w:pPr>
                  <w:r>
                    <w:rPr>
                      <w:rFonts w:ascii="Times New Roman" w:hAnsi="Times New Roman"/>
                      <w:sz w:val="21"/>
                    </w:rPr>
                    <w:t>甲苯限值</w:t>
                  </w:r>
                </w:p>
              </w:tc>
              <w:tc>
                <w:tcPr>
                  <w:tcW w:w="1777" w:type="pct"/>
                  <w:gridSpan w:val="4"/>
                  <w:vAlign w:val="center"/>
                </w:tcPr>
                <w:p>
                  <w:pPr>
                    <w:pStyle w:val="217"/>
                    <w:spacing w:before="51"/>
                    <w:ind w:left="10"/>
                    <w:rPr>
                      <w:rFonts w:ascii="Times New Roman" w:hAnsi="Times New Roman"/>
                      <w:sz w:val="21"/>
                    </w:rPr>
                  </w:pPr>
                  <w:r>
                    <w:rPr>
                      <w:rFonts w:ascii="Times New Roman" w:hAnsi="Times New Roman"/>
                      <w:sz w:val="21"/>
                    </w:rPr>
                    <w:t>/</w:t>
                  </w:r>
                </w:p>
              </w:tc>
              <w:tc>
                <w:tcPr>
                  <w:tcW w:w="2383" w:type="pct"/>
                  <w:gridSpan w:val="4"/>
                  <w:vAlign w:val="center"/>
                </w:tcPr>
                <w:p>
                  <w:pPr>
                    <w:pStyle w:val="217"/>
                    <w:spacing w:before="37"/>
                    <w:ind w:left="906"/>
                    <w:rPr>
                      <w:rFonts w:ascii="Times New Roman" w:hAnsi="Times New Roman"/>
                      <w:sz w:val="21"/>
                    </w:rPr>
                  </w:pPr>
                  <w:r>
                    <w:rPr>
                      <w:rFonts w:ascii="Times New Roman" w:hAnsi="Times New Roman"/>
                      <w:sz w:val="21"/>
                    </w:rPr>
                    <w:t>18mg/m</w:t>
                  </w:r>
                  <w:r>
                    <w:rPr>
                      <w:rFonts w:ascii="Times New Roman" w:hAnsi="Times New Roman"/>
                      <w:position w:val="7"/>
                      <w:sz w:val="21"/>
                    </w:rPr>
                    <w:t>3</w:t>
                  </w:r>
                  <w:r>
                    <w:rPr>
                      <w:rFonts w:ascii="Times New Roman" w:hAnsi="Times New Roman"/>
                      <w:sz w:val="21"/>
                    </w:rPr>
                    <w:t>；0.7kg/h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3" w:right="161"/>
                    <w:rPr>
                      <w:rFonts w:ascii="Times New Roman" w:hAnsi="Times New Roman"/>
                      <w:sz w:val="21"/>
                    </w:rPr>
                  </w:pPr>
                  <w:r>
                    <w:rPr>
                      <w:rFonts w:ascii="Times New Roman" w:hAnsi="Times New Roman"/>
                      <w:sz w:val="21"/>
                    </w:rPr>
                    <w:t>二甲苯实测浓度</w:t>
                  </w:r>
                </w:p>
              </w:tc>
              <w:tc>
                <w:tcPr>
                  <w:tcW w:w="372" w:type="pct"/>
                  <w:vAlign w:val="center"/>
                </w:tcPr>
                <w:p>
                  <w:pPr>
                    <w:pStyle w:val="217"/>
                    <w:spacing w:before="51"/>
                    <w:ind w:right="169"/>
                    <w:rPr>
                      <w:rFonts w:ascii="Times New Roman" w:hAnsi="Times New Roman"/>
                      <w:sz w:val="21"/>
                    </w:rPr>
                  </w:pPr>
                  <w:r>
                    <w:rPr>
                      <w:rFonts w:ascii="Times New Roman" w:hAnsi="Times New Roman"/>
                      <w:sz w:val="21"/>
                    </w:rPr>
                    <w:t>3.13</w:t>
                  </w:r>
                </w:p>
              </w:tc>
              <w:tc>
                <w:tcPr>
                  <w:tcW w:w="409" w:type="pct"/>
                  <w:vAlign w:val="center"/>
                </w:tcPr>
                <w:p>
                  <w:pPr>
                    <w:pStyle w:val="217"/>
                    <w:spacing w:before="51"/>
                    <w:ind w:right="169"/>
                    <w:rPr>
                      <w:rFonts w:ascii="Times New Roman" w:hAnsi="Times New Roman"/>
                      <w:sz w:val="21"/>
                    </w:rPr>
                  </w:pPr>
                  <w:r>
                    <w:rPr>
                      <w:rFonts w:ascii="Times New Roman" w:hAnsi="Times New Roman"/>
                      <w:sz w:val="21"/>
                    </w:rPr>
                    <w:t>3.19</w:t>
                  </w:r>
                </w:p>
              </w:tc>
              <w:tc>
                <w:tcPr>
                  <w:tcW w:w="416" w:type="pct"/>
                  <w:vAlign w:val="center"/>
                </w:tcPr>
                <w:p>
                  <w:pPr>
                    <w:pStyle w:val="217"/>
                    <w:spacing w:before="51"/>
                    <w:ind w:right="168"/>
                    <w:rPr>
                      <w:rFonts w:ascii="Times New Roman" w:hAnsi="Times New Roman"/>
                      <w:sz w:val="21"/>
                    </w:rPr>
                  </w:pPr>
                  <w:r>
                    <w:rPr>
                      <w:rFonts w:ascii="Times New Roman" w:hAnsi="Times New Roman"/>
                      <w:sz w:val="21"/>
                    </w:rPr>
                    <w:t>2.76</w:t>
                  </w:r>
                </w:p>
              </w:tc>
              <w:tc>
                <w:tcPr>
                  <w:tcW w:w="579" w:type="pct"/>
                  <w:vAlign w:val="center"/>
                </w:tcPr>
                <w:p>
                  <w:pPr>
                    <w:pStyle w:val="217"/>
                    <w:spacing w:before="51"/>
                    <w:ind w:left="152" w:right="136"/>
                    <w:rPr>
                      <w:rFonts w:ascii="Times New Roman" w:hAnsi="Times New Roman"/>
                      <w:sz w:val="21"/>
                    </w:rPr>
                  </w:pPr>
                  <w:r>
                    <w:rPr>
                      <w:rFonts w:ascii="Times New Roman" w:hAnsi="Times New Roman"/>
                      <w:sz w:val="21"/>
                    </w:rPr>
                    <w:t>3.03</w:t>
                  </w:r>
                </w:p>
              </w:tc>
              <w:tc>
                <w:tcPr>
                  <w:tcW w:w="534" w:type="pct"/>
                  <w:vAlign w:val="center"/>
                </w:tcPr>
                <w:p>
                  <w:pPr>
                    <w:pStyle w:val="217"/>
                    <w:spacing w:before="65"/>
                    <w:ind w:left="115" w:right="100"/>
                    <w:rPr>
                      <w:rFonts w:ascii="Times New Roman" w:hAnsi="Times New Roman"/>
                      <w:sz w:val="21"/>
                    </w:rPr>
                  </w:pPr>
                  <w:r>
                    <w:rPr>
                      <w:rFonts w:ascii="Times New Roman" w:hAnsi="Times New Roman"/>
                      <w:sz w:val="21"/>
                    </w:rPr>
                    <w:t>0.0127</w:t>
                  </w:r>
                </w:p>
              </w:tc>
              <w:tc>
                <w:tcPr>
                  <w:tcW w:w="594" w:type="pct"/>
                  <w:vAlign w:val="center"/>
                </w:tcPr>
                <w:p>
                  <w:pPr>
                    <w:pStyle w:val="217"/>
                    <w:spacing w:before="65"/>
                    <w:ind w:left="135"/>
                    <w:rPr>
                      <w:rFonts w:ascii="Times New Roman" w:hAnsi="Times New Roman"/>
                      <w:sz w:val="21"/>
                    </w:rPr>
                  </w:pPr>
                  <w:r>
                    <w:rPr>
                      <w:rFonts w:ascii="Times New Roman" w:hAnsi="Times New Roman"/>
                      <w:sz w:val="21"/>
                    </w:rPr>
                    <w:t>0.0189</w:t>
                  </w:r>
                </w:p>
              </w:tc>
              <w:tc>
                <w:tcPr>
                  <w:tcW w:w="579" w:type="pct"/>
                  <w:vAlign w:val="center"/>
                </w:tcPr>
                <w:p>
                  <w:pPr>
                    <w:pStyle w:val="217"/>
                    <w:spacing w:before="65"/>
                    <w:ind w:left="119" w:right="98"/>
                    <w:rPr>
                      <w:rFonts w:ascii="Times New Roman" w:hAnsi="Times New Roman"/>
                      <w:sz w:val="21"/>
                    </w:rPr>
                  </w:pPr>
                  <w:r>
                    <w:rPr>
                      <w:rFonts w:ascii="Times New Roman" w:hAnsi="Times New Roman"/>
                      <w:sz w:val="21"/>
                    </w:rPr>
                    <w:t>0.0173</w:t>
                  </w:r>
                </w:p>
              </w:tc>
              <w:tc>
                <w:tcPr>
                  <w:tcW w:w="674" w:type="pct"/>
                  <w:vAlign w:val="center"/>
                </w:tcPr>
                <w:p>
                  <w:pPr>
                    <w:pStyle w:val="217"/>
                    <w:spacing w:before="51"/>
                    <w:ind w:left="113" w:right="91"/>
                    <w:rPr>
                      <w:rFonts w:ascii="Times New Roman" w:hAnsi="Times New Roman"/>
                      <w:sz w:val="21"/>
                    </w:rPr>
                  </w:pPr>
                  <w:r>
                    <w:rPr>
                      <w:rFonts w:ascii="Times New Roman" w:hAnsi="Times New Roman"/>
                      <w:sz w:val="21"/>
                    </w:rPr>
                    <w:t>0.0163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178"/>
                    <w:ind w:left="173" w:right="161"/>
                    <w:rPr>
                      <w:rFonts w:ascii="Times New Roman" w:hAnsi="Times New Roman"/>
                      <w:sz w:val="21"/>
                    </w:rPr>
                  </w:pPr>
                  <w:r>
                    <w:rPr>
                      <w:rFonts w:ascii="Times New Roman" w:hAnsi="Times New Roman"/>
                      <w:sz w:val="21"/>
                    </w:rPr>
                    <w:t>二甲苯排放速率</w:t>
                  </w:r>
                </w:p>
              </w:tc>
              <w:tc>
                <w:tcPr>
                  <w:tcW w:w="372" w:type="pct"/>
                  <w:vAlign w:val="center"/>
                </w:tcPr>
                <w:p>
                  <w:pPr>
                    <w:pStyle w:val="217"/>
                    <w:spacing w:before="192"/>
                    <w:ind w:right="117"/>
                    <w:rPr>
                      <w:rFonts w:ascii="Times New Roman" w:hAnsi="Times New Roman"/>
                      <w:sz w:val="21"/>
                    </w:rPr>
                  </w:pPr>
                  <w:r>
                    <w:rPr>
                      <w:rFonts w:ascii="Times New Roman" w:hAnsi="Times New Roman"/>
                      <w:sz w:val="21"/>
                    </w:rPr>
                    <w:t>0.267</w:t>
                  </w:r>
                </w:p>
              </w:tc>
              <w:tc>
                <w:tcPr>
                  <w:tcW w:w="409" w:type="pct"/>
                  <w:vAlign w:val="center"/>
                </w:tcPr>
                <w:p>
                  <w:pPr>
                    <w:pStyle w:val="217"/>
                    <w:spacing w:before="192"/>
                    <w:ind w:right="116"/>
                    <w:rPr>
                      <w:rFonts w:ascii="Times New Roman" w:hAnsi="Times New Roman"/>
                      <w:sz w:val="21"/>
                    </w:rPr>
                  </w:pPr>
                  <w:r>
                    <w:rPr>
                      <w:rFonts w:ascii="Times New Roman" w:hAnsi="Times New Roman"/>
                      <w:sz w:val="21"/>
                    </w:rPr>
                    <w:t>0.277</w:t>
                  </w:r>
                </w:p>
              </w:tc>
              <w:tc>
                <w:tcPr>
                  <w:tcW w:w="416" w:type="pct"/>
                  <w:vAlign w:val="center"/>
                </w:tcPr>
                <w:p>
                  <w:pPr>
                    <w:pStyle w:val="217"/>
                    <w:spacing w:before="192"/>
                    <w:ind w:right="116"/>
                    <w:rPr>
                      <w:rFonts w:ascii="Times New Roman" w:hAnsi="Times New Roman"/>
                      <w:sz w:val="21"/>
                    </w:rPr>
                  </w:pPr>
                  <w:r>
                    <w:rPr>
                      <w:rFonts w:ascii="Times New Roman" w:hAnsi="Times New Roman"/>
                      <w:sz w:val="21"/>
                    </w:rPr>
                    <w:t>0.238</w:t>
                  </w:r>
                </w:p>
              </w:tc>
              <w:tc>
                <w:tcPr>
                  <w:tcW w:w="579" w:type="pct"/>
                  <w:vAlign w:val="center"/>
                </w:tcPr>
                <w:p>
                  <w:pPr>
                    <w:pStyle w:val="217"/>
                    <w:spacing w:before="192"/>
                    <w:ind w:left="152" w:right="136"/>
                    <w:rPr>
                      <w:rFonts w:ascii="Times New Roman" w:hAnsi="Times New Roman"/>
                      <w:sz w:val="21"/>
                    </w:rPr>
                  </w:pPr>
                  <w:r>
                    <w:rPr>
                      <w:rFonts w:ascii="Times New Roman" w:hAnsi="Times New Roman"/>
                      <w:sz w:val="21"/>
                    </w:rPr>
                    <w:t>0.261</w:t>
                  </w:r>
                </w:p>
              </w:tc>
              <w:tc>
                <w:tcPr>
                  <w:tcW w:w="534" w:type="pct"/>
                  <w:vAlign w:val="center"/>
                </w:tcPr>
                <w:p>
                  <w:pPr>
                    <w:pStyle w:val="217"/>
                    <w:spacing w:before="22"/>
                    <w:ind w:left="115" w:right="100"/>
                    <w:rPr>
                      <w:rFonts w:ascii="Times New Roman" w:hAnsi="Times New Roman"/>
                      <w:sz w:val="21"/>
                    </w:rPr>
                  </w:pPr>
                  <w:r>
                    <w:rPr>
                      <w:rFonts w:ascii="Times New Roman" w:hAnsi="Times New Roman"/>
                      <w:sz w:val="21"/>
                    </w:rPr>
                    <w:t>1.09×</w:t>
                  </w:r>
                </w:p>
                <w:p>
                  <w:pPr>
                    <w:pStyle w:val="217"/>
                    <w:spacing w:before="53"/>
                    <w:ind w:left="114" w:right="100"/>
                    <w:rPr>
                      <w:rFonts w:ascii="Times New Roman" w:hAnsi="Times New Roman"/>
                      <w:sz w:val="21"/>
                    </w:rPr>
                  </w:pPr>
                  <w:r>
                    <w:rPr>
                      <w:rFonts w:ascii="Times New Roman" w:hAnsi="Times New Roman"/>
                      <w:position w:val="-6"/>
                      <w:sz w:val="21"/>
                    </w:rPr>
                    <w:t>10</w:t>
                  </w:r>
                  <w:r>
                    <w:rPr>
                      <w:rFonts w:ascii="Times New Roman" w:hAnsi="Times New Roman"/>
                      <w:sz w:val="21"/>
                    </w:rPr>
                    <w:t>-3</w:t>
                  </w:r>
                </w:p>
              </w:tc>
              <w:tc>
                <w:tcPr>
                  <w:tcW w:w="594" w:type="pct"/>
                  <w:vAlign w:val="center"/>
                </w:tcPr>
                <w:p>
                  <w:pPr>
                    <w:pStyle w:val="217"/>
                    <w:spacing w:before="22"/>
                    <w:ind w:left="115" w:right="99"/>
                    <w:rPr>
                      <w:rFonts w:ascii="Times New Roman" w:hAnsi="Times New Roman"/>
                      <w:sz w:val="21"/>
                    </w:rPr>
                  </w:pPr>
                  <w:r>
                    <w:rPr>
                      <w:rFonts w:ascii="Times New Roman" w:hAnsi="Times New Roman"/>
                      <w:sz w:val="21"/>
                    </w:rPr>
                    <w:t>1.65×</w:t>
                  </w:r>
                </w:p>
                <w:p>
                  <w:pPr>
                    <w:pStyle w:val="217"/>
                    <w:spacing w:before="53"/>
                    <w:ind w:left="115" w:right="99"/>
                    <w:rPr>
                      <w:rFonts w:ascii="Times New Roman" w:hAnsi="Times New Roman"/>
                      <w:sz w:val="21"/>
                    </w:rPr>
                  </w:pPr>
                  <w:r>
                    <w:rPr>
                      <w:rFonts w:ascii="Times New Roman" w:hAnsi="Times New Roman"/>
                      <w:position w:val="-6"/>
                      <w:sz w:val="21"/>
                    </w:rPr>
                    <w:t>10</w:t>
                  </w:r>
                  <w:r>
                    <w:rPr>
                      <w:rFonts w:ascii="Times New Roman" w:hAnsi="Times New Roman"/>
                      <w:sz w:val="21"/>
                    </w:rPr>
                    <w:t>-3</w:t>
                  </w:r>
                </w:p>
              </w:tc>
              <w:tc>
                <w:tcPr>
                  <w:tcW w:w="579" w:type="pct"/>
                  <w:vAlign w:val="center"/>
                </w:tcPr>
                <w:p>
                  <w:pPr>
                    <w:pStyle w:val="217"/>
                    <w:spacing w:before="22"/>
                    <w:ind w:left="118" w:right="98"/>
                    <w:rPr>
                      <w:rFonts w:ascii="Times New Roman" w:hAnsi="Times New Roman"/>
                      <w:sz w:val="21"/>
                    </w:rPr>
                  </w:pPr>
                  <w:r>
                    <w:rPr>
                      <w:rFonts w:ascii="Times New Roman" w:hAnsi="Times New Roman"/>
                      <w:sz w:val="21"/>
                    </w:rPr>
                    <w:t>1.50×</w:t>
                  </w:r>
                </w:p>
                <w:p>
                  <w:pPr>
                    <w:pStyle w:val="217"/>
                    <w:spacing w:before="53"/>
                    <w:ind w:left="113" w:right="98"/>
                    <w:rPr>
                      <w:rFonts w:ascii="Times New Roman" w:hAnsi="Times New Roman"/>
                      <w:sz w:val="21"/>
                    </w:rPr>
                  </w:pPr>
                  <w:r>
                    <w:rPr>
                      <w:rFonts w:ascii="Times New Roman" w:hAnsi="Times New Roman"/>
                      <w:position w:val="-6"/>
                      <w:sz w:val="21"/>
                    </w:rPr>
                    <w:t>10</w:t>
                  </w:r>
                  <w:r>
                    <w:rPr>
                      <w:rFonts w:ascii="Times New Roman" w:hAnsi="Times New Roman"/>
                      <w:sz w:val="21"/>
                    </w:rPr>
                    <w:t>-3</w:t>
                  </w:r>
                </w:p>
              </w:tc>
              <w:tc>
                <w:tcPr>
                  <w:tcW w:w="674" w:type="pct"/>
                  <w:vAlign w:val="center"/>
                </w:tcPr>
                <w:p>
                  <w:pPr>
                    <w:pStyle w:val="217"/>
                    <w:spacing w:before="53"/>
                    <w:ind w:left="113" w:right="93"/>
                    <w:rPr>
                      <w:rFonts w:ascii="Times New Roman" w:hAnsi="Times New Roman"/>
                      <w:sz w:val="21"/>
                    </w:rPr>
                  </w:pPr>
                  <w:r>
                    <w:rPr>
                      <w:rFonts w:ascii="Times New Roman" w:hAnsi="Times New Roman"/>
                      <w:sz w:val="21"/>
                    </w:rPr>
                    <w:t>1.41×</w:t>
                  </w:r>
                  <w:r>
                    <w:rPr>
                      <w:rFonts w:hint="eastAsia" w:ascii="Times New Roman" w:hAnsi="Times New Roman"/>
                      <w:sz w:val="21"/>
                      <w:lang w:val="en-US"/>
                    </w:rPr>
                    <w:t>10</w:t>
                  </w:r>
                  <w:r>
                    <w:rPr>
                      <w:rFonts w:hint="eastAsia" w:ascii="Times New Roman" w:hAnsi="Times New Roman"/>
                      <w:sz w:val="21"/>
                      <w:vertAlign w:val="superscript"/>
                      <w:lang w:val="en-US"/>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0" w:right="161"/>
                    <w:rPr>
                      <w:rFonts w:ascii="Times New Roman" w:hAnsi="Times New Roman"/>
                      <w:sz w:val="21"/>
                    </w:rPr>
                  </w:pPr>
                  <w:r>
                    <w:rPr>
                      <w:rFonts w:ascii="Times New Roman" w:hAnsi="Times New Roman"/>
                      <w:sz w:val="21"/>
                    </w:rPr>
                    <w:t>二甲苯限值</w:t>
                  </w:r>
                </w:p>
              </w:tc>
              <w:tc>
                <w:tcPr>
                  <w:tcW w:w="1777" w:type="pct"/>
                  <w:gridSpan w:val="4"/>
                  <w:vAlign w:val="center"/>
                </w:tcPr>
                <w:p>
                  <w:pPr>
                    <w:pStyle w:val="217"/>
                    <w:spacing w:before="51"/>
                    <w:ind w:left="10"/>
                    <w:rPr>
                      <w:rFonts w:ascii="Times New Roman" w:hAnsi="Times New Roman"/>
                      <w:sz w:val="21"/>
                    </w:rPr>
                  </w:pPr>
                  <w:r>
                    <w:rPr>
                      <w:rFonts w:ascii="Times New Roman" w:hAnsi="Times New Roman"/>
                      <w:sz w:val="21"/>
                    </w:rPr>
                    <w:t>/</w:t>
                  </w:r>
                </w:p>
              </w:tc>
              <w:tc>
                <w:tcPr>
                  <w:tcW w:w="2383" w:type="pct"/>
                  <w:gridSpan w:val="4"/>
                  <w:vAlign w:val="center"/>
                </w:tcPr>
                <w:p>
                  <w:pPr>
                    <w:pStyle w:val="217"/>
                    <w:spacing w:before="37"/>
                    <w:ind w:left="906"/>
                    <w:rPr>
                      <w:rFonts w:ascii="Times New Roman" w:hAnsi="Times New Roman"/>
                      <w:sz w:val="21"/>
                    </w:rPr>
                  </w:pPr>
                  <w:r>
                    <w:rPr>
                      <w:rFonts w:ascii="Times New Roman" w:hAnsi="Times New Roman"/>
                      <w:sz w:val="21"/>
                    </w:rPr>
                    <w:t>18mg/m</w:t>
                  </w:r>
                  <w:r>
                    <w:rPr>
                      <w:rFonts w:ascii="Times New Roman" w:hAnsi="Times New Roman"/>
                      <w:position w:val="7"/>
                      <w:sz w:val="21"/>
                    </w:rPr>
                    <w:t>3</w:t>
                  </w:r>
                  <w:r>
                    <w:rPr>
                      <w:rFonts w:ascii="Times New Roman" w:hAnsi="Times New Roman"/>
                      <w:sz w:val="21"/>
                    </w:rPr>
                    <w:t>；0.5kg/h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0" w:right="161"/>
                    <w:rPr>
                      <w:rFonts w:ascii="Times New Roman" w:hAnsi="Times New Roman"/>
                      <w:b/>
                      <w:bCs/>
                      <w:sz w:val="21"/>
                    </w:rPr>
                  </w:pPr>
                  <w:r>
                    <w:rPr>
                      <w:rFonts w:ascii="Times New Roman" w:hAnsi="Times New Roman"/>
                      <w:b/>
                      <w:bCs/>
                      <w:sz w:val="21"/>
                    </w:rPr>
                    <w:t>监测时间</w:t>
                  </w:r>
                </w:p>
              </w:tc>
              <w:tc>
                <w:tcPr>
                  <w:tcW w:w="4161" w:type="pct"/>
                  <w:gridSpan w:val="8"/>
                  <w:vAlign w:val="center"/>
                </w:tcPr>
                <w:p>
                  <w:pPr>
                    <w:pStyle w:val="217"/>
                    <w:spacing w:before="51"/>
                    <w:ind w:left="2779" w:right="2766"/>
                    <w:rPr>
                      <w:rFonts w:ascii="Times New Roman" w:hAnsi="Times New Roman"/>
                      <w:b/>
                      <w:bCs/>
                      <w:sz w:val="21"/>
                    </w:rPr>
                  </w:pPr>
                  <w:r>
                    <w:rPr>
                      <w:rFonts w:ascii="Times New Roman" w:hAnsi="Times New Roman"/>
                      <w:b/>
                      <w:bCs/>
                      <w:sz w:val="21"/>
                    </w:rPr>
                    <w:t>2020.4.24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178"/>
                    <w:ind w:left="170" w:right="161"/>
                    <w:rPr>
                      <w:rFonts w:ascii="Times New Roman" w:hAnsi="Times New Roman"/>
                      <w:sz w:val="21"/>
                    </w:rPr>
                  </w:pPr>
                  <w:r>
                    <w:rPr>
                      <w:rFonts w:ascii="Times New Roman" w:hAnsi="Times New Roman"/>
                      <w:sz w:val="21"/>
                    </w:rPr>
                    <w:t>监测点位</w:t>
                  </w:r>
                </w:p>
              </w:tc>
              <w:tc>
                <w:tcPr>
                  <w:tcW w:w="1198" w:type="pct"/>
                  <w:gridSpan w:val="3"/>
                  <w:vAlign w:val="center"/>
                </w:tcPr>
                <w:p>
                  <w:pPr>
                    <w:pStyle w:val="217"/>
                    <w:spacing w:before="178"/>
                    <w:ind w:left="261"/>
                    <w:rPr>
                      <w:rFonts w:ascii="Times New Roman" w:hAnsi="Times New Roman"/>
                      <w:sz w:val="21"/>
                    </w:rPr>
                  </w:pPr>
                  <w:r>
                    <w:rPr>
                      <w:rFonts w:ascii="Times New Roman" w:hAnsi="Times New Roman"/>
                      <w:sz w:val="21"/>
                    </w:rPr>
                    <w:t>喷漆房排气筒进口</w:t>
                  </w:r>
                </w:p>
              </w:tc>
              <w:tc>
                <w:tcPr>
                  <w:tcW w:w="579" w:type="pct"/>
                  <w:vAlign w:val="center"/>
                </w:tcPr>
                <w:p>
                  <w:pPr>
                    <w:pStyle w:val="217"/>
                    <w:spacing w:before="22"/>
                    <w:ind w:left="152" w:right="137"/>
                    <w:rPr>
                      <w:rFonts w:ascii="Times New Roman" w:hAnsi="Times New Roman"/>
                      <w:sz w:val="21"/>
                    </w:rPr>
                  </w:pPr>
                  <w:r>
                    <w:rPr>
                      <w:rFonts w:ascii="Times New Roman" w:hAnsi="Times New Roman"/>
                      <w:sz w:val="21"/>
                    </w:rPr>
                    <w:t>平均</w:t>
                  </w:r>
                </w:p>
                <w:p>
                  <w:pPr>
                    <w:pStyle w:val="217"/>
                    <w:spacing w:before="43"/>
                    <w:ind w:left="10"/>
                    <w:rPr>
                      <w:rFonts w:ascii="Times New Roman" w:hAnsi="Times New Roman"/>
                      <w:sz w:val="21"/>
                    </w:rPr>
                  </w:pPr>
                  <w:r>
                    <w:rPr>
                      <w:rFonts w:ascii="Times New Roman" w:hAnsi="Times New Roman"/>
                      <w:sz w:val="21"/>
                    </w:rPr>
                    <w:t>值</w:t>
                  </w:r>
                </w:p>
              </w:tc>
              <w:tc>
                <w:tcPr>
                  <w:tcW w:w="1708" w:type="pct"/>
                  <w:gridSpan w:val="3"/>
                  <w:vAlign w:val="center"/>
                </w:tcPr>
                <w:p>
                  <w:pPr>
                    <w:pStyle w:val="217"/>
                    <w:spacing w:before="178"/>
                    <w:ind w:left="429"/>
                    <w:rPr>
                      <w:rFonts w:ascii="Times New Roman" w:hAnsi="Times New Roman"/>
                      <w:sz w:val="21"/>
                    </w:rPr>
                  </w:pPr>
                  <w:r>
                    <w:rPr>
                      <w:rFonts w:ascii="Times New Roman" w:hAnsi="Times New Roman"/>
                      <w:sz w:val="21"/>
                    </w:rPr>
                    <w:t>喷漆房排气筒出口</w:t>
                  </w:r>
                </w:p>
              </w:tc>
              <w:tc>
                <w:tcPr>
                  <w:tcW w:w="674" w:type="pct"/>
                  <w:vAlign w:val="center"/>
                </w:tcPr>
                <w:p>
                  <w:pPr>
                    <w:pStyle w:val="217"/>
                    <w:spacing w:before="37"/>
                    <w:rPr>
                      <w:rFonts w:ascii="Times New Roman" w:hAnsi="Times New Roman"/>
                      <w:sz w:val="21"/>
                    </w:rPr>
                  </w:pPr>
                  <w:r>
                    <w:rPr>
                      <w:rFonts w:ascii="Times New Roman" w:hAnsi="Times New Roman"/>
                      <w:sz w:val="21"/>
                    </w:rPr>
                    <w:t>平均</w:t>
                  </w:r>
                </w:p>
                <w:p>
                  <w:pPr>
                    <w:pStyle w:val="217"/>
                    <w:spacing w:before="37"/>
                    <w:rPr>
                      <w:rFonts w:ascii="Times New Roman" w:hAnsi="Times New Roman"/>
                      <w:sz w:val="21"/>
                    </w:rPr>
                  </w:pPr>
                  <w:r>
                    <w:rPr>
                      <w:rFonts w:ascii="Times New Roman" w:hAnsi="Times New Roman"/>
                      <w:sz w:val="21"/>
                    </w:rPr>
                    <w:t>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1" w:right="161"/>
                    <w:rPr>
                      <w:rFonts w:ascii="Times New Roman" w:hAnsi="Times New Roman"/>
                      <w:sz w:val="21"/>
                    </w:rPr>
                  </w:pPr>
                  <w:r>
                    <w:rPr>
                      <w:rFonts w:ascii="Times New Roman" w:hAnsi="Times New Roman"/>
                      <w:sz w:val="21"/>
                    </w:rPr>
                    <w:t>VOCS 实测浓度</w:t>
                  </w:r>
                </w:p>
              </w:tc>
              <w:tc>
                <w:tcPr>
                  <w:tcW w:w="372" w:type="pct"/>
                  <w:vAlign w:val="center"/>
                </w:tcPr>
                <w:p>
                  <w:pPr>
                    <w:pStyle w:val="217"/>
                    <w:spacing w:before="51"/>
                    <w:ind w:right="170"/>
                    <w:rPr>
                      <w:rFonts w:ascii="Times New Roman" w:hAnsi="Times New Roman"/>
                      <w:sz w:val="21"/>
                    </w:rPr>
                  </w:pPr>
                  <w:r>
                    <w:rPr>
                      <w:rFonts w:ascii="Times New Roman" w:hAnsi="Times New Roman"/>
                      <w:sz w:val="21"/>
                    </w:rPr>
                    <w:t>19.7</w:t>
                  </w:r>
                </w:p>
              </w:tc>
              <w:tc>
                <w:tcPr>
                  <w:tcW w:w="409" w:type="pct"/>
                  <w:vAlign w:val="center"/>
                </w:tcPr>
                <w:p>
                  <w:pPr>
                    <w:pStyle w:val="217"/>
                    <w:spacing w:before="51"/>
                    <w:ind w:right="169"/>
                    <w:rPr>
                      <w:rFonts w:ascii="Times New Roman" w:hAnsi="Times New Roman"/>
                      <w:sz w:val="21"/>
                    </w:rPr>
                  </w:pPr>
                  <w:r>
                    <w:rPr>
                      <w:rFonts w:ascii="Times New Roman" w:hAnsi="Times New Roman"/>
                      <w:sz w:val="21"/>
                    </w:rPr>
                    <w:t>19.8</w:t>
                  </w:r>
                </w:p>
              </w:tc>
              <w:tc>
                <w:tcPr>
                  <w:tcW w:w="416" w:type="pct"/>
                  <w:vAlign w:val="center"/>
                </w:tcPr>
                <w:p>
                  <w:pPr>
                    <w:pStyle w:val="217"/>
                    <w:spacing w:before="51"/>
                    <w:ind w:right="168"/>
                    <w:rPr>
                      <w:rFonts w:ascii="Times New Roman" w:hAnsi="Times New Roman"/>
                      <w:sz w:val="21"/>
                    </w:rPr>
                  </w:pPr>
                  <w:r>
                    <w:rPr>
                      <w:rFonts w:ascii="Times New Roman" w:hAnsi="Times New Roman"/>
                      <w:sz w:val="21"/>
                    </w:rPr>
                    <w:t>19.6</w:t>
                  </w:r>
                </w:p>
              </w:tc>
              <w:tc>
                <w:tcPr>
                  <w:tcW w:w="579" w:type="pct"/>
                  <w:vAlign w:val="center"/>
                </w:tcPr>
                <w:p>
                  <w:pPr>
                    <w:pStyle w:val="217"/>
                    <w:spacing w:before="51"/>
                    <w:ind w:left="152" w:right="136"/>
                    <w:rPr>
                      <w:rFonts w:ascii="Times New Roman" w:hAnsi="Times New Roman"/>
                      <w:sz w:val="21"/>
                    </w:rPr>
                  </w:pPr>
                  <w:r>
                    <w:rPr>
                      <w:rFonts w:ascii="Times New Roman" w:hAnsi="Times New Roman"/>
                      <w:sz w:val="21"/>
                    </w:rPr>
                    <w:t>19.7</w:t>
                  </w:r>
                </w:p>
              </w:tc>
              <w:tc>
                <w:tcPr>
                  <w:tcW w:w="534" w:type="pct"/>
                  <w:vAlign w:val="center"/>
                </w:tcPr>
                <w:p>
                  <w:pPr>
                    <w:pStyle w:val="217"/>
                    <w:spacing w:before="63"/>
                    <w:ind w:left="115" w:right="100"/>
                    <w:rPr>
                      <w:rFonts w:ascii="Times New Roman" w:hAnsi="Times New Roman"/>
                      <w:sz w:val="21"/>
                    </w:rPr>
                  </w:pPr>
                  <w:r>
                    <w:rPr>
                      <w:rFonts w:ascii="Times New Roman" w:hAnsi="Times New Roman"/>
                      <w:sz w:val="21"/>
                    </w:rPr>
                    <w:t>0.319</w:t>
                  </w:r>
                </w:p>
              </w:tc>
              <w:tc>
                <w:tcPr>
                  <w:tcW w:w="594" w:type="pct"/>
                  <w:vAlign w:val="center"/>
                </w:tcPr>
                <w:p>
                  <w:pPr>
                    <w:pStyle w:val="217"/>
                    <w:spacing w:before="63"/>
                    <w:ind w:left="187"/>
                    <w:rPr>
                      <w:rFonts w:ascii="Times New Roman" w:hAnsi="Times New Roman"/>
                      <w:sz w:val="21"/>
                    </w:rPr>
                  </w:pPr>
                  <w:r>
                    <w:rPr>
                      <w:rFonts w:ascii="Times New Roman" w:hAnsi="Times New Roman"/>
                      <w:sz w:val="21"/>
                    </w:rPr>
                    <w:t>0.296</w:t>
                  </w:r>
                </w:p>
              </w:tc>
              <w:tc>
                <w:tcPr>
                  <w:tcW w:w="579" w:type="pct"/>
                  <w:vAlign w:val="center"/>
                </w:tcPr>
                <w:p>
                  <w:pPr>
                    <w:pStyle w:val="217"/>
                    <w:spacing w:before="63"/>
                    <w:ind w:left="119" w:right="98"/>
                    <w:rPr>
                      <w:rFonts w:ascii="Times New Roman" w:hAnsi="Times New Roman"/>
                      <w:sz w:val="21"/>
                    </w:rPr>
                  </w:pPr>
                  <w:r>
                    <w:rPr>
                      <w:rFonts w:ascii="Times New Roman" w:hAnsi="Times New Roman"/>
                      <w:sz w:val="21"/>
                    </w:rPr>
                    <w:t>0.246</w:t>
                  </w:r>
                </w:p>
              </w:tc>
              <w:tc>
                <w:tcPr>
                  <w:tcW w:w="674" w:type="pct"/>
                  <w:vAlign w:val="center"/>
                </w:tcPr>
                <w:p>
                  <w:pPr>
                    <w:pStyle w:val="217"/>
                    <w:spacing w:before="51"/>
                    <w:ind w:left="113" w:right="92"/>
                    <w:rPr>
                      <w:rFonts w:ascii="Times New Roman" w:hAnsi="Times New Roman"/>
                      <w:sz w:val="21"/>
                    </w:rPr>
                  </w:pPr>
                  <w:r>
                    <w:rPr>
                      <w:rFonts w:ascii="Times New Roman" w:hAnsi="Times New Roman"/>
                      <w:sz w:val="21"/>
                    </w:rPr>
                    <w:t>0.287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181"/>
                    <w:ind w:left="171" w:right="161"/>
                    <w:rPr>
                      <w:rFonts w:ascii="Times New Roman" w:hAnsi="Times New Roman"/>
                      <w:sz w:val="21"/>
                    </w:rPr>
                  </w:pPr>
                  <w:r>
                    <w:rPr>
                      <w:rFonts w:ascii="Times New Roman" w:hAnsi="Times New Roman"/>
                      <w:sz w:val="21"/>
                    </w:rPr>
                    <w:t>VOCS 排放速率</w:t>
                  </w:r>
                </w:p>
              </w:tc>
              <w:tc>
                <w:tcPr>
                  <w:tcW w:w="372" w:type="pct"/>
                  <w:vAlign w:val="center"/>
                </w:tcPr>
                <w:p>
                  <w:pPr>
                    <w:pStyle w:val="217"/>
                    <w:spacing w:before="195"/>
                    <w:ind w:right="170"/>
                    <w:rPr>
                      <w:rFonts w:ascii="Times New Roman" w:hAnsi="Times New Roman"/>
                      <w:sz w:val="21"/>
                    </w:rPr>
                  </w:pPr>
                  <w:r>
                    <w:rPr>
                      <w:rFonts w:ascii="Times New Roman" w:hAnsi="Times New Roman"/>
                      <w:sz w:val="21"/>
                    </w:rPr>
                    <w:t>1.65</w:t>
                  </w:r>
                </w:p>
              </w:tc>
              <w:tc>
                <w:tcPr>
                  <w:tcW w:w="409" w:type="pct"/>
                  <w:vAlign w:val="center"/>
                </w:tcPr>
                <w:p>
                  <w:pPr>
                    <w:pStyle w:val="217"/>
                    <w:spacing w:before="195"/>
                    <w:ind w:right="169"/>
                    <w:rPr>
                      <w:rFonts w:ascii="Times New Roman" w:hAnsi="Times New Roman"/>
                      <w:sz w:val="21"/>
                    </w:rPr>
                  </w:pPr>
                  <w:r>
                    <w:rPr>
                      <w:rFonts w:ascii="Times New Roman" w:hAnsi="Times New Roman"/>
                      <w:sz w:val="21"/>
                    </w:rPr>
                    <w:t>1.68</w:t>
                  </w:r>
                </w:p>
              </w:tc>
              <w:tc>
                <w:tcPr>
                  <w:tcW w:w="416" w:type="pct"/>
                  <w:vAlign w:val="center"/>
                </w:tcPr>
                <w:p>
                  <w:pPr>
                    <w:pStyle w:val="217"/>
                    <w:spacing w:before="195"/>
                    <w:ind w:right="168"/>
                    <w:rPr>
                      <w:rFonts w:ascii="Times New Roman" w:hAnsi="Times New Roman"/>
                      <w:sz w:val="21"/>
                    </w:rPr>
                  </w:pPr>
                  <w:r>
                    <w:rPr>
                      <w:rFonts w:ascii="Times New Roman" w:hAnsi="Times New Roman"/>
                      <w:sz w:val="21"/>
                    </w:rPr>
                    <w:t>1.66</w:t>
                  </w:r>
                </w:p>
              </w:tc>
              <w:tc>
                <w:tcPr>
                  <w:tcW w:w="579" w:type="pct"/>
                  <w:vAlign w:val="center"/>
                </w:tcPr>
                <w:p>
                  <w:pPr>
                    <w:pStyle w:val="217"/>
                    <w:spacing w:before="195"/>
                    <w:ind w:left="152" w:right="136"/>
                    <w:rPr>
                      <w:rFonts w:ascii="Times New Roman" w:hAnsi="Times New Roman"/>
                      <w:sz w:val="21"/>
                    </w:rPr>
                  </w:pPr>
                  <w:r>
                    <w:rPr>
                      <w:rFonts w:ascii="Times New Roman" w:hAnsi="Times New Roman"/>
                      <w:sz w:val="21"/>
                    </w:rPr>
                    <w:t>1.66</w:t>
                  </w:r>
                </w:p>
              </w:tc>
              <w:tc>
                <w:tcPr>
                  <w:tcW w:w="534" w:type="pct"/>
                  <w:vAlign w:val="center"/>
                </w:tcPr>
                <w:p>
                  <w:pPr>
                    <w:pStyle w:val="217"/>
                    <w:spacing w:before="25"/>
                    <w:ind w:left="115" w:right="100"/>
                    <w:rPr>
                      <w:rFonts w:ascii="Times New Roman" w:hAnsi="Times New Roman"/>
                      <w:sz w:val="21"/>
                    </w:rPr>
                  </w:pPr>
                  <w:r>
                    <w:rPr>
                      <w:rFonts w:ascii="Times New Roman" w:hAnsi="Times New Roman"/>
                      <w:sz w:val="21"/>
                    </w:rPr>
                    <w:t>2.65×</w:t>
                  </w:r>
                </w:p>
                <w:p>
                  <w:pPr>
                    <w:pStyle w:val="217"/>
                    <w:spacing w:before="52"/>
                    <w:ind w:left="114" w:right="100"/>
                    <w:rPr>
                      <w:rFonts w:ascii="Times New Roman" w:hAnsi="Times New Roman"/>
                      <w:sz w:val="21"/>
                    </w:rPr>
                  </w:pPr>
                  <w:r>
                    <w:rPr>
                      <w:rFonts w:ascii="Times New Roman" w:hAnsi="Times New Roman"/>
                      <w:position w:val="-6"/>
                      <w:sz w:val="21"/>
                    </w:rPr>
                    <w:t>10</w:t>
                  </w:r>
                  <w:r>
                    <w:rPr>
                      <w:rFonts w:ascii="Times New Roman" w:hAnsi="Times New Roman"/>
                      <w:sz w:val="21"/>
                    </w:rPr>
                    <w:t>-2</w:t>
                  </w:r>
                </w:p>
              </w:tc>
              <w:tc>
                <w:tcPr>
                  <w:tcW w:w="594" w:type="pct"/>
                  <w:vAlign w:val="center"/>
                </w:tcPr>
                <w:p>
                  <w:pPr>
                    <w:pStyle w:val="217"/>
                    <w:spacing w:before="25"/>
                    <w:ind w:left="115" w:right="100"/>
                    <w:rPr>
                      <w:rFonts w:ascii="Times New Roman" w:hAnsi="Times New Roman"/>
                      <w:sz w:val="21"/>
                    </w:rPr>
                  </w:pPr>
                  <w:r>
                    <w:rPr>
                      <w:rFonts w:ascii="Times New Roman" w:hAnsi="Times New Roman"/>
                      <w:sz w:val="21"/>
                    </w:rPr>
                    <w:t>2.49×</w:t>
                  </w:r>
                </w:p>
                <w:p>
                  <w:pPr>
                    <w:pStyle w:val="217"/>
                    <w:spacing w:before="52"/>
                    <w:ind w:left="115" w:right="100"/>
                    <w:rPr>
                      <w:rFonts w:ascii="Times New Roman" w:hAnsi="Times New Roman"/>
                      <w:sz w:val="21"/>
                    </w:rPr>
                  </w:pPr>
                  <w:r>
                    <w:rPr>
                      <w:rFonts w:ascii="Times New Roman" w:hAnsi="Times New Roman"/>
                      <w:position w:val="-6"/>
                      <w:sz w:val="21"/>
                    </w:rPr>
                    <w:t>10</w:t>
                  </w:r>
                  <w:r>
                    <w:rPr>
                      <w:rFonts w:ascii="Times New Roman" w:hAnsi="Times New Roman"/>
                      <w:sz w:val="21"/>
                    </w:rPr>
                    <w:t>-2</w:t>
                  </w:r>
                </w:p>
              </w:tc>
              <w:tc>
                <w:tcPr>
                  <w:tcW w:w="579" w:type="pct"/>
                  <w:vAlign w:val="center"/>
                </w:tcPr>
                <w:p>
                  <w:pPr>
                    <w:pStyle w:val="217"/>
                    <w:spacing w:before="25"/>
                    <w:ind w:left="118" w:right="98"/>
                    <w:rPr>
                      <w:rFonts w:ascii="Times New Roman" w:hAnsi="Times New Roman"/>
                      <w:sz w:val="21"/>
                    </w:rPr>
                  </w:pPr>
                  <w:r>
                    <w:rPr>
                      <w:rFonts w:ascii="Times New Roman" w:hAnsi="Times New Roman"/>
                      <w:sz w:val="21"/>
                    </w:rPr>
                    <w:t>2.09×</w:t>
                  </w:r>
                </w:p>
                <w:p>
                  <w:pPr>
                    <w:pStyle w:val="217"/>
                    <w:spacing w:before="52"/>
                    <w:ind w:left="113" w:right="98"/>
                    <w:rPr>
                      <w:rFonts w:ascii="Times New Roman" w:hAnsi="Times New Roman"/>
                      <w:sz w:val="21"/>
                    </w:rPr>
                  </w:pPr>
                  <w:r>
                    <w:rPr>
                      <w:rFonts w:ascii="Times New Roman" w:hAnsi="Times New Roman"/>
                      <w:position w:val="-6"/>
                      <w:sz w:val="21"/>
                    </w:rPr>
                    <w:t>10</w:t>
                  </w:r>
                  <w:r>
                    <w:rPr>
                      <w:rFonts w:ascii="Times New Roman" w:hAnsi="Times New Roman"/>
                      <w:sz w:val="21"/>
                    </w:rPr>
                    <w:t>-2</w:t>
                  </w:r>
                </w:p>
              </w:tc>
              <w:tc>
                <w:tcPr>
                  <w:tcW w:w="674" w:type="pct"/>
                  <w:vAlign w:val="center"/>
                </w:tcPr>
                <w:p>
                  <w:pPr>
                    <w:pStyle w:val="217"/>
                    <w:spacing w:before="52"/>
                    <w:ind w:left="113" w:right="93"/>
                    <w:rPr>
                      <w:rFonts w:ascii="Times New Roman" w:hAnsi="Times New Roman"/>
                      <w:sz w:val="21"/>
                    </w:rPr>
                  </w:pPr>
                  <w:r>
                    <w:rPr>
                      <w:rFonts w:ascii="Times New Roman" w:hAnsi="Times New Roman"/>
                      <w:sz w:val="21"/>
                    </w:rPr>
                    <w:t>2.41×</w:t>
                  </w:r>
                  <w:r>
                    <w:rPr>
                      <w:rFonts w:hint="eastAsia" w:ascii="Times New Roman" w:hAnsi="Times New Roman"/>
                      <w:sz w:val="21"/>
                      <w:lang w:val="en-US"/>
                    </w:rPr>
                    <w:t>10</w:t>
                  </w:r>
                  <w:r>
                    <w:rPr>
                      <w:rFonts w:hint="eastAsia" w:ascii="Times New Roman" w:hAnsi="Times New Roman"/>
                      <w:sz w:val="21"/>
                      <w:vertAlign w:val="superscript"/>
                      <w:lang w:val="en-US"/>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68" w:right="161"/>
                    <w:rPr>
                      <w:rFonts w:ascii="Times New Roman" w:hAnsi="Times New Roman"/>
                      <w:sz w:val="21"/>
                    </w:rPr>
                  </w:pPr>
                  <w:r>
                    <w:rPr>
                      <w:rFonts w:ascii="Times New Roman" w:hAnsi="Times New Roman"/>
                      <w:sz w:val="21"/>
                    </w:rPr>
                    <w:t>VOCS 限值</w:t>
                  </w:r>
                </w:p>
              </w:tc>
              <w:tc>
                <w:tcPr>
                  <w:tcW w:w="1777" w:type="pct"/>
                  <w:gridSpan w:val="4"/>
                  <w:vAlign w:val="center"/>
                </w:tcPr>
                <w:p>
                  <w:pPr>
                    <w:pStyle w:val="217"/>
                    <w:spacing w:before="51"/>
                    <w:ind w:left="10"/>
                    <w:rPr>
                      <w:rFonts w:ascii="Times New Roman" w:hAnsi="Times New Roman"/>
                      <w:sz w:val="21"/>
                    </w:rPr>
                  </w:pPr>
                  <w:r>
                    <w:rPr>
                      <w:rFonts w:ascii="Times New Roman" w:hAnsi="Times New Roman"/>
                      <w:sz w:val="21"/>
                    </w:rPr>
                    <w:t>/</w:t>
                  </w:r>
                </w:p>
              </w:tc>
              <w:tc>
                <w:tcPr>
                  <w:tcW w:w="2383" w:type="pct"/>
                  <w:gridSpan w:val="4"/>
                  <w:vAlign w:val="center"/>
                </w:tcPr>
                <w:p>
                  <w:pPr>
                    <w:pStyle w:val="217"/>
                    <w:spacing w:before="37"/>
                    <w:ind w:left="906"/>
                    <w:rPr>
                      <w:rFonts w:ascii="Times New Roman" w:hAnsi="Times New Roman"/>
                      <w:sz w:val="21"/>
                    </w:rPr>
                  </w:pPr>
                  <w:r>
                    <w:rPr>
                      <w:rFonts w:ascii="Times New Roman" w:hAnsi="Times New Roman"/>
                      <w:sz w:val="21"/>
                    </w:rPr>
                    <w:t>50mg/m</w:t>
                  </w:r>
                  <w:r>
                    <w:rPr>
                      <w:rFonts w:ascii="Times New Roman" w:hAnsi="Times New Roman"/>
                      <w:position w:val="7"/>
                      <w:sz w:val="21"/>
                    </w:rPr>
                    <w:t>3</w:t>
                  </w:r>
                  <w:r>
                    <w:rPr>
                      <w:rFonts w:ascii="Times New Roman" w:hAnsi="Times New Roman"/>
                      <w:sz w:val="21"/>
                    </w:rPr>
                    <w:t>；1.4kg/h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3" w:right="161"/>
                    <w:rPr>
                      <w:rFonts w:ascii="Times New Roman" w:hAnsi="Times New Roman"/>
                      <w:sz w:val="21"/>
                    </w:rPr>
                  </w:pPr>
                  <w:r>
                    <w:rPr>
                      <w:rFonts w:ascii="Times New Roman" w:hAnsi="Times New Roman"/>
                      <w:sz w:val="21"/>
                    </w:rPr>
                    <w:t>甲苯实测浓度</w:t>
                  </w:r>
                </w:p>
              </w:tc>
              <w:tc>
                <w:tcPr>
                  <w:tcW w:w="372" w:type="pct"/>
                  <w:vAlign w:val="center"/>
                </w:tcPr>
                <w:p>
                  <w:pPr>
                    <w:pStyle w:val="217"/>
                    <w:spacing w:before="30"/>
                    <w:ind w:right="157"/>
                    <w:rPr>
                      <w:rFonts w:ascii="Times New Roman" w:hAnsi="Times New Roman"/>
                      <w:sz w:val="21"/>
                    </w:rPr>
                  </w:pPr>
                  <w:r>
                    <w:rPr>
                      <w:rFonts w:ascii="Times New Roman" w:hAnsi="Times New Roman"/>
                      <w:w w:val="105"/>
                      <w:sz w:val="21"/>
                    </w:rPr>
                    <w:t>7.12</w:t>
                  </w:r>
                </w:p>
              </w:tc>
              <w:tc>
                <w:tcPr>
                  <w:tcW w:w="409" w:type="pct"/>
                  <w:vAlign w:val="center"/>
                </w:tcPr>
                <w:p>
                  <w:pPr>
                    <w:pStyle w:val="217"/>
                    <w:spacing w:before="30"/>
                    <w:ind w:right="157"/>
                    <w:rPr>
                      <w:rFonts w:ascii="Times New Roman" w:hAnsi="Times New Roman"/>
                      <w:sz w:val="21"/>
                    </w:rPr>
                  </w:pPr>
                  <w:r>
                    <w:rPr>
                      <w:rFonts w:ascii="Times New Roman" w:hAnsi="Times New Roman"/>
                      <w:w w:val="105"/>
                      <w:sz w:val="21"/>
                    </w:rPr>
                    <w:t>7.09</w:t>
                  </w:r>
                </w:p>
              </w:tc>
              <w:tc>
                <w:tcPr>
                  <w:tcW w:w="416" w:type="pct"/>
                  <w:vAlign w:val="center"/>
                </w:tcPr>
                <w:p>
                  <w:pPr>
                    <w:pStyle w:val="217"/>
                    <w:spacing w:before="30"/>
                    <w:ind w:right="157"/>
                    <w:rPr>
                      <w:rFonts w:ascii="Times New Roman" w:hAnsi="Times New Roman"/>
                      <w:sz w:val="21"/>
                    </w:rPr>
                  </w:pPr>
                  <w:r>
                    <w:rPr>
                      <w:rFonts w:ascii="Times New Roman" w:hAnsi="Times New Roman"/>
                      <w:w w:val="105"/>
                      <w:sz w:val="21"/>
                    </w:rPr>
                    <w:t>6.66</w:t>
                  </w:r>
                </w:p>
              </w:tc>
              <w:tc>
                <w:tcPr>
                  <w:tcW w:w="579" w:type="pct"/>
                  <w:vAlign w:val="center"/>
                </w:tcPr>
                <w:p>
                  <w:pPr>
                    <w:pStyle w:val="217"/>
                    <w:spacing w:before="51"/>
                    <w:ind w:left="152" w:right="137"/>
                    <w:rPr>
                      <w:rFonts w:ascii="Times New Roman" w:hAnsi="Times New Roman"/>
                      <w:sz w:val="21"/>
                    </w:rPr>
                  </w:pPr>
                  <w:r>
                    <w:rPr>
                      <w:rFonts w:ascii="Times New Roman" w:hAnsi="Times New Roman"/>
                      <w:sz w:val="21"/>
                    </w:rPr>
                    <w:t>6.96</w:t>
                  </w:r>
                </w:p>
              </w:tc>
              <w:tc>
                <w:tcPr>
                  <w:tcW w:w="534" w:type="pct"/>
                  <w:vAlign w:val="center"/>
                </w:tcPr>
                <w:p>
                  <w:pPr>
                    <w:pStyle w:val="217"/>
                    <w:spacing w:before="65"/>
                    <w:ind w:left="114" w:right="100"/>
                    <w:rPr>
                      <w:rFonts w:ascii="Times New Roman" w:hAnsi="Times New Roman"/>
                      <w:sz w:val="21"/>
                    </w:rPr>
                  </w:pPr>
                  <w:r>
                    <w:rPr>
                      <w:rFonts w:ascii="Times New Roman" w:hAnsi="Times New Roman"/>
                      <w:sz w:val="21"/>
                    </w:rPr>
                    <w:t>0.0108</w:t>
                  </w:r>
                </w:p>
              </w:tc>
              <w:tc>
                <w:tcPr>
                  <w:tcW w:w="594" w:type="pct"/>
                  <w:vAlign w:val="center"/>
                </w:tcPr>
                <w:p>
                  <w:pPr>
                    <w:pStyle w:val="217"/>
                    <w:spacing w:before="65"/>
                    <w:ind w:left="134"/>
                    <w:rPr>
                      <w:rFonts w:ascii="Times New Roman" w:hAnsi="Times New Roman"/>
                      <w:sz w:val="21"/>
                    </w:rPr>
                  </w:pPr>
                  <w:r>
                    <w:rPr>
                      <w:rFonts w:ascii="Times New Roman" w:hAnsi="Times New Roman"/>
                      <w:sz w:val="21"/>
                    </w:rPr>
                    <w:t>0.0123</w:t>
                  </w:r>
                </w:p>
              </w:tc>
              <w:tc>
                <w:tcPr>
                  <w:tcW w:w="579" w:type="pct"/>
                  <w:vAlign w:val="center"/>
                </w:tcPr>
                <w:p>
                  <w:pPr>
                    <w:pStyle w:val="217"/>
                    <w:spacing w:before="65"/>
                    <w:ind w:left="118" w:right="98"/>
                    <w:rPr>
                      <w:rFonts w:ascii="Times New Roman" w:hAnsi="Times New Roman"/>
                      <w:sz w:val="21"/>
                    </w:rPr>
                  </w:pPr>
                  <w:r>
                    <w:rPr>
                      <w:rFonts w:ascii="Times New Roman" w:hAnsi="Times New Roman"/>
                      <w:sz w:val="21"/>
                    </w:rPr>
                    <w:t>0.0136</w:t>
                  </w:r>
                </w:p>
              </w:tc>
              <w:tc>
                <w:tcPr>
                  <w:tcW w:w="674" w:type="pct"/>
                  <w:vAlign w:val="center"/>
                </w:tcPr>
                <w:p>
                  <w:pPr>
                    <w:pStyle w:val="217"/>
                    <w:spacing w:before="51"/>
                    <w:ind w:left="113" w:right="92"/>
                    <w:rPr>
                      <w:rFonts w:ascii="Times New Roman" w:hAnsi="Times New Roman"/>
                      <w:sz w:val="21"/>
                    </w:rPr>
                  </w:pPr>
                  <w:r>
                    <w:rPr>
                      <w:rFonts w:ascii="Times New Roman" w:hAnsi="Times New Roman"/>
                      <w:sz w:val="21"/>
                    </w:rPr>
                    <w:t>0.0122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178"/>
                    <w:ind w:left="173" w:right="161"/>
                    <w:rPr>
                      <w:rFonts w:ascii="Times New Roman" w:hAnsi="Times New Roman"/>
                      <w:sz w:val="21"/>
                    </w:rPr>
                  </w:pPr>
                  <w:r>
                    <w:rPr>
                      <w:rFonts w:ascii="Times New Roman" w:hAnsi="Times New Roman"/>
                      <w:sz w:val="21"/>
                    </w:rPr>
                    <w:t>甲苯排放速率</w:t>
                  </w:r>
                </w:p>
              </w:tc>
              <w:tc>
                <w:tcPr>
                  <w:tcW w:w="372" w:type="pct"/>
                  <w:vAlign w:val="center"/>
                </w:tcPr>
                <w:p>
                  <w:pPr>
                    <w:pStyle w:val="217"/>
                    <w:spacing w:before="178"/>
                    <w:ind w:right="95"/>
                    <w:rPr>
                      <w:rFonts w:ascii="Times New Roman" w:hAnsi="Times New Roman"/>
                      <w:sz w:val="21"/>
                    </w:rPr>
                  </w:pPr>
                  <w:r>
                    <w:rPr>
                      <w:rFonts w:ascii="Times New Roman" w:hAnsi="Times New Roman"/>
                      <w:sz w:val="21"/>
                    </w:rPr>
                    <w:t>0.597</w:t>
                  </w:r>
                </w:p>
              </w:tc>
              <w:tc>
                <w:tcPr>
                  <w:tcW w:w="409" w:type="pct"/>
                  <w:vAlign w:val="center"/>
                </w:tcPr>
                <w:p>
                  <w:pPr>
                    <w:pStyle w:val="217"/>
                    <w:spacing w:before="178"/>
                    <w:ind w:right="95"/>
                    <w:rPr>
                      <w:rFonts w:ascii="Times New Roman" w:hAnsi="Times New Roman"/>
                      <w:sz w:val="21"/>
                    </w:rPr>
                  </w:pPr>
                  <w:r>
                    <w:rPr>
                      <w:rFonts w:ascii="Times New Roman" w:hAnsi="Times New Roman"/>
                      <w:sz w:val="21"/>
                    </w:rPr>
                    <w:t>0.600</w:t>
                  </w:r>
                </w:p>
              </w:tc>
              <w:tc>
                <w:tcPr>
                  <w:tcW w:w="416" w:type="pct"/>
                  <w:vAlign w:val="center"/>
                </w:tcPr>
                <w:p>
                  <w:pPr>
                    <w:pStyle w:val="217"/>
                    <w:spacing w:before="178"/>
                    <w:ind w:right="94"/>
                    <w:rPr>
                      <w:rFonts w:ascii="Times New Roman" w:hAnsi="Times New Roman"/>
                      <w:sz w:val="21"/>
                    </w:rPr>
                  </w:pPr>
                  <w:r>
                    <w:rPr>
                      <w:rFonts w:ascii="Times New Roman" w:hAnsi="Times New Roman"/>
                      <w:sz w:val="21"/>
                    </w:rPr>
                    <w:t>0.564</w:t>
                  </w:r>
                </w:p>
              </w:tc>
              <w:tc>
                <w:tcPr>
                  <w:tcW w:w="579" w:type="pct"/>
                  <w:vAlign w:val="center"/>
                </w:tcPr>
                <w:p>
                  <w:pPr>
                    <w:pStyle w:val="217"/>
                    <w:spacing w:before="192"/>
                    <w:ind w:left="152" w:right="137"/>
                    <w:rPr>
                      <w:rFonts w:ascii="Times New Roman" w:hAnsi="Times New Roman"/>
                      <w:sz w:val="21"/>
                    </w:rPr>
                  </w:pPr>
                  <w:r>
                    <w:rPr>
                      <w:rFonts w:ascii="Times New Roman" w:hAnsi="Times New Roman"/>
                      <w:sz w:val="21"/>
                    </w:rPr>
                    <w:t>0.587</w:t>
                  </w:r>
                </w:p>
              </w:tc>
              <w:tc>
                <w:tcPr>
                  <w:tcW w:w="534" w:type="pct"/>
                  <w:vAlign w:val="center"/>
                </w:tcPr>
                <w:p>
                  <w:pPr>
                    <w:pStyle w:val="217"/>
                    <w:spacing w:before="22"/>
                    <w:ind w:left="114" w:right="100"/>
                    <w:rPr>
                      <w:rFonts w:ascii="Times New Roman" w:hAnsi="Times New Roman"/>
                      <w:sz w:val="21"/>
                    </w:rPr>
                  </w:pPr>
                  <w:r>
                    <w:rPr>
                      <w:rFonts w:ascii="Times New Roman" w:hAnsi="Times New Roman"/>
                      <w:sz w:val="21"/>
                    </w:rPr>
                    <w:t>8.96×</w:t>
                  </w:r>
                </w:p>
                <w:p>
                  <w:pPr>
                    <w:pStyle w:val="217"/>
                    <w:spacing w:before="53"/>
                    <w:ind w:left="114" w:right="100"/>
                    <w:rPr>
                      <w:rFonts w:ascii="Times New Roman" w:hAnsi="Times New Roman"/>
                      <w:sz w:val="21"/>
                    </w:rPr>
                  </w:pPr>
                  <w:r>
                    <w:rPr>
                      <w:rFonts w:ascii="Times New Roman" w:hAnsi="Times New Roman"/>
                      <w:position w:val="-6"/>
                      <w:sz w:val="21"/>
                    </w:rPr>
                    <w:t>10</w:t>
                  </w:r>
                  <w:r>
                    <w:rPr>
                      <w:rFonts w:ascii="Times New Roman" w:hAnsi="Times New Roman"/>
                      <w:sz w:val="21"/>
                    </w:rPr>
                    <w:t>-4</w:t>
                  </w:r>
                </w:p>
              </w:tc>
              <w:tc>
                <w:tcPr>
                  <w:tcW w:w="594" w:type="pct"/>
                  <w:vAlign w:val="center"/>
                </w:tcPr>
                <w:p>
                  <w:pPr>
                    <w:pStyle w:val="217"/>
                    <w:spacing w:before="22"/>
                    <w:ind w:left="115" w:right="99"/>
                    <w:rPr>
                      <w:rFonts w:ascii="Times New Roman" w:hAnsi="Times New Roman"/>
                      <w:sz w:val="21"/>
                    </w:rPr>
                  </w:pPr>
                  <w:r>
                    <w:rPr>
                      <w:rFonts w:ascii="Times New Roman" w:hAnsi="Times New Roman"/>
                      <w:sz w:val="21"/>
                    </w:rPr>
                    <w:t>1.04×</w:t>
                  </w:r>
                </w:p>
                <w:p>
                  <w:pPr>
                    <w:pStyle w:val="217"/>
                    <w:spacing w:before="53"/>
                    <w:ind w:left="115" w:right="99"/>
                    <w:rPr>
                      <w:rFonts w:ascii="Times New Roman" w:hAnsi="Times New Roman"/>
                      <w:sz w:val="21"/>
                    </w:rPr>
                  </w:pPr>
                  <w:r>
                    <w:rPr>
                      <w:rFonts w:ascii="Times New Roman" w:hAnsi="Times New Roman"/>
                      <w:position w:val="-6"/>
                      <w:sz w:val="21"/>
                    </w:rPr>
                    <w:t>10</w:t>
                  </w:r>
                  <w:r>
                    <w:rPr>
                      <w:rFonts w:ascii="Times New Roman" w:hAnsi="Times New Roman"/>
                      <w:sz w:val="21"/>
                    </w:rPr>
                    <w:t>-3</w:t>
                  </w:r>
                </w:p>
              </w:tc>
              <w:tc>
                <w:tcPr>
                  <w:tcW w:w="579" w:type="pct"/>
                  <w:vAlign w:val="center"/>
                </w:tcPr>
                <w:p>
                  <w:pPr>
                    <w:pStyle w:val="217"/>
                    <w:spacing w:before="22"/>
                    <w:ind w:left="118" w:right="98"/>
                    <w:rPr>
                      <w:rFonts w:ascii="Times New Roman" w:hAnsi="Times New Roman"/>
                      <w:sz w:val="21"/>
                    </w:rPr>
                  </w:pPr>
                  <w:r>
                    <w:rPr>
                      <w:rFonts w:ascii="Times New Roman" w:hAnsi="Times New Roman"/>
                      <w:sz w:val="21"/>
                    </w:rPr>
                    <w:t>1.15×</w:t>
                  </w:r>
                </w:p>
                <w:p>
                  <w:pPr>
                    <w:pStyle w:val="217"/>
                    <w:spacing w:before="53"/>
                    <w:ind w:left="113" w:right="98"/>
                    <w:rPr>
                      <w:rFonts w:ascii="Times New Roman" w:hAnsi="Times New Roman"/>
                      <w:sz w:val="21"/>
                    </w:rPr>
                  </w:pPr>
                  <w:r>
                    <w:rPr>
                      <w:rFonts w:ascii="Times New Roman" w:hAnsi="Times New Roman"/>
                      <w:position w:val="-6"/>
                      <w:sz w:val="21"/>
                    </w:rPr>
                    <w:t>10</w:t>
                  </w:r>
                  <w:r>
                    <w:rPr>
                      <w:rFonts w:ascii="Times New Roman" w:hAnsi="Times New Roman"/>
                      <w:sz w:val="21"/>
                    </w:rPr>
                    <w:t>-3</w:t>
                  </w:r>
                </w:p>
              </w:tc>
              <w:tc>
                <w:tcPr>
                  <w:tcW w:w="674" w:type="pct"/>
                  <w:vAlign w:val="center"/>
                </w:tcPr>
                <w:p>
                  <w:pPr>
                    <w:pStyle w:val="217"/>
                    <w:spacing w:before="53"/>
                    <w:ind w:left="113" w:right="93"/>
                    <w:rPr>
                      <w:rFonts w:ascii="Times New Roman" w:hAnsi="Times New Roman"/>
                      <w:sz w:val="21"/>
                    </w:rPr>
                  </w:pPr>
                  <w:r>
                    <w:rPr>
                      <w:rFonts w:ascii="Times New Roman" w:hAnsi="Times New Roman"/>
                      <w:sz w:val="21"/>
                    </w:rPr>
                    <w:t>1.03×</w:t>
                  </w:r>
                  <w:r>
                    <w:rPr>
                      <w:rFonts w:hint="eastAsia" w:ascii="Times New Roman" w:hAnsi="Times New Roman"/>
                      <w:sz w:val="21"/>
                      <w:lang w:val="en-US"/>
                    </w:rPr>
                    <w:t>10</w:t>
                  </w:r>
                  <w:r>
                    <w:rPr>
                      <w:rFonts w:hint="eastAsia" w:ascii="Times New Roman" w:hAnsi="Times New Roman"/>
                      <w:sz w:val="21"/>
                      <w:vertAlign w:val="superscript"/>
                      <w:lang w:val="en-US"/>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0" w:right="161"/>
                    <w:rPr>
                      <w:rFonts w:ascii="Times New Roman" w:hAnsi="Times New Roman"/>
                      <w:sz w:val="21"/>
                    </w:rPr>
                  </w:pPr>
                  <w:r>
                    <w:rPr>
                      <w:rFonts w:ascii="Times New Roman" w:hAnsi="Times New Roman"/>
                      <w:sz w:val="21"/>
                    </w:rPr>
                    <w:t>甲苯限值</w:t>
                  </w:r>
                </w:p>
              </w:tc>
              <w:tc>
                <w:tcPr>
                  <w:tcW w:w="1777" w:type="pct"/>
                  <w:gridSpan w:val="4"/>
                  <w:vAlign w:val="center"/>
                </w:tcPr>
                <w:p>
                  <w:pPr>
                    <w:pStyle w:val="217"/>
                    <w:spacing w:before="51"/>
                    <w:ind w:left="10"/>
                    <w:rPr>
                      <w:rFonts w:ascii="Times New Roman" w:hAnsi="Times New Roman"/>
                      <w:sz w:val="21"/>
                    </w:rPr>
                  </w:pPr>
                  <w:r>
                    <w:rPr>
                      <w:rFonts w:ascii="Times New Roman" w:hAnsi="Times New Roman"/>
                      <w:sz w:val="21"/>
                    </w:rPr>
                    <w:t>/</w:t>
                  </w:r>
                </w:p>
              </w:tc>
              <w:tc>
                <w:tcPr>
                  <w:tcW w:w="2383" w:type="pct"/>
                  <w:gridSpan w:val="4"/>
                  <w:vAlign w:val="center"/>
                </w:tcPr>
                <w:p>
                  <w:pPr>
                    <w:pStyle w:val="217"/>
                    <w:spacing w:before="37"/>
                    <w:ind w:left="906"/>
                    <w:rPr>
                      <w:rFonts w:ascii="Times New Roman" w:hAnsi="Times New Roman"/>
                      <w:sz w:val="21"/>
                    </w:rPr>
                  </w:pPr>
                  <w:r>
                    <w:rPr>
                      <w:rFonts w:ascii="Times New Roman" w:hAnsi="Times New Roman"/>
                      <w:sz w:val="21"/>
                    </w:rPr>
                    <w:t>18mg/m</w:t>
                  </w:r>
                  <w:r>
                    <w:rPr>
                      <w:rFonts w:ascii="Times New Roman" w:hAnsi="Times New Roman"/>
                      <w:position w:val="7"/>
                      <w:sz w:val="21"/>
                    </w:rPr>
                    <w:t>3</w:t>
                  </w:r>
                  <w:r>
                    <w:rPr>
                      <w:rFonts w:ascii="Times New Roman" w:hAnsi="Times New Roman"/>
                      <w:sz w:val="21"/>
                    </w:rPr>
                    <w:t>；0.7kg/h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3" w:right="161"/>
                    <w:rPr>
                      <w:rFonts w:ascii="Times New Roman" w:hAnsi="Times New Roman"/>
                      <w:sz w:val="21"/>
                    </w:rPr>
                  </w:pPr>
                  <w:r>
                    <w:rPr>
                      <w:rFonts w:ascii="Times New Roman" w:hAnsi="Times New Roman"/>
                      <w:sz w:val="21"/>
                    </w:rPr>
                    <w:t>二甲苯实测浓度</w:t>
                  </w:r>
                </w:p>
              </w:tc>
              <w:tc>
                <w:tcPr>
                  <w:tcW w:w="372" w:type="pct"/>
                  <w:vAlign w:val="center"/>
                </w:tcPr>
                <w:p>
                  <w:pPr>
                    <w:pStyle w:val="217"/>
                    <w:spacing w:before="51"/>
                    <w:ind w:right="169"/>
                    <w:rPr>
                      <w:rFonts w:ascii="Times New Roman" w:hAnsi="Times New Roman"/>
                      <w:sz w:val="21"/>
                    </w:rPr>
                  </w:pPr>
                  <w:r>
                    <w:rPr>
                      <w:rFonts w:ascii="Times New Roman" w:hAnsi="Times New Roman"/>
                      <w:sz w:val="21"/>
                    </w:rPr>
                    <w:t>3.16</w:t>
                  </w:r>
                </w:p>
              </w:tc>
              <w:tc>
                <w:tcPr>
                  <w:tcW w:w="409" w:type="pct"/>
                  <w:vAlign w:val="center"/>
                </w:tcPr>
                <w:p>
                  <w:pPr>
                    <w:pStyle w:val="217"/>
                    <w:spacing w:before="51"/>
                    <w:ind w:right="169"/>
                    <w:rPr>
                      <w:rFonts w:ascii="Times New Roman" w:hAnsi="Times New Roman"/>
                      <w:sz w:val="21"/>
                    </w:rPr>
                  </w:pPr>
                  <w:r>
                    <w:rPr>
                      <w:rFonts w:ascii="Times New Roman" w:hAnsi="Times New Roman"/>
                      <w:sz w:val="21"/>
                    </w:rPr>
                    <w:t>3.66</w:t>
                  </w:r>
                </w:p>
              </w:tc>
              <w:tc>
                <w:tcPr>
                  <w:tcW w:w="416" w:type="pct"/>
                  <w:vAlign w:val="center"/>
                </w:tcPr>
                <w:p>
                  <w:pPr>
                    <w:pStyle w:val="217"/>
                    <w:spacing w:before="51"/>
                    <w:ind w:right="168"/>
                    <w:rPr>
                      <w:rFonts w:ascii="Times New Roman" w:hAnsi="Times New Roman"/>
                      <w:sz w:val="21"/>
                    </w:rPr>
                  </w:pPr>
                  <w:r>
                    <w:rPr>
                      <w:rFonts w:ascii="Times New Roman" w:hAnsi="Times New Roman"/>
                      <w:sz w:val="21"/>
                    </w:rPr>
                    <w:t>2.19</w:t>
                  </w:r>
                </w:p>
              </w:tc>
              <w:tc>
                <w:tcPr>
                  <w:tcW w:w="579" w:type="pct"/>
                  <w:vAlign w:val="center"/>
                </w:tcPr>
                <w:p>
                  <w:pPr>
                    <w:pStyle w:val="217"/>
                    <w:spacing w:before="51"/>
                    <w:ind w:left="152" w:right="136"/>
                    <w:rPr>
                      <w:rFonts w:ascii="Times New Roman" w:hAnsi="Times New Roman"/>
                      <w:sz w:val="21"/>
                    </w:rPr>
                  </w:pPr>
                  <w:r>
                    <w:rPr>
                      <w:rFonts w:ascii="Times New Roman" w:hAnsi="Times New Roman"/>
                      <w:sz w:val="21"/>
                    </w:rPr>
                    <w:t>3.00</w:t>
                  </w:r>
                </w:p>
              </w:tc>
              <w:tc>
                <w:tcPr>
                  <w:tcW w:w="534" w:type="pct"/>
                  <w:vAlign w:val="center"/>
                </w:tcPr>
                <w:p>
                  <w:pPr>
                    <w:pStyle w:val="217"/>
                    <w:spacing w:before="65"/>
                    <w:ind w:left="114" w:right="100"/>
                    <w:rPr>
                      <w:rFonts w:ascii="Times New Roman" w:hAnsi="Times New Roman"/>
                      <w:sz w:val="21"/>
                    </w:rPr>
                  </w:pPr>
                  <w:r>
                    <w:rPr>
                      <w:rFonts w:ascii="Times New Roman" w:hAnsi="Times New Roman"/>
                      <w:sz w:val="21"/>
                    </w:rPr>
                    <w:t>0.0118</w:t>
                  </w:r>
                </w:p>
              </w:tc>
              <w:tc>
                <w:tcPr>
                  <w:tcW w:w="594" w:type="pct"/>
                  <w:vAlign w:val="center"/>
                </w:tcPr>
                <w:p>
                  <w:pPr>
                    <w:pStyle w:val="217"/>
                    <w:spacing w:before="65"/>
                    <w:ind w:left="139"/>
                    <w:rPr>
                      <w:rFonts w:ascii="Times New Roman" w:hAnsi="Times New Roman"/>
                      <w:sz w:val="21"/>
                    </w:rPr>
                  </w:pPr>
                  <w:r>
                    <w:rPr>
                      <w:rFonts w:ascii="Times New Roman" w:hAnsi="Times New Roman"/>
                      <w:sz w:val="21"/>
                    </w:rPr>
                    <w:t>0.0119</w:t>
                  </w:r>
                </w:p>
              </w:tc>
              <w:tc>
                <w:tcPr>
                  <w:tcW w:w="579" w:type="pct"/>
                  <w:vAlign w:val="center"/>
                </w:tcPr>
                <w:p>
                  <w:pPr>
                    <w:pStyle w:val="217"/>
                    <w:spacing w:before="65"/>
                    <w:ind w:left="118" w:right="98"/>
                    <w:rPr>
                      <w:rFonts w:ascii="Times New Roman" w:hAnsi="Times New Roman"/>
                      <w:sz w:val="21"/>
                    </w:rPr>
                  </w:pPr>
                  <w:r>
                    <w:rPr>
                      <w:rFonts w:ascii="Times New Roman" w:hAnsi="Times New Roman"/>
                      <w:sz w:val="21"/>
                    </w:rPr>
                    <w:t>0.0143</w:t>
                  </w:r>
                </w:p>
              </w:tc>
              <w:tc>
                <w:tcPr>
                  <w:tcW w:w="674" w:type="pct"/>
                  <w:vAlign w:val="center"/>
                </w:tcPr>
                <w:p>
                  <w:pPr>
                    <w:pStyle w:val="217"/>
                    <w:spacing w:before="51"/>
                    <w:ind w:left="113" w:right="93"/>
                    <w:rPr>
                      <w:rFonts w:ascii="Times New Roman" w:hAnsi="Times New Roman"/>
                      <w:sz w:val="21"/>
                    </w:rPr>
                  </w:pPr>
                  <w:r>
                    <w:rPr>
                      <w:rFonts w:ascii="Times New Roman" w:hAnsi="Times New Roman"/>
                      <w:sz w:val="21"/>
                    </w:rPr>
                    <w:t>0.0127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178"/>
                    <w:ind w:left="173" w:right="161"/>
                    <w:rPr>
                      <w:rFonts w:ascii="Times New Roman" w:hAnsi="Times New Roman"/>
                      <w:sz w:val="21"/>
                    </w:rPr>
                  </w:pPr>
                  <w:r>
                    <w:rPr>
                      <w:rFonts w:ascii="Times New Roman" w:hAnsi="Times New Roman"/>
                      <w:sz w:val="21"/>
                    </w:rPr>
                    <w:t>二甲苯排放速率</w:t>
                  </w:r>
                </w:p>
              </w:tc>
              <w:tc>
                <w:tcPr>
                  <w:tcW w:w="372" w:type="pct"/>
                  <w:vAlign w:val="center"/>
                </w:tcPr>
                <w:p>
                  <w:pPr>
                    <w:pStyle w:val="217"/>
                    <w:spacing w:before="192"/>
                    <w:ind w:right="117"/>
                    <w:rPr>
                      <w:rFonts w:ascii="Times New Roman" w:hAnsi="Times New Roman"/>
                      <w:sz w:val="21"/>
                    </w:rPr>
                  </w:pPr>
                  <w:r>
                    <w:rPr>
                      <w:rFonts w:ascii="Times New Roman" w:hAnsi="Times New Roman"/>
                      <w:sz w:val="21"/>
                    </w:rPr>
                    <w:t>0.265</w:t>
                  </w:r>
                </w:p>
              </w:tc>
              <w:tc>
                <w:tcPr>
                  <w:tcW w:w="409" w:type="pct"/>
                  <w:vAlign w:val="center"/>
                </w:tcPr>
                <w:p>
                  <w:pPr>
                    <w:pStyle w:val="217"/>
                    <w:spacing w:before="192"/>
                    <w:ind w:right="116"/>
                    <w:rPr>
                      <w:rFonts w:ascii="Times New Roman" w:hAnsi="Times New Roman"/>
                      <w:sz w:val="21"/>
                    </w:rPr>
                  </w:pPr>
                  <w:r>
                    <w:rPr>
                      <w:rFonts w:ascii="Times New Roman" w:hAnsi="Times New Roman"/>
                      <w:sz w:val="21"/>
                    </w:rPr>
                    <w:t>0.310</w:t>
                  </w:r>
                </w:p>
              </w:tc>
              <w:tc>
                <w:tcPr>
                  <w:tcW w:w="416" w:type="pct"/>
                  <w:vAlign w:val="center"/>
                </w:tcPr>
                <w:p>
                  <w:pPr>
                    <w:pStyle w:val="217"/>
                    <w:spacing w:before="192"/>
                    <w:ind w:right="116"/>
                    <w:rPr>
                      <w:rFonts w:ascii="Times New Roman" w:hAnsi="Times New Roman"/>
                      <w:sz w:val="21"/>
                    </w:rPr>
                  </w:pPr>
                  <w:r>
                    <w:rPr>
                      <w:rFonts w:ascii="Times New Roman" w:hAnsi="Times New Roman"/>
                      <w:sz w:val="21"/>
                    </w:rPr>
                    <w:t>0.185</w:t>
                  </w:r>
                </w:p>
              </w:tc>
              <w:tc>
                <w:tcPr>
                  <w:tcW w:w="579" w:type="pct"/>
                  <w:vAlign w:val="center"/>
                </w:tcPr>
                <w:p>
                  <w:pPr>
                    <w:pStyle w:val="217"/>
                    <w:spacing w:before="192"/>
                    <w:ind w:left="152" w:right="136"/>
                    <w:rPr>
                      <w:rFonts w:ascii="Times New Roman" w:hAnsi="Times New Roman"/>
                      <w:sz w:val="21"/>
                    </w:rPr>
                  </w:pPr>
                  <w:r>
                    <w:rPr>
                      <w:rFonts w:ascii="Times New Roman" w:hAnsi="Times New Roman"/>
                      <w:sz w:val="21"/>
                    </w:rPr>
                    <w:t>0.253</w:t>
                  </w:r>
                </w:p>
              </w:tc>
              <w:tc>
                <w:tcPr>
                  <w:tcW w:w="534" w:type="pct"/>
                  <w:vAlign w:val="center"/>
                </w:tcPr>
                <w:p>
                  <w:pPr>
                    <w:pStyle w:val="217"/>
                    <w:spacing w:before="22"/>
                    <w:ind w:left="114" w:right="100"/>
                    <w:rPr>
                      <w:rFonts w:ascii="Times New Roman" w:hAnsi="Times New Roman"/>
                      <w:sz w:val="21"/>
                    </w:rPr>
                  </w:pPr>
                  <w:r>
                    <w:rPr>
                      <w:rFonts w:ascii="Times New Roman" w:hAnsi="Times New Roman"/>
                      <w:sz w:val="21"/>
                    </w:rPr>
                    <w:t>9.79×</w:t>
                  </w:r>
                </w:p>
                <w:p>
                  <w:pPr>
                    <w:pStyle w:val="217"/>
                    <w:spacing w:before="53"/>
                    <w:ind w:left="114" w:right="100"/>
                    <w:rPr>
                      <w:rFonts w:ascii="Times New Roman" w:hAnsi="Times New Roman"/>
                      <w:sz w:val="21"/>
                    </w:rPr>
                  </w:pPr>
                  <w:r>
                    <w:rPr>
                      <w:rFonts w:ascii="Times New Roman" w:hAnsi="Times New Roman"/>
                      <w:position w:val="-6"/>
                      <w:sz w:val="21"/>
                    </w:rPr>
                    <w:t>10</w:t>
                  </w:r>
                  <w:r>
                    <w:rPr>
                      <w:rFonts w:ascii="Times New Roman" w:hAnsi="Times New Roman"/>
                      <w:sz w:val="21"/>
                    </w:rPr>
                    <w:t>-4</w:t>
                  </w:r>
                </w:p>
              </w:tc>
              <w:tc>
                <w:tcPr>
                  <w:tcW w:w="594" w:type="pct"/>
                  <w:vAlign w:val="center"/>
                </w:tcPr>
                <w:p>
                  <w:pPr>
                    <w:pStyle w:val="217"/>
                    <w:spacing w:before="22"/>
                    <w:ind w:left="115" w:right="99"/>
                    <w:rPr>
                      <w:rFonts w:ascii="Times New Roman" w:hAnsi="Times New Roman"/>
                      <w:sz w:val="21"/>
                    </w:rPr>
                  </w:pPr>
                  <w:r>
                    <w:rPr>
                      <w:rFonts w:ascii="Times New Roman" w:hAnsi="Times New Roman"/>
                      <w:sz w:val="21"/>
                    </w:rPr>
                    <w:t>1.00×</w:t>
                  </w:r>
                </w:p>
                <w:p>
                  <w:pPr>
                    <w:pStyle w:val="217"/>
                    <w:spacing w:before="53"/>
                    <w:ind w:left="115" w:right="99"/>
                    <w:rPr>
                      <w:rFonts w:ascii="Times New Roman" w:hAnsi="Times New Roman"/>
                      <w:sz w:val="21"/>
                    </w:rPr>
                  </w:pPr>
                  <w:r>
                    <w:rPr>
                      <w:rFonts w:ascii="Times New Roman" w:hAnsi="Times New Roman"/>
                      <w:position w:val="-6"/>
                      <w:sz w:val="21"/>
                    </w:rPr>
                    <w:t>10</w:t>
                  </w:r>
                  <w:r>
                    <w:rPr>
                      <w:rFonts w:ascii="Times New Roman" w:hAnsi="Times New Roman"/>
                      <w:sz w:val="21"/>
                    </w:rPr>
                    <w:t>-3</w:t>
                  </w:r>
                </w:p>
              </w:tc>
              <w:tc>
                <w:tcPr>
                  <w:tcW w:w="579" w:type="pct"/>
                  <w:vAlign w:val="center"/>
                </w:tcPr>
                <w:p>
                  <w:pPr>
                    <w:pStyle w:val="217"/>
                    <w:spacing w:before="22"/>
                    <w:ind w:left="118" w:right="98"/>
                    <w:rPr>
                      <w:rFonts w:ascii="Times New Roman" w:hAnsi="Times New Roman"/>
                      <w:sz w:val="21"/>
                    </w:rPr>
                  </w:pPr>
                  <w:r>
                    <w:rPr>
                      <w:rFonts w:ascii="Times New Roman" w:hAnsi="Times New Roman"/>
                      <w:sz w:val="21"/>
                    </w:rPr>
                    <w:t>1.21×</w:t>
                  </w:r>
                </w:p>
                <w:p>
                  <w:pPr>
                    <w:pStyle w:val="217"/>
                    <w:spacing w:before="53"/>
                    <w:ind w:left="113" w:right="98"/>
                    <w:rPr>
                      <w:rFonts w:ascii="Times New Roman" w:hAnsi="Times New Roman"/>
                      <w:sz w:val="21"/>
                    </w:rPr>
                  </w:pPr>
                  <w:r>
                    <w:rPr>
                      <w:rFonts w:ascii="Times New Roman" w:hAnsi="Times New Roman"/>
                      <w:position w:val="-6"/>
                      <w:sz w:val="21"/>
                    </w:rPr>
                    <w:t>10</w:t>
                  </w:r>
                  <w:r>
                    <w:rPr>
                      <w:rFonts w:ascii="Times New Roman" w:hAnsi="Times New Roman"/>
                      <w:sz w:val="21"/>
                    </w:rPr>
                    <w:t>-3</w:t>
                  </w:r>
                </w:p>
              </w:tc>
              <w:tc>
                <w:tcPr>
                  <w:tcW w:w="674" w:type="pct"/>
                  <w:vAlign w:val="center"/>
                </w:tcPr>
                <w:p>
                  <w:pPr>
                    <w:pStyle w:val="217"/>
                    <w:spacing w:before="53"/>
                    <w:ind w:left="113" w:right="93"/>
                    <w:rPr>
                      <w:rFonts w:ascii="Times New Roman" w:hAnsi="Times New Roman"/>
                      <w:sz w:val="21"/>
                    </w:rPr>
                  </w:pPr>
                  <w:r>
                    <w:rPr>
                      <w:rFonts w:ascii="Times New Roman" w:hAnsi="Times New Roman"/>
                      <w:sz w:val="21"/>
                    </w:rPr>
                    <w:t>1.06×</w:t>
                  </w:r>
                  <w:r>
                    <w:rPr>
                      <w:rFonts w:hint="eastAsia" w:ascii="Times New Roman" w:hAnsi="Times New Roman"/>
                      <w:sz w:val="21"/>
                      <w:lang w:val="en-US"/>
                    </w:rPr>
                    <w:t>10</w:t>
                  </w:r>
                  <w:r>
                    <w:rPr>
                      <w:rFonts w:hint="eastAsia" w:ascii="Times New Roman" w:hAnsi="Times New Roman"/>
                      <w:sz w:val="21"/>
                      <w:vertAlign w:val="superscript"/>
                      <w:lang w:val="en-US"/>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0" w:right="161"/>
                    <w:rPr>
                      <w:rFonts w:ascii="Times New Roman" w:hAnsi="Times New Roman"/>
                      <w:sz w:val="21"/>
                    </w:rPr>
                  </w:pPr>
                  <w:r>
                    <w:rPr>
                      <w:rFonts w:ascii="Times New Roman" w:hAnsi="Times New Roman"/>
                      <w:sz w:val="21"/>
                    </w:rPr>
                    <w:t>二甲苯限值</w:t>
                  </w:r>
                </w:p>
              </w:tc>
              <w:tc>
                <w:tcPr>
                  <w:tcW w:w="1777" w:type="pct"/>
                  <w:gridSpan w:val="4"/>
                  <w:vAlign w:val="center"/>
                </w:tcPr>
                <w:p>
                  <w:pPr>
                    <w:pStyle w:val="217"/>
                    <w:spacing w:before="51"/>
                    <w:ind w:left="10"/>
                    <w:rPr>
                      <w:rFonts w:ascii="Times New Roman" w:hAnsi="Times New Roman"/>
                      <w:sz w:val="21"/>
                    </w:rPr>
                  </w:pPr>
                  <w:r>
                    <w:rPr>
                      <w:rFonts w:ascii="Times New Roman" w:hAnsi="Times New Roman"/>
                      <w:sz w:val="21"/>
                    </w:rPr>
                    <w:t>/</w:t>
                  </w:r>
                </w:p>
              </w:tc>
              <w:tc>
                <w:tcPr>
                  <w:tcW w:w="2383" w:type="pct"/>
                  <w:gridSpan w:val="4"/>
                  <w:vAlign w:val="center"/>
                </w:tcPr>
                <w:p>
                  <w:pPr>
                    <w:pStyle w:val="217"/>
                    <w:spacing w:before="37"/>
                    <w:ind w:left="906"/>
                    <w:rPr>
                      <w:rFonts w:ascii="Times New Roman" w:hAnsi="Times New Roman"/>
                      <w:sz w:val="21"/>
                    </w:rPr>
                  </w:pPr>
                  <w:r>
                    <w:rPr>
                      <w:rFonts w:ascii="Times New Roman" w:hAnsi="Times New Roman"/>
                      <w:sz w:val="21"/>
                    </w:rPr>
                    <w:t>18mg/m</w:t>
                  </w:r>
                  <w:r>
                    <w:rPr>
                      <w:rFonts w:ascii="Times New Roman" w:hAnsi="Times New Roman"/>
                      <w:position w:val="7"/>
                      <w:sz w:val="21"/>
                    </w:rPr>
                    <w:t>3</w:t>
                  </w:r>
                  <w:r>
                    <w:rPr>
                      <w:rFonts w:ascii="Times New Roman" w:hAnsi="Times New Roman"/>
                      <w:sz w:val="21"/>
                    </w:rPr>
                    <w:t>；0.5kg/h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0" w:right="161"/>
                    <w:rPr>
                      <w:rFonts w:ascii="Times New Roman" w:hAnsi="Times New Roman"/>
                      <w:b/>
                      <w:bCs/>
                      <w:sz w:val="21"/>
                    </w:rPr>
                  </w:pPr>
                  <w:r>
                    <w:rPr>
                      <w:rFonts w:ascii="Times New Roman" w:hAnsi="Times New Roman"/>
                      <w:b/>
                      <w:bCs/>
                      <w:sz w:val="21"/>
                    </w:rPr>
                    <w:t>监测时间</w:t>
                  </w:r>
                </w:p>
              </w:tc>
              <w:tc>
                <w:tcPr>
                  <w:tcW w:w="4161" w:type="pct"/>
                  <w:gridSpan w:val="8"/>
                  <w:vAlign w:val="center"/>
                </w:tcPr>
                <w:p>
                  <w:pPr>
                    <w:pStyle w:val="217"/>
                    <w:spacing w:before="51"/>
                    <w:ind w:left="2779" w:right="2766"/>
                    <w:rPr>
                      <w:rFonts w:ascii="Times New Roman" w:hAnsi="Times New Roman"/>
                      <w:b/>
                      <w:bCs/>
                      <w:sz w:val="21"/>
                    </w:rPr>
                  </w:pPr>
                  <w:r>
                    <w:rPr>
                      <w:rFonts w:ascii="Times New Roman" w:hAnsi="Times New Roman"/>
                      <w:b/>
                      <w:bCs/>
                      <w:sz w:val="21"/>
                    </w:rPr>
                    <w:t>2020.4.23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178"/>
                    <w:ind w:left="170" w:right="161"/>
                    <w:rPr>
                      <w:rFonts w:ascii="Times New Roman" w:hAnsi="Times New Roman"/>
                      <w:sz w:val="21"/>
                    </w:rPr>
                  </w:pPr>
                  <w:r>
                    <w:rPr>
                      <w:rFonts w:ascii="Times New Roman" w:hAnsi="Times New Roman"/>
                      <w:sz w:val="21"/>
                    </w:rPr>
                    <w:t>监测点位</w:t>
                  </w:r>
                </w:p>
              </w:tc>
              <w:tc>
                <w:tcPr>
                  <w:tcW w:w="1198" w:type="pct"/>
                  <w:gridSpan w:val="3"/>
                  <w:vAlign w:val="center"/>
                </w:tcPr>
                <w:p>
                  <w:pPr>
                    <w:pStyle w:val="217"/>
                    <w:spacing w:before="178"/>
                    <w:ind w:left="364"/>
                    <w:rPr>
                      <w:rFonts w:ascii="Times New Roman" w:hAnsi="Times New Roman"/>
                      <w:sz w:val="21"/>
                    </w:rPr>
                  </w:pPr>
                  <w:r>
                    <w:rPr>
                      <w:rFonts w:ascii="Times New Roman" w:hAnsi="Times New Roman"/>
                      <w:sz w:val="21"/>
                    </w:rPr>
                    <w:t>抛丸排气筒进口</w:t>
                  </w:r>
                </w:p>
              </w:tc>
              <w:tc>
                <w:tcPr>
                  <w:tcW w:w="579" w:type="pct"/>
                  <w:vAlign w:val="center"/>
                </w:tcPr>
                <w:p>
                  <w:pPr>
                    <w:pStyle w:val="217"/>
                    <w:spacing w:before="22"/>
                    <w:ind w:left="151" w:right="137"/>
                    <w:rPr>
                      <w:rFonts w:ascii="Times New Roman" w:hAnsi="Times New Roman"/>
                      <w:sz w:val="21"/>
                    </w:rPr>
                  </w:pPr>
                  <w:r>
                    <w:rPr>
                      <w:rFonts w:ascii="Times New Roman" w:hAnsi="Times New Roman"/>
                      <w:sz w:val="21"/>
                    </w:rPr>
                    <w:t>平均</w:t>
                  </w:r>
                </w:p>
                <w:p>
                  <w:pPr>
                    <w:pStyle w:val="217"/>
                    <w:spacing w:before="43"/>
                    <w:ind w:left="10"/>
                    <w:rPr>
                      <w:rFonts w:ascii="Times New Roman" w:hAnsi="Times New Roman"/>
                      <w:sz w:val="21"/>
                    </w:rPr>
                  </w:pPr>
                  <w:r>
                    <w:rPr>
                      <w:rFonts w:ascii="Times New Roman" w:hAnsi="Times New Roman"/>
                      <w:sz w:val="21"/>
                    </w:rPr>
                    <w:t>值</w:t>
                  </w:r>
                </w:p>
              </w:tc>
              <w:tc>
                <w:tcPr>
                  <w:tcW w:w="1708" w:type="pct"/>
                  <w:gridSpan w:val="3"/>
                  <w:vAlign w:val="center"/>
                </w:tcPr>
                <w:p>
                  <w:pPr>
                    <w:pStyle w:val="217"/>
                    <w:spacing w:before="178"/>
                    <w:ind w:left="534"/>
                    <w:rPr>
                      <w:rFonts w:ascii="Times New Roman" w:hAnsi="Times New Roman"/>
                      <w:sz w:val="21"/>
                    </w:rPr>
                  </w:pPr>
                  <w:r>
                    <w:rPr>
                      <w:rFonts w:ascii="Times New Roman" w:hAnsi="Times New Roman"/>
                      <w:sz w:val="21"/>
                    </w:rPr>
                    <w:t>抛丸排气筒出口</w:t>
                  </w:r>
                </w:p>
              </w:tc>
              <w:tc>
                <w:tcPr>
                  <w:tcW w:w="674" w:type="pct"/>
                  <w:vAlign w:val="center"/>
                </w:tcPr>
                <w:p>
                  <w:pPr>
                    <w:pStyle w:val="217"/>
                    <w:spacing w:before="178"/>
                    <w:ind w:left="113" w:right="93"/>
                    <w:rPr>
                      <w:rFonts w:ascii="Times New Roman" w:hAnsi="Times New Roman"/>
                      <w:sz w:val="21"/>
                    </w:rPr>
                  </w:pPr>
                  <w:r>
                    <w:rPr>
                      <w:rFonts w:ascii="Times New Roman" w:hAnsi="Times New Roman"/>
                      <w:sz w:val="21"/>
                    </w:rPr>
                    <w:t>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3" w:right="161"/>
                    <w:rPr>
                      <w:rFonts w:ascii="Times New Roman" w:hAnsi="Times New Roman"/>
                      <w:sz w:val="21"/>
                    </w:rPr>
                  </w:pPr>
                  <w:r>
                    <w:rPr>
                      <w:rFonts w:ascii="Times New Roman" w:hAnsi="Times New Roman"/>
                      <w:sz w:val="21"/>
                    </w:rPr>
                    <w:t>颗粒物实测浓度</w:t>
                  </w:r>
                </w:p>
              </w:tc>
              <w:tc>
                <w:tcPr>
                  <w:tcW w:w="372" w:type="pct"/>
                  <w:vAlign w:val="center"/>
                </w:tcPr>
                <w:p>
                  <w:pPr>
                    <w:pStyle w:val="217"/>
                    <w:spacing w:before="37"/>
                    <w:ind w:left="144" w:right="134"/>
                    <w:rPr>
                      <w:rFonts w:ascii="Times New Roman" w:hAnsi="Times New Roman"/>
                      <w:sz w:val="21"/>
                    </w:rPr>
                  </w:pPr>
                  <w:r>
                    <w:rPr>
                      <w:rFonts w:ascii="Times New Roman" w:hAnsi="Times New Roman"/>
                      <w:sz w:val="21"/>
                    </w:rPr>
                    <w:t>54.6</w:t>
                  </w:r>
                </w:p>
              </w:tc>
              <w:tc>
                <w:tcPr>
                  <w:tcW w:w="409" w:type="pct"/>
                  <w:vAlign w:val="center"/>
                </w:tcPr>
                <w:p>
                  <w:pPr>
                    <w:pStyle w:val="217"/>
                    <w:spacing w:before="37"/>
                    <w:ind w:left="145" w:right="134"/>
                    <w:rPr>
                      <w:rFonts w:ascii="Times New Roman" w:hAnsi="Times New Roman"/>
                      <w:sz w:val="21"/>
                    </w:rPr>
                  </w:pPr>
                  <w:r>
                    <w:rPr>
                      <w:rFonts w:ascii="Times New Roman" w:hAnsi="Times New Roman"/>
                      <w:sz w:val="21"/>
                    </w:rPr>
                    <w:t>54.2</w:t>
                  </w:r>
                </w:p>
              </w:tc>
              <w:tc>
                <w:tcPr>
                  <w:tcW w:w="416" w:type="pct"/>
                  <w:vAlign w:val="center"/>
                </w:tcPr>
                <w:p>
                  <w:pPr>
                    <w:pStyle w:val="217"/>
                    <w:spacing w:before="37"/>
                    <w:ind w:left="145" w:right="133"/>
                    <w:rPr>
                      <w:rFonts w:ascii="Times New Roman" w:hAnsi="Times New Roman"/>
                      <w:sz w:val="21"/>
                    </w:rPr>
                  </w:pPr>
                  <w:r>
                    <w:rPr>
                      <w:rFonts w:ascii="Times New Roman" w:hAnsi="Times New Roman"/>
                      <w:sz w:val="21"/>
                    </w:rPr>
                    <w:t>57.3</w:t>
                  </w:r>
                </w:p>
              </w:tc>
              <w:tc>
                <w:tcPr>
                  <w:tcW w:w="579" w:type="pct"/>
                  <w:vAlign w:val="center"/>
                </w:tcPr>
                <w:p>
                  <w:pPr>
                    <w:pStyle w:val="217"/>
                    <w:spacing w:before="51"/>
                    <w:ind w:right="206"/>
                    <w:rPr>
                      <w:rFonts w:ascii="Times New Roman" w:hAnsi="Times New Roman"/>
                      <w:sz w:val="21"/>
                    </w:rPr>
                  </w:pPr>
                  <w:r>
                    <w:rPr>
                      <w:rFonts w:ascii="Times New Roman" w:hAnsi="Times New Roman"/>
                      <w:sz w:val="21"/>
                    </w:rPr>
                    <w:t>55.4</w:t>
                  </w:r>
                </w:p>
              </w:tc>
              <w:tc>
                <w:tcPr>
                  <w:tcW w:w="534" w:type="pct"/>
                  <w:vAlign w:val="center"/>
                </w:tcPr>
                <w:p>
                  <w:pPr>
                    <w:pStyle w:val="217"/>
                    <w:spacing w:before="37"/>
                    <w:ind w:left="114" w:right="100"/>
                    <w:rPr>
                      <w:rFonts w:ascii="Times New Roman" w:hAnsi="Times New Roman"/>
                      <w:sz w:val="21"/>
                    </w:rPr>
                  </w:pPr>
                  <w:r>
                    <w:rPr>
                      <w:rFonts w:ascii="Times New Roman" w:hAnsi="Times New Roman"/>
                      <w:sz w:val="21"/>
                    </w:rPr>
                    <w:t>8.23</w:t>
                  </w:r>
                </w:p>
              </w:tc>
              <w:tc>
                <w:tcPr>
                  <w:tcW w:w="594" w:type="pct"/>
                  <w:vAlign w:val="center"/>
                </w:tcPr>
                <w:p>
                  <w:pPr>
                    <w:pStyle w:val="217"/>
                    <w:spacing w:before="37"/>
                    <w:ind w:right="205"/>
                    <w:rPr>
                      <w:rFonts w:ascii="Times New Roman" w:hAnsi="Times New Roman"/>
                      <w:sz w:val="21"/>
                    </w:rPr>
                  </w:pPr>
                  <w:r>
                    <w:rPr>
                      <w:rFonts w:ascii="Times New Roman" w:hAnsi="Times New Roman"/>
                      <w:sz w:val="21"/>
                    </w:rPr>
                    <w:t>7.89</w:t>
                  </w:r>
                </w:p>
              </w:tc>
              <w:tc>
                <w:tcPr>
                  <w:tcW w:w="579" w:type="pct"/>
                  <w:vAlign w:val="center"/>
                </w:tcPr>
                <w:p>
                  <w:pPr>
                    <w:pStyle w:val="217"/>
                    <w:spacing w:before="37"/>
                    <w:ind w:left="229"/>
                    <w:rPr>
                      <w:rFonts w:ascii="Times New Roman" w:hAnsi="Times New Roman"/>
                      <w:sz w:val="21"/>
                    </w:rPr>
                  </w:pPr>
                  <w:r>
                    <w:rPr>
                      <w:rFonts w:ascii="Times New Roman" w:hAnsi="Times New Roman"/>
                      <w:sz w:val="21"/>
                    </w:rPr>
                    <w:t>8.11</w:t>
                  </w:r>
                </w:p>
              </w:tc>
              <w:tc>
                <w:tcPr>
                  <w:tcW w:w="674" w:type="pct"/>
                  <w:vAlign w:val="center"/>
                </w:tcPr>
                <w:p>
                  <w:pPr>
                    <w:pStyle w:val="217"/>
                    <w:spacing w:before="51"/>
                    <w:ind w:left="113" w:right="93"/>
                    <w:rPr>
                      <w:rFonts w:ascii="Times New Roman" w:hAnsi="Times New Roman"/>
                      <w:sz w:val="21"/>
                    </w:rPr>
                  </w:pPr>
                  <w:r>
                    <w:rPr>
                      <w:rFonts w:ascii="Times New Roman" w:hAnsi="Times New Roman"/>
                      <w:sz w:val="21"/>
                    </w:rPr>
                    <w:t>8.08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3" w:right="161"/>
                    <w:rPr>
                      <w:rFonts w:ascii="Times New Roman" w:hAnsi="Times New Roman"/>
                      <w:sz w:val="21"/>
                    </w:rPr>
                  </w:pPr>
                  <w:r>
                    <w:rPr>
                      <w:rFonts w:ascii="Times New Roman" w:hAnsi="Times New Roman"/>
                      <w:sz w:val="21"/>
                    </w:rPr>
                    <w:t>颗粒物排放速率</w:t>
                  </w:r>
                </w:p>
              </w:tc>
              <w:tc>
                <w:tcPr>
                  <w:tcW w:w="372" w:type="pct"/>
                  <w:vAlign w:val="center"/>
                </w:tcPr>
                <w:p>
                  <w:pPr>
                    <w:pStyle w:val="217"/>
                    <w:spacing w:before="37"/>
                    <w:ind w:left="144" w:right="134"/>
                    <w:rPr>
                      <w:rFonts w:ascii="Times New Roman" w:hAnsi="Times New Roman"/>
                      <w:sz w:val="21"/>
                    </w:rPr>
                  </w:pPr>
                  <w:r>
                    <w:rPr>
                      <w:rFonts w:ascii="Times New Roman" w:hAnsi="Times New Roman"/>
                      <w:sz w:val="21"/>
                    </w:rPr>
                    <w:t>1.94</w:t>
                  </w:r>
                </w:p>
              </w:tc>
              <w:tc>
                <w:tcPr>
                  <w:tcW w:w="409" w:type="pct"/>
                  <w:vAlign w:val="center"/>
                </w:tcPr>
                <w:p>
                  <w:pPr>
                    <w:pStyle w:val="217"/>
                    <w:spacing w:before="37"/>
                    <w:ind w:left="145" w:right="134"/>
                    <w:rPr>
                      <w:rFonts w:ascii="Times New Roman" w:hAnsi="Times New Roman"/>
                      <w:sz w:val="21"/>
                    </w:rPr>
                  </w:pPr>
                  <w:r>
                    <w:rPr>
                      <w:rFonts w:ascii="Times New Roman" w:hAnsi="Times New Roman"/>
                      <w:sz w:val="21"/>
                    </w:rPr>
                    <w:t>1.94</w:t>
                  </w:r>
                </w:p>
              </w:tc>
              <w:tc>
                <w:tcPr>
                  <w:tcW w:w="416" w:type="pct"/>
                  <w:vAlign w:val="center"/>
                </w:tcPr>
                <w:p>
                  <w:pPr>
                    <w:pStyle w:val="217"/>
                    <w:spacing w:before="37"/>
                    <w:ind w:left="145" w:right="133"/>
                    <w:rPr>
                      <w:rFonts w:ascii="Times New Roman" w:hAnsi="Times New Roman"/>
                      <w:sz w:val="21"/>
                    </w:rPr>
                  </w:pPr>
                  <w:r>
                    <w:rPr>
                      <w:rFonts w:ascii="Times New Roman" w:hAnsi="Times New Roman"/>
                      <w:sz w:val="21"/>
                    </w:rPr>
                    <w:t>2.01</w:t>
                  </w:r>
                </w:p>
              </w:tc>
              <w:tc>
                <w:tcPr>
                  <w:tcW w:w="579" w:type="pct"/>
                  <w:vAlign w:val="center"/>
                </w:tcPr>
                <w:p>
                  <w:pPr>
                    <w:pStyle w:val="217"/>
                    <w:spacing w:before="51"/>
                    <w:ind w:right="208"/>
                    <w:rPr>
                      <w:rFonts w:ascii="Times New Roman" w:hAnsi="Times New Roman"/>
                      <w:sz w:val="21"/>
                    </w:rPr>
                  </w:pPr>
                  <w:r>
                    <w:rPr>
                      <w:rFonts w:ascii="Times New Roman" w:hAnsi="Times New Roman"/>
                      <w:sz w:val="21"/>
                    </w:rPr>
                    <w:t>1.96</w:t>
                  </w:r>
                </w:p>
              </w:tc>
              <w:tc>
                <w:tcPr>
                  <w:tcW w:w="534" w:type="pct"/>
                  <w:vAlign w:val="center"/>
                </w:tcPr>
                <w:p>
                  <w:pPr>
                    <w:pStyle w:val="217"/>
                    <w:spacing w:before="37"/>
                    <w:ind w:left="114" w:right="100"/>
                    <w:rPr>
                      <w:rFonts w:ascii="Times New Roman" w:hAnsi="Times New Roman"/>
                      <w:sz w:val="21"/>
                    </w:rPr>
                  </w:pPr>
                  <w:r>
                    <w:rPr>
                      <w:rFonts w:ascii="Times New Roman" w:hAnsi="Times New Roman"/>
                      <w:sz w:val="21"/>
                    </w:rPr>
                    <w:t>0.29</w:t>
                  </w:r>
                </w:p>
              </w:tc>
              <w:tc>
                <w:tcPr>
                  <w:tcW w:w="594" w:type="pct"/>
                  <w:vAlign w:val="center"/>
                </w:tcPr>
                <w:p>
                  <w:pPr>
                    <w:pStyle w:val="217"/>
                    <w:spacing w:before="37"/>
                    <w:ind w:right="205"/>
                    <w:rPr>
                      <w:rFonts w:ascii="Times New Roman" w:hAnsi="Times New Roman"/>
                      <w:sz w:val="21"/>
                    </w:rPr>
                  </w:pPr>
                  <w:r>
                    <w:rPr>
                      <w:rFonts w:ascii="Times New Roman" w:hAnsi="Times New Roman"/>
                      <w:sz w:val="21"/>
                    </w:rPr>
                    <w:t>0.28</w:t>
                  </w:r>
                </w:p>
              </w:tc>
              <w:tc>
                <w:tcPr>
                  <w:tcW w:w="579" w:type="pct"/>
                  <w:vAlign w:val="center"/>
                </w:tcPr>
                <w:p>
                  <w:pPr>
                    <w:pStyle w:val="217"/>
                    <w:spacing w:before="37"/>
                    <w:ind w:left="224"/>
                    <w:rPr>
                      <w:rFonts w:ascii="Times New Roman" w:hAnsi="Times New Roman"/>
                      <w:sz w:val="21"/>
                    </w:rPr>
                  </w:pPr>
                  <w:r>
                    <w:rPr>
                      <w:rFonts w:ascii="Times New Roman" w:hAnsi="Times New Roman"/>
                      <w:sz w:val="21"/>
                    </w:rPr>
                    <w:t>0.28</w:t>
                  </w:r>
                </w:p>
              </w:tc>
              <w:tc>
                <w:tcPr>
                  <w:tcW w:w="674" w:type="pct"/>
                  <w:vAlign w:val="center"/>
                </w:tcPr>
                <w:p>
                  <w:pPr>
                    <w:pStyle w:val="217"/>
                    <w:spacing w:before="51"/>
                    <w:ind w:left="113" w:right="93"/>
                    <w:rPr>
                      <w:rFonts w:ascii="Times New Roman" w:hAnsi="Times New Roman"/>
                      <w:sz w:val="21"/>
                    </w:rPr>
                  </w:pPr>
                  <w:r>
                    <w:rPr>
                      <w:rFonts w:ascii="Times New Roman" w:hAnsi="Times New Roman"/>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0" w:right="161"/>
                    <w:rPr>
                      <w:rFonts w:ascii="Times New Roman" w:hAnsi="Times New Roman"/>
                      <w:sz w:val="21"/>
                    </w:rPr>
                  </w:pPr>
                  <w:r>
                    <w:rPr>
                      <w:rFonts w:ascii="Times New Roman" w:hAnsi="Times New Roman"/>
                      <w:sz w:val="21"/>
                    </w:rPr>
                    <w:t>颗粒物限值</w:t>
                  </w:r>
                </w:p>
              </w:tc>
              <w:tc>
                <w:tcPr>
                  <w:tcW w:w="1777" w:type="pct"/>
                  <w:gridSpan w:val="4"/>
                  <w:vAlign w:val="center"/>
                </w:tcPr>
                <w:p>
                  <w:pPr>
                    <w:pStyle w:val="217"/>
                    <w:spacing w:before="51"/>
                    <w:ind w:left="10"/>
                    <w:rPr>
                      <w:rFonts w:ascii="Times New Roman" w:hAnsi="Times New Roman"/>
                      <w:sz w:val="21"/>
                    </w:rPr>
                  </w:pPr>
                  <w:r>
                    <w:rPr>
                      <w:rFonts w:ascii="Times New Roman" w:hAnsi="Times New Roman"/>
                      <w:sz w:val="21"/>
                    </w:rPr>
                    <w:t>/</w:t>
                  </w:r>
                </w:p>
              </w:tc>
              <w:tc>
                <w:tcPr>
                  <w:tcW w:w="2383" w:type="pct"/>
                  <w:gridSpan w:val="4"/>
                  <w:vAlign w:val="center"/>
                </w:tcPr>
                <w:p>
                  <w:pPr>
                    <w:pStyle w:val="217"/>
                    <w:spacing w:before="37"/>
                    <w:ind w:left="853"/>
                    <w:rPr>
                      <w:rFonts w:ascii="Times New Roman" w:hAnsi="Times New Roman"/>
                      <w:sz w:val="21"/>
                    </w:rPr>
                  </w:pPr>
                  <w:r>
                    <w:rPr>
                      <w:rFonts w:ascii="Times New Roman" w:hAnsi="Times New Roman"/>
                      <w:sz w:val="21"/>
                    </w:rPr>
                    <w:t>120mg/m</w:t>
                  </w:r>
                  <w:r>
                    <w:rPr>
                      <w:rFonts w:ascii="Times New Roman" w:hAnsi="Times New Roman"/>
                      <w:position w:val="7"/>
                      <w:sz w:val="21"/>
                    </w:rPr>
                    <w:t>3</w:t>
                  </w:r>
                  <w:r>
                    <w:rPr>
                      <w:rFonts w:ascii="Times New Roman" w:hAnsi="Times New Roman"/>
                      <w:sz w:val="21"/>
                    </w:rPr>
                    <w:t>；3.5kg/h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4"/>
                    <w:ind w:left="170" w:right="161"/>
                    <w:rPr>
                      <w:rFonts w:ascii="Times New Roman" w:hAnsi="Times New Roman"/>
                      <w:b/>
                      <w:bCs/>
                      <w:sz w:val="21"/>
                    </w:rPr>
                  </w:pPr>
                  <w:r>
                    <w:rPr>
                      <w:rFonts w:ascii="Times New Roman" w:hAnsi="Times New Roman"/>
                      <w:b/>
                      <w:bCs/>
                      <w:sz w:val="21"/>
                    </w:rPr>
                    <w:t>监测时间</w:t>
                  </w:r>
                </w:p>
              </w:tc>
              <w:tc>
                <w:tcPr>
                  <w:tcW w:w="4161" w:type="pct"/>
                  <w:gridSpan w:val="8"/>
                  <w:vAlign w:val="center"/>
                </w:tcPr>
                <w:p>
                  <w:pPr>
                    <w:pStyle w:val="217"/>
                    <w:spacing w:before="48"/>
                    <w:ind w:left="2779" w:right="2766"/>
                    <w:rPr>
                      <w:rFonts w:ascii="Times New Roman" w:hAnsi="Times New Roman"/>
                      <w:b/>
                      <w:bCs/>
                      <w:sz w:val="21"/>
                    </w:rPr>
                  </w:pPr>
                  <w:r>
                    <w:rPr>
                      <w:rFonts w:ascii="Times New Roman" w:hAnsi="Times New Roman"/>
                      <w:b/>
                      <w:bCs/>
                      <w:sz w:val="21"/>
                    </w:rPr>
                    <w:t>2020.4.24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178"/>
                    <w:ind w:left="170" w:right="161"/>
                    <w:rPr>
                      <w:rFonts w:ascii="Times New Roman" w:hAnsi="Times New Roman"/>
                      <w:sz w:val="21"/>
                    </w:rPr>
                  </w:pPr>
                  <w:r>
                    <w:rPr>
                      <w:rFonts w:ascii="Times New Roman" w:hAnsi="Times New Roman"/>
                      <w:sz w:val="21"/>
                    </w:rPr>
                    <w:t>监测点位</w:t>
                  </w:r>
                </w:p>
              </w:tc>
              <w:tc>
                <w:tcPr>
                  <w:tcW w:w="1198" w:type="pct"/>
                  <w:gridSpan w:val="3"/>
                  <w:vAlign w:val="center"/>
                </w:tcPr>
                <w:p>
                  <w:pPr>
                    <w:pStyle w:val="217"/>
                    <w:spacing w:before="178"/>
                    <w:ind w:left="364"/>
                    <w:rPr>
                      <w:rFonts w:ascii="Times New Roman" w:hAnsi="Times New Roman"/>
                      <w:sz w:val="21"/>
                    </w:rPr>
                  </w:pPr>
                  <w:r>
                    <w:rPr>
                      <w:rFonts w:ascii="Times New Roman" w:hAnsi="Times New Roman"/>
                      <w:sz w:val="21"/>
                    </w:rPr>
                    <w:t>抛丸排气筒进口</w:t>
                  </w:r>
                </w:p>
              </w:tc>
              <w:tc>
                <w:tcPr>
                  <w:tcW w:w="579" w:type="pct"/>
                  <w:vAlign w:val="center"/>
                </w:tcPr>
                <w:p>
                  <w:pPr>
                    <w:pStyle w:val="217"/>
                    <w:spacing w:before="25"/>
                    <w:ind w:left="151" w:right="137"/>
                    <w:rPr>
                      <w:rFonts w:ascii="Times New Roman" w:hAnsi="Times New Roman"/>
                      <w:sz w:val="21"/>
                    </w:rPr>
                  </w:pPr>
                  <w:r>
                    <w:rPr>
                      <w:rFonts w:ascii="Times New Roman" w:hAnsi="Times New Roman"/>
                      <w:sz w:val="21"/>
                    </w:rPr>
                    <w:t>平均</w:t>
                  </w:r>
                </w:p>
                <w:p>
                  <w:pPr>
                    <w:pStyle w:val="217"/>
                    <w:spacing w:before="40"/>
                    <w:ind w:left="10"/>
                    <w:rPr>
                      <w:rFonts w:ascii="Times New Roman" w:hAnsi="Times New Roman"/>
                      <w:sz w:val="21"/>
                    </w:rPr>
                  </w:pPr>
                  <w:r>
                    <w:rPr>
                      <w:rFonts w:ascii="Times New Roman" w:hAnsi="Times New Roman"/>
                      <w:sz w:val="21"/>
                    </w:rPr>
                    <w:t>值</w:t>
                  </w:r>
                </w:p>
              </w:tc>
              <w:tc>
                <w:tcPr>
                  <w:tcW w:w="1708" w:type="pct"/>
                  <w:gridSpan w:val="3"/>
                  <w:vAlign w:val="center"/>
                </w:tcPr>
                <w:p>
                  <w:pPr>
                    <w:pStyle w:val="217"/>
                    <w:spacing w:before="178"/>
                    <w:ind w:left="534"/>
                    <w:rPr>
                      <w:rFonts w:ascii="Times New Roman" w:hAnsi="Times New Roman"/>
                      <w:sz w:val="21"/>
                    </w:rPr>
                  </w:pPr>
                  <w:r>
                    <w:rPr>
                      <w:rFonts w:ascii="Times New Roman" w:hAnsi="Times New Roman"/>
                      <w:sz w:val="21"/>
                    </w:rPr>
                    <w:t>抛丸排气筒出口</w:t>
                  </w:r>
                </w:p>
              </w:tc>
              <w:tc>
                <w:tcPr>
                  <w:tcW w:w="674" w:type="pct"/>
                  <w:vAlign w:val="center"/>
                </w:tcPr>
                <w:p>
                  <w:pPr>
                    <w:pStyle w:val="217"/>
                    <w:spacing w:before="178"/>
                    <w:ind w:left="113" w:right="93"/>
                    <w:rPr>
                      <w:rFonts w:ascii="Times New Roman" w:hAnsi="Times New Roman"/>
                      <w:sz w:val="21"/>
                    </w:rPr>
                  </w:pPr>
                  <w:r>
                    <w:rPr>
                      <w:rFonts w:ascii="Times New Roman" w:hAnsi="Times New Roman"/>
                      <w:sz w:val="21"/>
                    </w:rPr>
                    <w:t>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3" w:right="161"/>
                    <w:rPr>
                      <w:rFonts w:ascii="Times New Roman" w:hAnsi="Times New Roman"/>
                      <w:sz w:val="21"/>
                    </w:rPr>
                  </w:pPr>
                  <w:r>
                    <w:rPr>
                      <w:rFonts w:ascii="Times New Roman" w:hAnsi="Times New Roman"/>
                      <w:sz w:val="21"/>
                    </w:rPr>
                    <w:t>颗粒物实测浓度</w:t>
                  </w:r>
                </w:p>
              </w:tc>
              <w:tc>
                <w:tcPr>
                  <w:tcW w:w="372" w:type="pct"/>
                  <w:vAlign w:val="center"/>
                </w:tcPr>
                <w:p>
                  <w:pPr>
                    <w:pStyle w:val="217"/>
                    <w:spacing w:before="37"/>
                    <w:ind w:left="144" w:right="134"/>
                    <w:rPr>
                      <w:rFonts w:ascii="Times New Roman" w:hAnsi="Times New Roman"/>
                      <w:sz w:val="21"/>
                    </w:rPr>
                  </w:pPr>
                  <w:r>
                    <w:rPr>
                      <w:rFonts w:ascii="Times New Roman" w:hAnsi="Times New Roman"/>
                      <w:sz w:val="21"/>
                    </w:rPr>
                    <w:t>48.1</w:t>
                  </w:r>
                </w:p>
              </w:tc>
              <w:tc>
                <w:tcPr>
                  <w:tcW w:w="409" w:type="pct"/>
                  <w:vAlign w:val="center"/>
                </w:tcPr>
                <w:p>
                  <w:pPr>
                    <w:pStyle w:val="217"/>
                    <w:spacing w:before="37"/>
                    <w:ind w:left="145" w:right="134"/>
                    <w:rPr>
                      <w:rFonts w:ascii="Times New Roman" w:hAnsi="Times New Roman"/>
                      <w:sz w:val="21"/>
                    </w:rPr>
                  </w:pPr>
                  <w:r>
                    <w:rPr>
                      <w:rFonts w:ascii="Times New Roman" w:hAnsi="Times New Roman"/>
                      <w:sz w:val="21"/>
                    </w:rPr>
                    <w:t>53</w:t>
                  </w:r>
                </w:p>
              </w:tc>
              <w:tc>
                <w:tcPr>
                  <w:tcW w:w="416" w:type="pct"/>
                  <w:vAlign w:val="center"/>
                </w:tcPr>
                <w:p>
                  <w:pPr>
                    <w:pStyle w:val="217"/>
                    <w:spacing w:before="37"/>
                    <w:ind w:left="145" w:right="133"/>
                    <w:rPr>
                      <w:rFonts w:ascii="Times New Roman" w:hAnsi="Times New Roman"/>
                      <w:sz w:val="21"/>
                    </w:rPr>
                  </w:pPr>
                  <w:r>
                    <w:rPr>
                      <w:rFonts w:ascii="Times New Roman" w:hAnsi="Times New Roman"/>
                      <w:sz w:val="21"/>
                    </w:rPr>
                    <w:t>50.1</w:t>
                  </w:r>
                </w:p>
              </w:tc>
              <w:tc>
                <w:tcPr>
                  <w:tcW w:w="579" w:type="pct"/>
                  <w:vAlign w:val="center"/>
                </w:tcPr>
                <w:p>
                  <w:pPr>
                    <w:pStyle w:val="217"/>
                    <w:spacing w:before="51"/>
                    <w:ind w:right="208"/>
                    <w:rPr>
                      <w:rFonts w:ascii="Times New Roman" w:hAnsi="Times New Roman"/>
                      <w:sz w:val="21"/>
                    </w:rPr>
                  </w:pPr>
                  <w:r>
                    <w:rPr>
                      <w:rFonts w:ascii="Times New Roman" w:hAnsi="Times New Roman"/>
                      <w:sz w:val="21"/>
                    </w:rPr>
                    <w:t>50.4</w:t>
                  </w:r>
                </w:p>
              </w:tc>
              <w:tc>
                <w:tcPr>
                  <w:tcW w:w="534" w:type="pct"/>
                  <w:vAlign w:val="center"/>
                </w:tcPr>
                <w:p>
                  <w:pPr>
                    <w:pStyle w:val="217"/>
                    <w:spacing w:before="37"/>
                    <w:ind w:left="114" w:right="100"/>
                    <w:rPr>
                      <w:rFonts w:ascii="Times New Roman" w:hAnsi="Times New Roman"/>
                      <w:sz w:val="21"/>
                    </w:rPr>
                  </w:pPr>
                  <w:r>
                    <w:rPr>
                      <w:rFonts w:ascii="Times New Roman" w:hAnsi="Times New Roman"/>
                      <w:sz w:val="21"/>
                    </w:rPr>
                    <w:t>9.01</w:t>
                  </w:r>
                </w:p>
              </w:tc>
              <w:tc>
                <w:tcPr>
                  <w:tcW w:w="594" w:type="pct"/>
                  <w:vAlign w:val="center"/>
                </w:tcPr>
                <w:p>
                  <w:pPr>
                    <w:pStyle w:val="217"/>
                    <w:spacing w:before="37"/>
                    <w:ind w:right="205"/>
                    <w:rPr>
                      <w:rFonts w:ascii="Times New Roman" w:hAnsi="Times New Roman"/>
                      <w:sz w:val="21"/>
                    </w:rPr>
                  </w:pPr>
                  <w:r>
                    <w:rPr>
                      <w:rFonts w:ascii="Times New Roman" w:hAnsi="Times New Roman"/>
                      <w:sz w:val="21"/>
                    </w:rPr>
                    <w:t>8.32</w:t>
                  </w:r>
                </w:p>
              </w:tc>
              <w:tc>
                <w:tcPr>
                  <w:tcW w:w="579" w:type="pct"/>
                  <w:vAlign w:val="center"/>
                </w:tcPr>
                <w:p>
                  <w:pPr>
                    <w:pStyle w:val="217"/>
                    <w:spacing w:before="37"/>
                    <w:ind w:left="224"/>
                    <w:rPr>
                      <w:rFonts w:ascii="Times New Roman" w:hAnsi="Times New Roman"/>
                      <w:sz w:val="21"/>
                    </w:rPr>
                  </w:pPr>
                  <w:r>
                    <w:rPr>
                      <w:rFonts w:ascii="Times New Roman" w:hAnsi="Times New Roman"/>
                      <w:sz w:val="21"/>
                    </w:rPr>
                    <w:t>8.22</w:t>
                  </w:r>
                </w:p>
              </w:tc>
              <w:tc>
                <w:tcPr>
                  <w:tcW w:w="674" w:type="pct"/>
                  <w:vAlign w:val="center"/>
                </w:tcPr>
                <w:p>
                  <w:pPr>
                    <w:pStyle w:val="217"/>
                    <w:spacing w:before="51"/>
                    <w:ind w:left="113" w:right="93"/>
                    <w:rPr>
                      <w:rFonts w:ascii="Times New Roman" w:hAnsi="Times New Roman"/>
                      <w:sz w:val="21"/>
                    </w:rPr>
                  </w:pPr>
                  <w:r>
                    <w:rPr>
                      <w:rFonts w:ascii="Times New Roman" w:hAnsi="Times New Roman"/>
                      <w:sz w:val="21"/>
                    </w:rPr>
                    <w:t>8.52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3" w:right="161"/>
                    <w:rPr>
                      <w:rFonts w:ascii="Times New Roman" w:hAnsi="Times New Roman"/>
                      <w:sz w:val="21"/>
                    </w:rPr>
                  </w:pPr>
                  <w:r>
                    <w:rPr>
                      <w:rFonts w:ascii="Times New Roman" w:hAnsi="Times New Roman"/>
                      <w:sz w:val="21"/>
                    </w:rPr>
                    <w:t>颗粒物排放速率</w:t>
                  </w:r>
                </w:p>
              </w:tc>
              <w:tc>
                <w:tcPr>
                  <w:tcW w:w="372" w:type="pct"/>
                  <w:vAlign w:val="center"/>
                </w:tcPr>
                <w:p>
                  <w:pPr>
                    <w:pStyle w:val="217"/>
                    <w:spacing w:before="37"/>
                    <w:ind w:left="144" w:right="134"/>
                    <w:rPr>
                      <w:rFonts w:ascii="Times New Roman" w:hAnsi="Times New Roman"/>
                      <w:sz w:val="21"/>
                    </w:rPr>
                  </w:pPr>
                  <w:r>
                    <w:rPr>
                      <w:rFonts w:ascii="Times New Roman" w:hAnsi="Times New Roman"/>
                      <w:sz w:val="21"/>
                    </w:rPr>
                    <w:t>1.68</w:t>
                  </w:r>
                </w:p>
              </w:tc>
              <w:tc>
                <w:tcPr>
                  <w:tcW w:w="409" w:type="pct"/>
                  <w:vAlign w:val="center"/>
                </w:tcPr>
                <w:p>
                  <w:pPr>
                    <w:pStyle w:val="217"/>
                    <w:spacing w:before="37"/>
                    <w:ind w:left="145" w:right="134"/>
                    <w:rPr>
                      <w:rFonts w:ascii="Times New Roman" w:hAnsi="Times New Roman"/>
                      <w:sz w:val="21"/>
                    </w:rPr>
                  </w:pPr>
                  <w:r>
                    <w:rPr>
                      <w:rFonts w:ascii="Times New Roman" w:hAnsi="Times New Roman"/>
                      <w:sz w:val="21"/>
                    </w:rPr>
                    <w:t>1.87</w:t>
                  </w:r>
                </w:p>
              </w:tc>
              <w:tc>
                <w:tcPr>
                  <w:tcW w:w="416" w:type="pct"/>
                  <w:vAlign w:val="center"/>
                </w:tcPr>
                <w:p>
                  <w:pPr>
                    <w:pStyle w:val="217"/>
                    <w:spacing w:before="37"/>
                    <w:ind w:left="145" w:right="133"/>
                    <w:rPr>
                      <w:rFonts w:ascii="Times New Roman" w:hAnsi="Times New Roman"/>
                      <w:sz w:val="21"/>
                    </w:rPr>
                  </w:pPr>
                  <w:r>
                    <w:rPr>
                      <w:rFonts w:ascii="Times New Roman" w:hAnsi="Times New Roman"/>
                      <w:sz w:val="21"/>
                    </w:rPr>
                    <w:t>1.77</w:t>
                  </w:r>
                </w:p>
              </w:tc>
              <w:tc>
                <w:tcPr>
                  <w:tcW w:w="579" w:type="pct"/>
                  <w:vAlign w:val="center"/>
                </w:tcPr>
                <w:p>
                  <w:pPr>
                    <w:pStyle w:val="217"/>
                    <w:spacing w:before="51"/>
                    <w:ind w:right="206"/>
                    <w:rPr>
                      <w:rFonts w:ascii="Times New Roman" w:hAnsi="Times New Roman"/>
                      <w:sz w:val="21"/>
                    </w:rPr>
                  </w:pPr>
                  <w:r>
                    <w:rPr>
                      <w:rFonts w:ascii="Times New Roman" w:hAnsi="Times New Roman"/>
                      <w:sz w:val="21"/>
                    </w:rPr>
                    <w:t>1.77</w:t>
                  </w:r>
                </w:p>
              </w:tc>
              <w:tc>
                <w:tcPr>
                  <w:tcW w:w="534" w:type="pct"/>
                  <w:vAlign w:val="center"/>
                </w:tcPr>
                <w:p>
                  <w:pPr>
                    <w:pStyle w:val="217"/>
                    <w:spacing w:before="37"/>
                    <w:ind w:left="114" w:right="100"/>
                    <w:rPr>
                      <w:rFonts w:ascii="Times New Roman" w:hAnsi="Times New Roman"/>
                      <w:sz w:val="21"/>
                    </w:rPr>
                  </w:pPr>
                  <w:r>
                    <w:rPr>
                      <w:rFonts w:ascii="Times New Roman" w:hAnsi="Times New Roman"/>
                      <w:sz w:val="21"/>
                    </w:rPr>
                    <w:t>0.31</w:t>
                  </w:r>
                </w:p>
              </w:tc>
              <w:tc>
                <w:tcPr>
                  <w:tcW w:w="594" w:type="pct"/>
                  <w:vAlign w:val="center"/>
                </w:tcPr>
                <w:p>
                  <w:pPr>
                    <w:pStyle w:val="217"/>
                    <w:spacing w:before="37"/>
                    <w:ind w:right="264"/>
                    <w:rPr>
                      <w:rFonts w:ascii="Times New Roman" w:hAnsi="Times New Roman"/>
                      <w:sz w:val="21"/>
                    </w:rPr>
                  </w:pPr>
                  <w:r>
                    <w:rPr>
                      <w:rFonts w:ascii="Times New Roman" w:hAnsi="Times New Roman"/>
                      <w:sz w:val="21"/>
                    </w:rPr>
                    <w:t>0.3</w:t>
                  </w:r>
                </w:p>
              </w:tc>
              <w:tc>
                <w:tcPr>
                  <w:tcW w:w="579" w:type="pct"/>
                  <w:vAlign w:val="center"/>
                </w:tcPr>
                <w:p>
                  <w:pPr>
                    <w:pStyle w:val="217"/>
                    <w:spacing w:before="37"/>
                    <w:ind w:left="224"/>
                    <w:rPr>
                      <w:rFonts w:ascii="Times New Roman" w:hAnsi="Times New Roman"/>
                      <w:sz w:val="21"/>
                    </w:rPr>
                  </w:pPr>
                  <w:r>
                    <w:rPr>
                      <w:rFonts w:ascii="Times New Roman" w:hAnsi="Times New Roman"/>
                      <w:sz w:val="21"/>
                    </w:rPr>
                    <w:t>0.29</w:t>
                  </w:r>
                </w:p>
              </w:tc>
              <w:tc>
                <w:tcPr>
                  <w:tcW w:w="674" w:type="pct"/>
                  <w:vAlign w:val="center"/>
                </w:tcPr>
                <w:p>
                  <w:pPr>
                    <w:pStyle w:val="217"/>
                    <w:spacing w:before="51"/>
                    <w:ind w:left="113" w:right="93"/>
                    <w:rPr>
                      <w:rFonts w:ascii="Times New Roman" w:hAnsi="Times New Roman"/>
                      <w:sz w:val="21"/>
                    </w:rPr>
                  </w:pPr>
                  <w:r>
                    <w:rPr>
                      <w:rFonts w:ascii="Times New Roman" w:hAnsi="Times New Roman"/>
                      <w:sz w:val="21"/>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0" w:right="161"/>
                    <w:rPr>
                      <w:rFonts w:ascii="Times New Roman" w:hAnsi="Times New Roman"/>
                      <w:sz w:val="21"/>
                    </w:rPr>
                  </w:pPr>
                  <w:r>
                    <w:rPr>
                      <w:rFonts w:ascii="Times New Roman" w:hAnsi="Times New Roman"/>
                      <w:sz w:val="21"/>
                    </w:rPr>
                    <w:t>颗粒物限值</w:t>
                  </w:r>
                </w:p>
              </w:tc>
              <w:tc>
                <w:tcPr>
                  <w:tcW w:w="1777" w:type="pct"/>
                  <w:gridSpan w:val="4"/>
                  <w:vAlign w:val="center"/>
                </w:tcPr>
                <w:p>
                  <w:pPr>
                    <w:pStyle w:val="217"/>
                    <w:spacing w:before="51"/>
                    <w:ind w:left="10"/>
                    <w:rPr>
                      <w:rFonts w:ascii="Times New Roman" w:hAnsi="Times New Roman"/>
                      <w:sz w:val="21"/>
                    </w:rPr>
                  </w:pPr>
                  <w:r>
                    <w:rPr>
                      <w:rFonts w:ascii="Times New Roman" w:hAnsi="Times New Roman"/>
                      <w:sz w:val="21"/>
                    </w:rPr>
                    <w:t>/</w:t>
                  </w:r>
                </w:p>
              </w:tc>
              <w:tc>
                <w:tcPr>
                  <w:tcW w:w="2383" w:type="pct"/>
                  <w:gridSpan w:val="4"/>
                  <w:vAlign w:val="center"/>
                </w:tcPr>
                <w:p>
                  <w:pPr>
                    <w:pStyle w:val="217"/>
                    <w:spacing w:before="37"/>
                    <w:ind w:left="853"/>
                    <w:rPr>
                      <w:rFonts w:ascii="Times New Roman" w:hAnsi="Times New Roman"/>
                      <w:sz w:val="21"/>
                    </w:rPr>
                  </w:pPr>
                  <w:r>
                    <w:rPr>
                      <w:rFonts w:ascii="Times New Roman" w:hAnsi="Times New Roman"/>
                      <w:sz w:val="21"/>
                    </w:rPr>
                    <w:t>120mg/m</w:t>
                  </w:r>
                  <w:r>
                    <w:rPr>
                      <w:rFonts w:ascii="Times New Roman" w:hAnsi="Times New Roman"/>
                      <w:position w:val="7"/>
                      <w:sz w:val="21"/>
                    </w:rPr>
                    <w:t>3</w:t>
                  </w:r>
                  <w:r>
                    <w:rPr>
                      <w:rFonts w:ascii="Times New Roman" w:hAnsi="Times New Roman"/>
                      <w:sz w:val="21"/>
                    </w:rPr>
                    <w:t>；3.5kg/h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0" w:right="161"/>
                    <w:rPr>
                      <w:rFonts w:ascii="Times New Roman" w:hAnsi="Times New Roman"/>
                      <w:b/>
                      <w:bCs/>
                      <w:sz w:val="21"/>
                    </w:rPr>
                  </w:pPr>
                  <w:r>
                    <w:rPr>
                      <w:rFonts w:ascii="Times New Roman" w:hAnsi="Times New Roman"/>
                      <w:b/>
                      <w:bCs/>
                      <w:sz w:val="21"/>
                    </w:rPr>
                    <w:t>监测时间</w:t>
                  </w:r>
                </w:p>
              </w:tc>
              <w:tc>
                <w:tcPr>
                  <w:tcW w:w="4161" w:type="pct"/>
                  <w:gridSpan w:val="8"/>
                  <w:vAlign w:val="center"/>
                </w:tcPr>
                <w:p>
                  <w:pPr>
                    <w:pStyle w:val="217"/>
                    <w:spacing w:before="51"/>
                    <w:ind w:left="2779" w:right="2766"/>
                    <w:rPr>
                      <w:rFonts w:ascii="Times New Roman" w:hAnsi="Times New Roman"/>
                      <w:b/>
                      <w:bCs/>
                      <w:sz w:val="21"/>
                    </w:rPr>
                  </w:pPr>
                  <w:r>
                    <w:rPr>
                      <w:rFonts w:ascii="Times New Roman" w:hAnsi="Times New Roman"/>
                      <w:b/>
                      <w:bCs/>
                      <w:sz w:val="21"/>
                    </w:rPr>
                    <w:t>2020.6.9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178"/>
                    <w:ind w:left="170" w:right="161"/>
                    <w:rPr>
                      <w:rFonts w:ascii="Times New Roman" w:hAnsi="Times New Roman"/>
                      <w:sz w:val="21"/>
                    </w:rPr>
                  </w:pPr>
                  <w:r>
                    <w:rPr>
                      <w:rFonts w:ascii="Times New Roman" w:hAnsi="Times New Roman"/>
                      <w:sz w:val="21"/>
                    </w:rPr>
                    <w:t>监测点位</w:t>
                  </w:r>
                </w:p>
              </w:tc>
              <w:tc>
                <w:tcPr>
                  <w:tcW w:w="1198" w:type="pct"/>
                  <w:gridSpan w:val="3"/>
                  <w:vAlign w:val="center"/>
                </w:tcPr>
                <w:p>
                  <w:pPr>
                    <w:pStyle w:val="217"/>
                    <w:spacing w:before="178"/>
                    <w:ind w:left="261"/>
                    <w:rPr>
                      <w:rFonts w:ascii="Times New Roman" w:hAnsi="Times New Roman"/>
                      <w:sz w:val="21"/>
                    </w:rPr>
                  </w:pPr>
                  <w:r>
                    <w:rPr>
                      <w:rFonts w:ascii="Times New Roman" w:hAnsi="Times New Roman"/>
                      <w:sz w:val="21"/>
                    </w:rPr>
                    <w:t>喷漆房排气筒进口</w:t>
                  </w:r>
                </w:p>
              </w:tc>
              <w:tc>
                <w:tcPr>
                  <w:tcW w:w="579" w:type="pct"/>
                  <w:vAlign w:val="center"/>
                </w:tcPr>
                <w:p>
                  <w:pPr>
                    <w:pStyle w:val="217"/>
                    <w:spacing w:before="22"/>
                    <w:ind w:left="152" w:right="137"/>
                    <w:rPr>
                      <w:rFonts w:ascii="Times New Roman" w:hAnsi="Times New Roman"/>
                      <w:sz w:val="21"/>
                    </w:rPr>
                  </w:pPr>
                  <w:r>
                    <w:rPr>
                      <w:rFonts w:ascii="Times New Roman" w:hAnsi="Times New Roman"/>
                      <w:sz w:val="21"/>
                    </w:rPr>
                    <w:t>平均</w:t>
                  </w:r>
                </w:p>
                <w:p>
                  <w:pPr>
                    <w:pStyle w:val="217"/>
                    <w:spacing w:before="43"/>
                    <w:ind w:left="10"/>
                    <w:rPr>
                      <w:rFonts w:ascii="Times New Roman" w:hAnsi="Times New Roman"/>
                      <w:sz w:val="21"/>
                    </w:rPr>
                  </w:pPr>
                  <w:r>
                    <w:rPr>
                      <w:rFonts w:ascii="Times New Roman" w:hAnsi="Times New Roman"/>
                      <w:sz w:val="21"/>
                    </w:rPr>
                    <w:t>值</w:t>
                  </w:r>
                </w:p>
              </w:tc>
              <w:tc>
                <w:tcPr>
                  <w:tcW w:w="1708" w:type="pct"/>
                  <w:gridSpan w:val="3"/>
                  <w:vAlign w:val="center"/>
                </w:tcPr>
                <w:p>
                  <w:pPr>
                    <w:pStyle w:val="217"/>
                    <w:spacing w:before="178"/>
                    <w:ind w:left="429"/>
                    <w:rPr>
                      <w:rFonts w:ascii="Times New Roman" w:hAnsi="Times New Roman"/>
                      <w:sz w:val="21"/>
                    </w:rPr>
                  </w:pPr>
                  <w:r>
                    <w:rPr>
                      <w:rFonts w:ascii="Times New Roman" w:hAnsi="Times New Roman"/>
                      <w:sz w:val="21"/>
                    </w:rPr>
                    <w:t>喷漆房排气筒出口</w:t>
                  </w:r>
                </w:p>
              </w:tc>
              <w:tc>
                <w:tcPr>
                  <w:tcW w:w="674" w:type="pct"/>
                  <w:vAlign w:val="center"/>
                </w:tcPr>
                <w:p>
                  <w:pPr>
                    <w:pStyle w:val="217"/>
                    <w:spacing w:before="178"/>
                    <w:ind w:left="113" w:right="93"/>
                    <w:rPr>
                      <w:rFonts w:ascii="Times New Roman" w:hAnsi="Times New Roman"/>
                      <w:sz w:val="21"/>
                    </w:rPr>
                  </w:pPr>
                  <w:r>
                    <w:rPr>
                      <w:rFonts w:ascii="Times New Roman" w:hAnsi="Times New Roman"/>
                      <w:sz w:val="21"/>
                    </w:rPr>
                    <w:t>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3" w:right="161"/>
                    <w:rPr>
                      <w:rFonts w:ascii="Times New Roman" w:hAnsi="Times New Roman"/>
                      <w:sz w:val="21"/>
                    </w:rPr>
                  </w:pPr>
                  <w:r>
                    <w:rPr>
                      <w:rFonts w:ascii="Times New Roman" w:hAnsi="Times New Roman"/>
                      <w:sz w:val="21"/>
                    </w:rPr>
                    <w:t>颗粒物实测浓度</w:t>
                  </w:r>
                </w:p>
              </w:tc>
              <w:tc>
                <w:tcPr>
                  <w:tcW w:w="372" w:type="pct"/>
                  <w:vAlign w:val="center"/>
                </w:tcPr>
                <w:p>
                  <w:pPr>
                    <w:pStyle w:val="217"/>
                    <w:spacing w:before="51"/>
                    <w:ind w:right="169"/>
                    <w:rPr>
                      <w:rFonts w:ascii="Times New Roman" w:hAnsi="Times New Roman"/>
                      <w:sz w:val="21"/>
                    </w:rPr>
                  </w:pPr>
                  <w:r>
                    <w:rPr>
                      <w:rFonts w:ascii="Times New Roman" w:hAnsi="Times New Roman"/>
                      <w:sz w:val="21"/>
                    </w:rPr>
                    <w:t>48.1</w:t>
                  </w:r>
                </w:p>
              </w:tc>
              <w:tc>
                <w:tcPr>
                  <w:tcW w:w="409" w:type="pct"/>
                  <w:vAlign w:val="center"/>
                </w:tcPr>
                <w:p>
                  <w:pPr>
                    <w:pStyle w:val="217"/>
                    <w:spacing w:before="51"/>
                    <w:ind w:right="169"/>
                    <w:rPr>
                      <w:rFonts w:ascii="Times New Roman" w:hAnsi="Times New Roman"/>
                      <w:sz w:val="21"/>
                    </w:rPr>
                  </w:pPr>
                  <w:r>
                    <w:rPr>
                      <w:rFonts w:ascii="Times New Roman" w:hAnsi="Times New Roman"/>
                      <w:sz w:val="21"/>
                    </w:rPr>
                    <w:t>46.5</w:t>
                  </w:r>
                </w:p>
              </w:tc>
              <w:tc>
                <w:tcPr>
                  <w:tcW w:w="416" w:type="pct"/>
                  <w:vAlign w:val="center"/>
                </w:tcPr>
                <w:p>
                  <w:pPr>
                    <w:pStyle w:val="217"/>
                    <w:spacing w:before="51"/>
                    <w:ind w:right="168"/>
                    <w:rPr>
                      <w:rFonts w:ascii="Times New Roman" w:hAnsi="Times New Roman"/>
                      <w:sz w:val="21"/>
                    </w:rPr>
                  </w:pPr>
                  <w:r>
                    <w:rPr>
                      <w:rFonts w:ascii="Times New Roman" w:hAnsi="Times New Roman"/>
                      <w:sz w:val="21"/>
                    </w:rPr>
                    <w:t>40.7</w:t>
                  </w:r>
                </w:p>
              </w:tc>
              <w:tc>
                <w:tcPr>
                  <w:tcW w:w="579" w:type="pct"/>
                  <w:vAlign w:val="center"/>
                </w:tcPr>
                <w:p>
                  <w:pPr>
                    <w:pStyle w:val="217"/>
                    <w:spacing w:before="51"/>
                    <w:ind w:left="152" w:right="136"/>
                    <w:rPr>
                      <w:rFonts w:ascii="Times New Roman" w:hAnsi="Times New Roman"/>
                      <w:sz w:val="21"/>
                    </w:rPr>
                  </w:pPr>
                  <w:r>
                    <w:rPr>
                      <w:rFonts w:ascii="Times New Roman" w:hAnsi="Times New Roman"/>
                      <w:sz w:val="21"/>
                    </w:rPr>
                    <w:t>45.1</w:t>
                  </w:r>
                </w:p>
              </w:tc>
              <w:tc>
                <w:tcPr>
                  <w:tcW w:w="534" w:type="pct"/>
                  <w:vAlign w:val="center"/>
                </w:tcPr>
                <w:p>
                  <w:pPr>
                    <w:pStyle w:val="217"/>
                    <w:spacing w:before="65"/>
                    <w:ind w:left="115" w:right="100"/>
                    <w:rPr>
                      <w:rFonts w:ascii="Times New Roman" w:hAnsi="Times New Roman"/>
                      <w:sz w:val="21"/>
                    </w:rPr>
                  </w:pPr>
                  <w:r>
                    <w:rPr>
                      <w:rFonts w:ascii="Times New Roman" w:hAnsi="Times New Roman"/>
                      <w:sz w:val="21"/>
                    </w:rPr>
                    <w:t>5.12</w:t>
                  </w:r>
                </w:p>
              </w:tc>
              <w:tc>
                <w:tcPr>
                  <w:tcW w:w="594" w:type="pct"/>
                  <w:vAlign w:val="center"/>
                </w:tcPr>
                <w:p>
                  <w:pPr>
                    <w:pStyle w:val="217"/>
                    <w:spacing w:before="65"/>
                    <w:ind w:left="240"/>
                    <w:rPr>
                      <w:rFonts w:ascii="Times New Roman" w:hAnsi="Times New Roman"/>
                      <w:sz w:val="21"/>
                    </w:rPr>
                  </w:pPr>
                  <w:r>
                    <w:rPr>
                      <w:rFonts w:ascii="Times New Roman" w:hAnsi="Times New Roman"/>
                      <w:sz w:val="21"/>
                    </w:rPr>
                    <w:t>6.49</w:t>
                  </w:r>
                </w:p>
              </w:tc>
              <w:tc>
                <w:tcPr>
                  <w:tcW w:w="579" w:type="pct"/>
                  <w:vAlign w:val="center"/>
                </w:tcPr>
                <w:p>
                  <w:pPr>
                    <w:pStyle w:val="217"/>
                    <w:spacing w:before="65"/>
                    <w:ind w:left="119" w:right="98"/>
                    <w:rPr>
                      <w:rFonts w:ascii="Times New Roman" w:hAnsi="Times New Roman"/>
                      <w:sz w:val="21"/>
                    </w:rPr>
                  </w:pPr>
                  <w:r>
                    <w:rPr>
                      <w:rFonts w:ascii="Times New Roman" w:hAnsi="Times New Roman"/>
                      <w:sz w:val="21"/>
                    </w:rPr>
                    <w:t>6.89</w:t>
                  </w:r>
                </w:p>
              </w:tc>
              <w:tc>
                <w:tcPr>
                  <w:tcW w:w="674" w:type="pct"/>
                  <w:vAlign w:val="center"/>
                </w:tcPr>
                <w:p>
                  <w:pPr>
                    <w:pStyle w:val="217"/>
                    <w:spacing w:before="65"/>
                    <w:ind w:left="113" w:right="93"/>
                    <w:rPr>
                      <w:rFonts w:ascii="Times New Roman" w:hAnsi="Times New Roman"/>
                      <w:sz w:val="21"/>
                    </w:rPr>
                  </w:pPr>
                  <w:r>
                    <w:rPr>
                      <w:rFonts w:ascii="Times New Roman" w:hAnsi="Times New Roman"/>
                      <w:sz w:val="21"/>
                    </w:rPr>
                    <w:t>6.17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3" w:right="161"/>
                    <w:rPr>
                      <w:rFonts w:ascii="Times New Roman" w:hAnsi="Times New Roman"/>
                      <w:sz w:val="21"/>
                    </w:rPr>
                  </w:pPr>
                  <w:r>
                    <w:rPr>
                      <w:rFonts w:ascii="Times New Roman" w:hAnsi="Times New Roman"/>
                      <w:sz w:val="21"/>
                    </w:rPr>
                    <w:t>颗粒物排放速率</w:t>
                  </w:r>
                </w:p>
              </w:tc>
              <w:tc>
                <w:tcPr>
                  <w:tcW w:w="372" w:type="pct"/>
                  <w:vAlign w:val="center"/>
                </w:tcPr>
                <w:p>
                  <w:pPr>
                    <w:pStyle w:val="217"/>
                    <w:spacing w:before="51"/>
                    <w:ind w:right="169"/>
                    <w:rPr>
                      <w:rFonts w:ascii="Times New Roman" w:hAnsi="Times New Roman"/>
                      <w:sz w:val="21"/>
                    </w:rPr>
                  </w:pPr>
                  <w:r>
                    <w:rPr>
                      <w:rFonts w:ascii="Times New Roman" w:hAnsi="Times New Roman"/>
                      <w:sz w:val="21"/>
                    </w:rPr>
                    <w:t>4.01</w:t>
                  </w:r>
                </w:p>
              </w:tc>
              <w:tc>
                <w:tcPr>
                  <w:tcW w:w="409" w:type="pct"/>
                  <w:vAlign w:val="center"/>
                </w:tcPr>
                <w:p>
                  <w:pPr>
                    <w:pStyle w:val="217"/>
                    <w:spacing w:before="51"/>
                    <w:ind w:right="169"/>
                    <w:rPr>
                      <w:rFonts w:ascii="Times New Roman" w:hAnsi="Times New Roman"/>
                      <w:sz w:val="21"/>
                    </w:rPr>
                  </w:pPr>
                  <w:r>
                    <w:rPr>
                      <w:rFonts w:ascii="Times New Roman" w:hAnsi="Times New Roman"/>
                      <w:sz w:val="21"/>
                    </w:rPr>
                    <w:t>4.12</w:t>
                  </w:r>
                </w:p>
              </w:tc>
              <w:tc>
                <w:tcPr>
                  <w:tcW w:w="416" w:type="pct"/>
                  <w:vAlign w:val="center"/>
                </w:tcPr>
                <w:p>
                  <w:pPr>
                    <w:pStyle w:val="217"/>
                    <w:spacing w:before="51"/>
                    <w:ind w:right="168"/>
                    <w:rPr>
                      <w:rFonts w:ascii="Times New Roman" w:hAnsi="Times New Roman"/>
                      <w:sz w:val="21"/>
                    </w:rPr>
                  </w:pPr>
                  <w:r>
                    <w:rPr>
                      <w:rFonts w:ascii="Times New Roman" w:hAnsi="Times New Roman"/>
                      <w:sz w:val="21"/>
                    </w:rPr>
                    <w:t>3.58</w:t>
                  </w:r>
                </w:p>
              </w:tc>
              <w:tc>
                <w:tcPr>
                  <w:tcW w:w="579" w:type="pct"/>
                  <w:vAlign w:val="center"/>
                </w:tcPr>
                <w:p>
                  <w:pPr>
                    <w:pStyle w:val="217"/>
                    <w:spacing w:before="51"/>
                    <w:ind w:left="152" w:right="136"/>
                    <w:rPr>
                      <w:rFonts w:ascii="Times New Roman" w:hAnsi="Times New Roman"/>
                      <w:sz w:val="21"/>
                    </w:rPr>
                  </w:pPr>
                  <w:r>
                    <w:rPr>
                      <w:rFonts w:ascii="Times New Roman" w:hAnsi="Times New Roman"/>
                      <w:sz w:val="21"/>
                    </w:rPr>
                    <w:t>3.90</w:t>
                  </w:r>
                </w:p>
              </w:tc>
              <w:tc>
                <w:tcPr>
                  <w:tcW w:w="534" w:type="pct"/>
                  <w:vAlign w:val="center"/>
                </w:tcPr>
                <w:p>
                  <w:pPr>
                    <w:pStyle w:val="217"/>
                    <w:spacing w:before="65"/>
                    <w:ind w:left="115" w:right="100"/>
                    <w:rPr>
                      <w:rFonts w:ascii="Times New Roman" w:hAnsi="Times New Roman"/>
                      <w:sz w:val="21"/>
                    </w:rPr>
                  </w:pPr>
                  <w:r>
                    <w:rPr>
                      <w:rFonts w:ascii="Times New Roman" w:hAnsi="Times New Roman"/>
                      <w:sz w:val="21"/>
                    </w:rPr>
                    <w:t>0.46</w:t>
                  </w:r>
                </w:p>
              </w:tc>
              <w:tc>
                <w:tcPr>
                  <w:tcW w:w="594" w:type="pct"/>
                  <w:vAlign w:val="center"/>
                </w:tcPr>
                <w:p>
                  <w:pPr>
                    <w:pStyle w:val="217"/>
                    <w:spacing w:before="65"/>
                    <w:ind w:left="240"/>
                    <w:rPr>
                      <w:rFonts w:ascii="Times New Roman" w:hAnsi="Times New Roman"/>
                      <w:sz w:val="21"/>
                    </w:rPr>
                  </w:pPr>
                  <w:r>
                    <w:rPr>
                      <w:rFonts w:ascii="Times New Roman" w:hAnsi="Times New Roman"/>
                      <w:sz w:val="21"/>
                    </w:rPr>
                    <w:t>0.57</w:t>
                  </w:r>
                </w:p>
              </w:tc>
              <w:tc>
                <w:tcPr>
                  <w:tcW w:w="579" w:type="pct"/>
                  <w:vAlign w:val="center"/>
                </w:tcPr>
                <w:p>
                  <w:pPr>
                    <w:pStyle w:val="217"/>
                    <w:spacing w:before="65"/>
                    <w:ind w:left="119" w:right="98"/>
                    <w:rPr>
                      <w:rFonts w:ascii="Times New Roman" w:hAnsi="Times New Roman"/>
                      <w:sz w:val="21"/>
                    </w:rPr>
                  </w:pPr>
                  <w:r>
                    <w:rPr>
                      <w:rFonts w:ascii="Times New Roman" w:hAnsi="Times New Roman"/>
                      <w:sz w:val="21"/>
                    </w:rPr>
                    <w:t>0.59</w:t>
                  </w:r>
                </w:p>
              </w:tc>
              <w:tc>
                <w:tcPr>
                  <w:tcW w:w="674" w:type="pct"/>
                  <w:vAlign w:val="center"/>
                </w:tcPr>
                <w:p>
                  <w:pPr>
                    <w:pStyle w:val="217"/>
                    <w:spacing w:before="65"/>
                    <w:ind w:left="113" w:right="91"/>
                    <w:rPr>
                      <w:rFonts w:ascii="Times New Roman" w:hAnsi="Times New Roman"/>
                      <w:sz w:val="21"/>
                    </w:rPr>
                  </w:pPr>
                  <w:r>
                    <w:rPr>
                      <w:rFonts w:ascii="Times New Roman" w:hAnsi="Times New Roman"/>
                      <w:sz w:val="21"/>
                    </w:rPr>
                    <w:t>0.54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0" w:right="161"/>
                    <w:rPr>
                      <w:rFonts w:ascii="Times New Roman" w:hAnsi="Times New Roman"/>
                      <w:sz w:val="21"/>
                    </w:rPr>
                  </w:pPr>
                  <w:r>
                    <w:rPr>
                      <w:rFonts w:ascii="Times New Roman" w:hAnsi="Times New Roman"/>
                      <w:sz w:val="21"/>
                    </w:rPr>
                    <w:t>颗粒物限值</w:t>
                  </w:r>
                </w:p>
              </w:tc>
              <w:tc>
                <w:tcPr>
                  <w:tcW w:w="1777" w:type="pct"/>
                  <w:gridSpan w:val="4"/>
                  <w:vAlign w:val="center"/>
                </w:tcPr>
                <w:p>
                  <w:pPr>
                    <w:pStyle w:val="217"/>
                    <w:spacing w:before="51"/>
                    <w:ind w:left="10"/>
                    <w:rPr>
                      <w:rFonts w:ascii="Times New Roman" w:hAnsi="Times New Roman"/>
                      <w:sz w:val="21"/>
                    </w:rPr>
                  </w:pPr>
                  <w:r>
                    <w:rPr>
                      <w:rFonts w:ascii="Times New Roman" w:hAnsi="Times New Roman"/>
                      <w:sz w:val="21"/>
                    </w:rPr>
                    <w:t>/</w:t>
                  </w:r>
                </w:p>
              </w:tc>
              <w:tc>
                <w:tcPr>
                  <w:tcW w:w="2383" w:type="pct"/>
                  <w:gridSpan w:val="4"/>
                  <w:vAlign w:val="center"/>
                </w:tcPr>
                <w:p>
                  <w:pPr>
                    <w:pStyle w:val="217"/>
                    <w:spacing w:before="51"/>
                    <w:ind w:left="853"/>
                    <w:rPr>
                      <w:rFonts w:ascii="Times New Roman" w:hAnsi="Times New Roman"/>
                      <w:sz w:val="21"/>
                    </w:rPr>
                  </w:pPr>
                  <w:r>
                    <w:rPr>
                      <w:rFonts w:ascii="Times New Roman" w:hAnsi="Times New Roman"/>
                      <w:sz w:val="21"/>
                    </w:rPr>
                    <w:t>120mg/m</w:t>
                  </w:r>
                  <w:r>
                    <w:rPr>
                      <w:rFonts w:ascii="Times New Roman" w:hAnsi="Times New Roman"/>
                      <w:position w:val="7"/>
                      <w:sz w:val="21"/>
                    </w:rPr>
                    <w:t>3</w:t>
                  </w:r>
                  <w:r>
                    <w:rPr>
                      <w:rFonts w:ascii="Times New Roman" w:hAnsi="Times New Roman"/>
                      <w:sz w:val="21"/>
                    </w:rPr>
                    <w:t>；3.5kg/h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0" w:right="161"/>
                    <w:rPr>
                      <w:rFonts w:ascii="Times New Roman" w:hAnsi="Times New Roman"/>
                      <w:b/>
                      <w:bCs/>
                      <w:sz w:val="21"/>
                    </w:rPr>
                  </w:pPr>
                  <w:r>
                    <w:rPr>
                      <w:rFonts w:ascii="Times New Roman" w:hAnsi="Times New Roman"/>
                      <w:b/>
                      <w:bCs/>
                      <w:sz w:val="21"/>
                    </w:rPr>
                    <w:t>监测时间</w:t>
                  </w:r>
                </w:p>
              </w:tc>
              <w:tc>
                <w:tcPr>
                  <w:tcW w:w="4161" w:type="pct"/>
                  <w:gridSpan w:val="8"/>
                  <w:vAlign w:val="center"/>
                </w:tcPr>
                <w:p>
                  <w:pPr>
                    <w:pStyle w:val="217"/>
                    <w:spacing w:before="51"/>
                    <w:ind w:left="2779" w:right="2766"/>
                    <w:rPr>
                      <w:rFonts w:ascii="Times New Roman" w:hAnsi="Times New Roman"/>
                      <w:b/>
                      <w:bCs/>
                      <w:sz w:val="21"/>
                    </w:rPr>
                  </w:pPr>
                  <w:r>
                    <w:rPr>
                      <w:rFonts w:ascii="Times New Roman" w:hAnsi="Times New Roman"/>
                      <w:b/>
                      <w:bCs/>
                      <w:sz w:val="21"/>
                    </w:rPr>
                    <w:t>2020.6.10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838" w:type="pct"/>
                  <w:vAlign w:val="center"/>
                </w:tcPr>
                <w:p>
                  <w:pPr>
                    <w:pStyle w:val="217"/>
                    <w:spacing w:before="8"/>
                    <w:rPr>
                      <w:rFonts w:ascii="Times New Roman" w:hAnsi="Times New Roman"/>
                      <w:sz w:val="21"/>
                    </w:rPr>
                  </w:pPr>
                </w:p>
                <w:p>
                  <w:pPr>
                    <w:pStyle w:val="217"/>
                    <w:ind w:left="170" w:right="161"/>
                    <w:rPr>
                      <w:rFonts w:ascii="Times New Roman" w:hAnsi="Times New Roman"/>
                      <w:sz w:val="21"/>
                    </w:rPr>
                  </w:pPr>
                  <w:r>
                    <w:rPr>
                      <w:rFonts w:ascii="Times New Roman" w:hAnsi="Times New Roman"/>
                      <w:sz w:val="21"/>
                    </w:rPr>
                    <w:t>监测点位</w:t>
                  </w:r>
                </w:p>
              </w:tc>
              <w:tc>
                <w:tcPr>
                  <w:tcW w:w="1198" w:type="pct"/>
                  <w:gridSpan w:val="3"/>
                  <w:vAlign w:val="center"/>
                </w:tcPr>
                <w:p>
                  <w:pPr>
                    <w:pStyle w:val="217"/>
                    <w:spacing w:before="8"/>
                    <w:rPr>
                      <w:rFonts w:ascii="Times New Roman" w:hAnsi="Times New Roman"/>
                      <w:sz w:val="21"/>
                    </w:rPr>
                  </w:pPr>
                </w:p>
                <w:p>
                  <w:pPr>
                    <w:pStyle w:val="217"/>
                    <w:ind w:left="261"/>
                    <w:rPr>
                      <w:rFonts w:ascii="Times New Roman" w:hAnsi="Times New Roman"/>
                      <w:sz w:val="21"/>
                    </w:rPr>
                  </w:pPr>
                  <w:r>
                    <w:rPr>
                      <w:rFonts w:ascii="Times New Roman" w:hAnsi="Times New Roman"/>
                      <w:sz w:val="21"/>
                    </w:rPr>
                    <w:t>喷漆房排气筒进口</w:t>
                  </w:r>
                </w:p>
              </w:tc>
              <w:tc>
                <w:tcPr>
                  <w:tcW w:w="579" w:type="pct"/>
                  <w:vAlign w:val="center"/>
                </w:tcPr>
                <w:p>
                  <w:pPr>
                    <w:pStyle w:val="217"/>
                    <w:spacing w:before="25"/>
                    <w:ind w:left="152" w:right="137"/>
                    <w:rPr>
                      <w:rFonts w:ascii="Times New Roman" w:hAnsi="Times New Roman"/>
                      <w:sz w:val="21"/>
                    </w:rPr>
                  </w:pPr>
                  <w:r>
                    <w:rPr>
                      <w:rFonts w:ascii="Times New Roman" w:hAnsi="Times New Roman"/>
                      <w:sz w:val="21"/>
                    </w:rPr>
                    <w:t>平均</w:t>
                  </w:r>
                </w:p>
                <w:p>
                  <w:pPr>
                    <w:pStyle w:val="217"/>
                    <w:spacing w:before="43"/>
                    <w:ind w:left="10"/>
                    <w:rPr>
                      <w:rFonts w:ascii="Times New Roman" w:hAnsi="Times New Roman"/>
                      <w:sz w:val="21"/>
                    </w:rPr>
                  </w:pPr>
                  <w:r>
                    <w:rPr>
                      <w:rFonts w:ascii="Times New Roman" w:hAnsi="Times New Roman"/>
                      <w:sz w:val="21"/>
                    </w:rPr>
                    <w:t>值</w:t>
                  </w:r>
                </w:p>
              </w:tc>
              <w:tc>
                <w:tcPr>
                  <w:tcW w:w="1708" w:type="pct"/>
                  <w:gridSpan w:val="3"/>
                  <w:vAlign w:val="center"/>
                </w:tcPr>
                <w:p>
                  <w:pPr>
                    <w:pStyle w:val="217"/>
                    <w:spacing w:before="8"/>
                    <w:rPr>
                      <w:rFonts w:ascii="Times New Roman" w:hAnsi="Times New Roman"/>
                      <w:sz w:val="21"/>
                    </w:rPr>
                  </w:pPr>
                </w:p>
                <w:p>
                  <w:pPr>
                    <w:pStyle w:val="217"/>
                    <w:ind w:left="429"/>
                    <w:rPr>
                      <w:rFonts w:ascii="Times New Roman" w:hAnsi="Times New Roman"/>
                      <w:sz w:val="21"/>
                    </w:rPr>
                  </w:pPr>
                  <w:r>
                    <w:rPr>
                      <w:rFonts w:ascii="Times New Roman" w:hAnsi="Times New Roman"/>
                      <w:sz w:val="21"/>
                    </w:rPr>
                    <w:t>喷漆房排气筒出口</w:t>
                  </w:r>
                </w:p>
              </w:tc>
              <w:tc>
                <w:tcPr>
                  <w:tcW w:w="674" w:type="pct"/>
                  <w:vAlign w:val="center"/>
                </w:tcPr>
                <w:p>
                  <w:pPr>
                    <w:pStyle w:val="217"/>
                    <w:spacing w:before="8"/>
                    <w:rPr>
                      <w:rFonts w:ascii="Times New Roman" w:hAnsi="Times New Roman"/>
                      <w:sz w:val="21"/>
                    </w:rPr>
                  </w:pPr>
                </w:p>
                <w:p>
                  <w:pPr>
                    <w:pStyle w:val="217"/>
                    <w:ind w:left="113" w:right="93"/>
                    <w:rPr>
                      <w:rFonts w:ascii="Times New Roman" w:hAnsi="Times New Roman"/>
                      <w:sz w:val="21"/>
                    </w:rPr>
                  </w:pPr>
                  <w:r>
                    <w:rPr>
                      <w:rFonts w:ascii="Times New Roman" w:hAnsi="Times New Roman"/>
                      <w:sz w:val="21"/>
                    </w:rPr>
                    <w:t>平均值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3" w:right="161"/>
                    <w:rPr>
                      <w:rFonts w:ascii="Times New Roman" w:hAnsi="Times New Roman"/>
                      <w:sz w:val="21"/>
                    </w:rPr>
                  </w:pPr>
                  <w:r>
                    <w:rPr>
                      <w:rFonts w:ascii="Times New Roman" w:hAnsi="Times New Roman"/>
                      <w:sz w:val="21"/>
                    </w:rPr>
                    <w:t>颗粒物实测浓度</w:t>
                  </w:r>
                </w:p>
              </w:tc>
              <w:tc>
                <w:tcPr>
                  <w:tcW w:w="372" w:type="pct"/>
                  <w:vAlign w:val="center"/>
                </w:tcPr>
                <w:p>
                  <w:pPr>
                    <w:pStyle w:val="217"/>
                    <w:spacing w:before="51"/>
                    <w:ind w:right="169"/>
                    <w:rPr>
                      <w:rFonts w:ascii="Times New Roman" w:hAnsi="Times New Roman"/>
                      <w:sz w:val="21"/>
                    </w:rPr>
                  </w:pPr>
                  <w:r>
                    <w:rPr>
                      <w:rFonts w:ascii="Times New Roman" w:hAnsi="Times New Roman"/>
                      <w:sz w:val="21"/>
                    </w:rPr>
                    <w:t>41.9</w:t>
                  </w:r>
                </w:p>
              </w:tc>
              <w:tc>
                <w:tcPr>
                  <w:tcW w:w="409" w:type="pct"/>
                  <w:vAlign w:val="center"/>
                </w:tcPr>
                <w:p>
                  <w:pPr>
                    <w:pStyle w:val="217"/>
                    <w:spacing w:before="51"/>
                    <w:ind w:right="169"/>
                    <w:rPr>
                      <w:rFonts w:ascii="Times New Roman" w:hAnsi="Times New Roman"/>
                      <w:sz w:val="21"/>
                    </w:rPr>
                  </w:pPr>
                  <w:r>
                    <w:rPr>
                      <w:rFonts w:ascii="Times New Roman" w:hAnsi="Times New Roman"/>
                      <w:sz w:val="21"/>
                    </w:rPr>
                    <w:t>40.8</w:t>
                  </w:r>
                </w:p>
              </w:tc>
              <w:tc>
                <w:tcPr>
                  <w:tcW w:w="416" w:type="pct"/>
                  <w:vAlign w:val="center"/>
                </w:tcPr>
                <w:p>
                  <w:pPr>
                    <w:pStyle w:val="217"/>
                    <w:spacing w:before="51"/>
                    <w:ind w:right="168"/>
                    <w:rPr>
                      <w:rFonts w:ascii="Times New Roman" w:hAnsi="Times New Roman"/>
                      <w:sz w:val="21"/>
                    </w:rPr>
                  </w:pPr>
                  <w:r>
                    <w:rPr>
                      <w:rFonts w:ascii="Times New Roman" w:hAnsi="Times New Roman"/>
                      <w:sz w:val="21"/>
                    </w:rPr>
                    <w:t>48.6</w:t>
                  </w:r>
                </w:p>
              </w:tc>
              <w:tc>
                <w:tcPr>
                  <w:tcW w:w="579" w:type="pct"/>
                  <w:vAlign w:val="center"/>
                </w:tcPr>
                <w:p>
                  <w:pPr>
                    <w:pStyle w:val="217"/>
                    <w:spacing w:before="51"/>
                    <w:ind w:left="152" w:right="136"/>
                    <w:rPr>
                      <w:rFonts w:ascii="Times New Roman" w:hAnsi="Times New Roman"/>
                      <w:sz w:val="21"/>
                    </w:rPr>
                  </w:pPr>
                  <w:r>
                    <w:rPr>
                      <w:rFonts w:ascii="Times New Roman" w:hAnsi="Times New Roman"/>
                      <w:sz w:val="21"/>
                    </w:rPr>
                    <w:t>43.8</w:t>
                  </w:r>
                </w:p>
              </w:tc>
              <w:tc>
                <w:tcPr>
                  <w:tcW w:w="534" w:type="pct"/>
                  <w:vAlign w:val="center"/>
                </w:tcPr>
                <w:p>
                  <w:pPr>
                    <w:pStyle w:val="217"/>
                    <w:spacing w:before="63"/>
                    <w:ind w:left="115" w:right="100"/>
                    <w:rPr>
                      <w:rFonts w:ascii="Times New Roman" w:hAnsi="Times New Roman"/>
                      <w:sz w:val="21"/>
                    </w:rPr>
                  </w:pPr>
                  <w:r>
                    <w:rPr>
                      <w:rFonts w:ascii="Times New Roman" w:hAnsi="Times New Roman"/>
                      <w:sz w:val="21"/>
                    </w:rPr>
                    <w:t>6.70</w:t>
                  </w:r>
                </w:p>
              </w:tc>
              <w:tc>
                <w:tcPr>
                  <w:tcW w:w="594" w:type="pct"/>
                  <w:vAlign w:val="center"/>
                </w:tcPr>
                <w:p>
                  <w:pPr>
                    <w:pStyle w:val="217"/>
                    <w:spacing w:before="63"/>
                    <w:ind w:left="240"/>
                    <w:rPr>
                      <w:rFonts w:ascii="Times New Roman" w:hAnsi="Times New Roman"/>
                      <w:sz w:val="21"/>
                    </w:rPr>
                  </w:pPr>
                  <w:r>
                    <w:rPr>
                      <w:rFonts w:ascii="Times New Roman" w:hAnsi="Times New Roman"/>
                      <w:sz w:val="21"/>
                    </w:rPr>
                    <w:t>5.88</w:t>
                  </w:r>
                </w:p>
              </w:tc>
              <w:tc>
                <w:tcPr>
                  <w:tcW w:w="579" w:type="pct"/>
                  <w:vAlign w:val="center"/>
                </w:tcPr>
                <w:p>
                  <w:pPr>
                    <w:pStyle w:val="217"/>
                    <w:spacing w:before="63"/>
                    <w:ind w:left="119" w:right="98"/>
                    <w:rPr>
                      <w:rFonts w:ascii="Times New Roman" w:hAnsi="Times New Roman"/>
                      <w:sz w:val="21"/>
                    </w:rPr>
                  </w:pPr>
                  <w:r>
                    <w:rPr>
                      <w:rFonts w:ascii="Times New Roman" w:hAnsi="Times New Roman"/>
                      <w:sz w:val="21"/>
                    </w:rPr>
                    <w:t>6.04</w:t>
                  </w:r>
                </w:p>
              </w:tc>
              <w:tc>
                <w:tcPr>
                  <w:tcW w:w="674" w:type="pct"/>
                  <w:vAlign w:val="center"/>
                </w:tcPr>
                <w:p>
                  <w:pPr>
                    <w:pStyle w:val="217"/>
                    <w:spacing w:before="63"/>
                    <w:ind w:left="113" w:right="91"/>
                    <w:rPr>
                      <w:rFonts w:ascii="Times New Roman" w:hAnsi="Times New Roman"/>
                      <w:sz w:val="21"/>
                    </w:rPr>
                  </w:pPr>
                  <w:r>
                    <w:rPr>
                      <w:rFonts w:ascii="Times New Roman" w:hAnsi="Times New Roman"/>
                      <w:sz w:val="21"/>
                    </w:rPr>
                    <w:t>6.21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3" w:right="161"/>
                    <w:rPr>
                      <w:rFonts w:ascii="Times New Roman" w:hAnsi="Times New Roman"/>
                      <w:sz w:val="21"/>
                    </w:rPr>
                  </w:pPr>
                  <w:r>
                    <w:rPr>
                      <w:rFonts w:ascii="Times New Roman" w:hAnsi="Times New Roman"/>
                      <w:sz w:val="21"/>
                    </w:rPr>
                    <w:t>颗粒物排放速率</w:t>
                  </w:r>
                </w:p>
              </w:tc>
              <w:tc>
                <w:tcPr>
                  <w:tcW w:w="372" w:type="pct"/>
                  <w:vAlign w:val="center"/>
                </w:tcPr>
                <w:p>
                  <w:pPr>
                    <w:pStyle w:val="217"/>
                    <w:spacing w:before="51"/>
                    <w:ind w:right="169"/>
                    <w:rPr>
                      <w:rFonts w:ascii="Times New Roman" w:hAnsi="Times New Roman"/>
                      <w:sz w:val="21"/>
                    </w:rPr>
                  </w:pPr>
                  <w:r>
                    <w:rPr>
                      <w:rFonts w:ascii="Times New Roman" w:hAnsi="Times New Roman"/>
                      <w:sz w:val="21"/>
                    </w:rPr>
                    <w:t>3.55</w:t>
                  </w:r>
                </w:p>
              </w:tc>
              <w:tc>
                <w:tcPr>
                  <w:tcW w:w="409" w:type="pct"/>
                  <w:vAlign w:val="center"/>
                </w:tcPr>
                <w:p>
                  <w:pPr>
                    <w:pStyle w:val="217"/>
                    <w:spacing w:before="51"/>
                    <w:ind w:right="169"/>
                    <w:rPr>
                      <w:rFonts w:ascii="Times New Roman" w:hAnsi="Times New Roman"/>
                      <w:sz w:val="21"/>
                    </w:rPr>
                  </w:pPr>
                  <w:r>
                    <w:rPr>
                      <w:rFonts w:ascii="Times New Roman" w:hAnsi="Times New Roman"/>
                      <w:sz w:val="21"/>
                    </w:rPr>
                    <w:t>3.49</w:t>
                  </w:r>
                </w:p>
              </w:tc>
              <w:tc>
                <w:tcPr>
                  <w:tcW w:w="416" w:type="pct"/>
                  <w:vAlign w:val="center"/>
                </w:tcPr>
                <w:p>
                  <w:pPr>
                    <w:pStyle w:val="217"/>
                    <w:spacing w:before="51"/>
                    <w:ind w:right="168"/>
                    <w:rPr>
                      <w:rFonts w:ascii="Times New Roman" w:hAnsi="Times New Roman"/>
                      <w:sz w:val="21"/>
                    </w:rPr>
                  </w:pPr>
                  <w:r>
                    <w:rPr>
                      <w:rFonts w:ascii="Times New Roman" w:hAnsi="Times New Roman"/>
                      <w:sz w:val="21"/>
                    </w:rPr>
                    <w:t>4.26</w:t>
                  </w:r>
                </w:p>
              </w:tc>
              <w:tc>
                <w:tcPr>
                  <w:tcW w:w="579" w:type="pct"/>
                  <w:vAlign w:val="center"/>
                </w:tcPr>
                <w:p>
                  <w:pPr>
                    <w:pStyle w:val="217"/>
                    <w:spacing w:before="51"/>
                    <w:ind w:left="152" w:right="136"/>
                    <w:rPr>
                      <w:rFonts w:ascii="Times New Roman" w:hAnsi="Times New Roman"/>
                      <w:sz w:val="21"/>
                    </w:rPr>
                  </w:pPr>
                  <w:r>
                    <w:rPr>
                      <w:rFonts w:ascii="Times New Roman" w:hAnsi="Times New Roman"/>
                      <w:sz w:val="21"/>
                    </w:rPr>
                    <w:t>4.77</w:t>
                  </w:r>
                </w:p>
              </w:tc>
              <w:tc>
                <w:tcPr>
                  <w:tcW w:w="534" w:type="pct"/>
                  <w:vAlign w:val="center"/>
                </w:tcPr>
                <w:p>
                  <w:pPr>
                    <w:pStyle w:val="217"/>
                    <w:spacing w:before="65"/>
                    <w:ind w:left="114" w:right="100"/>
                    <w:rPr>
                      <w:rFonts w:ascii="Times New Roman" w:hAnsi="Times New Roman"/>
                      <w:sz w:val="21"/>
                    </w:rPr>
                  </w:pPr>
                  <w:r>
                    <w:rPr>
                      <w:rFonts w:ascii="Times New Roman" w:hAnsi="Times New Roman"/>
                      <w:sz w:val="21"/>
                    </w:rPr>
                    <w:t>0.59</w:t>
                  </w:r>
                </w:p>
              </w:tc>
              <w:tc>
                <w:tcPr>
                  <w:tcW w:w="594" w:type="pct"/>
                  <w:vAlign w:val="center"/>
                </w:tcPr>
                <w:p>
                  <w:pPr>
                    <w:pStyle w:val="217"/>
                    <w:spacing w:before="65"/>
                    <w:ind w:left="240"/>
                    <w:rPr>
                      <w:rFonts w:ascii="Times New Roman" w:hAnsi="Times New Roman"/>
                      <w:sz w:val="21"/>
                    </w:rPr>
                  </w:pPr>
                  <w:r>
                    <w:rPr>
                      <w:rFonts w:ascii="Times New Roman" w:hAnsi="Times New Roman"/>
                      <w:sz w:val="21"/>
                    </w:rPr>
                    <w:t>0.48</w:t>
                  </w:r>
                </w:p>
              </w:tc>
              <w:tc>
                <w:tcPr>
                  <w:tcW w:w="579" w:type="pct"/>
                  <w:vAlign w:val="center"/>
                </w:tcPr>
                <w:p>
                  <w:pPr>
                    <w:pStyle w:val="217"/>
                    <w:spacing w:before="65"/>
                    <w:ind w:left="118" w:right="98"/>
                    <w:rPr>
                      <w:rFonts w:ascii="Times New Roman" w:hAnsi="Times New Roman"/>
                      <w:sz w:val="21"/>
                    </w:rPr>
                  </w:pPr>
                  <w:r>
                    <w:rPr>
                      <w:rFonts w:ascii="Times New Roman" w:hAnsi="Times New Roman"/>
                      <w:sz w:val="21"/>
                    </w:rPr>
                    <w:t>0.51</w:t>
                  </w:r>
                </w:p>
              </w:tc>
              <w:tc>
                <w:tcPr>
                  <w:tcW w:w="674" w:type="pct"/>
                  <w:vAlign w:val="center"/>
                </w:tcPr>
                <w:p>
                  <w:pPr>
                    <w:pStyle w:val="217"/>
                    <w:spacing w:before="65"/>
                    <w:ind w:left="113" w:right="93"/>
                    <w:rPr>
                      <w:rFonts w:ascii="Times New Roman" w:hAnsi="Times New Roman"/>
                      <w:sz w:val="21"/>
                    </w:rPr>
                  </w:pPr>
                  <w:r>
                    <w:rPr>
                      <w:rFonts w:ascii="Times New Roman" w:hAnsi="Times New Roman"/>
                      <w:sz w:val="21"/>
                    </w:rPr>
                    <w:t>0.53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838" w:type="pct"/>
                  <w:vAlign w:val="center"/>
                </w:tcPr>
                <w:p>
                  <w:pPr>
                    <w:pStyle w:val="217"/>
                    <w:spacing w:before="37"/>
                    <w:ind w:left="170" w:right="161"/>
                    <w:rPr>
                      <w:rFonts w:ascii="Times New Roman" w:hAnsi="Times New Roman"/>
                      <w:sz w:val="21"/>
                    </w:rPr>
                  </w:pPr>
                  <w:r>
                    <w:rPr>
                      <w:rFonts w:ascii="Times New Roman" w:hAnsi="Times New Roman"/>
                      <w:sz w:val="21"/>
                    </w:rPr>
                    <w:t>颗粒物限值</w:t>
                  </w:r>
                </w:p>
              </w:tc>
              <w:tc>
                <w:tcPr>
                  <w:tcW w:w="1777" w:type="pct"/>
                  <w:gridSpan w:val="4"/>
                  <w:vAlign w:val="center"/>
                </w:tcPr>
                <w:p>
                  <w:pPr>
                    <w:pStyle w:val="217"/>
                    <w:spacing w:before="51"/>
                    <w:ind w:left="10"/>
                    <w:rPr>
                      <w:rFonts w:ascii="Times New Roman" w:hAnsi="Times New Roman"/>
                      <w:sz w:val="21"/>
                    </w:rPr>
                  </w:pPr>
                  <w:r>
                    <w:rPr>
                      <w:rFonts w:ascii="Times New Roman" w:hAnsi="Times New Roman"/>
                      <w:sz w:val="21"/>
                    </w:rPr>
                    <w:t>/</w:t>
                  </w:r>
                </w:p>
              </w:tc>
              <w:tc>
                <w:tcPr>
                  <w:tcW w:w="2383" w:type="pct"/>
                  <w:gridSpan w:val="4"/>
                  <w:vAlign w:val="center"/>
                </w:tcPr>
                <w:p>
                  <w:pPr>
                    <w:pStyle w:val="217"/>
                    <w:spacing w:before="51"/>
                    <w:ind w:left="853"/>
                    <w:rPr>
                      <w:rFonts w:ascii="Times New Roman" w:hAnsi="Times New Roman"/>
                      <w:sz w:val="21"/>
                    </w:rPr>
                  </w:pPr>
                  <w:r>
                    <w:rPr>
                      <w:rFonts w:ascii="Times New Roman" w:hAnsi="Times New Roman"/>
                      <w:sz w:val="21"/>
                    </w:rPr>
                    <w:t>120mg/m</w:t>
                  </w:r>
                  <w:r>
                    <w:rPr>
                      <w:rFonts w:ascii="Times New Roman" w:hAnsi="Times New Roman"/>
                      <w:position w:val="7"/>
                      <w:sz w:val="21"/>
                    </w:rPr>
                    <w:t>3</w:t>
                  </w:r>
                  <w:r>
                    <w:rPr>
                      <w:rFonts w:ascii="Times New Roman" w:hAnsi="Times New Roman"/>
                      <w:sz w:val="21"/>
                    </w:rPr>
                    <w:t>；3.5kg/h</w:t>
                  </w:r>
                </w:p>
              </w:tc>
            </w:tr>
          </w:tbl>
          <w:p>
            <w:pPr>
              <w:spacing w:line="360" w:lineRule="auto"/>
              <w:ind w:firstLine="480" w:firstLineChars="200"/>
              <w:rPr>
                <w:kern w:val="0"/>
                <w:sz w:val="24"/>
              </w:rPr>
            </w:pPr>
            <w:r>
              <w:rPr>
                <w:kern w:val="0"/>
                <w:sz w:val="24"/>
              </w:rPr>
              <w:t>根据监测结果，项目 1#排气筒有组织排放的甲苯、二甲苯</w:t>
            </w:r>
            <w:r>
              <w:rPr>
                <w:rFonts w:hint="eastAsia"/>
                <w:kern w:val="0"/>
                <w:sz w:val="24"/>
              </w:rPr>
              <w:t>以及颗粒物</w:t>
            </w:r>
            <w:r>
              <w:rPr>
                <w:kern w:val="0"/>
                <w:sz w:val="24"/>
              </w:rPr>
              <w:t>浓度满足《大气污染物综合排放标准》（GB16297-1996）表 2 中二级标准浓度限值要求，有组织排放的 VOCS 浓度满足《表面涂装（汽车制造业）挥发性有机化合物排放标准》（DB44/816-2010）中第Ⅱ时段排放限值要求</w:t>
            </w:r>
            <w:r>
              <w:rPr>
                <w:rFonts w:hint="eastAsia"/>
                <w:kern w:val="0"/>
                <w:sz w:val="24"/>
              </w:rPr>
              <w:t>。</w:t>
            </w:r>
          </w:p>
          <w:p>
            <w:pPr>
              <w:spacing w:line="360" w:lineRule="auto"/>
              <w:ind w:firstLine="480" w:firstLineChars="200"/>
              <w:rPr>
                <w:kern w:val="0"/>
                <w:sz w:val="24"/>
              </w:rPr>
            </w:pPr>
            <w:r>
              <w:rPr>
                <w:kern w:val="0"/>
                <w:sz w:val="24"/>
              </w:rPr>
              <w:t>综上，项目的有组织废气能够达标排放。</w:t>
            </w:r>
          </w:p>
          <w:p>
            <w:pPr>
              <w:spacing w:line="360" w:lineRule="auto"/>
              <w:ind w:firstLine="480" w:firstLineChars="200"/>
              <w:rPr>
                <w:kern w:val="0"/>
                <w:sz w:val="24"/>
              </w:rPr>
            </w:pPr>
            <w:r>
              <w:rPr>
                <w:kern w:val="0"/>
                <w:sz w:val="24"/>
              </w:rPr>
              <w:t>②</w:t>
            </w:r>
            <w:r>
              <w:rPr>
                <w:rFonts w:hint="eastAsia"/>
                <w:kern w:val="0"/>
                <w:sz w:val="24"/>
              </w:rPr>
              <w:t>无组织废气排放</w:t>
            </w:r>
          </w:p>
          <w:tbl>
            <w:tblPr>
              <w:tblStyle w:val="5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150"/>
              <w:gridCol w:w="1902"/>
              <w:gridCol w:w="42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1287" w:type="pct"/>
                  <w:vAlign w:val="center"/>
                </w:tcPr>
                <w:p>
                  <w:pPr>
                    <w:pStyle w:val="217"/>
                    <w:spacing w:before="178"/>
                    <w:ind w:left="265" w:right="256"/>
                    <w:rPr>
                      <w:rFonts w:ascii="Times New Roman" w:hAnsi="Times New Roman"/>
                      <w:b/>
                      <w:bCs/>
                      <w:sz w:val="21"/>
                    </w:rPr>
                  </w:pPr>
                  <w:r>
                    <w:rPr>
                      <w:rFonts w:ascii="Times New Roman" w:hAnsi="Times New Roman"/>
                      <w:b/>
                      <w:bCs/>
                      <w:sz w:val="21"/>
                    </w:rPr>
                    <w:t>废气名称</w:t>
                  </w:r>
                </w:p>
              </w:tc>
              <w:tc>
                <w:tcPr>
                  <w:tcW w:w="1139" w:type="pct"/>
                  <w:vAlign w:val="center"/>
                </w:tcPr>
                <w:p>
                  <w:pPr>
                    <w:pStyle w:val="217"/>
                    <w:spacing w:before="22"/>
                    <w:ind w:left="179"/>
                    <w:rPr>
                      <w:rFonts w:ascii="Times New Roman" w:hAnsi="Times New Roman"/>
                      <w:b/>
                      <w:bCs/>
                      <w:sz w:val="21"/>
                    </w:rPr>
                  </w:pPr>
                  <w:r>
                    <w:rPr>
                      <w:rFonts w:ascii="Times New Roman" w:hAnsi="Times New Roman"/>
                      <w:b/>
                      <w:bCs/>
                      <w:sz w:val="21"/>
                    </w:rPr>
                    <w:t>污染物种类</w:t>
                  </w:r>
                </w:p>
              </w:tc>
              <w:tc>
                <w:tcPr>
                  <w:tcW w:w="2572" w:type="pct"/>
                  <w:vAlign w:val="center"/>
                </w:tcPr>
                <w:p>
                  <w:pPr>
                    <w:pStyle w:val="217"/>
                    <w:spacing w:before="178"/>
                    <w:ind w:left="723" w:right="722"/>
                    <w:rPr>
                      <w:rFonts w:ascii="Times New Roman" w:hAnsi="Times New Roman"/>
                      <w:b/>
                      <w:bCs/>
                      <w:sz w:val="21"/>
                    </w:rPr>
                  </w:pPr>
                  <w:r>
                    <w:rPr>
                      <w:rFonts w:hint="eastAsia" w:ascii="Times New Roman" w:hAnsi="Times New Roman"/>
                      <w:b/>
                      <w:bCs/>
                      <w:sz w:val="21"/>
                      <w:lang w:val="en-US"/>
                    </w:rPr>
                    <w:t>排放标准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287" w:type="pct"/>
                  <w:vAlign w:val="center"/>
                </w:tcPr>
                <w:p>
                  <w:pPr>
                    <w:pStyle w:val="217"/>
                    <w:spacing w:before="22" w:line="278" w:lineRule="auto"/>
                    <w:ind w:left="179" w:right="168"/>
                    <w:rPr>
                      <w:rFonts w:ascii="Times New Roman" w:hAnsi="Times New Roman"/>
                      <w:sz w:val="21"/>
                    </w:rPr>
                  </w:pPr>
                  <w:r>
                    <w:rPr>
                      <w:rFonts w:ascii="Times New Roman" w:hAnsi="Times New Roman"/>
                      <w:sz w:val="21"/>
                    </w:rPr>
                    <w:t>机加工（切割开料、制孔、打磨）粉尘</w:t>
                  </w:r>
                </w:p>
              </w:tc>
              <w:tc>
                <w:tcPr>
                  <w:tcW w:w="1139" w:type="pct"/>
                  <w:vMerge w:val="restart"/>
                  <w:vAlign w:val="center"/>
                </w:tcPr>
                <w:p>
                  <w:pPr>
                    <w:pStyle w:val="217"/>
                    <w:spacing w:before="153"/>
                    <w:ind w:left="179"/>
                    <w:rPr>
                      <w:rFonts w:ascii="Times New Roman" w:hAnsi="Times New Roman"/>
                      <w:sz w:val="21"/>
                    </w:rPr>
                  </w:pPr>
                  <w:r>
                    <w:rPr>
                      <w:rFonts w:ascii="Times New Roman" w:hAnsi="Times New Roman"/>
                      <w:sz w:val="21"/>
                    </w:rPr>
                    <w:t>颗粒物</w:t>
                  </w:r>
                </w:p>
              </w:tc>
              <w:tc>
                <w:tcPr>
                  <w:tcW w:w="2572" w:type="pct"/>
                  <w:vMerge w:val="restart"/>
                  <w:vAlign w:val="center"/>
                </w:tcPr>
                <w:p>
                  <w:pPr>
                    <w:pStyle w:val="217"/>
                    <w:spacing w:before="1" w:line="278" w:lineRule="auto"/>
                    <w:ind w:left="163" w:right="150" w:hanging="10"/>
                    <w:rPr>
                      <w:rFonts w:ascii="Times New Roman" w:hAnsi="Times New Roman"/>
                      <w:spacing w:val="-4"/>
                      <w:sz w:val="21"/>
                    </w:rPr>
                  </w:pPr>
                  <w:r>
                    <w:rPr>
                      <w:rFonts w:ascii="Times New Roman" w:hAnsi="Times New Roman"/>
                      <w:spacing w:val="-4"/>
                      <w:sz w:val="21"/>
                    </w:rPr>
                    <w:t>项目无组织排放的颗粒物浓度</w:t>
                  </w:r>
                  <w:r>
                    <w:rPr>
                      <w:rFonts w:hint="eastAsia" w:ascii="Times New Roman" w:hAnsi="Times New Roman"/>
                      <w:spacing w:val="-4"/>
                      <w:sz w:val="21"/>
                      <w:lang w:val="en-US"/>
                    </w:rPr>
                    <w:t>满足</w:t>
                  </w:r>
                  <w:r>
                    <w:rPr>
                      <w:rFonts w:ascii="Times New Roman" w:hAnsi="Times New Roman"/>
                      <w:spacing w:val="-4"/>
                      <w:sz w:val="21"/>
                    </w:rPr>
                    <w:t>《大气污染物综合排放标准》（GB16297-1996）表</w:t>
                  </w:r>
                  <w:r>
                    <w:rPr>
                      <w:rFonts w:hint="eastAsia" w:ascii="Times New Roman" w:hAnsi="Times New Roman"/>
                      <w:spacing w:val="-4"/>
                      <w:sz w:val="21"/>
                      <w:lang w:val="en-US"/>
                    </w:rPr>
                    <w:t>2</w:t>
                  </w:r>
                  <w:r>
                    <w:rPr>
                      <w:rFonts w:ascii="Times New Roman" w:hAnsi="Times New Roman"/>
                      <w:spacing w:val="-4"/>
                      <w:sz w:val="21"/>
                    </w:rPr>
                    <w:t>无组织排放监控点浓度限值要求，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287" w:type="pct"/>
                  <w:vAlign w:val="center"/>
                </w:tcPr>
                <w:p>
                  <w:pPr>
                    <w:pStyle w:val="217"/>
                    <w:spacing w:before="37"/>
                    <w:ind w:left="265" w:right="256"/>
                    <w:rPr>
                      <w:rFonts w:ascii="Times New Roman" w:hAnsi="Times New Roman"/>
                      <w:sz w:val="21"/>
                    </w:rPr>
                  </w:pPr>
                  <w:r>
                    <w:rPr>
                      <w:rFonts w:ascii="Times New Roman" w:hAnsi="Times New Roman"/>
                      <w:sz w:val="21"/>
                    </w:rPr>
                    <w:t>焊接烟尘</w:t>
                  </w:r>
                </w:p>
              </w:tc>
              <w:tc>
                <w:tcPr>
                  <w:tcW w:w="1139" w:type="pct"/>
                  <w:vMerge w:val="continue"/>
                  <w:tcBorders>
                    <w:bottom w:val="single" w:color="000000" w:sz="4" w:space="0"/>
                  </w:tcBorders>
                  <w:vAlign w:val="center"/>
                </w:tcPr>
                <w:p>
                  <w:pPr>
                    <w:jc w:val="center"/>
                    <w:rPr>
                      <w:szCs w:val="2"/>
                    </w:rPr>
                  </w:pPr>
                </w:p>
              </w:tc>
              <w:tc>
                <w:tcPr>
                  <w:tcW w:w="2572" w:type="pct"/>
                  <w:vMerge w:val="continue"/>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1287" w:type="pct"/>
                  <w:vAlign w:val="center"/>
                </w:tcPr>
                <w:p>
                  <w:pPr>
                    <w:pStyle w:val="217"/>
                    <w:spacing w:line="278" w:lineRule="auto"/>
                    <w:ind w:right="168"/>
                    <w:rPr>
                      <w:rFonts w:ascii="Times New Roman" w:hAnsi="Times New Roman"/>
                      <w:sz w:val="21"/>
                    </w:rPr>
                  </w:pPr>
                  <w:r>
                    <w:rPr>
                      <w:rFonts w:ascii="Times New Roman" w:hAnsi="Times New Roman"/>
                      <w:sz w:val="21"/>
                    </w:rPr>
                    <w:t>喷涂有机废气</w:t>
                  </w:r>
                </w:p>
              </w:tc>
              <w:tc>
                <w:tcPr>
                  <w:tcW w:w="1139" w:type="pct"/>
                  <w:tcBorders>
                    <w:top w:val="single" w:color="000000" w:sz="4" w:space="0"/>
                  </w:tcBorders>
                  <w:vAlign w:val="center"/>
                </w:tcPr>
                <w:p>
                  <w:pPr>
                    <w:pStyle w:val="217"/>
                    <w:spacing w:line="278" w:lineRule="auto"/>
                    <w:ind w:right="116"/>
                    <w:rPr>
                      <w:rFonts w:ascii="Times New Roman" w:hAnsi="Times New Roman"/>
                      <w:sz w:val="21"/>
                    </w:rPr>
                  </w:pPr>
                  <w:r>
                    <w:rPr>
                      <w:rFonts w:hint="eastAsia" w:ascii="Times New Roman" w:hAnsi="Times New Roman"/>
                      <w:sz w:val="21"/>
                      <w:lang w:val="en-US"/>
                    </w:rPr>
                    <w:t>甲苯、二甲苯以及VOCS</w:t>
                  </w:r>
                  <w:r>
                    <w:rPr>
                      <w:rFonts w:ascii="Times New Roman" w:hAnsi="Times New Roman"/>
                      <w:sz w:val="21"/>
                    </w:rPr>
                    <w:t>、颗粒物</w:t>
                  </w:r>
                </w:p>
              </w:tc>
              <w:tc>
                <w:tcPr>
                  <w:tcW w:w="2572" w:type="pct"/>
                  <w:tcBorders>
                    <w:top w:val="single" w:color="000000" w:sz="4" w:space="0"/>
                  </w:tcBorders>
                  <w:vAlign w:val="center"/>
                </w:tcPr>
                <w:p>
                  <w:pPr>
                    <w:pStyle w:val="217"/>
                    <w:spacing w:before="178" w:line="278" w:lineRule="auto"/>
                    <w:ind w:left="147" w:right="141" w:hanging="3"/>
                    <w:rPr>
                      <w:rFonts w:ascii="Times New Roman" w:hAnsi="Times New Roman"/>
                      <w:spacing w:val="-3"/>
                      <w:sz w:val="21"/>
                    </w:rPr>
                  </w:pPr>
                  <w:r>
                    <w:rPr>
                      <w:rFonts w:ascii="Times New Roman" w:hAnsi="Times New Roman"/>
                      <w:spacing w:val="-3"/>
                      <w:sz w:val="21"/>
                    </w:rPr>
                    <w:t>无组织废气排放的甲苯、二甲苯、颗粒物最大排放浓度满足《大气污染物综合排放标准》（GB16297-1996）表2无组织排放监控点浓度限值要求，无组织废气厂界监控点VOCS最大排放浓度满足《表面涂装（汽车制造业）挥发性有机化合物排放标准》（DB44/816-2010）中表3无组织排放监控点浓度限值要求。</w:t>
                  </w:r>
                </w:p>
                <w:p>
                  <w:pPr>
                    <w:pStyle w:val="217"/>
                    <w:spacing w:before="178" w:line="278" w:lineRule="auto"/>
                    <w:ind w:left="147" w:right="141" w:hanging="3"/>
                    <w:rPr>
                      <w:rFonts w:ascii="Times New Roman" w:hAnsi="Times New Roman"/>
                      <w:spacing w:val="-3"/>
                      <w:sz w:val="21"/>
                    </w:rPr>
                  </w:pPr>
                </w:p>
              </w:tc>
            </w:tr>
          </w:tbl>
          <w:p>
            <w:pPr>
              <w:spacing w:line="360" w:lineRule="auto"/>
              <w:ind w:firstLine="480" w:firstLineChars="200"/>
              <w:rPr>
                <w:kern w:val="0"/>
                <w:sz w:val="24"/>
              </w:rPr>
            </w:pPr>
            <w:r>
              <w:rPr>
                <w:kern w:val="0"/>
                <w:sz w:val="24"/>
              </w:rPr>
              <w:t>根据芜湖恒驰钢构有限公司钢结构及装配式绿色建筑材料项目（一期工程）竣工环境保护验收监测报告，2020年4月23日至24日，由安徽威正测试技术有限公司公司对项目</w:t>
            </w:r>
            <w:r>
              <w:rPr>
                <w:rFonts w:hint="eastAsia"/>
                <w:kern w:val="0"/>
                <w:sz w:val="24"/>
              </w:rPr>
              <w:t>无</w:t>
            </w:r>
            <w:r>
              <w:rPr>
                <w:kern w:val="0"/>
                <w:sz w:val="24"/>
              </w:rPr>
              <w:t>组织废气进行监测，结果见下表：</w:t>
            </w:r>
          </w:p>
          <w:p>
            <w:pPr>
              <w:spacing w:line="360" w:lineRule="auto"/>
              <w:ind w:firstLine="480" w:firstLineChars="200"/>
              <w:jc w:val="center"/>
              <w:rPr>
                <w:kern w:val="0"/>
                <w:sz w:val="24"/>
              </w:rPr>
            </w:pPr>
            <w:r>
              <w:rPr>
                <w:kern w:val="0"/>
                <w:sz w:val="24"/>
              </w:rPr>
              <w:t>表</w:t>
            </w:r>
            <w:r>
              <w:rPr>
                <w:rFonts w:hint="eastAsia"/>
                <w:kern w:val="0"/>
                <w:sz w:val="24"/>
              </w:rPr>
              <w:t>2-</w:t>
            </w:r>
            <w:r>
              <w:rPr>
                <w:rFonts w:hint="eastAsia"/>
                <w:kern w:val="0"/>
                <w:sz w:val="24"/>
                <w:lang w:val="en-US" w:eastAsia="zh-CN"/>
              </w:rPr>
              <w:t>20</w:t>
            </w:r>
            <w:r>
              <w:rPr>
                <w:kern w:val="0"/>
                <w:sz w:val="24"/>
              </w:rPr>
              <w:t xml:space="preserve">  </w:t>
            </w:r>
            <w:r>
              <w:rPr>
                <w:rFonts w:hint="eastAsia"/>
                <w:kern w:val="0"/>
                <w:sz w:val="24"/>
              </w:rPr>
              <w:t>无</w:t>
            </w:r>
            <w:r>
              <w:rPr>
                <w:kern w:val="0"/>
                <w:sz w:val="24"/>
              </w:rPr>
              <w:t>组织废气监测结果（浓度：mg/m</w:t>
            </w:r>
            <w:r>
              <w:rPr>
                <w:kern w:val="0"/>
                <w:sz w:val="24"/>
                <w:vertAlign w:val="superscript"/>
              </w:rPr>
              <w:t>3</w:t>
            </w:r>
            <w:r>
              <w:rPr>
                <w:kern w:val="0"/>
                <w:sz w:val="24"/>
              </w:rPr>
              <w:t>）</w:t>
            </w:r>
          </w:p>
          <w:tbl>
            <w:tblPr>
              <w:tblStyle w:val="5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74"/>
              <w:gridCol w:w="1101"/>
              <w:gridCol w:w="1491"/>
              <w:gridCol w:w="1495"/>
              <w:gridCol w:w="1495"/>
              <w:gridCol w:w="14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22" w:type="pct"/>
                  <w:gridSpan w:val="2"/>
                  <w:vAlign w:val="center"/>
                </w:tcPr>
                <w:p>
                  <w:pPr>
                    <w:pStyle w:val="217"/>
                    <w:spacing w:before="22"/>
                    <w:ind w:left="364"/>
                    <w:rPr>
                      <w:rFonts w:ascii="Times New Roman" w:hAnsi="Times New Roman"/>
                      <w:b/>
                      <w:bCs/>
                      <w:sz w:val="21"/>
                    </w:rPr>
                  </w:pPr>
                  <w:r>
                    <w:rPr>
                      <w:rFonts w:ascii="Times New Roman" w:hAnsi="Times New Roman"/>
                      <w:b/>
                      <w:bCs/>
                      <w:sz w:val="21"/>
                    </w:rPr>
                    <w:t>2020年4月</w:t>
                  </w:r>
                  <w:r>
                    <w:rPr>
                      <w:rFonts w:hint="eastAsia" w:ascii="Times New Roman" w:hAnsi="Times New Roman"/>
                      <w:b/>
                      <w:bCs/>
                      <w:sz w:val="21"/>
                      <w:lang w:val="en-US"/>
                    </w:rPr>
                    <w:t>23</w:t>
                  </w:r>
                  <w:r>
                    <w:rPr>
                      <w:rFonts w:ascii="Times New Roman" w:hAnsi="Times New Roman"/>
                      <w:b/>
                      <w:bCs/>
                      <w:sz w:val="21"/>
                    </w:rPr>
                    <w:t>日</w:t>
                  </w:r>
                </w:p>
              </w:tc>
              <w:tc>
                <w:tcPr>
                  <w:tcW w:w="893" w:type="pct"/>
                  <w:vAlign w:val="center"/>
                </w:tcPr>
                <w:p>
                  <w:pPr>
                    <w:pStyle w:val="217"/>
                    <w:spacing w:before="22"/>
                    <w:ind w:left="227" w:right="212"/>
                    <w:rPr>
                      <w:rFonts w:ascii="Times New Roman" w:hAnsi="Times New Roman"/>
                      <w:b/>
                      <w:bCs/>
                      <w:sz w:val="21"/>
                    </w:rPr>
                  </w:pPr>
                  <w:r>
                    <w:rPr>
                      <w:rFonts w:ascii="Times New Roman" w:hAnsi="Times New Roman"/>
                      <w:b/>
                      <w:bCs/>
                      <w:sz w:val="21"/>
                    </w:rPr>
                    <w:t>参照点G1</w:t>
                  </w:r>
                </w:p>
              </w:tc>
              <w:tc>
                <w:tcPr>
                  <w:tcW w:w="895" w:type="pct"/>
                  <w:vAlign w:val="center"/>
                </w:tcPr>
                <w:p>
                  <w:pPr>
                    <w:pStyle w:val="217"/>
                    <w:spacing w:before="22"/>
                    <w:ind w:left="226" w:right="213"/>
                    <w:rPr>
                      <w:rFonts w:ascii="Times New Roman" w:hAnsi="Times New Roman"/>
                      <w:b/>
                      <w:bCs/>
                      <w:sz w:val="21"/>
                    </w:rPr>
                  </w:pPr>
                  <w:r>
                    <w:rPr>
                      <w:rFonts w:ascii="Times New Roman" w:hAnsi="Times New Roman"/>
                      <w:b/>
                      <w:bCs/>
                      <w:sz w:val="21"/>
                    </w:rPr>
                    <w:t>监控点G2</w:t>
                  </w:r>
                </w:p>
              </w:tc>
              <w:tc>
                <w:tcPr>
                  <w:tcW w:w="895" w:type="pct"/>
                  <w:vAlign w:val="center"/>
                </w:tcPr>
                <w:p>
                  <w:pPr>
                    <w:pStyle w:val="217"/>
                    <w:spacing w:before="22"/>
                    <w:ind w:left="227" w:right="213"/>
                    <w:rPr>
                      <w:rFonts w:ascii="Times New Roman" w:hAnsi="Times New Roman"/>
                      <w:b/>
                      <w:bCs/>
                      <w:sz w:val="21"/>
                    </w:rPr>
                  </w:pPr>
                  <w:r>
                    <w:rPr>
                      <w:rFonts w:ascii="Times New Roman" w:hAnsi="Times New Roman"/>
                      <w:b/>
                      <w:bCs/>
                      <w:sz w:val="21"/>
                    </w:rPr>
                    <w:t>监控点G3</w:t>
                  </w:r>
                </w:p>
              </w:tc>
              <w:tc>
                <w:tcPr>
                  <w:tcW w:w="893" w:type="pct"/>
                  <w:vAlign w:val="center"/>
                </w:tcPr>
                <w:p>
                  <w:pPr>
                    <w:pStyle w:val="217"/>
                    <w:spacing w:before="22"/>
                    <w:ind w:left="226" w:right="213"/>
                    <w:rPr>
                      <w:rFonts w:ascii="Times New Roman" w:hAnsi="Times New Roman"/>
                      <w:b/>
                      <w:bCs/>
                      <w:sz w:val="21"/>
                    </w:rPr>
                  </w:pPr>
                  <w:r>
                    <w:rPr>
                      <w:rFonts w:ascii="Times New Roman" w:hAnsi="Times New Roman"/>
                      <w:b/>
                      <w:bCs/>
                      <w:sz w:val="21"/>
                    </w:rPr>
                    <w:t>监控点G4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restart"/>
                  <w:vAlign w:val="center"/>
                </w:tcPr>
                <w:p>
                  <w:pPr>
                    <w:pStyle w:val="217"/>
                    <w:rPr>
                      <w:rFonts w:ascii="Times New Roman" w:hAnsi="Times New Roman"/>
                      <w:sz w:val="21"/>
                    </w:rPr>
                  </w:pPr>
                  <w:r>
                    <w:rPr>
                      <w:rFonts w:ascii="Times New Roman" w:hAnsi="Times New Roman"/>
                      <w:sz w:val="21"/>
                    </w:rPr>
                    <w:t>颗粒物</w:t>
                  </w:r>
                </w:p>
              </w:tc>
              <w:tc>
                <w:tcPr>
                  <w:tcW w:w="658" w:type="pct"/>
                  <w:vAlign w:val="center"/>
                </w:tcPr>
                <w:p>
                  <w:pPr>
                    <w:pStyle w:val="217"/>
                    <w:spacing w:before="22"/>
                    <w:ind w:left="212" w:right="200"/>
                    <w:rPr>
                      <w:rFonts w:ascii="Times New Roman" w:hAnsi="Times New Roman"/>
                      <w:sz w:val="21"/>
                    </w:rPr>
                  </w:pPr>
                  <w:r>
                    <w:rPr>
                      <w:rFonts w:ascii="Times New Roman" w:hAnsi="Times New Roman"/>
                      <w:sz w:val="21"/>
                    </w:rPr>
                    <w:t>第一次</w:t>
                  </w:r>
                </w:p>
              </w:tc>
              <w:tc>
                <w:tcPr>
                  <w:tcW w:w="893" w:type="pct"/>
                  <w:vAlign w:val="center"/>
                </w:tcPr>
                <w:p>
                  <w:pPr>
                    <w:pStyle w:val="217"/>
                    <w:spacing w:before="36"/>
                    <w:ind w:left="227" w:right="212"/>
                    <w:rPr>
                      <w:rFonts w:ascii="Times New Roman" w:hAnsi="Times New Roman"/>
                      <w:sz w:val="21"/>
                    </w:rPr>
                  </w:pPr>
                  <w:r>
                    <w:rPr>
                      <w:rFonts w:ascii="Times New Roman" w:hAnsi="Times New Roman"/>
                      <w:sz w:val="21"/>
                    </w:rPr>
                    <w:t>0.24</w:t>
                  </w:r>
                </w:p>
              </w:tc>
              <w:tc>
                <w:tcPr>
                  <w:tcW w:w="895" w:type="pct"/>
                  <w:vAlign w:val="center"/>
                </w:tcPr>
                <w:p>
                  <w:pPr>
                    <w:pStyle w:val="217"/>
                    <w:spacing w:before="36"/>
                    <w:ind w:left="226" w:right="213"/>
                    <w:rPr>
                      <w:rFonts w:ascii="Times New Roman" w:hAnsi="Times New Roman"/>
                      <w:sz w:val="21"/>
                    </w:rPr>
                  </w:pPr>
                  <w:r>
                    <w:rPr>
                      <w:rFonts w:ascii="Times New Roman" w:hAnsi="Times New Roman"/>
                      <w:sz w:val="21"/>
                    </w:rPr>
                    <w:t>0.41</w:t>
                  </w:r>
                </w:p>
              </w:tc>
              <w:tc>
                <w:tcPr>
                  <w:tcW w:w="895" w:type="pct"/>
                  <w:vAlign w:val="center"/>
                </w:tcPr>
                <w:p>
                  <w:pPr>
                    <w:pStyle w:val="217"/>
                    <w:spacing w:before="36"/>
                    <w:ind w:left="227" w:right="213"/>
                    <w:rPr>
                      <w:rFonts w:ascii="Times New Roman" w:hAnsi="Times New Roman"/>
                      <w:sz w:val="21"/>
                    </w:rPr>
                  </w:pPr>
                  <w:r>
                    <w:rPr>
                      <w:rFonts w:ascii="Times New Roman" w:hAnsi="Times New Roman"/>
                      <w:sz w:val="21"/>
                    </w:rPr>
                    <w:t>0.43</w:t>
                  </w:r>
                </w:p>
              </w:tc>
              <w:tc>
                <w:tcPr>
                  <w:tcW w:w="893" w:type="pct"/>
                  <w:vAlign w:val="center"/>
                </w:tcPr>
                <w:p>
                  <w:pPr>
                    <w:pStyle w:val="217"/>
                    <w:spacing w:before="36"/>
                    <w:ind w:left="226" w:right="213"/>
                    <w:rPr>
                      <w:rFonts w:ascii="Times New Roman" w:hAnsi="Times New Roman"/>
                      <w:sz w:val="21"/>
                    </w:rPr>
                  </w:pPr>
                  <w:r>
                    <w:rPr>
                      <w:rFonts w:ascii="Times New Roman" w:hAnsi="Times New Roman"/>
                      <w:sz w:val="21"/>
                    </w:rPr>
                    <w:t>0.39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tcBorders>
                    <w:top w:val="nil"/>
                  </w:tcBorders>
                  <w:vAlign w:val="center"/>
                </w:tcPr>
                <w:p>
                  <w:pPr>
                    <w:jc w:val="center"/>
                    <w:rPr>
                      <w:szCs w:val="2"/>
                    </w:rPr>
                  </w:pPr>
                </w:p>
              </w:tc>
              <w:tc>
                <w:tcPr>
                  <w:tcW w:w="658" w:type="pct"/>
                  <w:vAlign w:val="center"/>
                </w:tcPr>
                <w:p>
                  <w:pPr>
                    <w:pStyle w:val="217"/>
                    <w:spacing w:before="22"/>
                    <w:ind w:left="212" w:right="200"/>
                    <w:rPr>
                      <w:rFonts w:ascii="Times New Roman" w:hAnsi="Times New Roman"/>
                      <w:sz w:val="21"/>
                    </w:rPr>
                  </w:pPr>
                  <w:r>
                    <w:rPr>
                      <w:rFonts w:ascii="Times New Roman" w:hAnsi="Times New Roman"/>
                      <w:sz w:val="21"/>
                    </w:rPr>
                    <w:t>第二次</w:t>
                  </w:r>
                </w:p>
              </w:tc>
              <w:tc>
                <w:tcPr>
                  <w:tcW w:w="893" w:type="pct"/>
                  <w:vAlign w:val="center"/>
                </w:tcPr>
                <w:p>
                  <w:pPr>
                    <w:pStyle w:val="217"/>
                    <w:spacing w:before="36"/>
                    <w:ind w:left="227" w:right="212"/>
                    <w:rPr>
                      <w:rFonts w:ascii="Times New Roman" w:hAnsi="Times New Roman"/>
                      <w:sz w:val="21"/>
                    </w:rPr>
                  </w:pPr>
                  <w:r>
                    <w:rPr>
                      <w:rFonts w:ascii="Times New Roman" w:hAnsi="Times New Roman"/>
                      <w:sz w:val="21"/>
                    </w:rPr>
                    <w:t>0.28</w:t>
                  </w:r>
                </w:p>
              </w:tc>
              <w:tc>
                <w:tcPr>
                  <w:tcW w:w="895" w:type="pct"/>
                  <w:vAlign w:val="center"/>
                </w:tcPr>
                <w:p>
                  <w:pPr>
                    <w:pStyle w:val="217"/>
                    <w:spacing w:before="36"/>
                    <w:ind w:left="226" w:right="213"/>
                    <w:rPr>
                      <w:rFonts w:ascii="Times New Roman" w:hAnsi="Times New Roman"/>
                      <w:sz w:val="21"/>
                    </w:rPr>
                  </w:pPr>
                  <w:r>
                    <w:rPr>
                      <w:rFonts w:ascii="Times New Roman" w:hAnsi="Times New Roman"/>
                      <w:sz w:val="21"/>
                    </w:rPr>
                    <w:t>0.45</w:t>
                  </w:r>
                </w:p>
              </w:tc>
              <w:tc>
                <w:tcPr>
                  <w:tcW w:w="895" w:type="pct"/>
                  <w:vAlign w:val="center"/>
                </w:tcPr>
                <w:p>
                  <w:pPr>
                    <w:pStyle w:val="217"/>
                    <w:spacing w:before="36"/>
                    <w:ind w:left="227" w:right="213"/>
                    <w:rPr>
                      <w:rFonts w:ascii="Times New Roman" w:hAnsi="Times New Roman"/>
                      <w:sz w:val="21"/>
                    </w:rPr>
                  </w:pPr>
                  <w:r>
                    <w:rPr>
                      <w:rFonts w:ascii="Times New Roman" w:hAnsi="Times New Roman"/>
                      <w:sz w:val="21"/>
                    </w:rPr>
                    <w:t>0.49</w:t>
                  </w:r>
                </w:p>
              </w:tc>
              <w:tc>
                <w:tcPr>
                  <w:tcW w:w="893" w:type="pct"/>
                  <w:vAlign w:val="center"/>
                </w:tcPr>
                <w:p>
                  <w:pPr>
                    <w:pStyle w:val="217"/>
                    <w:spacing w:before="36"/>
                    <w:ind w:left="226" w:right="213"/>
                    <w:rPr>
                      <w:rFonts w:ascii="Times New Roman" w:hAnsi="Times New Roman"/>
                      <w:sz w:val="21"/>
                    </w:rPr>
                  </w:pPr>
                  <w:r>
                    <w:rPr>
                      <w:rFonts w:ascii="Times New Roman" w:hAnsi="Times New Roman"/>
                      <w:sz w:val="21"/>
                    </w:rPr>
                    <w:t>0.49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763" w:type="pct"/>
                  <w:vMerge w:val="continue"/>
                  <w:tcBorders>
                    <w:top w:val="nil"/>
                  </w:tcBorders>
                  <w:vAlign w:val="center"/>
                </w:tcPr>
                <w:p>
                  <w:pPr>
                    <w:jc w:val="center"/>
                    <w:rPr>
                      <w:szCs w:val="2"/>
                    </w:rPr>
                  </w:pPr>
                </w:p>
              </w:tc>
              <w:tc>
                <w:tcPr>
                  <w:tcW w:w="658" w:type="pct"/>
                  <w:vAlign w:val="center"/>
                </w:tcPr>
                <w:p>
                  <w:pPr>
                    <w:pStyle w:val="217"/>
                    <w:spacing w:before="25"/>
                    <w:ind w:left="212" w:right="200"/>
                    <w:rPr>
                      <w:rFonts w:ascii="Times New Roman" w:hAnsi="Times New Roman"/>
                      <w:sz w:val="21"/>
                    </w:rPr>
                  </w:pPr>
                  <w:r>
                    <w:rPr>
                      <w:rFonts w:ascii="Times New Roman" w:hAnsi="Times New Roman"/>
                      <w:sz w:val="21"/>
                    </w:rPr>
                    <w:t>第三次</w:t>
                  </w:r>
                </w:p>
              </w:tc>
              <w:tc>
                <w:tcPr>
                  <w:tcW w:w="893" w:type="pct"/>
                  <w:vAlign w:val="center"/>
                </w:tcPr>
                <w:p>
                  <w:pPr>
                    <w:pStyle w:val="217"/>
                    <w:spacing w:before="39"/>
                    <w:ind w:left="227" w:right="212"/>
                    <w:rPr>
                      <w:rFonts w:ascii="Times New Roman" w:hAnsi="Times New Roman"/>
                      <w:sz w:val="21"/>
                    </w:rPr>
                  </w:pPr>
                  <w:r>
                    <w:rPr>
                      <w:rFonts w:ascii="Times New Roman" w:hAnsi="Times New Roman"/>
                      <w:sz w:val="21"/>
                    </w:rPr>
                    <w:t>0.32</w:t>
                  </w:r>
                </w:p>
              </w:tc>
              <w:tc>
                <w:tcPr>
                  <w:tcW w:w="895" w:type="pct"/>
                  <w:vAlign w:val="center"/>
                </w:tcPr>
                <w:p>
                  <w:pPr>
                    <w:pStyle w:val="217"/>
                    <w:spacing w:before="39"/>
                    <w:ind w:left="226" w:right="213"/>
                    <w:rPr>
                      <w:rFonts w:ascii="Times New Roman" w:hAnsi="Times New Roman"/>
                      <w:sz w:val="21"/>
                    </w:rPr>
                  </w:pPr>
                  <w:r>
                    <w:rPr>
                      <w:rFonts w:ascii="Times New Roman" w:hAnsi="Times New Roman"/>
                      <w:sz w:val="21"/>
                    </w:rPr>
                    <w:t>0.47</w:t>
                  </w:r>
                </w:p>
              </w:tc>
              <w:tc>
                <w:tcPr>
                  <w:tcW w:w="895" w:type="pct"/>
                  <w:vAlign w:val="center"/>
                </w:tcPr>
                <w:p>
                  <w:pPr>
                    <w:pStyle w:val="217"/>
                    <w:spacing w:before="39"/>
                    <w:ind w:left="227" w:right="213"/>
                    <w:rPr>
                      <w:rFonts w:ascii="Times New Roman" w:hAnsi="Times New Roman"/>
                      <w:sz w:val="21"/>
                    </w:rPr>
                  </w:pPr>
                  <w:r>
                    <w:rPr>
                      <w:rFonts w:ascii="Times New Roman" w:hAnsi="Times New Roman"/>
                      <w:sz w:val="21"/>
                    </w:rPr>
                    <w:t>0.45</w:t>
                  </w:r>
                </w:p>
              </w:tc>
              <w:tc>
                <w:tcPr>
                  <w:tcW w:w="893" w:type="pct"/>
                  <w:vAlign w:val="center"/>
                </w:tcPr>
                <w:p>
                  <w:pPr>
                    <w:pStyle w:val="217"/>
                    <w:spacing w:before="39"/>
                    <w:ind w:left="226" w:right="213"/>
                    <w:rPr>
                      <w:rFonts w:ascii="Times New Roman" w:hAnsi="Times New Roman"/>
                      <w:sz w:val="21"/>
                    </w:rPr>
                  </w:pPr>
                  <w:r>
                    <w:rPr>
                      <w:rFonts w:ascii="Times New Roman" w:hAnsi="Times New Roman"/>
                      <w:sz w:val="21"/>
                    </w:rPr>
                    <w:t>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tcBorders>
                    <w:top w:val="nil"/>
                  </w:tcBorders>
                  <w:vAlign w:val="center"/>
                </w:tcPr>
                <w:p>
                  <w:pPr>
                    <w:jc w:val="center"/>
                    <w:rPr>
                      <w:szCs w:val="2"/>
                    </w:rPr>
                  </w:pPr>
                </w:p>
              </w:tc>
              <w:tc>
                <w:tcPr>
                  <w:tcW w:w="658" w:type="pct"/>
                  <w:vAlign w:val="center"/>
                </w:tcPr>
                <w:p>
                  <w:pPr>
                    <w:pStyle w:val="217"/>
                    <w:spacing w:before="22"/>
                    <w:ind w:left="212" w:right="200"/>
                    <w:rPr>
                      <w:rFonts w:ascii="Times New Roman" w:hAnsi="Times New Roman"/>
                      <w:sz w:val="21"/>
                    </w:rPr>
                  </w:pPr>
                  <w:r>
                    <w:rPr>
                      <w:rFonts w:ascii="Times New Roman" w:hAnsi="Times New Roman"/>
                      <w:sz w:val="21"/>
                    </w:rPr>
                    <w:t>平均值</w:t>
                  </w:r>
                </w:p>
              </w:tc>
              <w:tc>
                <w:tcPr>
                  <w:tcW w:w="893" w:type="pct"/>
                  <w:vAlign w:val="center"/>
                </w:tcPr>
                <w:p>
                  <w:pPr>
                    <w:pStyle w:val="217"/>
                    <w:spacing w:before="36"/>
                    <w:ind w:left="227" w:right="212"/>
                    <w:rPr>
                      <w:rFonts w:ascii="Times New Roman" w:hAnsi="Times New Roman"/>
                      <w:sz w:val="21"/>
                    </w:rPr>
                  </w:pPr>
                  <w:r>
                    <w:rPr>
                      <w:rFonts w:ascii="Times New Roman" w:hAnsi="Times New Roman"/>
                      <w:sz w:val="21"/>
                    </w:rPr>
                    <w:t>0.28</w:t>
                  </w:r>
                </w:p>
              </w:tc>
              <w:tc>
                <w:tcPr>
                  <w:tcW w:w="895" w:type="pct"/>
                  <w:vAlign w:val="center"/>
                </w:tcPr>
                <w:p>
                  <w:pPr>
                    <w:pStyle w:val="217"/>
                    <w:spacing w:before="36"/>
                    <w:ind w:left="226" w:right="213"/>
                    <w:rPr>
                      <w:rFonts w:ascii="Times New Roman" w:hAnsi="Times New Roman"/>
                      <w:sz w:val="21"/>
                    </w:rPr>
                  </w:pPr>
                  <w:r>
                    <w:rPr>
                      <w:rFonts w:ascii="Times New Roman" w:hAnsi="Times New Roman"/>
                      <w:sz w:val="21"/>
                    </w:rPr>
                    <w:t>0.44</w:t>
                  </w:r>
                </w:p>
              </w:tc>
              <w:tc>
                <w:tcPr>
                  <w:tcW w:w="895" w:type="pct"/>
                  <w:vAlign w:val="center"/>
                </w:tcPr>
                <w:p>
                  <w:pPr>
                    <w:pStyle w:val="217"/>
                    <w:spacing w:before="36"/>
                    <w:ind w:left="227" w:right="213"/>
                    <w:rPr>
                      <w:rFonts w:ascii="Times New Roman" w:hAnsi="Times New Roman"/>
                      <w:sz w:val="21"/>
                    </w:rPr>
                  </w:pPr>
                  <w:r>
                    <w:rPr>
                      <w:rFonts w:ascii="Times New Roman" w:hAnsi="Times New Roman"/>
                      <w:sz w:val="21"/>
                    </w:rPr>
                    <w:t>0.46</w:t>
                  </w:r>
                </w:p>
              </w:tc>
              <w:tc>
                <w:tcPr>
                  <w:tcW w:w="893" w:type="pct"/>
                  <w:vAlign w:val="center"/>
                </w:tcPr>
                <w:p>
                  <w:pPr>
                    <w:pStyle w:val="217"/>
                    <w:spacing w:before="36"/>
                    <w:ind w:left="226" w:right="213"/>
                    <w:rPr>
                      <w:rFonts w:ascii="Times New Roman" w:hAnsi="Times New Roman"/>
                      <w:sz w:val="21"/>
                    </w:rPr>
                  </w:pPr>
                  <w:r>
                    <w:rPr>
                      <w:rFonts w:ascii="Times New Roman" w:hAnsi="Times New Roman"/>
                      <w:sz w:val="21"/>
                    </w:rPr>
                    <w:t>0.44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restart"/>
                  <w:vAlign w:val="center"/>
                </w:tcPr>
                <w:p>
                  <w:pPr>
                    <w:pStyle w:val="217"/>
                    <w:spacing w:before="197"/>
                    <w:rPr>
                      <w:rFonts w:ascii="Times New Roman" w:hAnsi="Times New Roman"/>
                      <w:sz w:val="21"/>
                    </w:rPr>
                  </w:pPr>
                  <w:r>
                    <w:rPr>
                      <w:rFonts w:ascii="Times New Roman" w:hAnsi="Times New Roman"/>
                      <w:sz w:val="21"/>
                    </w:rPr>
                    <w:t>VOCS</w:t>
                  </w:r>
                </w:p>
              </w:tc>
              <w:tc>
                <w:tcPr>
                  <w:tcW w:w="658" w:type="pct"/>
                  <w:vAlign w:val="center"/>
                </w:tcPr>
                <w:p>
                  <w:pPr>
                    <w:pStyle w:val="217"/>
                    <w:spacing w:before="22"/>
                    <w:ind w:left="212" w:right="200"/>
                    <w:rPr>
                      <w:rFonts w:ascii="Times New Roman" w:hAnsi="Times New Roman"/>
                      <w:sz w:val="21"/>
                    </w:rPr>
                  </w:pPr>
                  <w:r>
                    <w:rPr>
                      <w:rFonts w:ascii="Times New Roman" w:hAnsi="Times New Roman"/>
                      <w:sz w:val="21"/>
                    </w:rPr>
                    <w:t>第一次</w:t>
                  </w:r>
                </w:p>
              </w:tc>
              <w:tc>
                <w:tcPr>
                  <w:tcW w:w="893" w:type="pct"/>
                  <w:vAlign w:val="center"/>
                </w:tcPr>
                <w:p>
                  <w:pPr>
                    <w:pStyle w:val="217"/>
                    <w:spacing w:before="32"/>
                    <w:ind w:left="225" w:right="213"/>
                    <w:rPr>
                      <w:rFonts w:ascii="Times New Roman" w:hAnsi="Times New Roman"/>
                      <w:sz w:val="21"/>
                    </w:rPr>
                  </w:pPr>
                  <w:r>
                    <w:rPr>
                      <w:rFonts w:ascii="Times New Roman" w:hAnsi="Times New Roman"/>
                      <w:sz w:val="21"/>
                    </w:rPr>
                    <w:t>1.66×10</w:t>
                  </w:r>
                  <w:r>
                    <w:rPr>
                      <w:rFonts w:ascii="Times New Roman" w:hAnsi="Times New Roman"/>
                      <w:position w:val="7"/>
                      <w:sz w:val="21"/>
                    </w:rPr>
                    <w:t>-2</w:t>
                  </w:r>
                </w:p>
              </w:tc>
              <w:tc>
                <w:tcPr>
                  <w:tcW w:w="895" w:type="pct"/>
                  <w:vAlign w:val="center"/>
                </w:tcPr>
                <w:p>
                  <w:pPr>
                    <w:pStyle w:val="217"/>
                    <w:spacing w:before="32"/>
                    <w:ind w:left="223" w:right="213"/>
                    <w:rPr>
                      <w:rFonts w:ascii="Times New Roman" w:hAnsi="Times New Roman"/>
                      <w:sz w:val="21"/>
                    </w:rPr>
                  </w:pPr>
                  <w:r>
                    <w:rPr>
                      <w:rFonts w:ascii="Times New Roman" w:hAnsi="Times New Roman"/>
                      <w:sz w:val="21"/>
                    </w:rPr>
                    <w:t>1.90×10</w:t>
                  </w:r>
                  <w:r>
                    <w:rPr>
                      <w:rFonts w:ascii="Times New Roman" w:hAnsi="Times New Roman"/>
                      <w:position w:val="7"/>
                      <w:sz w:val="21"/>
                    </w:rPr>
                    <w:t>-2</w:t>
                  </w:r>
                </w:p>
              </w:tc>
              <w:tc>
                <w:tcPr>
                  <w:tcW w:w="895" w:type="pct"/>
                  <w:vAlign w:val="center"/>
                </w:tcPr>
                <w:p>
                  <w:pPr>
                    <w:pStyle w:val="217"/>
                    <w:spacing w:before="32"/>
                    <w:ind w:left="225" w:right="213"/>
                    <w:rPr>
                      <w:rFonts w:ascii="Times New Roman" w:hAnsi="Times New Roman"/>
                      <w:sz w:val="21"/>
                    </w:rPr>
                  </w:pPr>
                  <w:r>
                    <w:rPr>
                      <w:rFonts w:ascii="Times New Roman" w:hAnsi="Times New Roman"/>
                      <w:sz w:val="21"/>
                    </w:rPr>
                    <w:t>2.20×10</w:t>
                  </w:r>
                  <w:r>
                    <w:rPr>
                      <w:rFonts w:ascii="Times New Roman" w:hAnsi="Times New Roman"/>
                      <w:position w:val="7"/>
                      <w:sz w:val="21"/>
                    </w:rPr>
                    <w:t>-2</w:t>
                  </w:r>
                </w:p>
              </w:tc>
              <w:tc>
                <w:tcPr>
                  <w:tcW w:w="893" w:type="pct"/>
                  <w:vAlign w:val="center"/>
                </w:tcPr>
                <w:p>
                  <w:pPr>
                    <w:pStyle w:val="217"/>
                    <w:spacing w:before="32"/>
                    <w:ind w:left="223" w:right="213"/>
                    <w:rPr>
                      <w:rFonts w:ascii="Times New Roman" w:hAnsi="Times New Roman"/>
                      <w:sz w:val="21"/>
                    </w:rPr>
                  </w:pPr>
                  <w:r>
                    <w:rPr>
                      <w:rFonts w:ascii="Times New Roman" w:hAnsi="Times New Roman"/>
                      <w:sz w:val="21"/>
                    </w:rPr>
                    <w:t>1.58×10</w:t>
                  </w:r>
                  <w:r>
                    <w:rPr>
                      <w:rFonts w:ascii="Times New Roman" w:hAnsi="Times New Roman"/>
                      <w:position w:val="7"/>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763" w:type="pct"/>
                  <w:vMerge w:val="continue"/>
                  <w:vAlign w:val="center"/>
                </w:tcPr>
                <w:p>
                  <w:pPr>
                    <w:jc w:val="center"/>
                    <w:rPr>
                      <w:szCs w:val="2"/>
                    </w:rPr>
                  </w:pPr>
                </w:p>
              </w:tc>
              <w:tc>
                <w:tcPr>
                  <w:tcW w:w="658" w:type="pct"/>
                  <w:vAlign w:val="center"/>
                </w:tcPr>
                <w:p>
                  <w:pPr>
                    <w:pStyle w:val="217"/>
                    <w:spacing w:before="22"/>
                    <w:ind w:left="212" w:right="200"/>
                    <w:rPr>
                      <w:rFonts w:ascii="Times New Roman" w:hAnsi="Times New Roman"/>
                      <w:sz w:val="21"/>
                    </w:rPr>
                  </w:pPr>
                  <w:r>
                    <w:rPr>
                      <w:rFonts w:ascii="Times New Roman" w:hAnsi="Times New Roman"/>
                      <w:sz w:val="21"/>
                    </w:rPr>
                    <w:t>第二次</w:t>
                  </w:r>
                </w:p>
              </w:tc>
              <w:tc>
                <w:tcPr>
                  <w:tcW w:w="893" w:type="pct"/>
                  <w:vAlign w:val="center"/>
                </w:tcPr>
                <w:p>
                  <w:pPr>
                    <w:pStyle w:val="217"/>
                    <w:spacing w:before="32"/>
                    <w:ind w:left="225" w:right="213"/>
                    <w:rPr>
                      <w:rFonts w:ascii="Times New Roman" w:hAnsi="Times New Roman"/>
                      <w:sz w:val="21"/>
                    </w:rPr>
                  </w:pPr>
                  <w:r>
                    <w:rPr>
                      <w:rFonts w:ascii="Times New Roman" w:hAnsi="Times New Roman"/>
                      <w:sz w:val="21"/>
                    </w:rPr>
                    <w:t>1.84×10</w:t>
                  </w:r>
                  <w:r>
                    <w:rPr>
                      <w:rFonts w:ascii="Times New Roman" w:hAnsi="Times New Roman"/>
                      <w:position w:val="7"/>
                      <w:sz w:val="21"/>
                    </w:rPr>
                    <w:t>-2</w:t>
                  </w:r>
                </w:p>
              </w:tc>
              <w:tc>
                <w:tcPr>
                  <w:tcW w:w="895" w:type="pct"/>
                  <w:vAlign w:val="center"/>
                </w:tcPr>
                <w:p>
                  <w:pPr>
                    <w:pStyle w:val="217"/>
                    <w:spacing w:before="32"/>
                    <w:ind w:left="223" w:right="213"/>
                    <w:rPr>
                      <w:rFonts w:ascii="Times New Roman" w:hAnsi="Times New Roman"/>
                      <w:sz w:val="21"/>
                    </w:rPr>
                  </w:pPr>
                  <w:r>
                    <w:rPr>
                      <w:rFonts w:ascii="Times New Roman" w:hAnsi="Times New Roman"/>
                      <w:sz w:val="21"/>
                    </w:rPr>
                    <w:t>1.77×10</w:t>
                  </w:r>
                  <w:r>
                    <w:rPr>
                      <w:rFonts w:ascii="Times New Roman" w:hAnsi="Times New Roman"/>
                      <w:position w:val="7"/>
                      <w:sz w:val="21"/>
                    </w:rPr>
                    <w:t>-2</w:t>
                  </w:r>
                </w:p>
              </w:tc>
              <w:tc>
                <w:tcPr>
                  <w:tcW w:w="895" w:type="pct"/>
                  <w:vAlign w:val="center"/>
                </w:tcPr>
                <w:p>
                  <w:pPr>
                    <w:pStyle w:val="217"/>
                    <w:spacing w:before="32"/>
                    <w:ind w:left="225" w:right="213"/>
                    <w:rPr>
                      <w:rFonts w:ascii="Times New Roman" w:hAnsi="Times New Roman"/>
                      <w:sz w:val="21"/>
                    </w:rPr>
                  </w:pPr>
                  <w:r>
                    <w:rPr>
                      <w:rFonts w:ascii="Times New Roman" w:hAnsi="Times New Roman"/>
                      <w:sz w:val="21"/>
                    </w:rPr>
                    <w:t>2.16×10</w:t>
                  </w:r>
                  <w:r>
                    <w:rPr>
                      <w:rFonts w:ascii="Times New Roman" w:hAnsi="Times New Roman"/>
                      <w:position w:val="7"/>
                      <w:sz w:val="21"/>
                    </w:rPr>
                    <w:t>-2</w:t>
                  </w:r>
                </w:p>
              </w:tc>
              <w:tc>
                <w:tcPr>
                  <w:tcW w:w="893" w:type="pct"/>
                  <w:vAlign w:val="center"/>
                </w:tcPr>
                <w:p>
                  <w:pPr>
                    <w:pStyle w:val="217"/>
                    <w:spacing w:before="32"/>
                    <w:ind w:left="223" w:right="213"/>
                    <w:rPr>
                      <w:rFonts w:ascii="Times New Roman" w:hAnsi="Times New Roman"/>
                      <w:sz w:val="21"/>
                    </w:rPr>
                  </w:pPr>
                  <w:r>
                    <w:rPr>
                      <w:rFonts w:ascii="Times New Roman" w:hAnsi="Times New Roman"/>
                      <w:sz w:val="21"/>
                    </w:rPr>
                    <w:t>2.62×10</w:t>
                  </w:r>
                  <w:r>
                    <w:rPr>
                      <w:rFonts w:ascii="Times New Roman" w:hAnsi="Times New Roman"/>
                      <w:position w:val="7"/>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763" w:type="pct"/>
                  <w:vMerge w:val="continue"/>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第三次</w:t>
                  </w:r>
                </w:p>
              </w:tc>
              <w:tc>
                <w:tcPr>
                  <w:tcW w:w="893" w:type="pct"/>
                </w:tcPr>
                <w:p>
                  <w:pPr>
                    <w:pStyle w:val="217"/>
                    <w:spacing w:before="32"/>
                    <w:ind w:left="225" w:right="213"/>
                    <w:rPr>
                      <w:rFonts w:ascii="Times New Roman" w:hAnsi="Times New Roman"/>
                      <w:sz w:val="21"/>
                    </w:rPr>
                  </w:pPr>
                  <w:r>
                    <w:rPr>
                      <w:rFonts w:ascii="Times New Roman" w:hAnsi="Times New Roman"/>
                      <w:sz w:val="21"/>
                    </w:rPr>
                    <w:t>1.49×10</w:t>
                  </w:r>
                  <w:r>
                    <w:rPr>
                      <w:rFonts w:ascii="Times New Roman" w:hAnsi="Times New Roman"/>
                      <w:position w:val="7"/>
                      <w:sz w:val="21"/>
                    </w:rPr>
                    <w:t>-2</w:t>
                  </w:r>
                </w:p>
              </w:tc>
              <w:tc>
                <w:tcPr>
                  <w:tcW w:w="895" w:type="pct"/>
                </w:tcPr>
                <w:p>
                  <w:pPr>
                    <w:pStyle w:val="217"/>
                    <w:spacing w:before="32"/>
                    <w:ind w:left="223" w:right="213"/>
                    <w:rPr>
                      <w:rFonts w:ascii="Times New Roman" w:hAnsi="Times New Roman"/>
                      <w:sz w:val="21"/>
                    </w:rPr>
                  </w:pPr>
                  <w:r>
                    <w:rPr>
                      <w:rFonts w:ascii="Times New Roman" w:hAnsi="Times New Roman"/>
                      <w:sz w:val="21"/>
                    </w:rPr>
                    <w:t>2.01×10</w:t>
                  </w:r>
                  <w:r>
                    <w:rPr>
                      <w:rFonts w:ascii="Times New Roman" w:hAnsi="Times New Roman"/>
                      <w:position w:val="7"/>
                      <w:sz w:val="21"/>
                    </w:rPr>
                    <w:t>-2</w:t>
                  </w:r>
                </w:p>
              </w:tc>
              <w:tc>
                <w:tcPr>
                  <w:tcW w:w="895" w:type="pct"/>
                </w:tcPr>
                <w:p>
                  <w:pPr>
                    <w:pStyle w:val="217"/>
                    <w:spacing w:before="32"/>
                    <w:ind w:left="225" w:right="213"/>
                    <w:rPr>
                      <w:rFonts w:ascii="Times New Roman" w:hAnsi="Times New Roman"/>
                      <w:sz w:val="21"/>
                    </w:rPr>
                  </w:pPr>
                  <w:r>
                    <w:rPr>
                      <w:rFonts w:ascii="Times New Roman" w:hAnsi="Times New Roman"/>
                      <w:sz w:val="21"/>
                    </w:rPr>
                    <w:t>1.79×10</w:t>
                  </w:r>
                  <w:r>
                    <w:rPr>
                      <w:rFonts w:ascii="Times New Roman" w:hAnsi="Times New Roman"/>
                      <w:position w:val="7"/>
                      <w:sz w:val="21"/>
                    </w:rPr>
                    <w:t>-2</w:t>
                  </w:r>
                </w:p>
              </w:tc>
              <w:tc>
                <w:tcPr>
                  <w:tcW w:w="893" w:type="pct"/>
                </w:tcPr>
                <w:p>
                  <w:pPr>
                    <w:pStyle w:val="217"/>
                    <w:spacing w:before="32"/>
                    <w:ind w:left="223" w:right="213"/>
                    <w:rPr>
                      <w:rFonts w:ascii="Times New Roman" w:hAnsi="Times New Roman"/>
                      <w:sz w:val="21"/>
                    </w:rPr>
                  </w:pPr>
                  <w:r>
                    <w:rPr>
                      <w:rFonts w:ascii="Times New Roman" w:hAnsi="Times New Roman"/>
                      <w:sz w:val="21"/>
                    </w:rPr>
                    <w:t>2.54×10</w:t>
                  </w:r>
                  <w:r>
                    <w:rPr>
                      <w:rFonts w:ascii="Times New Roman" w:hAnsi="Times New Roman"/>
                      <w:position w:val="7"/>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763" w:type="pct"/>
                  <w:vMerge w:val="continue"/>
                  <w:tcBorders>
                    <w:bottom w:val="single" w:color="000000" w:sz="4" w:space="0"/>
                  </w:tcBorders>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平均值</w:t>
                  </w:r>
                </w:p>
              </w:tc>
              <w:tc>
                <w:tcPr>
                  <w:tcW w:w="893" w:type="pct"/>
                </w:tcPr>
                <w:p>
                  <w:pPr>
                    <w:pStyle w:val="217"/>
                    <w:spacing w:before="32"/>
                    <w:ind w:left="227" w:right="212"/>
                    <w:rPr>
                      <w:rFonts w:ascii="Times New Roman" w:hAnsi="Times New Roman"/>
                      <w:sz w:val="21"/>
                    </w:rPr>
                  </w:pPr>
                  <w:r>
                    <w:rPr>
                      <w:rFonts w:ascii="Times New Roman" w:hAnsi="Times New Roman"/>
                      <w:sz w:val="21"/>
                    </w:rPr>
                    <w:t>1.66×10</w:t>
                  </w:r>
                  <w:r>
                    <w:rPr>
                      <w:rFonts w:ascii="Times New Roman" w:hAnsi="Times New Roman"/>
                      <w:position w:val="7"/>
                      <w:sz w:val="21"/>
                    </w:rPr>
                    <w:t>-2</w:t>
                  </w:r>
                </w:p>
              </w:tc>
              <w:tc>
                <w:tcPr>
                  <w:tcW w:w="895" w:type="pct"/>
                </w:tcPr>
                <w:p>
                  <w:pPr>
                    <w:pStyle w:val="217"/>
                    <w:spacing w:before="32"/>
                    <w:ind w:left="226" w:right="213"/>
                    <w:rPr>
                      <w:rFonts w:ascii="Times New Roman" w:hAnsi="Times New Roman"/>
                      <w:sz w:val="21"/>
                    </w:rPr>
                  </w:pPr>
                  <w:r>
                    <w:rPr>
                      <w:rFonts w:ascii="Times New Roman" w:hAnsi="Times New Roman"/>
                      <w:sz w:val="21"/>
                    </w:rPr>
                    <w:t>1.89×10</w:t>
                  </w:r>
                  <w:r>
                    <w:rPr>
                      <w:rFonts w:ascii="Times New Roman" w:hAnsi="Times New Roman"/>
                      <w:position w:val="7"/>
                      <w:sz w:val="21"/>
                    </w:rPr>
                    <w:t>-2</w:t>
                  </w:r>
                </w:p>
              </w:tc>
              <w:tc>
                <w:tcPr>
                  <w:tcW w:w="895" w:type="pct"/>
                </w:tcPr>
                <w:p>
                  <w:pPr>
                    <w:pStyle w:val="217"/>
                    <w:spacing w:before="32"/>
                    <w:ind w:left="227" w:right="213"/>
                    <w:rPr>
                      <w:rFonts w:ascii="Times New Roman" w:hAnsi="Times New Roman"/>
                      <w:sz w:val="21"/>
                    </w:rPr>
                  </w:pPr>
                  <w:r>
                    <w:rPr>
                      <w:rFonts w:ascii="Times New Roman" w:hAnsi="Times New Roman"/>
                      <w:sz w:val="21"/>
                    </w:rPr>
                    <w:t>2.05×10</w:t>
                  </w:r>
                  <w:r>
                    <w:rPr>
                      <w:rFonts w:ascii="Times New Roman" w:hAnsi="Times New Roman"/>
                      <w:position w:val="7"/>
                      <w:sz w:val="21"/>
                    </w:rPr>
                    <w:t>-2</w:t>
                  </w:r>
                </w:p>
              </w:tc>
              <w:tc>
                <w:tcPr>
                  <w:tcW w:w="893" w:type="pct"/>
                </w:tcPr>
                <w:p>
                  <w:pPr>
                    <w:pStyle w:val="217"/>
                    <w:spacing w:before="32"/>
                    <w:ind w:left="225" w:right="213"/>
                    <w:rPr>
                      <w:rFonts w:ascii="Times New Roman" w:hAnsi="Times New Roman"/>
                      <w:sz w:val="21"/>
                    </w:rPr>
                  </w:pPr>
                  <w:r>
                    <w:rPr>
                      <w:rFonts w:ascii="Times New Roman" w:hAnsi="Times New Roman"/>
                      <w:sz w:val="21"/>
                    </w:rPr>
                    <w:t>2.25×10</w:t>
                  </w:r>
                  <w:r>
                    <w:rPr>
                      <w:rFonts w:ascii="Times New Roman" w:hAnsi="Times New Roman"/>
                      <w:position w:val="7"/>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restart"/>
                  <w:tcBorders>
                    <w:top w:val="single" w:color="000000" w:sz="4" w:space="0"/>
                  </w:tcBorders>
                </w:tcPr>
                <w:p>
                  <w:pPr>
                    <w:pStyle w:val="217"/>
                    <w:jc w:val="left"/>
                    <w:rPr>
                      <w:rFonts w:ascii="Times New Roman" w:hAnsi="Times New Roman"/>
                      <w:sz w:val="21"/>
                    </w:rPr>
                  </w:pPr>
                </w:p>
                <w:p>
                  <w:pPr>
                    <w:pStyle w:val="217"/>
                    <w:spacing w:before="7"/>
                    <w:jc w:val="left"/>
                    <w:rPr>
                      <w:rFonts w:ascii="Times New Roman" w:hAnsi="Times New Roman"/>
                      <w:sz w:val="21"/>
                    </w:rPr>
                  </w:pPr>
                </w:p>
                <w:p>
                  <w:pPr>
                    <w:pStyle w:val="217"/>
                    <w:ind w:left="316"/>
                    <w:jc w:val="left"/>
                    <w:rPr>
                      <w:rFonts w:ascii="Times New Roman" w:hAnsi="Times New Roman"/>
                      <w:sz w:val="21"/>
                      <w:szCs w:val="2"/>
                    </w:rPr>
                  </w:pPr>
                  <w:r>
                    <w:rPr>
                      <w:rFonts w:ascii="Times New Roman" w:hAnsi="Times New Roman"/>
                      <w:sz w:val="21"/>
                    </w:rPr>
                    <w:t>二甲苯</w:t>
                  </w:r>
                </w:p>
              </w:tc>
              <w:tc>
                <w:tcPr>
                  <w:tcW w:w="658" w:type="pct"/>
                </w:tcPr>
                <w:p>
                  <w:pPr>
                    <w:pStyle w:val="217"/>
                    <w:spacing w:before="22"/>
                    <w:ind w:left="212" w:right="200"/>
                    <w:rPr>
                      <w:rFonts w:ascii="Times New Roman" w:hAnsi="Times New Roman"/>
                      <w:sz w:val="21"/>
                    </w:rPr>
                  </w:pPr>
                  <w:r>
                    <w:rPr>
                      <w:rFonts w:ascii="Times New Roman" w:hAnsi="Times New Roman"/>
                      <w:sz w:val="21"/>
                    </w:rPr>
                    <w:t>第一次</w:t>
                  </w:r>
                </w:p>
              </w:tc>
              <w:tc>
                <w:tcPr>
                  <w:tcW w:w="893" w:type="pct"/>
                </w:tcPr>
                <w:p>
                  <w:pPr>
                    <w:pStyle w:val="217"/>
                    <w:spacing w:before="36"/>
                    <w:ind w:left="14"/>
                    <w:rPr>
                      <w:rFonts w:ascii="Times New Roman" w:hAnsi="Times New Roman"/>
                      <w:sz w:val="21"/>
                    </w:rPr>
                  </w:pPr>
                  <w:r>
                    <w:rPr>
                      <w:rFonts w:ascii="Times New Roman" w:hAnsi="Times New Roman"/>
                      <w:sz w:val="21"/>
                    </w:rPr>
                    <w:t>L</w:t>
                  </w:r>
                </w:p>
              </w:tc>
              <w:tc>
                <w:tcPr>
                  <w:tcW w:w="895" w:type="pct"/>
                </w:tcPr>
                <w:p>
                  <w:pPr>
                    <w:pStyle w:val="217"/>
                    <w:spacing w:before="36"/>
                    <w:ind w:left="12"/>
                    <w:rPr>
                      <w:rFonts w:ascii="Times New Roman" w:hAnsi="Times New Roman"/>
                      <w:sz w:val="21"/>
                    </w:rPr>
                  </w:pPr>
                  <w:r>
                    <w:rPr>
                      <w:rFonts w:ascii="Times New Roman" w:hAnsi="Times New Roman"/>
                      <w:sz w:val="21"/>
                    </w:rPr>
                    <w:t>L</w:t>
                  </w:r>
                </w:p>
              </w:tc>
              <w:tc>
                <w:tcPr>
                  <w:tcW w:w="895" w:type="pct"/>
                </w:tcPr>
                <w:p>
                  <w:pPr>
                    <w:pStyle w:val="217"/>
                    <w:spacing w:before="36"/>
                    <w:ind w:left="13"/>
                    <w:rPr>
                      <w:rFonts w:ascii="Times New Roman" w:hAnsi="Times New Roman"/>
                      <w:sz w:val="21"/>
                    </w:rPr>
                  </w:pPr>
                  <w:r>
                    <w:rPr>
                      <w:rFonts w:ascii="Times New Roman" w:hAnsi="Times New Roman"/>
                      <w:sz w:val="21"/>
                    </w:rPr>
                    <w:t>L</w:t>
                  </w:r>
                </w:p>
              </w:tc>
              <w:tc>
                <w:tcPr>
                  <w:tcW w:w="893" w:type="pct"/>
                </w:tcPr>
                <w:p>
                  <w:pPr>
                    <w:pStyle w:val="217"/>
                    <w:spacing w:before="36"/>
                    <w:ind w:left="12"/>
                    <w:rPr>
                      <w:rFonts w:ascii="Times New Roman" w:hAnsi="Times New Roman"/>
                      <w:sz w:val="21"/>
                    </w:rPr>
                  </w:pPr>
                  <w:r>
                    <w:rPr>
                      <w:rFonts w:ascii="Times New Roman" w:hAnsi="Times New Roman"/>
                      <w:sz w:val="21"/>
                    </w:rPr>
                    <w:t>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vAlign w:val="center"/>
                </w:tcPr>
                <w:p>
                  <w:pPr>
                    <w:jc w:val="center"/>
                    <w:rPr>
                      <w:szCs w:val="2"/>
                    </w:rPr>
                  </w:pPr>
                </w:p>
              </w:tc>
              <w:tc>
                <w:tcPr>
                  <w:tcW w:w="658" w:type="pct"/>
                </w:tcPr>
                <w:p>
                  <w:pPr>
                    <w:pStyle w:val="217"/>
                    <w:spacing w:before="25"/>
                    <w:ind w:left="212" w:right="200"/>
                    <w:rPr>
                      <w:rFonts w:ascii="Times New Roman" w:hAnsi="Times New Roman"/>
                      <w:sz w:val="21"/>
                    </w:rPr>
                  </w:pPr>
                  <w:r>
                    <w:rPr>
                      <w:rFonts w:ascii="Times New Roman" w:hAnsi="Times New Roman"/>
                      <w:sz w:val="21"/>
                    </w:rPr>
                    <w:t>第二次</w:t>
                  </w:r>
                </w:p>
              </w:tc>
              <w:tc>
                <w:tcPr>
                  <w:tcW w:w="893" w:type="pct"/>
                </w:tcPr>
                <w:p>
                  <w:pPr>
                    <w:pStyle w:val="217"/>
                    <w:spacing w:before="39"/>
                    <w:ind w:left="14"/>
                    <w:rPr>
                      <w:rFonts w:ascii="Times New Roman" w:hAnsi="Times New Roman"/>
                      <w:sz w:val="21"/>
                    </w:rPr>
                  </w:pPr>
                  <w:r>
                    <w:rPr>
                      <w:rFonts w:ascii="Times New Roman" w:hAnsi="Times New Roman"/>
                      <w:sz w:val="21"/>
                    </w:rPr>
                    <w:t>L</w:t>
                  </w:r>
                </w:p>
              </w:tc>
              <w:tc>
                <w:tcPr>
                  <w:tcW w:w="895" w:type="pct"/>
                </w:tcPr>
                <w:p>
                  <w:pPr>
                    <w:pStyle w:val="217"/>
                    <w:spacing w:before="39"/>
                    <w:ind w:left="12"/>
                    <w:rPr>
                      <w:rFonts w:ascii="Times New Roman" w:hAnsi="Times New Roman"/>
                      <w:sz w:val="21"/>
                    </w:rPr>
                  </w:pPr>
                  <w:r>
                    <w:rPr>
                      <w:rFonts w:ascii="Times New Roman" w:hAnsi="Times New Roman"/>
                      <w:sz w:val="21"/>
                    </w:rPr>
                    <w:t>L</w:t>
                  </w:r>
                </w:p>
              </w:tc>
              <w:tc>
                <w:tcPr>
                  <w:tcW w:w="895" w:type="pct"/>
                </w:tcPr>
                <w:p>
                  <w:pPr>
                    <w:pStyle w:val="217"/>
                    <w:spacing w:before="39"/>
                    <w:ind w:left="13"/>
                    <w:rPr>
                      <w:rFonts w:ascii="Times New Roman" w:hAnsi="Times New Roman"/>
                      <w:sz w:val="21"/>
                    </w:rPr>
                  </w:pPr>
                  <w:r>
                    <w:rPr>
                      <w:rFonts w:ascii="Times New Roman" w:hAnsi="Times New Roman"/>
                      <w:sz w:val="21"/>
                    </w:rPr>
                    <w:t>L</w:t>
                  </w:r>
                </w:p>
              </w:tc>
              <w:tc>
                <w:tcPr>
                  <w:tcW w:w="893" w:type="pct"/>
                </w:tcPr>
                <w:p>
                  <w:pPr>
                    <w:pStyle w:val="217"/>
                    <w:spacing w:before="39"/>
                    <w:ind w:left="11"/>
                    <w:rPr>
                      <w:rFonts w:ascii="Times New Roman" w:hAnsi="Times New Roman"/>
                      <w:sz w:val="21"/>
                    </w:rPr>
                  </w:pPr>
                  <w:r>
                    <w:rPr>
                      <w:rFonts w:ascii="Times New Roman" w:hAnsi="Times New Roman"/>
                      <w:sz w:val="21"/>
                    </w:rPr>
                    <w:t>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第三次</w:t>
                  </w:r>
                </w:p>
              </w:tc>
              <w:tc>
                <w:tcPr>
                  <w:tcW w:w="893" w:type="pct"/>
                </w:tcPr>
                <w:p>
                  <w:pPr>
                    <w:pStyle w:val="217"/>
                    <w:spacing w:before="36"/>
                    <w:ind w:left="14"/>
                    <w:rPr>
                      <w:rFonts w:ascii="Times New Roman" w:hAnsi="Times New Roman"/>
                      <w:sz w:val="21"/>
                    </w:rPr>
                  </w:pPr>
                  <w:r>
                    <w:rPr>
                      <w:rFonts w:ascii="Times New Roman" w:hAnsi="Times New Roman"/>
                      <w:sz w:val="21"/>
                    </w:rPr>
                    <w:t>L</w:t>
                  </w:r>
                </w:p>
              </w:tc>
              <w:tc>
                <w:tcPr>
                  <w:tcW w:w="895" w:type="pct"/>
                </w:tcPr>
                <w:p>
                  <w:pPr>
                    <w:pStyle w:val="217"/>
                    <w:spacing w:before="36"/>
                    <w:ind w:left="12"/>
                    <w:rPr>
                      <w:rFonts w:ascii="Times New Roman" w:hAnsi="Times New Roman"/>
                      <w:sz w:val="21"/>
                    </w:rPr>
                  </w:pPr>
                  <w:r>
                    <w:rPr>
                      <w:rFonts w:ascii="Times New Roman" w:hAnsi="Times New Roman"/>
                      <w:sz w:val="21"/>
                    </w:rPr>
                    <w:t>L</w:t>
                  </w:r>
                </w:p>
              </w:tc>
              <w:tc>
                <w:tcPr>
                  <w:tcW w:w="895" w:type="pct"/>
                </w:tcPr>
                <w:p>
                  <w:pPr>
                    <w:pStyle w:val="217"/>
                    <w:spacing w:before="36"/>
                    <w:ind w:left="14"/>
                    <w:rPr>
                      <w:rFonts w:ascii="Times New Roman" w:hAnsi="Times New Roman"/>
                      <w:sz w:val="21"/>
                    </w:rPr>
                  </w:pPr>
                  <w:r>
                    <w:rPr>
                      <w:rFonts w:ascii="Times New Roman" w:hAnsi="Times New Roman"/>
                      <w:sz w:val="21"/>
                    </w:rPr>
                    <w:t>L</w:t>
                  </w:r>
                </w:p>
              </w:tc>
              <w:tc>
                <w:tcPr>
                  <w:tcW w:w="893" w:type="pct"/>
                </w:tcPr>
                <w:p>
                  <w:pPr>
                    <w:pStyle w:val="217"/>
                    <w:spacing w:before="36"/>
                    <w:ind w:left="12"/>
                    <w:rPr>
                      <w:rFonts w:ascii="Times New Roman" w:hAnsi="Times New Roman"/>
                      <w:sz w:val="21"/>
                    </w:rPr>
                  </w:pPr>
                  <w:r>
                    <w:rPr>
                      <w:rFonts w:ascii="Times New Roman" w:hAnsi="Times New Roman"/>
                      <w:sz w:val="21"/>
                    </w:rPr>
                    <w:t>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tcBorders>
                    <w:bottom w:val="single" w:color="000000" w:sz="4" w:space="0"/>
                  </w:tcBorders>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平均值</w:t>
                  </w:r>
                </w:p>
              </w:tc>
              <w:tc>
                <w:tcPr>
                  <w:tcW w:w="893" w:type="pct"/>
                </w:tcPr>
                <w:p>
                  <w:pPr>
                    <w:pStyle w:val="217"/>
                    <w:spacing w:before="36"/>
                    <w:ind w:left="11"/>
                    <w:rPr>
                      <w:rFonts w:ascii="Times New Roman" w:hAnsi="Times New Roman"/>
                      <w:sz w:val="21"/>
                    </w:rPr>
                  </w:pPr>
                  <w:r>
                    <w:rPr>
                      <w:rFonts w:ascii="Times New Roman" w:hAnsi="Times New Roman"/>
                      <w:sz w:val="21"/>
                    </w:rPr>
                    <w:t>/</w:t>
                  </w:r>
                </w:p>
              </w:tc>
              <w:tc>
                <w:tcPr>
                  <w:tcW w:w="895" w:type="pct"/>
                </w:tcPr>
                <w:p>
                  <w:pPr>
                    <w:pStyle w:val="217"/>
                    <w:spacing w:before="36"/>
                    <w:ind w:left="9"/>
                    <w:rPr>
                      <w:rFonts w:ascii="Times New Roman" w:hAnsi="Times New Roman"/>
                      <w:sz w:val="21"/>
                    </w:rPr>
                  </w:pPr>
                  <w:r>
                    <w:rPr>
                      <w:rFonts w:ascii="Times New Roman" w:hAnsi="Times New Roman"/>
                      <w:sz w:val="21"/>
                    </w:rPr>
                    <w:t>/</w:t>
                  </w:r>
                </w:p>
              </w:tc>
              <w:tc>
                <w:tcPr>
                  <w:tcW w:w="895" w:type="pct"/>
                </w:tcPr>
                <w:p>
                  <w:pPr>
                    <w:pStyle w:val="217"/>
                    <w:spacing w:before="36"/>
                    <w:ind w:left="10"/>
                    <w:rPr>
                      <w:rFonts w:ascii="Times New Roman" w:hAnsi="Times New Roman"/>
                      <w:sz w:val="21"/>
                    </w:rPr>
                  </w:pPr>
                  <w:r>
                    <w:rPr>
                      <w:rFonts w:ascii="Times New Roman" w:hAnsi="Times New Roman"/>
                      <w:sz w:val="21"/>
                    </w:rPr>
                    <w:t>/</w:t>
                  </w:r>
                </w:p>
              </w:tc>
              <w:tc>
                <w:tcPr>
                  <w:tcW w:w="893" w:type="pct"/>
                </w:tcPr>
                <w:p>
                  <w:pPr>
                    <w:pStyle w:val="217"/>
                    <w:spacing w:before="36"/>
                    <w:ind w:left="14"/>
                    <w:rPr>
                      <w:rFonts w:ascii="Times New Roman" w:hAnsi="Times New Roman"/>
                      <w:sz w:val="21"/>
                    </w:rPr>
                  </w:pPr>
                  <w:r>
                    <w:rPr>
                      <w:rFonts w:ascii="Times New Roman" w:hAnsi="Times New Roman"/>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restart"/>
                  <w:tcBorders>
                    <w:top w:val="single" w:color="000000" w:sz="4" w:space="0"/>
                  </w:tcBorders>
                </w:tcPr>
                <w:p>
                  <w:pPr>
                    <w:pStyle w:val="217"/>
                    <w:jc w:val="left"/>
                    <w:rPr>
                      <w:rFonts w:ascii="Times New Roman" w:hAnsi="Times New Roman"/>
                      <w:sz w:val="21"/>
                    </w:rPr>
                  </w:pPr>
                </w:p>
                <w:p>
                  <w:pPr>
                    <w:pStyle w:val="217"/>
                    <w:spacing w:before="5"/>
                    <w:jc w:val="left"/>
                    <w:rPr>
                      <w:rFonts w:ascii="Times New Roman" w:hAnsi="Times New Roman"/>
                      <w:sz w:val="21"/>
                    </w:rPr>
                  </w:pPr>
                </w:p>
                <w:p>
                  <w:pPr>
                    <w:pStyle w:val="217"/>
                    <w:ind w:left="422"/>
                    <w:jc w:val="left"/>
                    <w:rPr>
                      <w:rFonts w:ascii="Times New Roman" w:hAnsi="Times New Roman"/>
                      <w:sz w:val="21"/>
                      <w:szCs w:val="2"/>
                    </w:rPr>
                  </w:pPr>
                  <w:r>
                    <w:rPr>
                      <w:rFonts w:ascii="Times New Roman" w:hAnsi="Times New Roman"/>
                      <w:sz w:val="21"/>
                    </w:rPr>
                    <w:t>甲苯</w:t>
                  </w:r>
                </w:p>
              </w:tc>
              <w:tc>
                <w:tcPr>
                  <w:tcW w:w="658" w:type="pct"/>
                </w:tcPr>
                <w:p>
                  <w:pPr>
                    <w:pStyle w:val="217"/>
                    <w:spacing w:before="22"/>
                    <w:ind w:left="212" w:right="200"/>
                    <w:rPr>
                      <w:rFonts w:ascii="Times New Roman" w:hAnsi="Times New Roman"/>
                      <w:sz w:val="21"/>
                    </w:rPr>
                  </w:pPr>
                  <w:r>
                    <w:rPr>
                      <w:rFonts w:ascii="Times New Roman" w:hAnsi="Times New Roman"/>
                      <w:sz w:val="21"/>
                    </w:rPr>
                    <w:t>第一次</w:t>
                  </w:r>
                </w:p>
              </w:tc>
              <w:tc>
                <w:tcPr>
                  <w:tcW w:w="893" w:type="pct"/>
                </w:tcPr>
                <w:p>
                  <w:pPr>
                    <w:pStyle w:val="217"/>
                    <w:spacing w:before="36"/>
                    <w:ind w:left="14"/>
                    <w:rPr>
                      <w:rFonts w:ascii="Times New Roman" w:hAnsi="Times New Roman"/>
                      <w:sz w:val="21"/>
                    </w:rPr>
                  </w:pPr>
                  <w:r>
                    <w:rPr>
                      <w:rFonts w:ascii="Times New Roman" w:hAnsi="Times New Roman"/>
                      <w:sz w:val="21"/>
                    </w:rPr>
                    <w:t>L</w:t>
                  </w:r>
                </w:p>
              </w:tc>
              <w:tc>
                <w:tcPr>
                  <w:tcW w:w="895" w:type="pct"/>
                </w:tcPr>
                <w:p>
                  <w:pPr>
                    <w:pStyle w:val="217"/>
                    <w:spacing w:before="36"/>
                    <w:ind w:left="12"/>
                    <w:rPr>
                      <w:rFonts w:ascii="Times New Roman" w:hAnsi="Times New Roman"/>
                      <w:sz w:val="21"/>
                    </w:rPr>
                  </w:pPr>
                  <w:r>
                    <w:rPr>
                      <w:rFonts w:ascii="Times New Roman" w:hAnsi="Times New Roman"/>
                      <w:sz w:val="21"/>
                    </w:rPr>
                    <w:t>L</w:t>
                  </w:r>
                </w:p>
              </w:tc>
              <w:tc>
                <w:tcPr>
                  <w:tcW w:w="895" w:type="pct"/>
                </w:tcPr>
                <w:p>
                  <w:pPr>
                    <w:pStyle w:val="217"/>
                    <w:spacing w:before="36"/>
                    <w:ind w:left="14"/>
                    <w:rPr>
                      <w:rFonts w:ascii="Times New Roman" w:hAnsi="Times New Roman"/>
                      <w:sz w:val="21"/>
                    </w:rPr>
                  </w:pPr>
                  <w:r>
                    <w:rPr>
                      <w:rFonts w:ascii="Times New Roman" w:hAnsi="Times New Roman"/>
                      <w:sz w:val="21"/>
                    </w:rPr>
                    <w:t>L</w:t>
                  </w:r>
                </w:p>
              </w:tc>
              <w:tc>
                <w:tcPr>
                  <w:tcW w:w="893" w:type="pct"/>
                </w:tcPr>
                <w:p>
                  <w:pPr>
                    <w:pStyle w:val="217"/>
                    <w:spacing w:before="36"/>
                    <w:ind w:left="12"/>
                    <w:rPr>
                      <w:rFonts w:ascii="Times New Roman" w:hAnsi="Times New Roman"/>
                      <w:sz w:val="21"/>
                    </w:rPr>
                  </w:pPr>
                  <w:r>
                    <w:rPr>
                      <w:rFonts w:ascii="Times New Roman" w:hAnsi="Times New Roman"/>
                      <w:sz w:val="21"/>
                    </w:rPr>
                    <w:t>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第二次</w:t>
                  </w:r>
                </w:p>
              </w:tc>
              <w:tc>
                <w:tcPr>
                  <w:tcW w:w="893" w:type="pct"/>
                </w:tcPr>
                <w:p>
                  <w:pPr>
                    <w:pStyle w:val="217"/>
                    <w:spacing w:before="36"/>
                    <w:ind w:left="14"/>
                    <w:rPr>
                      <w:rFonts w:ascii="Times New Roman" w:hAnsi="Times New Roman"/>
                      <w:sz w:val="21"/>
                    </w:rPr>
                  </w:pPr>
                  <w:r>
                    <w:rPr>
                      <w:rFonts w:ascii="Times New Roman" w:hAnsi="Times New Roman"/>
                      <w:sz w:val="21"/>
                    </w:rPr>
                    <w:t>L</w:t>
                  </w:r>
                </w:p>
              </w:tc>
              <w:tc>
                <w:tcPr>
                  <w:tcW w:w="895" w:type="pct"/>
                </w:tcPr>
                <w:p>
                  <w:pPr>
                    <w:pStyle w:val="217"/>
                    <w:spacing w:before="36"/>
                    <w:ind w:left="12"/>
                    <w:rPr>
                      <w:rFonts w:ascii="Times New Roman" w:hAnsi="Times New Roman"/>
                      <w:sz w:val="21"/>
                    </w:rPr>
                  </w:pPr>
                  <w:r>
                    <w:rPr>
                      <w:rFonts w:ascii="Times New Roman" w:hAnsi="Times New Roman"/>
                      <w:sz w:val="21"/>
                    </w:rPr>
                    <w:t>L</w:t>
                  </w:r>
                </w:p>
              </w:tc>
              <w:tc>
                <w:tcPr>
                  <w:tcW w:w="895" w:type="pct"/>
                </w:tcPr>
                <w:p>
                  <w:pPr>
                    <w:pStyle w:val="217"/>
                    <w:spacing w:before="36"/>
                    <w:ind w:left="14"/>
                    <w:rPr>
                      <w:rFonts w:ascii="Times New Roman" w:hAnsi="Times New Roman"/>
                      <w:sz w:val="21"/>
                    </w:rPr>
                  </w:pPr>
                  <w:r>
                    <w:rPr>
                      <w:rFonts w:ascii="Times New Roman" w:hAnsi="Times New Roman"/>
                      <w:sz w:val="21"/>
                    </w:rPr>
                    <w:t>L</w:t>
                  </w:r>
                </w:p>
              </w:tc>
              <w:tc>
                <w:tcPr>
                  <w:tcW w:w="893" w:type="pct"/>
                </w:tcPr>
                <w:p>
                  <w:pPr>
                    <w:pStyle w:val="217"/>
                    <w:spacing w:before="36"/>
                    <w:ind w:left="12"/>
                    <w:rPr>
                      <w:rFonts w:ascii="Times New Roman" w:hAnsi="Times New Roman"/>
                      <w:sz w:val="21"/>
                    </w:rPr>
                  </w:pPr>
                  <w:r>
                    <w:rPr>
                      <w:rFonts w:ascii="Times New Roman" w:hAnsi="Times New Roman"/>
                      <w:sz w:val="21"/>
                    </w:rPr>
                    <w:t>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763" w:type="pct"/>
                  <w:vMerge w:val="continue"/>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第三次</w:t>
                  </w:r>
                </w:p>
              </w:tc>
              <w:tc>
                <w:tcPr>
                  <w:tcW w:w="893" w:type="pct"/>
                </w:tcPr>
                <w:p>
                  <w:pPr>
                    <w:pStyle w:val="217"/>
                    <w:spacing w:before="36"/>
                    <w:ind w:left="14"/>
                    <w:rPr>
                      <w:rFonts w:ascii="Times New Roman" w:hAnsi="Times New Roman"/>
                      <w:sz w:val="21"/>
                    </w:rPr>
                  </w:pPr>
                  <w:r>
                    <w:rPr>
                      <w:rFonts w:ascii="Times New Roman" w:hAnsi="Times New Roman"/>
                      <w:sz w:val="21"/>
                    </w:rPr>
                    <w:t>L</w:t>
                  </w:r>
                </w:p>
              </w:tc>
              <w:tc>
                <w:tcPr>
                  <w:tcW w:w="895" w:type="pct"/>
                </w:tcPr>
                <w:p>
                  <w:pPr>
                    <w:pStyle w:val="217"/>
                    <w:spacing w:before="36"/>
                    <w:ind w:left="12"/>
                    <w:rPr>
                      <w:rFonts w:ascii="Times New Roman" w:hAnsi="Times New Roman"/>
                      <w:sz w:val="21"/>
                    </w:rPr>
                  </w:pPr>
                  <w:r>
                    <w:rPr>
                      <w:rFonts w:ascii="Times New Roman" w:hAnsi="Times New Roman"/>
                      <w:sz w:val="21"/>
                    </w:rPr>
                    <w:t>L</w:t>
                  </w:r>
                </w:p>
              </w:tc>
              <w:tc>
                <w:tcPr>
                  <w:tcW w:w="895" w:type="pct"/>
                </w:tcPr>
                <w:p>
                  <w:pPr>
                    <w:pStyle w:val="217"/>
                    <w:spacing w:before="36"/>
                    <w:ind w:left="14"/>
                    <w:rPr>
                      <w:rFonts w:ascii="Times New Roman" w:hAnsi="Times New Roman"/>
                      <w:sz w:val="21"/>
                    </w:rPr>
                  </w:pPr>
                  <w:r>
                    <w:rPr>
                      <w:rFonts w:ascii="Times New Roman" w:hAnsi="Times New Roman"/>
                      <w:sz w:val="21"/>
                    </w:rPr>
                    <w:t>L</w:t>
                  </w:r>
                </w:p>
              </w:tc>
              <w:tc>
                <w:tcPr>
                  <w:tcW w:w="893" w:type="pct"/>
                </w:tcPr>
                <w:p>
                  <w:pPr>
                    <w:pStyle w:val="217"/>
                    <w:spacing w:before="36"/>
                    <w:ind w:left="12"/>
                    <w:rPr>
                      <w:rFonts w:ascii="Times New Roman" w:hAnsi="Times New Roman"/>
                      <w:sz w:val="21"/>
                    </w:rPr>
                  </w:pPr>
                  <w:r>
                    <w:rPr>
                      <w:rFonts w:ascii="Times New Roman" w:hAnsi="Times New Roman"/>
                      <w:sz w:val="21"/>
                    </w:rPr>
                    <w:t>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tcBorders>
                    <w:bottom w:val="single" w:color="000000" w:sz="4" w:space="0"/>
                  </w:tcBorders>
                  <w:vAlign w:val="center"/>
                </w:tcPr>
                <w:p>
                  <w:pPr>
                    <w:jc w:val="center"/>
                    <w:rPr>
                      <w:szCs w:val="2"/>
                    </w:rPr>
                  </w:pPr>
                </w:p>
              </w:tc>
              <w:tc>
                <w:tcPr>
                  <w:tcW w:w="658" w:type="pct"/>
                </w:tcPr>
                <w:p>
                  <w:pPr>
                    <w:pStyle w:val="217"/>
                    <w:spacing w:before="25"/>
                    <w:ind w:left="212" w:right="200"/>
                    <w:rPr>
                      <w:rFonts w:ascii="Times New Roman" w:hAnsi="Times New Roman"/>
                      <w:sz w:val="21"/>
                    </w:rPr>
                  </w:pPr>
                  <w:r>
                    <w:rPr>
                      <w:rFonts w:ascii="Times New Roman" w:hAnsi="Times New Roman"/>
                      <w:sz w:val="21"/>
                    </w:rPr>
                    <w:t>平均值</w:t>
                  </w:r>
                </w:p>
              </w:tc>
              <w:tc>
                <w:tcPr>
                  <w:tcW w:w="893" w:type="pct"/>
                </w:tcPr>
                <w:p>
                  <w:pPr>
                    <w:pStyle w:val="217"/>
                    <w:spacing w:before="39"/>
                    <w:ind w:left="11"/>
                    <w:rPr>
                      <w:rFonts w:ascii="Times New Roman" w:hAnsi="Times New Roman"/>
                      <w:sz w:val="21"/>
                    </w:rPr>
                  </w:pPr>
                  <w:r>
                    <w:rPr>
                      <w:rFonts w:ascii="Times New Roman" w:hAnsi="Times New Roman"/>
                      <w:sz w:val="21"/>
                    </w:rPr>
                    <w:t>/</w:t>
                  </w:r>
                </w:p>
              </w:tc>
              <w:tc>
                <w:tcPr>
                  <w:tcW w:w="895" w:type="pct"/>
                </w:tcPr>
                <w:p>
                  <w:pPr>
                    <w:pStyle w:val="217"/>
                    <w:spacing w:before="39"/>
                    <w:ind w:left="9"/>
                    <w:rPr>
                      <w:rFonts w:ascii="Times New Roman" w:hAnsi="Times New Roman"/>
                      <w:sz w:val="21"/>
                    </w:rPr>
                  </w:pPr>
                  <w:r>
                    <w:rPr>
                      <w:rFonts w:ascii="Times New Roman" w:hAnsi="Times New Roman"/>
                      <w:sz w:val="21"/>
                    </w:rPr>
                    <w:t>/</w:t>
                  </w:r>
                </w:p>
              </w:tc>
              <w:tc>
                <w:tcPr>
                  <w:tcW w:w="895" w:type="pct"/>
                </w:tcPr>
                <w:p>
                  <w:pPr>
                    <w:pStyle w:val="217"/>
                    <w:spacing w:before="39"/>
                    <w:ind w:left="11"/>
                    <w:rPr>
                      <w:rFonts w:ascii="Times New Roman" w:hAnsi="Times New Roman"/>
                      <w:sz w:val="21"/>
                    </w:rPr>
                  </w:pPr>
                  <w:r>
                    <w:rPr>
                      <w:rFonts w:ascii="Times New Roman" w:hAnsi="Times New Roman"/>
                      <w:sz w:val="21"/>
                    </w:rPr>
                    <w:t>/</w:t>
                  </w:r>
                </w:p>
              </w:tc>
              <w:tc>
                <w:tcPr>
                  <w:tcW w:w="893" w:type="pct"/>
                </w:tcPr>
                <w:p>
                  <w:pPr>
                    <w:pStyle w:val="217"/>
                    <w:spacing w:before="39"/>
                    <w:ind w:left="14"/>
                    <w:rPr>
                      <w:rFonts w:ascii="Times New Roman" w:hAnsi="Times New Roman"/>
                      <w:sz w:val="21"/>
                    </w:rPr>
                  </w:pPr>
                  <w:r>
                    <w:rPr>
                      <w:rFonts w:ascii="Times New Roman" w:hAnsi="Times New Roman"/>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22" w:type="pct"/>
                  <w:gridSpan w:val="2"/>
                  <w:tcBorders>
                    <w:top w:val="single" w:color="000000" w:sz="4" w:space="0"/>
                    <w:bottom w:val="single" w:color="000000" w:sz="4" w:space="0"/>
                  </w:tcBorders>
                </w:tcPr>
                <w:p>
                  <w:pPr>
                    <w:pStyle w:val="217"/>
                    <w:spacing w:before="22"/>
                    <w:ind w:left="364"/>
                    <w:jc w:val="left"/>
                    <w:rPr>
                      <w:rFonts w:ascii="Times New Roman" w:hAnsi="Times New Roman"/>
                      <w:b/>
                      <w:bCs/>
                      <w:sz w:val="21"/>
                    </w:rPr>
                  </w:pPr>
                  <w:r>
                    <w:rPr>
                      <w:rFonts w:ascii="Times New Roman" w:hAnsi="Times New Roman"/>
                      <w:b/>
                      <w:bCs/>
                      <w:sz w:val="21"/>
                    </w:rPr>
                    <w:t>2020年</w:t>
                  </w:r>
                  <w:r>
                    <w:rPr>
                      <w:rFonts w:hint="eastAsia" w:ascii="Times New Roman" w:hAnsi="Times New Roman"/>
                      <w:b/>
                      <w:bCs/>
                      <w:sz w:val="21"/>
                      <w:lang w:val="en-US"/>
                    </w:rPr>
                    <w:t>4</w:t>
                  </w:r>
                  <w:r>
                    <w:rPr>
                      <w:rFonts w:ascii="Times New Roman" w:hAnsi="Times New Roman"/>
                      <w:b/>
                      <w:bCs/>
                      <w:sz w:val="21"/>
                    </w:rPr>
                    <w:t>月</w:t>
                  </w:r>
                  <w:r>
                    <w:rPr>
                      <w:rFonts w:hint="eastAsia" w:ascii="Times New Roman" w:hAnsi="Times New Roman"/>
                      <w:b/>
                      <w:bCs/>
                      <w:sz w:val="21"/>
                      <w:lang w:val="en-US"/>
                    </w:rPr>
                    <w:t>24</w:t>
                  </w:r>
                  <w:r>
                    <w:rPr>
                      <w:rFonts w:ascii="Times New Roman" w:hAnsi="Times New Roman"/>
                      <w:b/>
                      <w:bCs/>
                      <w:sz w:val="21"/>
                    </w:rPr>
                    <w:t>日</w:t>
                  </w:r>
                </w:p>
              </w:tc>
              <w:tc>
                <w:tcPr>
                  <w:tcW w:w="893" w:type="pct"/>
                </w:tcPr>
                <w:p>
                  <w:pPr>
                    <w:pStyle w:val="217"/>
                    <w:spacing w:before="22"/>
                    <w:ind w:left="227" w:right="212"/>
                    <w:rPr>
                      <w:rFonts w:ascii="Times New Roman" w:hAnsi="Times New Roman"/>
                      <w:b/>
                      <w:bCs/>
                      <w:sz w:val="21"/>
                    </w:rPr>
                  </w:pPr>
                  <w:r>
                    <w:rPr>
                      <w:rFonts w:ascii="Times New Roman" w:hAnsi="Times New Roman"/>
                      <w:b/>
                      <w:bCs/>
                      <w:sz w:val="21"/>
                    </w:rPr>
                    <w:t>参照点G1</w:t>
                  </w:r>
                </w:p>
              </w:tc>
              <w:tc>
                <w:tcPr>
                  <w:tcW w:w="895" w:type="pct"/>
                </w:tcPr>
                <w:p>
                  <w:pPr>
                    <w:pStyle w:val="217"/>
                    <w:spacing w:before="22"/>
                    <w:ind w:left="227" w:right="213"/>
                    <w:rPr>
                      <w:rFonts w:ascii="Times New Roman" w:hAnsi="Times New Roman"/>
                      <w:b/>
                      <w:bCs/>
                      <w:sz w:val="21"/>
                    </w:rPr>
                  </w:pPr>
                  <w:r>
                    <w:rPr>
                      <w:rFonts w:ascii="Times New Roman" w:hAnsi="Times New Roman"/>
                      <w:b/>
                      <w:bCs/>
                      <w:sz w:val="21"/>
                    </w:rPr>
                    <w:t>监控点G2</w:t>
                  </w:r>
                </w:p>
              </w:tc>
              <w:tc>
                <w:tcPr>
                  <w:tcW w:w="895" w:type="pct"/>
                </w:tcPr>
                <w:p>
                  <w:pPr>
                    <w:pStyle w:val="217"/>
                    <w:spacing w:before="22"/>
                    <w:ind w:left="228" w:right="212"/>
                    <w:rPr>
                      <w:rFonts w:ascii="Times New Roman" w:hAnsi="Times New Roman"/>
                      <w:b/>
                      <w:bCs/>
                      <w:sz w:val="21"/>
                    </w:rPr>
                  </w:pPr>
                  <w:r>
                    <w:rPr>
                      <w:rFonts w:ascii="Times New Roman" w:hAnsi="Times New Roman"/>
                      <w:b/>
                      <w:bCs/>
                      <w:sz w:val="21"/>
                    </w:rPr>
                    <w:t>监控点G3</w:t>
                  </w:r>
                </w:p>
              </w:tc>
              <w:tc>
                <w:tcPr>
                  <w:tcW w:w="893" w:type="pct"/>
                </w:tcPr>
                <w:p>
                  <w:pPr>
                    <w:pStyle w:val="217"/>
                    <w:spacing w:before="22"/>
                    <w:ind w:left="227" w:right="212"/>
                    <w:rPr>
                      <w:rFonts w:ascii="Times New Roman" w:hAnsi="Times New Roman"/>
                      <w:b/>
                      <w:bCs/>
                      <w:sz w:val="21"/>
                    </w:rPr>
                  </w:pPr>
                  <w:r>
                    <w:rPr>
                      <w:rFonts w:ascii="Times New Roman" w:hAnsi="Times New Roman"/>
                      <w:b/>
                      <w:bCs/>
                      <w:sz w:val="21"/>
                    </w:rPr>
                    <w:t>监控点G4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restart"/>
                  <w:tcBorders>
                    <w:top w:val="single" w:color="000000" w:sz="4" w:space="0"/>
                  </w:tcBorders>
                  <w:vAlign w:val="center"/>
                </w:tcPr>
                <w:p>
                  <w:pPr>
                    <w:pStyle w:val="217"/>
                    <w:ind w:left="316"/>
                    <w:jc w:val="both"/>
                    <w:rPr>
                      <w:rFonts w:ascii="Times New Roman" w:hAnsi="Times New Roman"/>
                      <w:sz w:val="21"/>
                      <w:szCs w:val="2"/>
                    </w:rPr>
                  </w:pPr>
                  <w:r>
                    <w:rPr>
                      <w:rFonts w:ascii="Times New Roman" w:hAnsi="Times New Roman"/>
                      <w:sz w:val="21"/>
                    </w:rPr>
                    <w:t>颗粒物</w:t>
                  </w:r>
                </w:p>
              </w:tc>
              <w:tc>
                <w:tcPr>
                  <w:tcW w:w="658" w:type="pct"/>
                </w:tcPr>
                <w:p>
                  <w:pPr>
                    <w:pStyle w:val="217"/>
                    <w:spacing w:before="22"/>
                    <w:ind w:left="212" w:right="200"/>
                    <w:rPr>
                      <w:rFonts w:ascii="Times New Roman" w:hAnsi="Times New Roman"/>
                      <w:sz w:val="21"/>
                    </w:rPr>
                  </w:pPr>
                  <w:r>
                    <w:rPr>
                      <w:rFonts w:ascii="Times New Roman" w:hAnsi="Times New Roman"/>
                      <w:sz w:val="21"/>
                    </w:rPr>
                    <w:t>第一次</w:t>
                  </w:r>
                </w:p>
              </w:tc>
              <w:tc>
                <w:tcPr>
                  <w:tcW w:w="893" w:type="pct"/>
                </w:tcPr>
                <w:p>
                  <w:pPr>
                    <w:pStyle w:val="217"/>
                    <w:spacing w:before="36"/>
                    <w:ind w:left="227" w:right="212"/>
                    <w:rPr>
                      <w:rFonts w:ascii="Times New Roman" w:hAnsi="Times New Roman"/>
                      <w:sz w:val="21"/>
                    </w:rPr>
                  </w:pPr>
                  <w:r>
                    <w:rPr>
                      <w:rFonts w:ascii="Times New Roman" w:hAnsi="Times New Roman"/>
                      <w:sz w:val="21"/>
                    </w:rPr>
                    <w:t>0.22</w:t>
                  </w:r>
                </w:p>
              </w:tc>
              <w:tc>
                <w:tcPr>
                  <w:tcW w:w="895" w:type="pct"/>
                </w:tcPr>
                <w:p>
                  <w:pPr>
                    <w:pStyle w:val="217"/>
                    <w:spacing w:before="36"/>
                    <w:ind w:left="226" w:right="213"/>
                    <w:rPr>
                      <w:rFonts w:ascii="Times New Roman" w:hAnsi="Times New Roman"/>
                      <w:sz w:val="21"/>
                    </w:rPr>
                  </w:pPr>
                  <w:r>
                    <w:rPr>
                      <w:rFonts w:ascii="Times New Roman" w:hAnsi="Times New Roman"/>
                      <w:sz w:val="21"/>
                    </w:rPr>
                    <w:t>0.39</w:t>
                  </w:r>
                </w:p>
              </w:tc>
              <w:tc>
                <w:tcPr>
                  <w:tcW w:w="895" w:type="pct"/>
                </w:tcPr>
                <w:p>
                  <w:pPr>
                    <w:pStyle w:val="217"/>
                    <w:spacing w:before="36"/>
                    <w:ind w:left="228" w:right="213"/>
                    <w:rPr>
                      <w:rFonts w:ascii="Times New Roman" w:hAnsi="Times New Roman"/>
                      <w:sz w:val="21"/>
                    </w:rPr>
                  </w:pPr>
                  <w:r>
                    <w:rPr>
                      <w:rFonts w:ascii="Times New Roman" w:hAnsi="Times New Roman"/>
                      <w:sz w:val="21"/>
                    </w:rPr>
                    <w:t>0.43</w:t>
                  </w:r>
                </w:p>
              </w:tc>
              <w:tc>
                <w:tcPr>
                  <w:tcW w:w="893" w:type="pct"/>
                </w:tcPr>
                <w:p>
                  <w:pPr>
                    <w:pStyle w:val="217"/>
                    <w:spacing w:before="36"/>
                    <w:ind w:left="226" w:right="213"/>
                    <w:rPr>
                      <w:rFonts w:ascii="Times New Roman" w:hAnsi="Times New Roman"/>
                      <w:sz w:val="21"/>
                    </w:rPr>
                  </w:pPr>
                  <w:r>
                    <w:rPr>
                      <w:rFonts w:ascii="Times New Roman" w:hAnsi="Times New Roman"/>
                      <w:sz w:val="21"/>
                    </w:rPr>
                    <w:t>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第二次</w:t>
                  </w:r>
                </w:p>
              </w:tc>
              <w:tc>
                <w:tcPr>
                  <w:tcW w:w="893" w:type="pct"/>
                </w:tcPr>
                <w:p>
                  <w:pPr>
                    <w:pStyle w:val="217"/>
                    <w:spacing w:before="36"/>
                    <w:ind w:left="227" w:right="212"/>
                    <w:rPr>
                      <w:rFonts w:ascii="Times New Roman" w:hAnsi="Times New Roman"/>
                      <w:sz w:val="21"/>
                    </w:rPr>
                  </w:pPr>
                  <w:r>
                    <w:rPr>
                      <w:rFonts w:ascii="Times New Roman" w:hAnsi="Times New Roman"/>
                      <w:sz w:val="21"/>
                    </w:rPr>
                    <w:t>0.28</w:t>
                  </w:r>
                </w:p>
              </w:tc>
              <w:tc>
                <w:tcPr>
                  <w:tcW w:w="895" w:type="pct"/>
                </w:tcPr>
                <w:p>
                  <w:pPr>
                    <w:pStyle w:val="217"/>
                    <w:spacing w:before="36"/>
                    <w:ind w:left="226" w:right="213"/>
                    <w:rPr>
                      <w:rFonts w:ascii="Times New Roman" w:hAnsi="Times New Roman"/>
                      <w:sz w:val="21"/>
                    </w:rPr>
                  </w:pPr>
                  <w:r>
                    <w:rPr>
                      <w:rFonts w:ascii="Times New Roman" w:hAnsi="Times New Roman"/>
                      <w:sz w:val="21"/>
                    </w:rPr>
                    <w:t>0.45</w:t>
                  </w:r>
                </w:p>
              </w:tc>
              <w:tc>
                <w:tcPr>
                  <w:tcW w:w="895" w:type="pct"/>
                </w:tcPr>
                <w:p>
                  <w:pPr>
                    <w:pStyle w:val="217"/>
                    <w:spacing w:before="36"/>
                    <w:ind w:left="227" w:right="213"/>
                    <w:rPr>
                      <w:rFonts w:ascii="Times New Roman" w:hAnsi="Times New Roman"/>
                      <w:sz w:val="21"/>
                    </w:rPr>
                  </w:pPr>
                  <w:r>
                    <w:rPr>
                      <w:rFonts w:ascii="Times New Roman" w:hAnsi="Times New Roman"/>
                      <w:sz w:val="21"/>
                    </w:rPr>
                    <w:t>0.47</w:t>
                  </w:r>
                </w:p>
              </w:tc>
              <w:tc>
                <w:tcPr>
                  <w:tcW w:w="893" w:type="pct"/>
                </w:tcPr>
                <w:p>
                  <w:pPr>
                    <w:pStyle w:val="217"/>
                    <w:spacing w:before="36"/>
                    <w:ind w:left="226" w:right="213"/>
                    <w:rPr>
                      <w:rFonts w:ascii="Times New Roman" w:hAnsi="Times New Roman"/>
                      <w:sz w:val="21"/>
                    </w:rPr>
                  </w:pPr>
                  <w:r>
                    <w:rPr>
                      <w:rFonts w:ascii="Times New Roman" w:hAnsi="Times New Roman"/>
                      <w:sz w:val="21"/>
                    </w:rPr>
                    <w:t>0.43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第三次</w:t>
                  </w:r>
                </w:p>
              </w:tc>
              <w:tc>
                <w:tcPr>
                  <w:tcW w:w="893" w:type="pct"/>
                </w:tcPr>
                <w:p>
                  <w:pPr>
                    <w:pStyle w:val="217"/>
                    <w:spacing w:before="36"/>
                    <w:ind w:left="227" w:right="212"/>
                    <w:rPr>
                      <w:rFonts w:ascii="Times New Roman" w:hAnsi="Times New Roman"/>
                      <w:sz w:val="21"/>
                    </w:rPr>
                  </w:pPr>
                  <w:r>
                    <w:rPr>
                      <w:rFonts w:ascii="Times New Roman" w:hAnsi="Times New Roman"/>
                      <w:sz w:val="21"/>
                    </w:rPr>
                    <w:t>0.30</w:t>
                  </w:r>
                </w:p>
              </w:tc>
              <w:tc>
                <w:tcPr>
                  <w:tcW w:w="895" w:type="pct"/>
                </w:tcPr>
                <w:p>
                  <w:pPr>
                    <w:pStyle w:val="217"/>
                    <w:spacing w:before="36"/>
                    <w:ind w:left="226" w:right="213"/>
                    <w:rPr>
                      <w:rFonts w:ascii="Times New Roman" w:hAnsi="Times New Roman"/>
                      <w:sz w:val="21"/>
                    </w:rPr>
                  </w:pPr>
                  <w:r>
                    <w:rPr>
                      <w:rFonts w:ascii="Times New Roman" w:hAnsi="Times New Roman"/>
                      <w:sz w:val="21"/>
                    </w:rPr>
                    <w:t>0.53</w:t>
                  </w:r>
                </w:p>
              </w:tc>
              <w:tc>
                <w:tcPr>
                  <w:tcW w:w="895" w:type="pct"/>
                </w:tcPr>
                <w:p>
                  <w:pPr>
                    <w:pStyle w:val="217"/>
                    <w:spacing w:before="36"/>
                    <w:ind w:left="227" w:right="213"/>
                    <w:rPr>
                      <w:rFonts w:ascii="Times New Roman" w:hAnsi="Times New Roman"/>
                      <w:sz w:val="21"/>
                    </w:rPr>
                  </w:pPr>
                  <w:r>
                    <w:rPr>
                      <w:rFonts w:ascii="Times New Roman" w:hAnsi="Times New Roman"/>
                      <w:sz w:val="21"/>
                    </w:rPr>
                    <w:t>0.51</w:t>
                  </w:r>
                </w:p>
              </w:tc>
              <w:tc>
                <w:tcPr>
                  <w:tcW w:w="893" w:type="pct"/>
                </w:tcPr>
                <w:p>
                  <w:pPr>
                    <w:pStyle w:val="217"/>
                    <w:spacing w:before="36"/>
                    <w:ind w:left="226" w:right="213"/>
                    <w:rPr>
                      <w:rFonts w:ascii="Times New Roman" w:hAnsi="Times New Roman"/>
                      <w:sz w:val="21"/>
                    </w:rPr>
                  </w:pPr>
                  <w:r>
                    <w:rPr>
                      <w:rFonts w:ascii="Times New Roman" w:hAnsi="Times New Roman"/>
                      <w:sz w:val="21"/>
                    </w:rPr>
                    <w:t>0.57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tcBorders>
                    <w:bottom w:val="single" w:color="000000" w:sz="4" w:space="0"/>
                  </w:tcBorders>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平均值</w:t>
                  </w:r>
                </w:p>
              </w:tc>
              <w:tc>
                <w:tcPr>
                  <w:tcW w:w="893" w:type="pct"/>
                </w:tcPr>
                <w:p>
                  <w:pPr>
                    <w:pStyle w:val="217"/>
                    <w:spacing w:before="36"/>
                    <w:ind w:left="227" w:right="212"/>
                    <w:rPr>
                      <w:rFonts w:ascii="Times New Roman" w:hAnsi="Times New Roman"/>
                      <w:sz w:val="21"/>
                    </w:rPr>
                  </w:pPr>
                  <w:r>
                    <w:rPr>
                      <w:rFonts w:ascii="Times New Roman" w:hAnsi="Times New Roman"/>
                      <w:sz w:val="21"/>
                    </w:rPr>
                    <w:t>0.27</w:t>
                  </w:r>
                </w:p>
              </w:tc>
              <w:tc>
                <w:tcPr>
                  <w:tcW w:w="895" w:type="pct"/>
                </w:tcPr>
                <w:p>
                  <w:pPr>
                    <w:pStyle w:val="217"/>
                    <w:spacing w:before="36"/>
                    <w:ind w:left="226" w:right="213"/>
                    <w:rPr>
                      <w:rFonts w:ascii="Times New Roman" w:hAnsi="Times New Roman"/>
                      <w:sz w:val="21"/>
                    </w:rPr>
                  </w:pPr>
                  <w:r>
                    <w:rPr>
                      <w:rFonts w:ascii="Times New Roman" w:hAnsi="Times New Roman"/>
                      <w:sz w:val="21"/>
                    </w:rPr>
                    <w:t>0.46</w:t>
                  </w:r>
                </w:p>
              </w:tc>
              <w:tc>
                <w:tcPr>
                  <w:tcW w:w="895" w:type="pct"/>
                </w:tcPr>
                <w:p>
                  <w:pPr>
                    <w:pStyle w:val="217"/>
                    <w:spacing w:before="36"/>
                    <w:ind w:left="227" w:right="213"/>
                    <w:rPr>
                      <w:rFonts w:ascii="Times New Roman" w:hAnsi="Times New Roman"/>
                      <w:sz w:val="21"/>
                    </w:rPr>
                  </w:pPr>
                  <w:r>
                    <w:rPr>
                      <w:rFonts w:ascii="Times New Roman" w:hAnsi="Times New Roman"/>
                      <w:sz w:val="21"/>
                    </w:rPr>
                    <w:t>0.47</w:t>
                  </w:r>
                </w:p>
              </w:tc>
              <w:tc>
                <w:tcPr>
                  <w:tcW w:w="893" w:type="pct"/>
                </w:tcPr>
                <w:p>
                  <w:pPr>
                    <w:pStyle w:val="217"/>
                    <w:spacing w:before="36"/>
                    <w:ind w:left="226" w:right="213"/>
                    <w:rPr>
                      <w:rFonts w:ascii="Times New Roman" w:hAnsi="Times New Roman"/>
                      <w:sz w:val="21"/>
                    </w:rPr>
                  </w:pPr>
                  <w:r>
                    <w:rPr>
                      <w:rFonts w:ascii="Times New Roman" w:hAnsi="Times New Roman"/>
                      <w:sz w:val="21"/>
                    </w:rPr>
                    <w:t>0.48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restart"/>
                  <w:tcBorders>
                    <w:top w:val="single" w:color="000000" w:sz="4" w:space="0"/>
                  </w:tcBorders>
                </w:tcPr>
                <w:p>
                  <w:pPr>
                    <w:pStyle w:val="217"/>
                    <w:jc w:val="left"/>
                    <w:rPr>
                      <w:rFonts w:ascii="Times New Roman" w:hAnsi="Times New Roman"/>
                      <w:sz w:val="21"/>
                    </w:rPr>
                  </w:pPr>
                </w:p>
                <w:p>
                  <w:pPr>
                    <w:pStyle w:val="217"/>
                    <w:spacing w:before="8"/>
                    <w:jc w:val="left"/>
                    <w:rPr>
                      <w:rFonts w:ascii="Times New Roman" w:hAnsi="Times New Roman"/>
                      <w:sz w:val="21"/>
                    </w:rPr>
                  </w:pPr>
                </w:p>
                <w:p>
                  <w:pPr>
                    <w:pStyle w:val="217"/>
                    <w:spacing w:before="1"/>
                    <w:ind w:left="352"/>
                    <w:jc w:val="left"/>
                    <w:rPr>
                      <w:rFonts w:ascii="Times New Roman" w:hAnsi="Times New Roman"/>
                      <w:sz w:val="21"/>
                      <w:szCs w:val="2"/>
                    </w:rPr>
                  </w:pPr>
                  <w:r>
                    <w:rPr>
                      <w:rFonts w:ascii="Times New Roman" w:hAnsi="Times New Roman"/>
                      <w:sz w:val="21"/>
                    </w:rPr>
                    <w:t>VOCS</w:t>
                  </w:r>
                </w:p>
              </w:tc>
              <w:tc>
                <w:tcPr>
                  <w:tcW w:w="658" w:type="pct"/>
                </w:tcPr>
                <w:p>
                  <w:pPr>
                    <w:pStyle w:val="217"/>
                    <w:spacing w:before="25"/>
                    <w:ind w:left="212" w:right="200"/>
                    <w:rPr>
                      <w:rFonts w:ascii="Times New Roman" w:hAnsi="Times New Roman"/>
                      <w:sz w:val="21"/>
                    </w:rPr>
                  </w:pPr>
                  <w:r>
                    <w:rPr>
                      <w:rFonts w:ascii="Times New Roman" w:hAnsi="Times New Roman"/>
                      <w:sz w:val="21"/>
                    </w:rPr>
                    <w:t>第一次</w:t>
                  </w:r>
                </w:p>
              </w:tc>
              <w:tc>
                <w:tcPr>
                  <w:tcW w:w="893" w:type="pct"/>
                </w:tcPr>
                <w:p>
                  <w:pPr>
                    <w:pStyle w:val="217"/>
                    <w:spacing w:before="34"/>
                    <w:ind w:left="225" w:right="213"/>
                    <w:rPr>
                      <w:rFonts w:ascii="Times New Roman" w:hAnsi="Times New Roman"/>
                      <w:sz w:val="21"/>
                    </w:rPr>
                  </w:pPr>
                  <w:r>
                    <w:rPr>
                      <w:rFonts w:ascii="Times New Roman" w:hAnsi="Times New Roman"/>
                      <w:sz w:val="21"/>
                    </w:rPr>
                    <w:t>2.05×10</w:t>
                  </w:r>
                  <w:r>
                    <w:rPr>
                      <w:rFonts w:ascii="Times New Roman" w:hAnsi="Times New Roman"/>
                      <w:position w:val="7"/>
                      <w:sz w:val="21"/>
                    </w:rPr>
                    <w:t>-2</w:t>
                  </w:r>
                </w:p>
              </w:tc>
              <w:tc>
                <w:tcPr>
                  <w:tcW w:w="895" w:type="pct"/>
                </w:tcPr>
                <w:p>
                  <w:pPr>
                    <w:pStyle w:val="217"/>
                    <w:spacing w:before="34"/>
                    <w:ind w:left="224" w:right="213"/>
                    <w:rPr>
                      <w:rFonts w:ascii="Times New Roman" w:hAnsi="Times New Roman"/>
                      <w:sz w:val="21"/>
                    </w:rPr>
                  </w:pPr>
                  <w:r>
                    <w:rPr>
                      <w:rFonts w:ascii="Times New Roman" w:hAnsi="Times New Roman"/>
                      <w:sz w:val="21"/>
                    </w:rPr>
                    <w:t>1.68×10</w:t>
                  </w:r>
                  <w:r>
                    <w:rPr>
                      <w:rFonts w:ascii="Times New Roman" w:hAnsi="Times New Roman"/>
                      <w:position w:val="7"/>
                      <w:sz w:val="21"/>
                    </w:rPr>
                    <w:t>-2</w:t>
                  </w:r>
                </w:p>
              </w:tc>
              <w:tc>
                <w:tcPr>
                  <w:tcW w:w="895" w:type="pct"/>
                </w:tcPr>
                <w:p>
                  <w:pPr>
                    <w:pStyle w:val="217"/>
                    <w:spacing w:before="34"/>
                    <w:ind w:left="225" w:right="213"/>
                    <w:rPr>
                      <w:rFonts w:ascii="Times New Roman" w:hAnsi="Times New Roman"/>
                      <w:sz w:val="21"/>
                    </w:rPr>
                  </w:pPr>
                  <w:r>
                    <w:rPr>
                      <w:rFonts w:ascii="Times New Roman" w:hAnsi="Times New Roman"/>
                      <w:sz w:val="21"/>
                    </w:rPr>
                    <w:t>2.33×10</w:t>
                  </w:r>
                  <w:r>
                    <w:rPr>
                      <w:rFonts w:ascii="Times New Roman" w:hAnsi="Times New Roman"/>
                      <w:position w:val="7"/>
                      <w:sz w:val="21"/>
                    </w:rPr>
                    <w:t>-2</w:t>
                  </w:r>
                </w:p>
              </w:tc>
              <w:tc>
                <w:tcPr>
                  <w:tcW w:w="893" w:type="pct"/>
                </w:tcPr>
                <w:p>
                  <w:pPr>
                    <w:pStyle w:val="217"/>
                    <w:spacing w:before="34"/>
                    <w:ind w:left="223" w:right="213"/>
                    <w:rPr>
                      <w:rFonts w:ascii="Times New Roman" w:hAnsi="Times New Roman"/>
                      <w:sz w:val="21"/>
                    </w:rPr>
                  </w:pPr>
                  <w:r>
                    <w:rPr>
                      <w:rFonts w:ascii="Times New Roman" w:hAnsi="Times New Roman"/>
                      <w:sz w:val="21"/>
                    </w:rPr>
                    <w:t>2.31×10</w:t>
                  </w:r>
                  <w:r>
                    <w:rPr>
                      <w:rFonts w:ascii="Times New Roman" w:hAnsi="Times New Roman"/>
                      <w:position w:val="7"/>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第二次</w:t>
                  </w:r>
                </w:p>
              </w:tc>
              <w:tc>
                <w:tcPr>
                  <w:tcW w:w="893" w:type="pct"/>
                </w:tcPr>
                <w:p>
                  <w:pPr>
                    <w:pStyle w:val="217"/>
                    <w:spacing w:before="32"/>
                    <w:ind w:left="225" w:right="213"/>
                    <w:rPr>
                      <w:rFonts w:ascii="Times New Roman" w:hAnsi="Times New Roman"/>
                      <w:sz w:val="21"/>
                    </w:rPr>
                  </w:pPr>
                  <w:r>
                    <w:rPr>
                      <w:rFonts w:ascii="Times New Roman" w:hAnsi="Times New Roman"/>
                      <w:sz w:val="21"/>
                    </w:rPr>
                    <w:t>1.93×10</w:t>
                  </w:r>
                  <w:r>
                    <w:rPr>
                      <w:rFonts w:ascii="Times New Roman" w:hAnsi="Times New Roman"/>
                      <w:position w:val="7"/>
                      <w:sz w:val="21"/>
                    </w:rPr>
                    <w:t>-2</w:t>
                  </w:r>
                </w:p>
              </w:tc>
              <w:tc>
                <w:tcPr>
                  <w:tcW w:w="895" w:type="pct"/>
                </w:tcPr>
                <w:p>
                  <w:pPr>
                    <w:pStyle w:val="217"/>
                    <w:spacing w:before="32"/>
                    <w:ind w:left="224" w:right="213"/>
                    <w:rPr>
                      <w:rFonts w:ascii="Times New Roman" w:hAnsi="Times New Roman"/>
                      <w:sz w:val="21"/>
                    </w:rPr>
                  </w:pPr>
                  <w:r>
                    <w:rPr>
                      <w:rFonts w:ascii="Times New Roman" w:hAnsi="Times New Roman"/>
                      <w:sz w:val="21"/>
                    </w:rPr>
                    <w:t>1.81×10</w:t>
                  </w:r>
                  <w:r>
                    <w:rPr>
                      <w:rFonts w:ascii="Times New Roman" w:hAnsi="Times New Roman"/>
                      <w:position w:val="7"/>
                      <w:sz w:val="21"/>
                    </w:rPr>
                    <w:t>-2</w:t>
                  </w:r>
                </w:p>
              </w:tc>
              <w:tc>
                <w:tcPr>
                  <w:tcW w:w="895" w:type="pct"/>
                </w:tcPr>
                <w:p>
                  <w:pPr>
                    <w:pStyle w:val="217"/>
                    <w:spacing w:before="32"/>
                    <w:ind w:left="225" w:right="213"/>
                    <w:rPr>
                      <w:rFonts w:ascii="Times New Roman" w:hAnsi="Times New Roman"/>
                      <w:sz w:val="21"/>
                    </w:rPr>
                  </w:pPr>
                  <w:r>
                    <w:rPr>
                      <w:rFonts w:ascii="Times New Roman" w:hAnsi="Times New Roman"/>
                      <w:sz w:val="21"/>
                    </w:rPr>
                    <w:t>3.22×10</w:t>
                  </w:r>
                  <w:r>
                    <w:rPr>
                      <w:rFonts w:ascii="Times New Roman" w:hAnsi="Times New Roman"/>
                      <w:position w:val="7"/>
                      <w:sz w:val="21"/>
                    </w:rPr>
                    <w:t>-2</w:t>
                  </w:r>
                </w:p>
              </w:tc>
              <w:tc>
                <w:tcPr>
                  <w:tcW w:w="893" w:type="pct"/>
                </w:tcPr>
                <w:p>
                  <w:pPr>
                    <w:pStyle w:val="217"/>
                    <w:spacing w:before="32"/>
                    <w:ind w:left="223" w:right="213"/>
                    <w:rPr>
                      <w:rFonts w:ascii="Times New Roman" w:hAnsi="Times New Roman"/>
                      <w:sz w:val="21"/>
                    </w:rPr>
                  </w:pPr>
                  <w:r>
                    <w:rPr>
                      <w:rFonts w:ascii="Times New Roman" w:hAnsi="Times New Roman"/>
                      <w:sz w:val="21"/>
                    </w:rPr>
                    <w:t>2.57×10</w:t>
                  </w:r>
                  <w:r>
                    <w:rPr>
                      <w:rFonts w:ascii="Times New Roman" w:hAnsi="Times New Roman"/>
                      <w:position w:val="7"/>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第三次</w:t>
                  </w:r>
                </w:p>
              </w:tc>
              <w:tc>
                <w:tcPr>
                  <w:tcW w:w="893" w:type="pct"/>
                </w:tcPr>
                <w:p>
                  <w:pPr>
                    <w:pStyle w:val="217"/>
                    <w:spacing w:before="32"/>
                    <w:ind w:left="225" w:right="213"/>
                    <w:rPr>
                      <w:rFonts w:ascii="Times New Roman" w:hAnsi="Times New Roman"/>
                      <w:sz w:val="21"/>
                    </w:rPr>
                  </w:pPr>
                  <w:r>
                    <w:rPr>
                      <w:rFonts w:ascii="Times New Roman" w:hAnsi="Times New Roman"/>
                      <w:sz w:val="21"/>
                    </w:rPr>
                    <w:t>2.27×10</w:t>
                  </w:r>
                  <w:r>
                    <w:rPr>
                      <w:rFonts w:ascii="Times New Roman" w:hAnsi="Times New Roman"/>
                      <w:position w:val="7"/>
                      <w:sz w:val="21"/>
                    </w:rPr>
                    <w:t>-2</w:t>
                  </w:r>
                </w:p>
              </w:tc>
              <w:tc>
                <w:tcPr>
                  <w:tcW w:w="895" w:type="pct"/>
                </w:tcPr>
                <w:p>
                  <w:pPr>
                    <w:pStyle w:val="217"/>
                    <w:spacing w:before="32"/>
                    <w:ind w:left="224" w:right="213"/>
                    <w:rPr>
                      <w:rFonts w:ascii="Times New Roman" w:hAnsi="Times New Roman"/>
                      <w:sz w:val="21"/>
                    </w:rPr>
                  </w:pPr>
                  <w:r>
                    <w:rPr>
                      <w:rFonts w:ascii="Times New Roman" w:hAnsi="Times New Roman"/>
                      <w:sz w:val="21"/>
                    </w:rPr>
                    <w:t>2.49×10</w:t>
                  </w:r>
                  <w:r>
                    <w:rPr>
                      <w:rFonts w:ascii="Times New Roman" w:hAnsi="Times New Roman"/>
                      <w:position w:val="7"/>
                      <w:sz w:val="21"/>
                    </w:rPr>
                    <w:t>-2</w:t>
                  </w:r>
                </w:p>
              </w:tc>
              <w:tc>
                <w:tcPr>
                  <w:tcW w:w="895" w:type="pct"/>
                </w:tcPr>
                <w:p>
                  <w:pPr>
                    <w:pStyle w:val="217"/>
                    <w:spacing w:before="32"/>
                    <w:ind w:left="225" w:right="213"/>
                    <w:rPr>
                      <w:rFonts w:ascii="Times New Roman" w:hAnsi="Times New Roman"/>
                      <w:sz w:val="21"/>
                    </w:rPr>
                  </w:pPr>
                  <w:r>
                    <w:rPr>
                      <w:rFonts w:ascii="Times New Roman" w:hAnsi="Times New Roman"/>
                      <w:sz w:val="21"/>
                    </w:rPr>
                    <w:t>3.39×10</w:t>
                  </w:r>
                  <w:r>
                    <w:rPr>
                      <w:rFonts w:ascii="Times New Roman" w:hAnsi="Times New Roman"/>
                      <w:position w:val="7"/>
                      <w:sz w:val="21"/>
                    </w:rPr>
                    <w:t>-2</w:t>
                  </w:r>
                </w:p>
              </w:tc>
              <w:tc>
                <w:tcPr>
                  <w:tcW w:w="893" w:type="pct"/>
                </w:tcPr>
                <w:p>
                  <w:pPr>
                    <w:pStyle w:val="217"/>
                    <w:spacing w:before="32"/>
                    <w:ind w:left="223" w:right="213"/>
                    <w:rPr>
                      <w:rFonts w:ascii="Times New Roman" w:hAnsi="Times New Roman"/>
                      <w:sz w:val="21"/>
                    </w:rPr>
                  </w:pPr>
                  <w:r>
                    <w:rPr>
                      <w:rFonts w:ascii="Times New Roman" w:hAnsi="Times New Roman"/>
                      <w:sz w:val="21"/>
                    </w:rPr>
                    <w:t>2.98×10</w:t>
                  </w:r>
                  <w:r>
                    <w:rPr>
                      <w:rFonts w:ascii="Times New Roman" w:hAnsi="Times New Roman"/>
                      <w:position w:val="7"/>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tcBorders>
                    <w:bottom w:val="single" w:color="000000" w:sz="4" w:space="0"/>
                  </w:tcBorders>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平均值</w:t>
                  </w:r>
                </w:p>
              </w:tc>
              <w:tc>
                <w:tcPr>
                  <w:tcW w:w="893" w:type="pct"/>
                </w:tcPr>
                <w:p>
                  <w:pPr>
                    <w:pStyle w:val="217"/>
                    <w:spacing w:before="32"/>
                    <w:ind w:left="227" w:right="212"/>
                    <w:rPr>
                      <w:rFonts w:ascii="Times New Roman" w:hAnsi="Times New Roman"/>
                      <w:sz w:val="21"/>
                    </w:rPr>
                  </w:pPr>
                  <w:r>
                    <w:rPr>
                      <w:rFonts w:ascii="Times New Roman" w:hAnsi="Times New Roman"/>
                      <w:sz w:val="21"/>
                    </w:rPr>
                    <w:t>2.08×10</w:t>
                  </w:r>
                  <w:r>
                    <w:rPr>
                      <w:rFonts w:ascii="Times New Roman" w:hAnsi="Times New Roman"/>
                      <w:position w:val="7"/>
                      <w:sz w:val="21"/>
                    </w:rPr>
                    <w:t>-2</w:t>
                  </w:r>
                </w:p>
              </w:tc>
              <w:tc>
                <w:tcPr>
                  <w:tcW w:w="895" w:type="pct"/>
                </w:tcPr>
                <w:p>
                  <w:pPr>
                    <w:pStyle w:val="217"/>
                    <w:spacing w:before="32"/>
                    <w:ind w:left="226" w:right="213"/>
                    <w:rPr>
                      <w:rFonts w:ascii="Times New Roman" w:hAnsi="Times New Roman"/>
                      <w:sz w:val="21"/>
                    </w:rPr>
                  </w:pPr>
                  <w:r>
                    <w:rPr>
                      <w:rFonts w:ascii="Times New Roman" w:hAnsi="Times New Roman"/>
                      <w:sz w:val="21"/>
                    </w:rPr>
                    <w:t>1.99×10</w:t>
                  </w:r>
                  <w:r>
                    <w:rPr>
                      <w:rFonts w:ascii="Times New Roman" w:hAnsi="Times New Roman"/>
                      <w:position w:val="7"/>
                      <w:sz w:val="21"/>
                    </w:rPr>
                    <w:t>-2</w:t>
                  </w:r>
                </w:p>
              </w:tc>
              <w:tc>
                <w:tcPr>
                  <w:tcW w:w="895" w:type="pct"/>
                </w:tcPr>
                <w:p>
                  <w:pPr>
                    <w:pStyle w:val="217"/>
                    <w:spacing w:before="32"/>
                    <w:ind w:left="227" w:right="213"/>
                    <w:rPr>
                      <w:rFonts w:ascii="Times New Roman" w:hAnsi="Times New Roman"/>
                      <w:sz w:val="21"/>
                    </w:rPr>
                  </w:pPr>
                  <w:r>
                    <w:rPr>
                      <w:rFonts w:ascii="Times New Roman" w:hAnsi="Times New Roman"/>
                      <w:sz w:val="21"/>
                    </w:rPr>
                    <w:t>2.98×10</w:t>
                  </w:r>
                  <w:r>
                    <w:rPr>
                      <w:rFonts w:ascii="Times New Roman" w:hAnsi="Times New Roman"/>
                      <w:position w:val="7"/>
                      <w:sz w:val="21"/>
                    </w:rPr>
                    <w:t>-2</w:t>
                  </w:r>
                </w:p>
              </w:tc>
              <w:tc>
                <w:tcPr>
                  <w:tcW w:w="893" w:type="pct"/>
                </w:tcPr>
                <w:p>
                  <w:pPr>
                    <w:pStyle w:val="217"/>
                    <w:spacing w:before="32"/>
                    <w:ind w:left="226" w:right="213"/>
                    <w:rPr>
                      <w:rFonts w:ascii="Times New Roman" w:hAnsi="Times New Roman"/>
                      <w:sz w:val="21"/>
                    </w:rPr>
                  </w:pPr>
                  <w:r>
                    <w:rPr>
                      <w:rFonts w:ascii="Times New Roman" w:hAnsi="Times New Roman"/>
                      <w:sz w:val="21"/>
                    </w:rPr>
                    <w:t>2.62×10</w:t>
                  </w:r>
                  <w:r>
                    <w:rPr>
                      <w:rFonts w:ascii="Times New Roman" w:hAnsi="Times New Roman"/>
                      <w:position w:val="7"/>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restart"/>
                  <w:tcBorders>
                    <w:top w:val="single" w:color="000000" w:sz="4" w:space="0"/>
                  </w:tcBorders>
                </w:tcPr>
                <w:p>
                  <w:pPr>
                    <w:pStyle w:val="217"/>
                    <w:jc w:val="left"/>
                    <w:rPr>
                      <w:rFonts w:ascii="Times New Roman" w:hAnsi="Times New Roman"/>
                      <w:sz w:val="21"/>
                    </w:rPr>
                  </w:pPr>
                </w:p>
                <w:p>
                  <w:pPr>
                    <w:pStyle w:val="217"/>
                    <w:spacing w:before="7"/>
                    <w:jc w:val="left"/>
                    <w:rPr>
                      <w:rFonts w:ascii="Times New Roman" w:hAnsi="Times New Roman"/>
                      <w:sz w:val="21"/>
                    </w:rPr>
                  </w:pPr>
                </w:p>
                <w:p>
                  <w:pPr>
                    <w:pStyle w:val="217"/>
                    <w:ind w:left="316"/>
                    <w:jc w:val="left"/>
                    <w:rPr>
                      <w:rFonts w:ascii="Times New Roman" w:hAnsi="Times New Roman"/>
                      <w:sz w:val="21"/>
                      <w:szCs w:val="2"/>
                    </w:rPr>
                  </w:pPr>
                  <w:r>
                    <w:rPr>
                      <w:rFonts w:ascii="Times New Roman" w:hAnsi="Times New Roman"/>
                      <w:sz w:val="21"/>
                    </w:rPr>
                    <w:t>二甲苯</w:t>
                  </w:r>
                </w:p>
              </w:tc>
              <w:tc>
                <w:tcPr>
                  <w:tcW w:w="658" w:type="pct"/>
                </w:tcPr>
                <w:p>
                  <w:pPr>
                    <w:pStyle w:val="217"/>
                    <w:spacing w:before="22"/>
                    <w:ind w:left="212" w:right="200"/>
                    <w:rPr>
                      <w:rFonts w:ascii="Times New Roman" w:hAnsi="Times New Roman"/>
                      <w:sz w:val="21"/>
                    </w:rPr>
                  </w:pPr>
                  <w:r>
                    <w:rPr>
                      <w:rFonts w:ascii="Times New Roman" w:hAnsi="Times New Roman"/>
                      <w:sz w:val="21"/>
                    </w:rPr>
                    <w:t>第一次</w:t>
                  </w:r>
                </w:p>
              </w:tc>
              <w:tc>
                <w:tcPr>
                  <w:tcW w:w="893" w:type="pct"/>
                </w:tcPr>
                <w:p>
                  <w:pPr>
                    <w:pStyle w:val="217"/>
                    <w:spacing w:before="36"/>
                    <w:ind w:left="14"/>
                    <w:rPr>
                      <w:rFonts w:ascii="Times New Roman" w:hAnsi="Times New Roman"/>
                      <w:sz w:val="21"/>
                    </w:rPr>
                  </w:pPr>
                  <w:r>
                    <w:rPr>
                      <w:rFonts w:ascii="Times New Roman" w:hAnsi="Times New Roman"/>
                      <w:sz w:val="21"/>
                    </w:rPr>
                    <w:t>L</w:t>
                  </w:r>
                </w:p>
              </w:tc>
              <w:tc>
                <w:tcPr>
                  <w:tcW w:w="895" w:type="pct"/>
                </w:tcPr>
                <w:p>
                  <w:pPr>
                    <w:pStyle w:val="217"/>
                    <w:spacing w:before="36"/>
                    <w:ind w:left="12"/>
                    <w:rPr>
                      <w:rFonts w:ascii="Times New Roman" w:hAnsi="Times New Roman"/>
                      <w:sz w:val="21"/>
                    </w:rPr>
                  </w:pPr>
                  <w:r>
                    <w:rPr>
                      <w:rFonts w:ascii="Times New Roman" w:hAnsi="Times New Roman"/>
                      <w:sz w:val="21"/>
                    </w:rPr>
                    <w:t>L</w:t>
                  </w:r>
                </w:p>
              </w:tc>
              <w:tc>
                <w:tcPr>
                  <w:tcW w:w="895" w:type="pct"/>
                </w:tcPr>
                <w:p>
                  <w:pPr>
                    <w:pStyle w:val="217"/>
                    <w:spacing w:before="36"/>
                    <w:ind w:left="13"/>
                    <w:rPr>
                      <w:rFonts w:ascii="Times New Roman" w:hAnsi="Times New Roman"/>
                      <w:sz w:val="21"/>
                    </w:rPr>
                  </w:pPr>
                  <w:r>
                    <w:rPr>
                      <w:rFonts w:ascii="Times New Roman" w:hAnsi="Times New Roman"/>
                      <w:sz w:val="21"/>
                    </w:rPr>
                    <w:t>L</w:t>
                  </w:r>
                </w:p>
              </w:tc>
              <w:tc>
                <w:tcPr>
                  <w:tcW w:w="893" w:type="pct"/>
                </w:tcPr>
                <w:p>
                  <w:pPr>
                    <w:pStyle w:val="217"/>
                    <w:spacing w:before="36"/>
                    <w:ind w:left="12"/>
                    <w:rPr>
                      <w:rFonts w:ascii="Times New Roman" w:hAnsi="Times New Roman"/>
                      <w:sz w:val="21"/>
                    </w:rPr>
                  </w:pPr>
                  <w:r>
                    <w:rPr>
                      <w:rFonts w:ascii="Times New Roman" w:hAnsi="Times New Roman"/>
                      <w:sz w:val="21"/>
                    </w:rPr>
                    <w:t>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第二次</w:t>
                  </w:r>
                </w:p>
              </w:tc>
              <w:tc>
                <w:tcPr>
                  <w:tcW w:w="893" w:type="pct"/>
                </w:tcPr>
                <w:p>
                  <w:pPr>
                    <w:pStyle w:val="217"/>
                    <w:spacing w:before="36"/>
                    <w:ind w:left="14"/>
                    <w:rPr>
                      <w:rFonts w:ascii="Times New Roman" w:hAnsi="Times New Roman"/>
                      <w:sz w:val="21"/>
                    </w:rPr>
                  </w:pPr>
                  <w:r>
                    <w:rPr>
                      <w:rFonts w:ascii="Times New Roman" w:hAnsi="Times New Roman"/>
                      <w:sz w:val="21"/>
                    </w:rPr>
                    <w:t>L</w:t>
                  </w:r>
                </w:p>
              </w:tc>
              <w:tc>
                <w:tcPr>
                  <w:tcW w:w="895" w:type="pct"/>
                </w:tcPr>
                <w:p>
                  <w:pPr>
                    <w:pStyle w:val="217"/>
                    <w:spacing w:before="36"/>
                    <w:ind w:left="12"/>
                    <w:rPr>
                      <w:rFonts w:ascii="Times New Roman" w:hAnsi="Times New Roman"/>
                      <w:sz w:val="21"/>
                    </w:rPr>
                  </w:pPr>
                  <w:r>
                    <w:rPr>
                      <w:rFonts w:ascii="Times New Roman" w:hAnsi="Times New Roman"/>
                      <w:sz w:val="21"/>
                    </w:rPr>
                    <w:t>L</w:t>
                  </w:r>
                </w:p>
              </w:tc>
              <w:tc>
                <w:tcPr>
                  <w:tcW w:w="895" w:type="pct"/>
                </w:tcPr>
                <w:p>
                  <w:pPr>
                    <w:pStyle w:val="217"/>
                    <w:spacing w:before="36"/>
                    <w:ind w:left="13"/>
                    <w:rPr>
                      <w:rFonts w:ascii="Times New Roman" w:hAnsi="Times New Roman"/>
                      <w:sz w:val="21"/>
                    </w:rPr>
                  </w:pPr>
                  <w:r>
                    <w:rPr>
                      <w:rFonts w:ascii="Times New Roman" w:hAnsi="Times New Roman"/>
                      <w:sz w:val="21"/>
                    </w:rPr>
                    <w:t>L</w:t>
                  </w:r>
                </w:p>
              </w:tc>
              <w:tc>
                <w:tcPr>
                  <w:tcW w:w="893" w:type="pct"/>
                </w:tcPr>
                <w:p>
                  <w:pPr>
                    <w:pStyle w:val="217"/>
                    <w:spacing w:before="36"/>
                    <w:ind w:left="11"/>
                    <w:rPr>
                      <w:rFonts w:ascii="Times New Roman" w:hAnsi="Times New Roman"/>
                      <w:sz w:val="21"/>
                    </w:rPr>
                  </w:pPr>
                  <w:r>
                    <w:rPr>
                      <w:rFonts w:ascii="Times New Roman" w:hAnsi="Times New Roman"/>
                      <w:sz w:val="21"/>
                    </w:rPr>
                    <w:t>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vAlign w:val="center"/>
                </w:tcPr>
                <w:p>
                  <w:pPr>
                    <w:jc w:val="center"/>
                    <w:rPr>
                      <w:szCs w:val="2"/>
                    </w:rPr>
                  </w:pPr>
                </w:p>
              </w:tc>
              <w:tc>
                <w:tcPr>
                  <w:tcW w:w="658" w:type="pct"/>
                </w:tcPr>
                <w:p>
                  <w:pPr>
                    <w:pStyle w:val="217"/>
                    <w:spacing w:before="25"/>
                    <w:ind w:left="212" w:right="200"/>
                    <w:rPr>
                      <w:rFonts w:ascii="Times New Roman" w:hAnsi="Times New Roman"/>
                      <w:sz w:val="21"/>
                    </w:rPr>
                  </w:pPr>
                  <w:r>
                    <w:rPr>
                      <w:rFonts w:ascii="Times New Roman" w:hAnsi="Times New Roman"/>
                      <w:sz w:val="21"/>
                    </w:rPr>
                    <w:t>第三次</w:t>
                  </w:r>
                </w:p>
              </w:tc>
              <w:tc>
                <w:tcPr>
                  <w:tcW w:w="893" w:type="pct"/>
                </w:tcPr>
                <w:p>
                  <w:pPr>
                    <w:pStyle w:val="217"/>
                    <w:spacing w:before="39"/>
                    <w:ind w:left="14"/>
                    <w:rPr>
                      <w:rFonts w:ascii="Times New Roman" w:hAnsi="Times New Roman"/>
                      <w:sz w:val="21"/>
                    </w:rPr>
                  </w:pPr>
                  <w:r>
                    <w:rPr>
                      <w:rFonts w:ascii="Times New Roman" w:hAnsi="Times New Roman"/>
                      <w:sz w:val="21"/>
                    </w:rPr>
                    <w:t>L</w:t>
                  </w:r>
                </w:p>
              </w:tc>
              <w:tc>
                <w:tcPr>
                  <w:tcW w:w="895" w:type="pct"/>
                </w:tcPr>
                <w:p>
                  <w:pPr>
                    <w:pStyle w:val="217"/>
                    <w:spacing w:before="39"/>
                    <w:ind w:left="12"/>
                    <w:rPr>
                      <w:rFonts w:ascii="Times New Roman" w:hAnsi="Times New Roman"/>
                      <w:sz w:val="21"/>
                    </w:rPr>
                  </w:pPr>
                  <w:r>
                    <w:rPr>
                      <w:rFonts w:ascii="Times New Roman" w:hAnsi="Times New Roman"/>
                      <w:sz w:val="21"/>
                    </w:rPr>
                    <w:t>L</w:t>
                  </w:r>
                </w:p>
              </w:tc>
              <w:tc>
                <w:tcPr>
                  <w:tcW w:w="895" w:type="pct"/>
                </w:tcPr>
                <w:p>
                  <w:pPr>
                    <w:pStyle w:val="217"/>
                    <w:spacing w:before="39"/>
                    <w:ind w:left="13"/>
                    <w:rPr>
                      <w:rFonts w:ascii="Times New Roman" w:hAnsi="Times New Roman"/>
                      <w:sz w:val="21"/>
                    </w:rPr>
                  </w:pPr>
                  <w:r>
                    <w:rPr>
                      <w:rFonts w:ascii="Times New Roman" w:hAnsi="Times New Roman"/>
                      <w:sz w:val="21"/>
                    </w:rPr>
                    <w:t>L</w:t>
                  </w:r>
                </w:p>
              </w:tc>
              <w:tc>
                <w:tcPr>
                  <w:tcW w:w="893" w:type="pct"/>
                </w:tcPr>
                <w:p>
                  <w:pPr>
                    <w:pStyle w:val="217"/>
                    <w:spacing w:before="39"/>
                    <w:ind w:left="11"/>
                    <w:rPr>
                      <w:rFonts w:ascii="Times New Roman" w:hAnsi="Times New Roman"/>
                      <w:sz w:val="21"/>
                    </w:rPr>
                  </w:pPr>
                  <w:r>
                    <w:rPr>
                      <w:rFonts w:ascii="Times New Roman" w:hAnsi="Times New Roman"/>
                      <w:sz w:val="21"/>
                    </w:rPr>
                    <w:t>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tcBorders>
                    <w:bottom w:val="single" w:color="000000" w:sz="4" w:space="0"/>
                  </w:tcBorders>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平均值</w:t>
                  </w:r>
                </w:p>
              </w:tc>
              <w:tc>
                <w:tcPr>
                  <w:tcW w:w="893" w:type="pct"/>
                </w:tcPr>
                <w:p>
                  <w:pPr>
                    <w:pStyle w:val="217"/>
                    <w:spacing w:before="36"/>
                    <w:ind w:left="11"/>
                    <w:rPr>
                      <w:rFonts w:ascii="Times New Roman" w:hAnsi="Times New Roman"/>
                      <w:sz w:val="21"/>
                    </w:rPr>
                  </w:pPr>
                  <w:r>
                    <w:rPr>
                      <w:rFonts w:ascii="Times New Roman" w:hAnsi="Times New Roman"/>
                      <w:sz w:val="21"/>
                    </w:rPr>
                    <w:t>/</w:t>
                  </w:r>
                </w:p>
              </w:tc>
              <w:tc>
                <w:tcPr>
                  <w:tcW w:w="895" w:type="pct"/>
                </w:tcPr>
                <w:p>
                  <w:pPr>
                    <w:pStyle w:val="217"/>
                    <w:spacing w:before="36"/>
                    <w:ind w:left="9"/>
                    <w:rPr>
                      <w:rFonts w:ascii="Times New Roman" w:hAnsi="Times New Roman"/>
                      <w:sz w:val="21"/>
                    </w:rPr>
                  </w:pPr>
                  <w:r>
                    <w:rPr>
                      <w:rFonts w:ascii="Times New Roman" w:hAnsi="Times New Roman"/>
                      <w:sz w:val="21"/>
                    </w:rPr>
                    <w:t>/</w:t>
                  </w:r>
                </w:p>
              </w:tc>
              <w:tc>
                <w:tcPr>
                  <w:tcW w:w="895" w:type="pct"/>
                </w:tcPr>
                <w:p>
                  <w:pPr>
                    <w:pStyle w:val="217"/>
                    <w:spacing w:before="36"/>
                    <w:ind w:left="11"/>
                    <w:rPr>
                      <w:rFonts w:ascii="Times New Roman" w:hAnsi="Times New Roman"/>
                      <w:sz w:val="21"/>
                    </w:rPr>
                  </w:pPr>
                  <w:r>
                    <w:rPr>
                      <w:rFonts w:ascii="Times New Roman" w:hAnsi="Times New Roman"/>
                      <w:sz w:val="21"/>
                    </w:rPr>
                    <w:t>/</w:t>
                  </w:r>
                </w:p>
              </w:tc>
              <w:tc>
                <w:tcPr>
                  <w:tcW w:w="893" w:type="pct"/>
                </w:tcPr>
                <w:p>
                  <w:pPr>
                    <w:pStyle w:val="217"/>
                    <w:spacing w:before="36"/>
                    <w:ind w:left="14"/>
                    <w:rPr>
                      <w:rFonts w:ascii="Times New Roman" w:hAnsi="Times New Roman"/>
                      <w:sz w:val="21"/>
                    </w:rPr>
                  </w:pPr>
                  <w:r>
                    <w:rPr>
                      <w:rFonts w:ascii="Times New Roman" w:hAnsi="Times New Roman"/>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restart"/>
                  <w:tcBorders>
                    <w:top w:val="single" w:color="000000" w:sz="4" w:space="0"/>
                  </w:tcBorders>
                </w:tcPr>
                <w:p>
                  <w:pPr>
                    <w:pStyle w:val="217"/>
                    <w:jc w:val="left"/>
                    <w:rPr>
                      <w:rFonts w:ascii="Times New Roman" w:hAnsi="Times New Roman"/>
                      <w:sz w:val="21"/>
                    </w:rPr>
                  </w:pPr>
                </w:p>
                <w:p>
                  <w:pPr>
                    <w:pStyle w:val="217"/>
                    <w:spacing w:before="5"/>
                    <w:jc w:val="left"/>
                    <w:rPr>
                      <w:rFonts w:ascii="Times New Roman" w:hAnsi="Times New Roman"/>
                      <w:sz w:val="21"/>
                    </w:rPr>
                  </w:pPr>
                </w:p>
                <w:p>
                  <w:pPr>
                    <w:pStyle w:val="217"/>
                    <w:ind w:left="422"/>
                    <w:jc w:val="left"/>
                    <w:rPr>
                      <w:rFonts w:ascii="Times New Roman" w:hAnsi="Times New Roman"/>
                      <w:sz w:val="21"/>
                      <w:szCs w:val="2"/>
                    </w:rPr>
                  </w:pPr>
                  <w:r>
                    <w:rPr>
                      <w:rFonts w:ascii="Times New Roman" w:hAnsi="Times New Roman"/>
                      <w:sz w:val="21"/>
                    </w:rPr>
                    <w:t>甲苯</w:t>
                  </w:r>
                </w:p>
              </w:tc>
              <w:tc>
                <w:tcPr>
                  <w:tcW w:w="658" w:type="pct"/>
                </w:tcPr>
                <w:p>
                  <w:pPr>
                    <w:pStyle w:val="217"/>
                    <w:spacing w:before="22"/>
                    <w:ind w:left="212" w:right="200"/>
                    <w:rPr>
                      <w:rFonts w:ascii="Times New Roman" w:hAnsi="Times New Roman"/>
                      <w:sz w:val="21"/>
                    </w:rPr>
                  </w:pPr>
                  <w:r>
                    <w:rPr>
                      <w:rFonts w:ascii="Times New Roman" w:hAnsi="Times New Roman"/>
                      <w:sz w:val="21"/>
                    </w:rPr>
                    <w:t>第一次</w:t>
                  </w:r>
                </w:p>
              </w:tc>
              <w:tc>
                <w:tcPr>
                  <w:tcW w:w="893" w:type="pct"/>
                </w:tcPr>
                <w:p>
                  <w:pPr>
                    <w:pStyle w:val="217"/>
                    <w:spacing w:before="36"/>
                    <w:ind w:left="14"/>
                    <w:rPr>
                      <w:rFonts w:ascii="Times New Roman" w:hAnsi="Times New Roman"/>
                      <w:sz w:val="21"/>
                    </w:rPr>
                  </w:pPr>
                  <w:r>
                    <w:rPr>
                      <w:rFonts w:ascii="Times New Roman" w:hAnsi="Times New Roman"/>
                      <w:sz w:val="21"/>
                    </w:rPr>
                    <w:t>L</w:t>
                  </w:r>
                </w:p>
              </w:tc>
              <w:tc>
                <w:tcPr>
                  <w:tcW w:w="895" w:type="pct"/>
                </w:tcPr>
                <w:p>
                  <w:pPr>
                    <w:pStyle w:val="217"/>
                    <w:spacing w:before="36"/>
                    <w:ind w:left="12"/>
                    <w:rPr>
                      <w:rFonts w:ascii="Times New Roman" w:hAnsi="Times New Roman"/>
                      <w:sz w:val="21"/>
                    </w:rPr>
                  </w:pPr>
                  <w:r>
                    <w:rPr>
                      <w:rFonts w:ascii="Times New Roman" w:hAnsi="Times New Roman"/>
                      <w:sz w:val="21"/>
                    </w:rPr>
                    <w:t>L</w:t>
                  </w:r>
                </w:p>
              </w:tc>
              <w:tc>
                <w:tcPr>
                  <w:tcW w:w="895" w:type="pct"/>
                </w:tcPr>
                <w:p>
                  <w:pPr>
                    <w:pStyle w:val="217"/>
                    <w:spacing w:before="36"/>
                    <w:ind w:left="13"/>
                    <w:rPr>
                      <w:rFonts w:ascii="Times New Roman" w:hAnsi="Times New Roman"/>
                      <w:sz w:val="21"/>
                    </w:rPr>
                  </w:pPr>
                  <w:r>
                    <w:rPr>
                      <w:rFonts w:ascii="Times New Roman" w:hAnsi="Times New Roman"/>
                      <w:sz w:val="21"/>
                    </w:rPr>
                    <w:t>L</w:t>
                  </w:r>
                </w:p>
              </w:tc>
              <w:tc>
                <w:tcPr>
                  <w:tcW w:w="893" w:type="pct"/>
                </w:tcPr>
                <w:p>
                  <w:pPr>
                    <w:pStyle w:val="217"/>
                    <w:spacing w:before="36"/>
                    <w:ind w:left="12"/>
                    <w:rPr>
                      <w:rFonts w:ascii="Times New Roman" w:hAnsi="Times New Roman"/>
                      <w:sz w:val="21"/>
                    </w:rPr>
                  </w:pPr>
                  <w:r>
                    <w:rPr>
                      <w:rFonts w:ascii="Times New Roman" w:hAnsi="Times New Roman"/>
                      <w:sz w:val="21"/>
                    </w:rPr>
                    <w:t>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第二次</w:t>
                  </w:r>
                </w:p>
              </w:tc>
              <w:tc>
                <w:tcPr>
                  <w:tcW w:w="893" w:type="pct"/>
                </w:tcPr>
                <w:p>
                  <w:pPr>
                    <w:pStyle w:val="217"/>
                    <w:spacing w:before="36"/>
                    <w:ind w:left="14"/>
                    <w:rPr>
                      <w:rFonts w:ascii="Times New Roman" w:hAnsi="Times New Roman"/>
                      <w:sz w:val="21"/>
                    </w:rPr>
                  </w:pPr>
                  <w:r>
                    <w:rPr>
                      <w:rFonts w:ascii="Times New Roman" w:hAnsi="Times New Roman"/>
                      <w:sz w:val="21"/>
                    </w:rPr>
                    <w:t>L</w:t>
                  </w:r>
                </w:p>
              </w:tc>
              <w:tc>
                <w:tcPr>
                  <w:tcW w:w="895" w:type="pct"/>
                </w:tcPr>
                <w:p>
                  <w:pPr>
                    <w:pStyle w:val="217"/>
                    <w:spacing w:before="36"/>
                    <w:ind w:left="12"/>
                    <w:rPr>
                      <w:rFonts w:ascii="Times New Roman" w:hAnsi="Times New Roman"/>
                      <w:sz w:val="21"/>
                    </w:rPr>
                  </w:pPr>
                  <w:r>
                    <w:rPr>
                      <w:rFonts w:ascii="Times New Roman" w:hAnsi="Times New Roman"/>
                      <w:sz w:val="21"/>
                    </w:rPr>
                    <w:t>L</w:t>
                  </w:r>
                </w:p>
              </w:tc>
              <w:tc>
                <w:tcPr>
                  <w:tcW w:w="895" w:type="pct"/>
                </w:tcPr>
                <w:p>
                  <w:pPr>
                    <w:pStyle w:val="217"/>
                    <w:spacing w:before="36"/>
                    <w:ind w:left="13"/>
                    <w:rPr>
                      <w:rFonts w:ascii="Times New Roman" w:hAnsi="Times New Roman"/>
                      <w:sz w:val="21"/>
                    </w:rPr>
                  </w:pPr>
                  <w:r>
                    <w:rPr>
                      <w:rFonts w:ascii="Times New Roman" w:hAnsi="Times New Roman"/>
                      <w:sz w:val="21"/>
                    </w:rPr>
                    <w:t>L</w:t>
                  </w:r>
                </w:p>
              </w:tc>
              <w:tc>
                <w:tcPr>
                  <w:tcW w:w="893" w:type="pct"/>
                </w:tcPr>
                <w:p>
                  <w:pPr>
                    <w:pStyle w:val="217"/>
                    <w:spacing w:before="36"/>
                    <w:ind w:left="11"/>
                    <w:rPr>
                      <w:rFonts w:ascii="Times New Roman" w:hAnsi="Times New Roman"/>
                      <w:sz w:val="21"/>
                    </w:rPr>
                  </w:pPr>
                  <w:r>
                    <w:rPr>
                      <w:rFonts w:ascii="Times New Roman" w:hAnsi="Times New Roman"/>
                      <w:sz w:val="21"/>
                    </w:rPr>
                    <w:t>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763" w:type="pct"/>
                  <w:vMerge w:val="continue"/>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第三次</w:t>
                  </w:r>
                </w:p>
              </w:tc>
              <w:tc>
                <w:tcPr>
                  <w:tcW w:w="893" w:type="pct"/>
                </w:tcPr>
                <w:p>
                  <w:pPr>
                    <w:pStyle w:val="217"/>
                    <w:spacing w:before="36"/>
                    <w:ind w:left="14"/>
                    <w:rPr>
                      <w:rFonts w:ascii="Times New Roman" w:hAnsi="Times New Roman"/>
                      <w:sz w:val="21"/>
                    </w:rPr>
                  </w:pPr>
                  <w:r>
                    <w:rPr>
                      <w:rFonts w:ascii="Times New Roman" w:hAnsi="Times New Roman"/>
                      <w:sz w:val="21"/>
                    </w:rPr>
                    <w:t>L</w:t>
                  </w:r>
                </w:p>
              </w:tc>
              <w:tc>
                <w:tcPr>
                  <w:tcW w:w="895" w:type="pct"/>
                </w:tcPr>
                <w:p>
                  <w:pPr>
                    <w:pStyle w:val="217"/>
                    <w:spacing w:before="36"/>
                    <w:ind w:left="12"/>
                    <w:rPr>
                      <w:rFonts w:ascii="Times New Roman" w:hAnsi="Times New Roman"/>
                      <w:sz w:val="21"/>
                    </w:rPr>
                  </w:pPr>
                  <w:r>
                    <w:rPr>
                      <w:rFonts w:ascii="Times New Roman" w:hAnsi="Times New Roman"/>
                      <w:sz w:val="21"/>
                    </w:rPr>
                    <w:t>L</w:t>
                  </w:r>
                </w:p>
              </w:tc>
              <w:tc>
                <w:tcPr>
                  <w:tcW w:w="895" w:type="pct"/>
                </w:tcPr>
                <w:p>
                  <w:pPr>
                    <w:pStyle w:val="217"/>
                    <w:spacing w:before="36"/>
                    <w:ind w:left="14"/>
                    <w:rPr>
                      <w:rFonts w:ascii="Times New Roman" w:hAnsi="Times New Roman"/>
                      <w:sz w:val="21"/>
                    </w:rPr>
                  </w:pPr>
                  <w:r>
                    <w:rPr>
                      <w:rFonts w:ascii="Times New Roman" w:hAnsi="Times New Roman"/>
                      <w:sz w:val="21"/>
                    </w:rPr>
                    <w:t>L</w:t>
                  </w:r>
                </w:p>
              </w:tc>
              <w:tc>
                <w:tcPr>
                  <w:tcW w:w="893" w:type="pct"/>
                </w:tcPr>
                <w:p>
                  <w:pPr>
                    <w:pStyle w:val="217"/>
                    <w:spacing w:before="36"/>
                    <w:ind w:left="12"/>
                    <w:rPr>
                      <w:rFonts w:ascii="Times New Roman" w:hAnsi="Times New Roman"/>
                      <w:sz w:val="21"/>
                    </w:rPr>
                  </w:pPr>
                  <w:r>
                    <w:rPr>
                      <w:rFonts w:ascii="Times New Roman" w:hAnsi="Times New Roman"/>
                      <w:sz w:val="21"/>
                    </w:rPr>
                    <w:t>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63" w:type="pct"/>
                  <w:vMerge w:val="continue"/>
                  <w:vAlign w:val="center"/>
                </w:tcPr>
                <w:p>
                  <w:pPr>
                    <w:jc w:val="center"/>
                    <w:rPr>
                      <w:szCs w:val="2"/>
                    </w:rPr>
                  </w:pPr>
                </w:p>
              </w:tc>
              <w:tc>
                <w:tcPr>
                  <w:tcW w:w="658" w:type="pct"/>
                </w:tcPr>
                <w:p>
                  <w:pPr>
                    <w:pStyle w:val="217"/>
                    <w:spacing w:before="22"/>
                    <w:ind w:left="212" w:right="200"/>
                    <w:rPr>
                      <w:rFonts w:ascii="Times New Roman" w:hAnsi="Times New Roman"/>
                      <w:sz w:val="21"/>
                    </w:rPr>
                  </w:pPr>
                  <w:r>
                    <w:rPr>
                      <w:rFonts w:ascii="Times New Roman" w:hAnsi="Times New Roman"/>
                      <w:sz w:val="21"/>
                    </w:rPr>
                    <w:t>平均值</w:t>
                  </w:r>
                </w:p>
              </w:tc>
              <w:tc>
                <w:tcPr>
                  <w:tcW w:w="893" w:type="pct"/>
                </w:tcPr>
                <w:p>
                  <w:pPr>
                    <w:pStyle w:val="217"/>
                    <w:spacing w:before="36"/>
                    <w:ind w:left="11"/>
                    <w:rPr>
                      <w:rFonts w:ascii="Times New Roman" w:hAnsi="Times New Roman"/>
                      <w:sz w:val="21"/>
                    </w:rPr>
                  </w:pPr>
                  <w:r>
                    <w:rPr>
                      <w:rFonts w:ascii="Times New Roman" w:hAnsi="Times New Roman"/>
                      <w:sz w:val="21"/>
                    </w:rPr>
                    <w:t>/</w:t>
                  </w:r>
                </w:p>
              </w:tc>
              <w:tc>
                <w:tcPr>
                  <w:tcW w:w="895" w:type="pct"/>
                </w:tcPr>
                <w:p>
                  <w:pPr>
                    <w:pStyle w:val="217"/>
                    <w:spacing w:before="36"/>
                    <w:ind w:left="9"/>
                    <w:rPr>
                      <w:rFonts w:ascii="Times New Roman" w:hAnsi="Times New Roman"/>
                      <w:sz w:val="21"/>
                    </w:rPr>
                  </w:pPr>
                  <w:r>
                    <w:rPr>
                      <w:rFonts w:ascii="Times New Roman" w:hAnsi="Times New Roman"/>
                      <w:sz w:val="21"/>
                    </w:rPr>
                    <w:t>/</w:t>
                  </w:r>
                </w:p>
              </w:tc>
              <w:tc>
                <w:tcPr>
                  <w:tcW w:w="895" w:type="pct"/>
                </w:tcPr>
                <w:p>
                  <w:pPr>
                    <w:pStyle w:val="217"/>
                    <w:spacing w:before="36"/>
                    <w:ind w:left="10"/>
                    <w:rPr>
                      <w:rFonts w:ascii="Times New Roman" w:hAnsi="Times New Roman"/>
                      <w:sz w:val="21"/>
                    </w:rPr>
                  </w:pPr>
                  <w:r>
                    <w:rPr>
                      <w:rFonts w:ascii="Times New Roman" w:hAnsi="Times New Roman"/>
                      <w:sz w:val="21"/>
                    </w:rPr>
                    <w:t>/</w:t>
                  </w:r>
                </w:p>
              </w:tc>
              <w:tc>
                <w:tcPr>
                  <w:tcW w:w="893" w:type="pct"/>
                </w:tcPr>
                <w:p>
                  <w:pPr>
                    <w:pStyle w:val="217"/>
                    <w:spacing w:before="36"/>
                    <w:ind w:left="14"/>
                    <w:rPr>
                      <w:rFonts w:ascii="Times New Roman" w:hAnsi="Times New Roman"/>
                      <w:sz w:val="21"/>
                    </w:rPr>
                  </w:pPr>
                  <w:r>
                    <w:rPr>
                      <w:rFonts w:ascii="Times New Roman" w:hAnsi="Times New Roman"/>
                      <w:sz w:val="21"/>
                    </w:rPr>
                    <w:t>/</w:t>
                  </w:r>
                </w:p>
              </w:tc>
            </w:tr>
          </w:tbl>
          <w:p>
            <w:pPr>
              <w:spacing w:line="360" w:lineRule="auto"/>
              <w:ind w:firstLine="480" w:firstLineChars="200"/>
              <w:rPr>
                <w:kern w:val="0"/>
                <w:sz w:val="24"/>
              </w:rPr>
            </w:pPr>
            <w:r>
              <w:rPr>
                <w:kern w:val="0"/>
                <w:sz w:val="24"/>
              </w:rPr>
              <w:t>根据监测结果，项目无组织废气厂界监控点甲苯、二甲苯、颗粒物最大排放浓度满足《大气污染物综合排放标准》（GB16297-1996）表</w:t>
            </w:r>
            <w:r>
              <w:rPr>
                <w:rFonts w:hint="eastAsia"/>
                <w:kern w:val="0"/>
                <w:sz w:val="24"/>
              </w:rPr>
              <w:t>2</w:t>
            </w:r>
            <w:r>
              <w:rPr>
                <w:kern w:val="0"/>
                <w:sz w:val="24"/>
              </w:rPr>
              <w:t>无组织排放监控点浓度限值要求，无组织废气厂界监控点VOCS最大排放浓度满足《表面涂装（汽车制造业）挥发性有机化合物排放标准》（DB44/816-2010）中表</w:t>
            </w:r>
            <w:r>
              <w:rPr>
                <w:rFonts w:hint="eastAsia"/>
                <w:kern w:val="0"/>
                <w:sz w:val="24"/>
              </w:rPr>
              <w:t>3</w:t>
            </w:r>
            <w:r>
              <w:rPr>
                <w:kern w:val="0"/>
                <w:sz w:val="24"/>
              </w:rPr>
              <w:t>无组织排放监控点浓度限值要求。</w:t>
            </w:r>
          </w:p>
          <w:p>
            <w:pPr>
              <w:spacing w:line="360" w:lineRule="auto"/>
              <w:ind w:firstLine="480" w:firstLineChars="200"/>
              <w:rPr>
                <w:kern w:val="0"/>
                <w:sz w:val="24"/>
              </w:rPr>
            </w:pPr>
            <w:r>
              <w:rPr>
                <w:rFonts w:hint="eastAsia"/>
                <w:kern w:val="0"/>
                <w:sz w:val="24"/>
              </w:rPr>
              <w:t>（2）废水</w:t>
            </w:r>
          </w:p>
          <w:p>
            <w:pPr>
              <w:spacing w:line="360" w:lineRule="auto"/>
              <w:ind w:firstLine="480" w:firstLineChars="200"/>
              <w:rPr>
                <w:kern w:val="0"/>
                <w:sz w:val="24"/>
              </w:rPr>
            </w:pPr>
            <w:r>
              <w:rPr>
                <w:rFonts w:hint="eastAsia"/>
                <w:kern w:val="0"/>
                <w:sz w:val="24"/>
              </w:rPr>
              <w:t>项目目前产生的废水主要为生活废水，项目用水为水性丙烯酸防腐面漆及水性丙烯酸防锈底漆调配均需使用水稀释，此部分用水均进入产品不外排。仅生活污水排放，项目的生活废水经厂区自建化粪池预处理达《污水综合排放标准》（GB8978-1996）三级标准后，排入市政管网，入城东污水处理厂处理，处理达到《城镇污水处理厂污染物排放标准》（GB18918-2002）一级标准中 A 标准，然后排入青弋江。</w:t>
            </w:r>
          </w:p>
          <w:p>
            <w:pPr>
              <w:spacing w:line="360" w:lineRule="auto"/>
              <w:ind w:firstLine="480" w:firstLineChars="200"/>
              <w:rPr>
                <w:rFonts w:hint="default" w:eastAsia="宋体"/>
                <w:kern w:val="0"/>
                <w:sz w:val="24"/>
                <w:lang w:val="en-US" w:eastAsia="zh-CN"/>
              </w:rPr>
            </w:pPr>
            <w:r>
              <w:rPr>
                <w:rFonts w:hint="eastAsia"/>
                <w:kern w:val="0"/>
                <w:sz w:val="24"/>
              </w:rPr>
              <w:t>现有项目</w:t>
            </w:r>
            <w:r>
              <w:rPr>
                <w:rFonts w:hint="eastAsia"/>
                <w:kern w:val="0"/>
                <w:sz w:val="24"/>
                <w:lang w:val="zh-CN"/>
              </w:rPr>
              <w:t>废水</w:t>
            </w:r>
            <w:r>
              <w:rPr>
                <w:rFonts w:hint="eastAsia"/>
                <w:kern w:val="0"/>
                <w:sz w:val="24"/>
              </w:rPr>
              <w:t>污染物</w:t>
            </w:r>
            <w:r>
              <w:rPr>
                <w:rFonts w:hint="eastAsia"/>
                <w:kern w:val="0"/>
                <w:sz w:val="24"/>
                <w:lang w:val="zh-CN"/>
              </w:rPr>
              <w:t>排放情况详见表</w:t>
            </w:r>
            <w:r>
              <w:rPr>
                <w:rFonts w:hint="eastAsia"/>
                <w:kern w:val="0"/>
                <w:sz w:val="24"/>
              </w:rPr>
              <w:t>2-</w:t>
            </w:r>
            <w:r>
              <w:rPr>
                <w:rFonts w:hint="eastAsia"/>
                <w:kern w:val="0"/>
                <w:sz w:val="24"/>
                <w:lang w:val="en-US" w:eastAsia="zh-CN"/>
              </w:rPr>
              <w:t>21</w:t>
            </w:r>
          </w:p>
          <w:p>
            <w:pPr>
              <w:spacing w:line="360" w:lineRule="auto"/>
              <w:ind w:firstLine="482" w:firstLineChars="200"/>
              <w:jc w:val="center"/>
              <w:rPr>
                <w:b/>
                <w:bCs/>
                <w:kern w:val="0"/>
                <w:sz w:val="24"/>
              </w:rPr>
            </w:pPr>
            <w:r>
              <w:rPr>
                <w:rFonts w:hint="eastAsia"/>
                <w:b/>
                <w:bCs/>
                <w:kern w:val="0"/>
                <w:sz w:val="24"/>
              </w:rPr>
              <w:t>表2-</w:t>
            </w:r>
            <w:r>
              <w:rPr>
                <w:rFonts w:hint="eastAsia"/>
                <w:b/>
                <w:bCs/>
                <w:kern w:val="0"/>
                <w:sz w:val="24"/>
                <w:lang w:val="en-US" w:eastAsia="zh-CN"/>
              </w:rPr>
              <w:t>21</w:t>
            </w:r>
            <w:r>
              <w:rPr>
                <w:rFonts w:hint="eastAsia"/>
                <w:b/>
                <w:bCs/>
                <w:kern w:val="0"/>
                <w:sz w:val="24"/>
              </w:rPr>
              <w:t xml:space="preserve">  </w:t>
            </w:r>
            <w:r>
              <w:rPr>
                <w:b/>
                <w:bCs/>
                <w:kern w:val="0"/>
                <w:sz w:val="24"/>
              </w:rPr>
              <w:t>现有项目废水污染物排放一览表</w:t>
            </w:r>
          </w:p>
          <w:tbl>
            <w:tblPr>
              <w:tblStyle w:val="58"/>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43"/>
              <w:gridCol w:w="1019"/>
              <w:gridCol w:w="1206"/>
              <w:gridCol w:w="1057"/>
              <w:gridCol w:w="1057"/>
              <w:gridCol w:w="1061"/>
              <w:gridCol w:w="974"/>
              <w:gridCol w:w="10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65" w:type="pct"/>
                  <w:vMerge w:val="restart"/>
                  <w:vAlign w:val="center"/>
                </w:tcPr>
                <w:p>
                  <w:pPr>
                    <w:pStyle w:val="217"/>
                    <w:spacing w:before="27"/>
                    <w:ind w:left="194"/>
                    <w:jc w:val="left"/>
                    <w:rPr>
                      <w:rFonts w:ascii="Times New Roman" w:hAnsi="Times New Roman"/>
                      <w:sz w:val="21"/>
                    </w:rPr>
                  </w:pPr>
                  <w:r>
                    <w:rPr>
                      <w:rFonts w:ascii="Times New Roman" w:hAnsi="Times New Roman"/>
                      <w:sz w:val="21"/>
                    </w:rPr>
                    <w:t>监测点位置</w:t>
                  </w:r>
                </w:p>
              </w:tc>
              <w:tc>
                <w:tcPr>
                  <w:tcW w:w="610" w:type="pct"/>
                  <w:vMerge w:val="restart"/>
                  <w:vAlign w:val="center"/>
                </w:tcPr>
                <w:p>
                  <w:pPr>
                    <w:pStyle w:val="217"/>
                    <w:spacing w:before="27"/>
                    <w:ind w:left="180" w:right="166"/>
                    <w:rPr>
                      <w:rFonts w:ascii="Times New Roman" w:hAnsi="Times New Roman"/>
                      <w:sz w:val="21"/>
                    </w:rPr>
                  </w:pPr>
                  <w:r>
                    <w:rPr>
                      <w:rFonts w:ascii="Times New Roman" w:hAnsi="Times New Roman"/>
                      <w:sz w:val="21"/>
                    </w:rPr>
                    <w:t>监测项</w:t>
                  </w:r>
                </w:p>
                <w:p>
                  <w:pPr>
                    <w:pStyle w:val="217"/>
                    <w:spacing w:before="43"/>
                    <w:ind w:left="10"/>
                    <w:rPr>
                      <w:rFonts w:ascii="Times New Roman" w:hAnsi="Times New Roman"/>
                      <w:sz w:val="21"/>
                    </w:rPr>
                  </w:pPr>
                  <w:r>
                    <w:rPr>
                      <w:rFonts w:ascii="Times New Roman" w:hAnsi="Times New Roman"/>
                      <w:sz w:val="21"/>
                    </w:rPr>
                    <w:t>目</w:t>
                  </w:r>
                </w:p>
              </w:tc>
              <w:tc>
                <w:tcPr>
                  <w:tcW w:w="722" w:type="pct"/>
                  <w:vMerge w:val="restart"/>
                  <w:vAlign w:val="center"/>
                </w:tcPr>
                <w:p>
                  <w:pPr>
                    <w:pStyle w:val="217"/>
                    <w:spacing w:before="1"/>
                    <w:ind w:left="165"/>
                    <w:rPr>
                      <w:rFonts w:ascii="Times New Roman" w:hAnsi="Times New Roman"/>
                      <w:sz w:val="21"/>
                    </w:rPr>
                  </w:pPr>
                  <w:r>
                    <w:rPr>
                      <w:rFonts w:ascii="Times New Roman" w:hAnsi="Times New Roman"/>
                      <w:sz w:val="21"/>
                    </w:rPr>
                    <w:t>监测日期</w:t>
                  </w:r>
                </w:p>
              </w:tc>
              <w:tc>
                <w:tcPr>
                  <w:tcW w:w="1901" w:type="pct"/>
                  <w:gridSpan w:val="3"/>
                  <w:vAlign w:val="center"/>
                </w:tcPr>
                <w:p>
                  <w:pPr>
                    <w:pStyle w:val="217"/>
                    <w:spacing w:before="22"/>
                    <w:ind w:left="1083" w:right="1071"/>
                    <w:rPr>
                      <w:rFonts w:ascii="Times New Roman" w:hAnsi="Times New Roman"/>
                      <w:sz w:val="21"/>
                    </w:rPr>
                  </w:pPr>
                  <w:r>
                    <w:rPr>
                      <w:rFonts w:ascii="Times New Roman" w:hAnsi="Times New Roman"/>
                      <w:sz w:val="21"/>
                    </w:rPr>
                    <w:t>监测频次</w:t>
                  </w:r>
                </w:p>
              </w:tc>
              <w:tc>
                <w:tcPr>
                  <w:tcW w:w="583" w:type="pct"/>
                  <w:vMerge w:val="restart"/>
                  <w:vAlign w:val="center"/>
                </w:tcPr>
                <w:p>
                  <w:pPr>
                    <w:pStyle w:val="217"/>
                    <w:spacing w:before="1"/>
                    <w:ind w:left="193"/>
                    <w:rPr>
                      <w:rFonts w:ascii="Times New Roman" w:hAnsi="Times New Roman"/>
                      <w:sz w:val="21"/>
                    </w:rPr>
                  </w:pPr>
                  <w:r>
                    <w:rPr>
                      <w:rFonts w:ascii="Times New Roman" w:hAnsi="Times New Roman"/>
                      <w:sz w:val="21"/>
                    </w:rPr>
                    <w:t>日均值</w:t>
                  </w:r>
                </w:p>
              </w:tc>
              <w:tc>
                <w:tcPr>
                  <w:tcW w:w="616" w:type="pct"/>
                  <w:vMerge w:val="restart"/>
                  <w:vAlign w:val="center"/>
                </w:tcPr>
                <w:p>
                  <w:pPr>
                    <w:pStyle w:val="217"/>
                    <w:spacing w:before="1"/>
                    <w:ind w:left="299"/>
                    <w:jc w:val="left"/>
                    <w:rPr>
                      <w:rFonts w:ascii="Times New Roman" w:hAnsi="Times New Roman"/>
                      <w:sz w:val="21"/>
                    </w:rPr>
                  </w:pPr>
                  <w:r>
                    <w:rPr>
                      <w:rFonts w:ascii="Times New Roman" w:hAnsi="Times New Roman"/>
                      <w:sz w:val="21"/>
                    </w:rPr>
                    <w:t>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65" w:type="pct"/>
                  <w:vMerge w:val="continue"/>
                  <w:tcBorders>
                    <w:top w:val="nil"/>
                  </w:tcBorders>
                  <w:vAlign w:val="center"/>
                </w:tcPr>
                <w:p>
                  <w:pPr>
                    <w:jc w:val="center"/>
                    <w:rPr>
                      <w:szCs w:val="2"/>
                    </w:rPr>
                  </w:pPr>
                </w:p>
              </w:tc>
              <w:tc>
                <w:tcPr>
                  <w:tcW w:w="610" w:type="pct"/>
                  <w:vMerge w:val="continue"/>
                  <w:tcBorders>
                    <w:top w:val="nil"/>
                  </w:tcBorders>
                  <w:vAlign w:val="center"/>
                </w:tcPr>
                <w:p>
                  <w:pPr>
                    <w:jc w:val="center"/>
                    <w:rPr>
                      <w:szCs w:val="2"/>
                    </w:rPr>
                  </w:pPr>
                </w:p>
              </w:tc>
              <w:tc>
                <w:tcPr>
                  <w:tcW w:w="722" w:type="pct"/>
                  <w:vMerge w:val="continue"/>
                  <w:tcBorders>
                    <w:top w:val="nil"/>
                  </w:tcBorders>
                  <w:vAlign w:val="center"/>
                </w:tcPr>
                <w:p>
                  <w:pPr>
                    <w:jc w:val="center"/>
                    <w:rPr>
                      <w:szCs w:val="2"/>
                    </w:rPr>
                  </w:pPr>
                </w:p>
              </w:tc>
              <w:tc>
                <w:tcPr>
                  <w:tcW w:w="633" w:type="pct"/>
                  <w:vAlign w:val="center"/>
                </w:tcPr>
                <w:p>
                  <w:pPr>
                    <w:pStyle w:val="217"/>
                    <w:spacing w:before="36"/>
                    <w:ind w:left="9"/>
                    <w:rPr>
                      <w:rFonts w:ascii="Times New Roman" w:hAnsi="Times New Roman"/>
                      <w:sz w:val="21"/>
                    </w:rPr>
                  </w:pPr>
                  <w:r>
                    <w:rPr>
                      <w:rFonts w:ascii="Times New Roman" w:hAnsi="Times New Roman"/>
                      <w:sz w:val="21"/>
                    </w:rPr>
                    <w:t>1</w:t>
                  </w:r>
                </w:p>
              </w:tc>
              <w:tc>
                <w:tcPr>
                  <w:tcW w:w="633" w:type="pct"/>
                  <w:vAlign w:val="center"/>
                </w:tcPr>
                <w:p>
                  <w:pPr>
                    <w:pStyle w:val="217"/>
                    <w:spacing w:before="36"/>
                    <w:ind w:left="9"/>
                    <w:rPr>
                      <w:rFonts w:ascii="Times New Roman" w:hAnsi="Times New Roman"/>
                      <w:sz w:val="21"/>
                    </w:rPr>
                  </w:pPr>
                  <w:r>
                    <w:rPr>
                      <w:rFonts w:ascii="Times New Roman" w:hAnsi="Times New Roman"/>
                      <w:sz w:val="21"/>
                    </w:rPr>
                    <w:t>2</w:t>
                  </w:r>
                </w:p>
              </w:tc>
              <w:tc>
                <w:tcPr>
                  <w:tcW w:w="634" w:type="pct"/>
                  <w:vAlign w:val="center"/>
                </w:tcPr>
                <w:p>
                  <w:pPr>
                    <w:pStyle w:val="217"/>
                    <w:spacing w:before="36"/>
                    <w:ind w:left="9"/>
                    <w:rPr>
                      <w:rFonts w:ascii="Times New Roman" w:hAnsi="Times New Roman"/>
                      <w:sz w:val="21"/>
                    </w:rPr>
                  </w:pPr>
                  <w:r>
                    <w:rPr>
                      <w:rFonts w:ascii="Times New Roman" w:hAnsi="Times New Roman"/>
                      <w:sz w:val="21"/>
                    </w:rPr>
                    <w:t>3</w:t>
                  </w:r>
                </w:p>
              </w:tc>
              <w:tc>
                <w:tcPr>
                  <w:tcW w:w="583" w:type="pct"/>
                  <w:vMerge w:val="continue"/>
                  <w:tcBorders>
                    <w:top w:val="nil"/>
                  </w:tcBorders>
                  <w:vAlign w:val="center"/>
                </w:tcPr>
                <w:p>
                  <w:pPr>
                    <w:jc w:val="center"/>
                    <w:rPr>
                      <w:szCs w:val="2"/>
                    </w:rPr>
                  </w:pPr>
                </w:p>
              </w:tc>
              <w:tc>
                <w:tcPr>
                  <w:tcW w:w="616" w:type="pct"/>
                  <w:vMerge w:val="continue"/>
                  <w:tcBorders>
                    <w:top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65" w:type="pct"/>
                  <w:vMerge w:val="restart"/>
                  <w:vAlign w:val="center"/>
                </w:tcPr>
                <w:p>
                  <w:pPr>
                    <w:pStyle w:val="217"/>
                    <w:spacing w:before="135" w:line="278" w:lineRule="auto"/>
                    <w:ind w:left="194" w:right="180"/>
                    <w:rPr>
                      <w:rFonts w:ascii="Times New Roman" w:hAnsi="Times New Roman"/>
                      <w:sz w:val="21"/>
                    </w:rPr>
                  </w:pPr>
                  <w:r>
                    <w:rPr>
                      <w:rFonts w:ascii="Times New Roman" w:hAnsi="Times New Roman"/>
                      <w:sz w:val="21"/>
                    </w:rPr>
                    <w:t>生活污水总排口</w:t>
                  </w:r>
                </w:p>
              </w:tc>
              <w:tc>
                <w:tcPr>
                  <w:tcW w:w="610" w:type="pct"/>
                  <w:vMerge w:val="restart"/>
                  <w:vAlign w:val="center"/>
                </w:tcPr>
                <w:p>
                  <w:pPr>
                    <w:pStyle w:val="217"/>
                    <w:spacing w:before="196"/>
                    <w:ind w:left="215"/>
                    <w:jc w:val="left"/>
                    <w:rPr>
                      <w:rFonts w:ascii="Times New Roman" w:hAnsi="Times New Roman"/>
                      <w:sz w:val="21"/>
                    </w:rPr>
                  </w:pPr>
                  <w:r>
                    <w:rPr>
                      <w:rFonts w:ascii="Times New Roman" w:hAnsi="Times New Roman"/>
                      <w:position w:val="2"/>
                      <w:sz w:val="21"/>
                    </w:rPr>
                    <w:t>NH</w:t>
                  </w:r>
                  <w:r>
                    <w:rPr>
                      <w:rFonts w:ascii="Times New Roman" w:hAnsi="Times New Roman"/>
                      <w:sz w:val="21"/>
                    </w:rPr>
                    <w:t>3</w:t>
                  </w:r>
                  <w:r>
                    <w:rPr>
                      <w:rFonts w:ascii="Times New Roman" w:hAnsi="Times New Roman"/>
                      <w:position w:val="2"/>
                      <w:sz w:val="21"/>
                    </w:rPr>
                    <w:t>-N</w:t>
                  </w:r>
                </w:p>
              </w:tc>
              <w:tc>
                <w:tcPr>
                  <w:tcW w:w="722" w:type="pct"/>
                  <w:vAlign w:val="center"/>
                </w:tcPr>
                <w:p>
                  <w:pPr>
                    <w:pStyle w:val="217"/>
                    <w:spacing w:before="36"/>
                    <w:ind w:left="108"/>
                    <w:rPr>
                      <w:rFonts w:ascii="Times New Roman" w:hAnsi="Times New Roman"/>
                      <w:sz w:val="21"/>
                    </w:rPr>
                  </w:pPr>
                  <w:r>
                    <w:rPr>
                      <w:rFonts w:ascii="Times New Roman" w:hAnsi="Times New Roman"/>
                      <w:sz w:val="21"/>
                    </w:rPr>
                    <w:t>2020/04/23</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45.3</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42.5</w:t>
                  </w:r>
                </w:p>
              </w:tc>
              <w:tc>
                <w:tcPr>
                  <w:tcW w:w="634" w:type="pct"/>
                  <w:vAlign w:val="center"/>
                </w:tcPr>
                <w:p>
                  <w:pPr>
                    <w:pStyle w:val="217"/>
                    <w:spacing w:before="22"/>
                    <w:ind w:left="285" w:right="276"/>
                    <w:rPr>
                      <w:rFonts w:ascii="Times New Roman" w:hAnsi="Times New Roman"/>
                      <w:sz w:val="21"/>
                    </w:rPr>
                  </w:pPr>
                  <w:r>
                    <w:rPr>
                      <w:rFonts w:ascii="Times New Roman" w:hAnsi="Times New Roman"/>
                      <w:sz w:val="21"/>
                    </w:rPr>
                    <w:t>50.0</w:t>
                  </w:r>
                </w:p>
              </w:tc>
              <w:tc>
                <w:tcPr>
                  <w:tcW w:w="583" w:type="pct"/>
                  <w:vAlign w:val="center"/>
                </w:tcPr>
                <w:p>
                  <w:pPr>
                    <w:pStyle w:val="217"/>
                    <w:spacing w:before="36"/>
                    <w:ind w:left="325"/>
                    <w:jc w:val="left"/>
                    <w:rPr>
                      <w:rFonts w:ascii="Times New Roman" w:hAnsi="Times New Roman"/>
                      <w:b/>
                      <w:sz w:val="21"/>
                    </w:rPr>
                  </w:pPr>
                  <w:r>
                    <w:rPr>
                      <w:rFonts w:ascii="Times New Roman" w:hAnsi="Times New Roman"/>
                      <w:b/>
                      <w:sz w:val="21"/>
                    </w:rPr>
                    <w:t>45.9</w:t>
                  </w:r>
                </w:p>
              </w:tc>
              <w:tc>
                <w:tcPr>
                  <w:tcW w:w="616" w:type="pct"/>
                  <w:vMerge w:val="restart"/>
                  <w:vAlign w:val="center"/>
                </w:tcPr>
                <w:p>
                  <w:pPr>
                    <w:pStyle w:val="217"/>
                    <w:spacing w:before="197"/>
                    <w:ind w:left="11"/>
                    <w:rPr>
                      <w:rFonts w:ascii="Times New Roman" w:hAnsi="Times New Roman"/>
                      <w:sz w:val="21"/>
                    </w:rPr>
                  </w:pPr>
                  <w:r>
                    <w:rPr>
                      <w:rFonts w:ascii="Times New Roman" w:hAnsi="Times New Roman"/>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65" w:type="pct"/>
                  <w:vMerge w:val="continue"/>
                  <w:tcBorders>
                    <w:top w:val="nil"/>
                  </w:tcBorders>
                  <w:vAlign w:val="center"/>
                </w:tcPr>
                <w:p>
                  <w:pPr>
                    <w:jc w:val="center"/>
                    <w:rPr>
                      <w:szCs w:val="2"/>
                    </w:rPr>
                  </w:pPr>
                </w:p>
              </w:tc>
              <w:tc>
                <w:tcPr>
                  <w:tcW w:w="610" w:type="pct"/>
                  <w:vMerge w:val="continue"/>
                  <w:tcBorders>
                    <w:top w:val="nil"/>
                  </w:tcBorders>
                  <w:vAlign w:val="center"/>
                </w:tcPr>
                <w:p>
                  <w:pPr>
                    <w:jc w:val="left"/>
                    <w:rPr>
                      <w:szCs w:val="2"/>
                    </w:rPr>
                  </w:pPr>
                </w:p>
              </w:tc>
              <w:tc>
                <w:tcPr>
                  <w:tcW w:w="722" w:type="pct"/>
                  <w:vAlign w:val="center"/>
                </w:tcPr>
                <w:p>
                  <w:pPr>
                    <w:pStyle w:val="217"/>
                    <w:spacing w:before="36"/>
                    <w:ind w:left="108"/>
                    <w:rPr>
                      <w:rFonts w:ascii="Times New Roman" w:hAnsi="Times New Roman"/>
                      <w:sz w:val="21"/>
                    </w:rPr>
                  </w:pPr>
                  <w:r>
                    <w:rPr>
                      <w:rFonts w:ascii="Times New Roman" w:hAnsi="Times New Roman"/>
                      <w:sz w:val="21"/>
                    </w:rPr>
                    <w:t>2020/04/24</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47.2</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46.0</w:t>
                  </w:r>
                </w:p>
              </w:tc>
              <w:tc>
                <w:tcPr>
                  <w:tcW w:w="634" w:type="pct"/>
                  <w:vAlign w:val="center"/>
                </w:tcPr>
                <w:p>
                  <w:pPr>
                    <w:pStyle w:val="217"/>
                    <w:spacing w:before="22"/>
                    <w:ind w:left="285" w:right="276"/>
                    <w:rPr>
                      <w:rFonts w:ascii="Times New Roman" w:hAnsi="Times New Roman"/>
                      <w:sz w:val="21"/>
                    </w:rPr>
                  </w:pPr>
                  <w:r>
                    <w:rPr>
                      <w:rFonts w:ascii="Times New Roman" w:hAnsi="Times New Roman"/>
                      <w:sz w:val="21"/>
                    </w:rPr>
                    <w:t>44.8</w:t>
                  </w:r>
                </w:p>
              </w:tc>
              <w:tc>
                <w:tcPr>
                  <w:tcW w:w="583" w:type="pct"/>
                  <w:vAlign w:val="center"/>
                </w:tcPr>
                <w:p>
                  <w:pPr>
                    <w:pStyle w:val="217"/>
                    <w:spacing w:before="36"/>
                    <w:ind w:left="325"/>
                    <w:jc w:val="left"/>
                    <w:rPr>
                      <w:rFonts w:ascii="Times New Roman" w:hAnsi="Times New Roman"/>
                      <w:b/>
                      <w:sz w:val="21"/>
                    </w:rPr>
                  </w:pPr>
                  <w:r>
                    <w:rPr>
                      <w:rFonts w:ascii="Times New Roman" w:hAnsi="Times New Roman"/>
                      <w:b/>
                      <w:sz w:val="21"/>
                    </w:rPr>
                    <w:t>46.0</w:t>
                  </w:r>
                </w:p>
              </w:tc>
              <w:tc>
                <w:tcPr>
                  <w:tcW w:w="616" w:type="pct"/>
                  <w:vMerge w:val="continue"/>
                  <w:tcBorders>
                    <w:top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65" w:type="pct"/>
                  <w:vMerge w:val="continue"/>
                  <w:tcBorders>
                    <w:top w:val="nil"/>
                  </w:tcBorders>
                  <w:vAlign w:val="center"/>
                </w:tcPr>
                <w:p>
                  <w:pPr>
                    <w:jc w:val="center"/>
                    <w:rPr>
                      <w:szCs w:val="2"/>
                    </w:rPr>
                  </w:pPr>
                </w:p>
              </w:tc>
              <w:tc>
                <w:tcPr>
                  <w:tcW w:w="610" w:type="pct"/>
                  <w:vMerge w:val="restart"/>
                  <w:vAlign w:val="center"/>
                </w:tcPr>
                <w:p>
                  <w:pPr>
                    <w:pStyle w:val="217"/>
                    <w:spacing w:before="199"/>
                    <w:ind w:left="256"/>
                    <w:jc w:val="left"/>
                    <w:rPr>
                      <w:rFonts w:ascii="Times New Roman" w:hAnsi="Times New Roman"/>
                      <w:sz w:val="21"/>
                    </w:rPr>
                  </w:pPr>
                  <w:r>
                    <w:rPr>
                      <w:rFonts w:ascii="Times New Roman" w:hAnsi="Times New Roman"/>
                      <w:position w:val="2"/>
                      <w:sz w:val="21"/>
                    </w:rPr>
                    <w:t>BOD</w:t>
                  </w:r>
                  <w:r>
                    <w:rPr>
                      <w:rFonts w:ascii="Times New Roman" w:hAnsi="Times New Roman"/>
                      <w:sz w:val="21"/>
                      <w:vertAlign w:val="subscript"/>
                    </w:rPr>
                    <w:t>5</w:t>
                  </w:r>
                </w:p>
              </w:tc>
              <w:tc>
                <w:tcPr>
                  <w:tcW w:w="722" w:type="pct"/>
                  <w:vAlign w:val="center"/>
                </w:tcPr>
                <w:p>
                  <w:pPr>
                    <w:pStyle w:val="217"/>
                    <w:spacing w:before="36"/>
                    <w:ind w:left="108"/>
                    <w:rPr>
                      <w:rFonts w:ascii="Times New Roman" w:hAnsi="Times New Roman"/>
                      <w:sz w:val="21"/>
                    </w:rPr>
                  </w:pPr>
                  <w:r>
                    <w:rPr>
                      <w:rFonts w:ascii="Times New Roman" w:hAnsi="Times New Roman"/>
                      <w:sz w:val="21"/>
                    </w:rPr>
                    <w:t>2020/04/23</w:t>
                  </w:r>
                </w:p>
              </w:tc>
              <w:tc>
                <w:tcPr>
                  <w:tcW w:w="633" w:type="pct"/>
                  <w:vAlign w:val="center"/>
                </w:tcPr>
                <w:p>
                  <w:pPr>
                    <w:pStyle w:val="217"/>
                    <w:spacing w:before="22"/>
                    <w:ind w:left="284" w:right="276"/>
                    <w:rPr>
                      <w:rFonts w:ascii="Times New Roman" w:hAnsi="Times New Roman"/>
                      <w:sz w:val="21"/>
                    </w:rPr>
                  </w:pPr>
                  <w:r>
                    <w:rPr>
                      <w:rFonts w:ascii="Times New Roman" w:hAnsi="Times New Roman"/>
                      <w:sz w:val="21"/>
                    </w:rPr>
                    <w:t>118</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119</w:t>
                  </w:r>
                </w:p>
              </w:tc>
              <w:tc>
                <w:tcPr>
                  <w:tcW w:w="634" w:type="pct"/>
                  <w:vAlign w:val="center"/>
                </w:tcPr>
                <w:p>
                  <w:pPr>
                    <w:pStyle w:val="217"/>
                    <w:spacing w:before="22"/>
                    <w:ind w:left="285" w:right="276"/>
                    <w:rPr>
                      <w:rFonts w:ascii="Times New Roman" w:hAnsi="Times New Roman"/>
                      <w:sz w:val="21"/>
                    </w:rPr>
                  </w:pPr>
                  <w:r>
                    <w:rPr>
                      <w:rFonts w:ascii="Times New Roman" w:hAnsi="Times New Roman"/>
                      <w:sz w:val="21"/>
                    </w:rPr>
                    <w:t>121</w:t>
                  </w:r>
                </w:p>
              </w:tc>
              <w:tc>
                <w:tcPr>
                  <w:tcW w:w="583" w:type="pct"/>
                  <w:vAlign w:val="center"/>
                </w:tcPr>
                <w:p>
                  <w:pPr>
                    <w:pStyle w:val="217"/>
                    <w:spacing w:before="36"/>
                    <w:ind w:left="356"/>
                    <w:jc w:val="left"/>
                    <w:rPr>
                      <w:rFonts w:ascii="Times New Roman" w:hAnsi="Times New Roman"/>
                      <w:b/>
                      <w:sz w:val="21"/>
                    </w:rPr>
                  </w:pPr>
                  <w:r>
                    <w:rPr>
                      <w:rFonts w:ascii="Times New Roman" w:hAnsi="Times New Roman"/>
                      <w:b/>
                      <w:sz w:val="21"/>
                    </w:rPr>
                    <w:t>119</w:t>
                  </w:r>
                </w:p>
              </w:tc>
              <w:tc>
                <w:tcPr>
                  <w:tcW w:w="616" w:type="pct"/>
                  <w:vMerge w:val="restart"/>
                  <w:vAlign w:val="center"/>
                </w:tcPr>
                <w:p>
                  <w:pPr>
                    <w:pStyle w:val="217"/>
                    <w:ind w:left="285" w:right="270"/>
                    <w:rPr>
                      <w:rFonts w:ascii="Times New Roman" w:hAnsi="Times New Roman"/>
                      <w:sz w:val="21"/>
                    </w:rPr>
                  </w:pPr>
                  <w:r>
                    <w:rPr>
                      <w:rFonts w:ascii="Times New Roman" w:hAnsi="Times New Roman"/>
                      <w:sz w:val="21"/>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65" w:type="pct"/>
                  <w:vMerge w:val="continue"/>
                  <w:tcBorders>
                    <w:top w:val="nil"/>
                  </w:tcBorders>
                  <w:vAlign w:val="center"/>
                </w:tcPr>
                <w:p>
                  <w:pPr>
                    <w:jc w:val="center"/>
                    <w:rPr>
                      <w:szCs w:val="2"/>
                    </w:rPr>
                  </w:pPr>
                </w:p>
              </w:tc>
              <w:tc>
                <w:tcPr>
                  <w:tcW w:w="610" w:type="pct"/>
                  <w:vMerge w:val="continue"/>
                  <w:tcBorders>
                    <w:top w:val="nil"/>
                  </w:tcBorders>
                  <w:vAlign w:val="center"/>
                </w:tcPr>
                <w:p>
                  <w:pPr>
                    <w:jc w:val="left"/>
                    <w:rPr>
                      <w:szCs w:val="2"/>
                    </w:rPr>
                  </w:pPr>
                </w:p>
              </w:tc>
              <w:tc>
                <w:tcPr>
                  <w:tcW w:w="722" w:type="pct"/>
                  <w:vAlign w:val="center"/>
                </w:tcPr>
                <w:p>
                  <w:pPr>
                    <w:pStyle w:val="217"/>
                    <w:spacing w:before="39"/>
                    <w:ind w:left="108"/>
                    <w:rPr>
                      <w:rFonts w:ascii="Times New Roman" w:hAnsi="Times New Roman"/>
                      <w:sz w:val="21"/>
                    </w:rPr>
                  </w:pPr>
                  <w:r>
                    <w:rPr>
                      <w:rFonts w:ascii="Times New Roman" w:hAnsi="Times New Roman"/>
                      <w:sz w:val="21"/>
                    </w:rPr>
                    <w:t>2020/04/24</w:t>
                  </w:r>
                </w:p>
              </w:tc>
              <w:tc>
                <w:tcPr>
                  <w:tcW w:w="633" w:type="pct"/>
                  <w:vAlign w:val="center"/>
                </w:tcPr>
                <w:p>
                  <w:pPr>
                    <w:pStyle w:val="217"/>
                    <w:spacing w:before="25"/>
                    <w:ind w:left="285" w:right="276"/>
                    <w:rPr>
                      <w:rFonts w:ascii="Times New Roman" w:hAnsi="Times New Roman"/>
                      <w:sz w:val="21"/>
                    </w:rPr>
                  </w:pPr>
                  <w:r>
                    <w:rPr>
                      <w:rFonts w:ascii="Times New Roman" w:hAnsi="Times New Roman"/>
                      <w:sz w:val="21"/>
                    </w:rPr>
                    <w:t>121</w:t>
                  </w:r>
                </w:p>
              </w:tc>
              <w:tc>
                <w:tcPr>
                  <w:tcW w:w="633" w:type="pct"/>
                  <w:vAlign w:val="center"/>
                </w:tcPr>
                <w:p>
                  <w:pPr>
                    <w:pStyle w:val="217"/>
                    <w:spacing w:before="25"/>
                    <w:ind w:left="285" w:right="276"/>
                    <w:rPr>
                      <w:rFonts w:ascii="Times New Roman" w:hAnsi="Times New Roman"/>
                      <w:sz w:val="21"/>
                    </w:rPr>
                  </w:pPr>
                  <w:r>
                    <w:rPr>
                      <w:rFonts w:ascii="Times New Roman" w:hAnsi="Times New Roman"/>
                      <w:sz w:val="21"/>
                    </w:rPr>
                    <w:t>116</w:t>
                  </w:r>
                </w:p>
              </w:tc>
              <w:tc>
                <w:tcPr>
                  <w:tcW w:w="634" w:type="pct"/>
                  <w:vAlign w:val="center"/>
                </w:tcPr>
                <w:p>
                  <w:pPr>
                    <w:pStyle w:val="217"/>
                    <w:spacing w:before="25"/>
                    <w:ind w:left="285" w:right="276"/>
                    <w:rPr>
                      <w:rFonts w:ascii="Times New Roman" w:hAnsi="Times New Roman"/>
                      <w:sz w:val="21"/>
                    </w:rPr>
                  </w:pPr>
                  <w:r>
                    <w:rPr>
                      <w:rFonts w:ascii="Times New Roman" w:hAnsi="Times New Roman"/>
                      <w:sz w:val="21"/>
                    </w:rPr>
                    <w:t>119</w:t>
                  </w:r>
                </w:p>
              </w:tc>
              <w:tc>
                <w:tcPr>
                  <w:tcW w:w="583" w:type="pct"/>
                  <w:vAlign w:val="center"/>
                </w:tcPr>
                <w:p>
                  <w:pPr>
                    <w:pStyle w:val="217"/>
                    <w:spacing w:before="39"/>
                    <w:ind w:left="356"/>
                    <w:jc w:val="left"/>
                    <w:rPr>
                      <w:rFonts w:ascii="Times New Roman" w:hAnsi="Times New Roman"/>
                      <w:b/>
                      <w:sz w:val="21"/>
                    </w:rPr>
                  </w:pPr>
                  <w:r>
                    <w:rPr>
                      <w:rFonts w:ascii="Times New Roman" w:hAnsi="Times New Roman"/>
                      <w:b/>
                      <w:sz w:val="21"/>
                    </w:rPr>
                    <w:t>119</w:t>
                  </w:r>
                </w:p>
              </w:tc>
              <w:tc>
                <w:tcPr>
                  <w:tcW w:w="616" w:type="pct"/>
                  <w:vMerge w:val="continue"/>
                  <w:tcBorders>
                    <w:top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65" w:type="pct"/>
                  <w:vMerge w:val="continue"/>
                  <w:tcBorders>
                    <w:top w:val="nil"/>
                  </w:tcBorders>
                  <w:vAlign w:val="center"/>
                </w:tcPr>
                <w:p>
                  <w:pPr>
                    <w:jc w:val="center"/>
                    <w:rPr>
                      <w:szCs w:val="2"/>
                    </w:rPr>
                  </w:pPr>
                </w:p>
              </w:tc>
              <w:tc>
                <w:tcPr>
                  <w:tcW w:w="610" w:type="pct"/>
                  <w:vMerge w:val="restart"/>
                  <w:vAlign w:val="center"/>
                </w:tcPr>
                <w:p>
                  <w:pPr>
                    <w:pStyle w:val="217"/>
                    <w:spacing w:before="197"/>
                    <w:ind w:left="180" w:right="166"/>
                    <w:rPr>
                      <w:rFonts w:ascii="Times New Roman" w:hAnsi="Times New Roman"/>
                      <w:sz w:val="21"/>
                    </w:rPr>
                  </w:pPr>
                  <w:r>
                    <w:rPr>
                      <w:rFonts w:ascii="Times New Roman" w:hAnsi="Times New Roman"/>
                      <w:sz w:val="21"/>
                    </w:rPr>
                    <w:t>SS</w:t>
                  </w:r>
                </w:p>
              </w:tc>
              <w:tc>
                <w:tcPr>
                  <w:tcW w:w="722" w:type="pct"/>
                  <w:vAlign w:val="center"/>
                </w:tcPr>
                <w:p>
                  <w:pPr>
                    <w:pStyle w:val="217"/>
                    <w:spacing w:before="36"/>
                    <w:ind w:left="108"/>
                    <w:rPr>
                      <w:rFonts w:ascii="Times New Roman" w:hAnsi="Times New Roman"/>
                      <w:sz w:val="21"/>
                    </w:rPr>
                  </w:pPr>
                  <w:r>
                    <w:rPr>
                      <w:rFonts w:ascii="Times New Roman" w:hAnsi="Times New Roman"/>
                      <w:sz w:val="21"/>
                    </w:rPr>
                    <w:t>2020/04/23</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265</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260</w:t>
                  </w:r>
                </w:p>
              </w:tc>
              <w:tc>
                <w:tcPr>
                  <w:tcW w:w="634" w:type="pct"/>
                  <w:vAlign w:val="center"/>
                </w:tcPr>
                <w:p>
                  <w:pPr>
                    <w:pStyle w:val="217"/>
                    <w:spacing w:before="22"/>
                    <w:ind w:left="285" w:right="276"/>
                    <w:rPr>
                      <w:rFonts w:ascii="Times New Roman" w:hAnsi="Times New Roman"/>
                      <w:sz w:val="21"/>
                    </w:rPr>
                  </w:pPr>
                  <w:r>
                    <w:rPr>
                      <w:rFonts w:ascii="Times New Roman" w:hAnsi="Times New Roman"/>
                      <w:sz w:val="21"/>
                    </w:rPr>
                    <w:t>255</w:t>
                  </w:r>
                </w:p>
              </w:tc>
              <w:tc>
                <w:tcPr>
                  <w:tcW w:w="583" w:type="pct"/>
                  <w:vAlign w:val="center"/>
                </w:tcPr>
                <w:p>
                  <w:pPr>
                    <w:pStyle w:val="217"/>
                    <w:spacing w:before="36"/>
                    <w:ind w:left="351"/>
                    <w:jc w:val="left"/>
                    <w:rPr>
                      <w:rFonts w:ascii="Times New Roman" w:hAnsi="Times New Roman"/>
                      <w:b/>
                      <w:sz w:val="21"/>
                    </w:rPr>
                  </w:pPr>
                  <w:r>
                    <w:rPr>
                      <w:rFonts w:ascii="Times New Roman" w:hAnsi="Times New Roman"/>
                      <w:b/>
                      <w:sz w:val="21"/>
                    </w:rPr>
                    <w:t>260</w:t>
                  </w:r>
                </w:p>
              </w:tc>
              <w:tc>
                <w:tcPr>
                  <w:tcW w:w="616" w:type="pct"/>
                  <w:vMerge w:val="restart"/>
                  <w:vAlign w:val="center"/>
                </w:tcPr>
                <w:p>
                  <w:pPr>
                    <w:pStyle w:val="217"/>
                    <w:spacing w:before="197"/>
                    <w:ind w:left="285" w:right="270"/>
                    <w:rPr>
                      <w:rFonts w:ascii="Times New Roman" w:hAnsi="Times New Roman"/>
                      <w:sz w:val="21"/>
                    </w:rPr>
                  </w:pPr>
                  <w:r>
                    <w:rPr>
                      <w:rFonts w:ascii="Times New Roman" w:hAnsi="Times New Roman"/>
                      <w:sz w:val="21"/>
                    </w:rPr>
                    <w:t>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65" w:type="pct"/>
                  <w:vMerge w:val="continue"/>
                  <w:tcBorders>
                    <w:top w:val="nil"/>
                  </w:tcBorders>
                  <w:vAlign w:val="center"/>
                </w:tcPr>
                <w:p>
                  <w:pPr>
                    <w:jc w:val="center"/>
                    <w:rPr>
                      <w:szCs w:val="2"/>
                    </w:rPr>
                  </w:pPr>
                </w:p>
              </w:tc>
              <w:tc>
                <w:tcPr>
                  <w:tcW w:w="610" w:type="pct"/>
                  <w:vMerge w:val="continue"/>
                  <w:tcBorders>
                    <w:top w:val="nil"/>
                  </w:tcBorders>
                  <w:vAlign w:val="center"/>
                </w:tcPr>
                <w:p>
                  <w:pPr>
                    <w:jc w:val="left"/>
                    <w:rPr>
                      <w:szCs w:val="2"/>
                    </w:rPr>
                  </w:pPr>
                </w:p>
              </w:tc>
              <w:tc>
                <w:tcPr>
                  <w:tcW w:w="722" w:type="pct"/>
                  <w:vAlign w:val="center"/>
                </w:tcPr>
                <w:p>
                  <w:pPr>
                    <w:pStyle w:val="217"/>
                    <w:spacing w:before="36"/>
                    <w:ind w:left="108"/>
                    <w:rPr>
                      <w:rFonts w:ascii="Times New Roman" w:hAnsi="Times New Roman"/>
                      <w:sz w:val="21"/>
                    </w:rPr>
                  </w:pPr>
                  <w:r>
                    <w:rPr>
                      <w:rFonts w:ascii="Times New Roman" w:hAnsi="Times New Roman"/>
                      <w:sz w:val="21"/>
                    </w:rPr>
                    <w:t>2020/04/24</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248</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255</w:t>
                  </w:r>
                </w:p>
              </w:tc>
              <w:tc>
                <w:tcPr>
                  <w:tcW w:w="634" w:type="pct"/>
                  <w:vAlign w:val="center"/>
                </w:tcPr>
                <w:p>
                  <w:pPr>
                    <w:pStyle w:val="217"/>
                    <w:spacing w:before="22"/>
                    <w:ind w:left="285" w:right="276"/>
                    <w:rPr>
                      <w:rFonts w:ascii="Times New Roman" w:hAnsi="Times New Roman"/>
                      <w:sz w:val="21"/>
                    </w:rPr>
                  </w:pPr>
                  <w:r>
                    <w:rPr>
                      <w:rFonts w:ascii="Times New Roman" w:hAnsi="Times New Roman"/>
                      <w:sz w:val="21"/>
                    </w:rPr>
                    <w:t>251</w:t>
                  </w:r>
                </w:p>
              </w:tc>
              <w:tc>
                <w:tcPr>
                  <w:tcW w:w="583" w:type="pct"/>
                  <w:vAlign w:val="center"/>
                </w:tcPr>
                <w:p>
                  <w:pPr>
                    <w:pStyle w:val="217"/>
                    <w:spacing w:before="36"/>
                    <w:ind w:left="351"/>
                    <w:jc w:val="left"/>
                    <w:rPr>
                      <w:rFonts w:ascii="Times New Roman" w:hAnsi="Times New Roman"/>
                      <w:b/>
                      <w:sz w:val="21"/>
                    </w:rPr>
                  </w:pPr>
                  <w:r>
                    <w:rPr>
                      <w:rFonts w:ascii="Times New Roman" w:hAnsi="Times New Roman"/>
                      <w:b/>
                      <w:sz w:val="21"/>
                    </w:rPr>
                    <w:t>251</w:t>
                  </w:r>
                </w:p>
              </w:tc>
              <w:tc>
                <w:tcPr>
                  <w:tcW w:w="616" w:type="pct"/>
                  <w:vMerge w:val="continue"/>
                  <w:tcBorders>
                    <w:top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65" w:type="pct"/>
                  <w:vMerge w:val="continue"/>
                  <w:tcBorders>
                    <w:top w:val="nil"/>
                  </w:tcBorders>
                  <w:vAlign w:val="center"/>
                </w:tcPr>
                <w:p>
                  <w:pPr>
                    <w:jc w:val="center"/>
                    <w:rPr>
                      <w:szCs w:val="2"/>
                    </w:rPr>
                  </w:pPr>
                </w:p>
              </w:tc>
              <w:tc>
                <w:tcPr>
                  <w:tcW w:w="610" w:type="pct"/>
                  <w:vMerge w:val="restart"/>
                  <w:vAlign w:val="center"/>
                </w:tcPr>
                <w:p>
                  <w:pPr>
                    <w:pStyle w:val="217"/>
                    <w:spacing w:before="197"/>
                    <w:ind w:left="292"/>
                    <w:jc w:val="left"/>
                    <w:rPr>
                      <w:rFonts w:ascii="Times New Roman" w:hAnsi="Times New Roman"/>
                      <w:sz w:val="21"/>
                    </w:rPr>
                  </w:pPr>
                  <w:r>
                    <w:rPr>
                      <w:rFonts w:ascii="Times New Roman" w:hAnsi="Times New Roman"/>
                      <w:sz w:val="21"/>
                    </w:rPr>
                    <w:t>COD</w:t>
                  </w:r>
                </w:p>
              </w:tc>
              <w:tc>
                <w:tcPr>
                  <w:tcW w:w="722" w:type="pct"/>
                  <w:vAlign w:val="center"/>
                </w:tcPr>
                <w:p>
                  <w:pPr>
                    <w:pStyle w:val="217"/>
                    <w:spacing w:before="36"/>
                    <w:ind w:left="107"/>
                    <w:rPr>
                      <w:rFonts w:ascii="Times New Roman" w:hAnsi="Times New Roman"/>
                      <w:sz w:val="21"/>
                    </w:rPr>
                  </w:pPr>
                  <w:r>
                    <w:rPr>
                      <w:rFonts w:ascii="Times New Roman" w:hAnsi="Times New Roman"/>
                      <w:sz w:val="21"/>
                    </w:rPr>
                    <w:t>2020/04/23</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332</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341</w:t>
                  </w:r>
                </w:p>
              </w:tc>
              <w:tc>
                <w:tcPr>
                  <w:tcW w:w="634" w:type="pct"/>
                  <w:vAlign w:val="center"/>
                </w:tcPr>
                <w:p>
                  <w:pPr>
                    <w:pStyle w:val="217"/>
                    <w:spacing w:before="22"/>
                    <w:ind w:left="285" w:right="276"/>
                    <w:rPr>
                      <w:rFonts w:ascii="Times New Roman" w:hAnsi="Times New Roman"/>
                      <w:sz w:val="21"/>
                    </w:rPr>
                  </w:pPr>
                  <w:r>
                    <w:rPr>
                      <w:rFonts w:ascii="Times New Roman" w:hAnsi="Times New Roman"/>
                      <w:sz w:val="21"/>
                    </w:rPr>
                    <w:t>347</w:t>
                  </w:r>
                </w:p>
              </w:tc>
              <w:tc>
                <w:tcPr>
                  <w:tcW w:w="583" w:type="pct"/>
                  <w:vAlign w:val="center"/>
                </w:tcPr>
                <w:p>
                  <w:pPr>
                    <w:pStyle w:val="217"/>
                    <w:spacing w:before="36"/>
                    <w:ind w:left="351"/>
                    <w:jc w:val="left"/>
                    <w:rPr>
                      <w:rFonts w:ascii="Times New Roman" w:hAnsi="Times New Roman"/>
                      <w:b/>
                      <w:sz w:val="21"/>
                    </w:rPr>
                  </w:pPr>
                  <w:r>
                    <w:rPr>
                      <w:rFonts w:ascii="Times New Roman" w:hAnsi="Times New Roman"/>
                      <w:b/>
                      <w:sz w:val="21"/>
                    </w:rPr>
                    <w:t>340</w:t>
                  </w:r>
                </w:p>
              </w:tc>
              <w:tc>
                <w:tcPr>
                  <w:tcW w:w="616" w:type="pct"/>
                  <w:vMerge w:val="restart"/>
                  <w:vAlign w:val="center"/>
                </w:tcPr>
                <w:p>
                  <w:pPr>
                    <w:pStyle w:val="217"/>
                    <w:spacing w:before="197"/>
                    <w:ind w:left="285" w:right="270"/>
                    <w:rPr>
                      <w:rFonts w:ascii="Times New Roman" w:hAnsi="Times New Roman"/>
                      <w:sz w:val="21"/>
                    </w:rPr>
                  </w:pPr>
                  <w:r>
                    <w:rPr>
                      <w:rFonts w:ascii="Times New Roman" w:hAnsi="Times New Roman"/>
                      <w:sz w:val="21"/>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565" w:type="pct"/>
                  <w:vMerge w:val="continue"/>
                  <w:tcBorders>
                    <w:top w:val="nil"/>
                  </w:tcBorders>
                  <w:vAlign w:val="center"/>
                </w:tcPr>
                <w:p>
                  <w:pPr>
                    <w:jc w:val="center"/>
                    <w:rPr>
                      <w:szCs w:val="2"/>
                    </w:rPr>
                  </w:pPr>
                </w:p>
              </w:tc>
              <w:tc>
                <w:tcPr>
                  <w:tcW w:w="610" w:type="pct"/>
                  <w:vMerge w:val="continue"/>
                  <w:tcBorders>
                    <w:top w:val="nil"/>
                  </w:tcBorders>
                  <w:vAlign w:val="center"/>
                </w:tcPr>
                <w:p>
                  <w:pPr>
                    <w:jc w:val="left"/>
                    <w:rPr>
                      <w:szCs w:val="2"/>
                    </w:rPr>
                  </w:pPr>
                </w:p>
              </w:tc>
              <w:tc>
                <w:tcPr>
                  <w:tcW w:w="722" w:type="pct"/>
                  <w:vAlign w:val="center"/>
                </w:tcPr>
                <w:p>
                  <w:pPr>
                    <w:pStyle w:val="217"/>
                    <w:spacing w:before="36"/>
                    <w:ind w:left="108"/>
                    <w:rPr>
                      <w:rFonts w:ascii="Times New Roman" w:hAnsi="Times New Roman"/>
                      <w:sz w:val="21"/>
                    </w:rPr>
                  </w:pPr>
                  <w:r>
                    <w:rPr>
                      <w:rFonts w:ascii="Times New Roman" w:hAnsi="Times New Roman"/>
                      <w:sz w:val="21"/>
                    </w:rPr>
                    <w:t>2020/04/24</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347</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351</w:t>
                  </w:r>
                </w:p>
              </w:tc>
              <w:tc>
                <w:tcPr>
                  <w:tcW w:w="634" w:type="pct"/>
                  <w:vAlign w:val="center"/>
                </w:tcPr>
                <w:p>
                  <w:pPr>
                    <w:pStyle w:val="217"/>
                    <w:spacing w:before="22"/>
                    <w:ind w:left="285" w:right="276"/>
                    <w:rPr>
                      <w:rFonts w:ascii="Times New Roman" w:hAnsi="Times New Roman"/>
                      <w:sz w:val="21"/>
                    </w:rPr>
                  </w:pPr>
                  <w:r>
                    <w:rPr>
                      <w:rFonts w:ascii="Times New Roman" w:hAnsi="Times New Roman"/>
                      <w:sz w:val="21"/>
                    </w:rPr>
                    <w:t>354</w:t>
                  </w:r>
                </w:p>
              </w:tc>
              <w:tc>
                <w:tcPr>
                  <w:tcW w:w="583" w:type="pct"/>
                  <w:vAlign w:val="center"/>
                </w:tcPr>
                <w:p>
                  <w:pPr>
                    <w:pStyle w:val="217"/>
                    <w:spacing w:before="36"/>
                    <w:ind w:left="351"/>
                    <w:jc w:val="left"/>
                    <w:rPr>
                      <w:rFonts w:ascii="Times New Roman" w:hAnsi="Times New Roman"/>
                      <w:b/>
                      <w:sz w:val="21"/>
                    </w:rPr>
                  </w:pPr>
                  <w:r>
                    <w:rPr>
                      <w:rFonts w:ascii="Times New Roman" w:hAnsi="Times New Roman"/>
                      <w:b/>
                      <w:sz w:val="21"/>
                    </w:rPr>
                    <w:t>351</w:t>
                  </w:r>
                </w:p>
              </w:tc>
              <w:tc>
                <w:tcPr>
                  <w:tcW w:w="616" w:type="pct"/>
                  <w:vMerge w:val="continue"/>
                  <w:tcBorders>
                    <w:top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565" w:type="pct"/>
                  <w:vMerge w:val="continue"/>
                  <w:tcBorders>
                    <w:top w:val="nil"/>
                  </w:tcBorders>
                  <w:vAlign w:val="center"/>
                </w:tcPr>
                <w:p>
                  <w:pPr>
                    <w:jc w:val="center"/>
                    <w:rPr>
                      <w:szCs w:val="2"/>
                    </w:rPr>
                  </w:pPr>
                </w:p>
              </w:tc>
              <w:tc>
                <w:tcPr>
                  <w:tcW w:w="610" w:type="pct"/>
                  <w:vMerge w:val="restart"/>
                  <w:vAlign w:val="center"/>
                </w:tcPr>
                <w:p>
                  <w:pPr>
                    <w:pStyle w:val="217"/>
                    <w:spacing w:before="30"/>
                    <w:ind w:left="180" w:right="166"/>
                    <w:jc w:val="left"/>
                    <w:rPr>
                      <w:rFonts w:ascii="Times New Roman" w:hAnsi="Times New Roman"/>
                      <w:sz w:val="21"/>
                    </w:rPr>
                  </w:pPr>
                  <w:r>
                    <w:rPr>
                      <w:rFonts w:ascii="Times New Roman" w:hAnsi="Times New Roman"/>
                      <w:sz w:val="21"/>
                    </w:rPr>
                    <w:t>动植物</w:t>
                  </w:r>
                </w:p>
                <w:p>
                  <w:pPr>
                    <w:pStyle w:val="217"/>
                    <w:spacing w:before="42"/>
                    <w:ind w:left="9"/>
                    <w:rPr>
                      <w:rFonts w:ascii="Times New Roman" w:hAnsi="Times New Roman"/>
                      <w:sz w:val="21"/>
                    </w:rPr>
                  </w:pPr>
                  <w:r>
                    <w:rPr>
                      <w:rFonts w:ascii="Times New Roman" w:hAnsi="Times New Roman"/>
                      <w:sz w:val="21"/>
                    </w:rPr>
                    <w:t>油</w:t>
                  </w:r>
                </w:p>
              </w:tc>
              <w:tc>
                <w:tcPr>
                  <w:tcW w:w="722" w:type="pct"/>
                  <w:vAlign w:val="center"/>
                </w:tcPr>
                <w:p>
                  <w:pPr>
                    <w:pStyle w:val="217"/>
                    <w:spacing w:before="36"/>
                    <w:ind w:left="108"/>
                    <w:rPr>
                      <w:rFonts w:ascii="Times New Roman" w:hAnsi="Times New Roman"/>
                      <w:sz w:val="21"/>
                    </w:rPr>
                  </w:pPr>
                  <w:r>
                    <w:rPr>
                      <w:rFonts w:ascii="Times New Roman" w:hAnsi="Times New Roman"/>
                      <w:sz w:val="21"/>
                    </w:rPr>
                    <w:t>2020/04/23</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0.38</w:t>
                  </w:r>
                </w:p>
              </w:tc>
              <w:tc>
                <w:tcPr>
                  <w:tcW w:w="633" w:type="pct"/>
                  <w:vAlign w:val="center"/>
                </w:tcPr>
                <w:p>
                  <w:pPr>
                    <w:pStyle w:val="217"/>
                    <w:spacing w:before="22"/>
                    <w:ind w:left="285" w:right="276"/>
                    <w:rPr>
                      <w:rFonts w:ascii="Times New Roman" w:hAnsi="Times New Roman"/>
                      <w:sz w:val="21"/>
                    </w:rPr>
                  </w:pPr>
                  <w:r>
                    <w:rPr>
                      <w:rFonts w:ascii="Times New Roman" w:hAnsi="Times New Roman"/>
                      <w:sz w:val="21"/>
                    </w:rPr>
                    <w:t>0.44</w:t>
                  </w:r>
                </w:p>
              </w:tc>
              <w:tc>
                <w:tcPr>
                  <w:tcW w:w="634" w:type="pct"/>
                  <w:vAlign w:val="center"/>
                </w:tcPr>
                <w:p>
                  <w:pPr>
                    <w:pStyle w:val="217"/>
                    <w:spacing w:before="22"/>
                    <w:ind w:left="285" w:right="276"/>
                    <w:rPr>
                      <w:rFonts w:ascii="Times New Roman" w:hAnsi="Times New Roman"/>
                      <w:sz w:val="21"/>
                    </w:rPr>
                  </w:pPr>
                  <w:r>
                    <w:rPr>
                      <w:rFonts w:ascii="Times New Roman" w:hAnsi="Times New Roman"/>
                      <w:sz w:val="21"/>
                    </w:rPr>
                    <w:t>0.33</w:t>
                  </w:r>
                </w:p>
              </w:tc>
              <w:tc>
                <w:tcPr>
                  <w:tcW w:w="583" w:type="pct"/>
                  <w:vAlign w:val="center"/>
                </w:tcPr>
                <w:p>
                  <w:pPr>
                    <w:pStyle w:val="217"/>
                    <w:spacing w:before="36"/>
                    <w:ind w:left="325"/>
                    <w:jc w:val="left"/>
                    <w:rPr>
                      <w:rFonts w:ascii="Times New Roman" w:hAnsi="Times New Roman"/>
                      <w:b/>
                      <w:sz w:val="21"/>
                    </w:rPr>
                  </w:pPr>
                  <w:r>
                    <w:rPr>
                      <w:rFonts w:ascii="Times New Roman" w:hAnsi="Times New Roman"/>
                      <w:b/>
                      <w:sz w:val="21"/>
                    </w:rPr>
                    <w:t>0.38</w:t>
                  </w:r>
                </w:p>
              </w:tc>
              <w:tc>
                <w:tcPr>
                  <w:tcW w:w="616" w:type="pct"/>
                  <w:vMerge w:val="restart"/>
                  <w:vAlign w:val="center"/>
                </w:tcPr>
                <w:p>
                  <w:pPr>
                    <w:pStyle w:val="217"/>
                    <w:ind w:left="285" w:right="270"/>
                    <w:rPr>
                      <w:rFonts w:ascii="Times New Roman" w:hAnsi="Times New Roman"/>
                      <w:sz w:val="21"/>
                    </w:rPr>
                  </w:pPr>
                  <w:r>
                    <w:rPr>
                      <w:rFonts w:ascii="Times New Roman" w:hAnsi="Times New Roman"/>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65" w:type="pct"/>
                  <w:vMerge w:val="continue"/>
                  <w:tcBorders>
                    <w:top w:val="nil"/>
                  </w:tcBorders>
                  <w:vAlign w:val="center"/>
                </w:tcPr>
                <w:p>
                  <w:pPr>
                    <w:jc w:val="center"/>
                    <w:rPr>
                      <w:szCs w:val="2"/>
                    </w:rPr>
                  </w:pPr>
                </w:p>
              </w:tc>
              <w:tc>
                <w:tcPr>
                  <w:tcW w:w="610" w:type="pct"/>
                  <w:vMerge w:val="continue"/>
                  <w:tcBorders>
                    <w:top w:val="nil"/>
                  </w:tcBorders>
                  <w:vAlign w:val="center"/>
                </w:tcPr>
                <w:p>
                  <w:pPr>
                    <w:jc w:val="center"/>
                    <w:rPr>
                      <w:szCs w:val="2"/>
                    </w:rPr>
                  </w:pPr>
                </w:p>
              </w:tc>
              <w:tc>
                <w:tcPr>
                  <w:tcW w:w="722" w:type="pct"/>
                  <w:vAlign w:val="center"/>
                </w:tcPr>
                <w:p>
                  <w:pPr>
                    <w:pStyle w:val="217"/>
                    <w:spacing w:before="39"/>
                    <w:ind w:left="108"/>
                    <w:rPr>
                      <w:rFonts w:ascii="Times New Roman" w:hAnsi="Times New Roman"/>
                      <w:sz w:val="21"/>
                    </w:rPr>
                  </w:pPr>
                  <w:r>
                    <w:rPr>
                      <w:rFonts w:ascii="Times New Roman" w:hAnsi="Times New Roman"/>
                      <w:sz w:val="21"/>
                    </w:rPr>
                    <w:t>2020/04/24</w:t>
                  </w:r>
                </w:p>
              </w:tc>
              <w:tc>
                <w:tcPr>
                  <w:tcW w:w="633" w:type="pct"/>
                  <w:vAlign w:val="center"/>
                </w:tcPr>
                <w:p>
                  <w:pPr>
                    <w:pStyle w:val="217"/>
                    <w:spacing w:before="25"/>
                    <w:ind w:left="285" w:right="276"/>
                    <w:rPr>
                      <w:rFonts w:ascii="Times New Roman" w:hAnsi="Times New Roman"/>
                      <w:sz w:val="21"/>
                    </w:rPr>
                  </w:pPr>
                  <w:r>
                    <w:rPr>
                      <w:rFonts w:ascii="Times New Roman" w:hAnsi="Times New Roman"/>
                      <w:sz w:val="21"/>
                    </w:rPr>
                    <w:t>0.28</w:t>
                  </w:r>
                </w:p>
              </w:tc>
              <w:tc>
                <w:tcPr>
                  <w:tcW w:w="633" w:type="pct"/>
                  <w:vAlign w:val="center"/>
                </w:tcPr>
                <w:p>
                  <w:pPr>
                    <w:pStyle w:val="217"/>
                    <w:spacing w:before="25"/>
                    <w:ind w:left="285" w:right="276"/>
                    <w:rPr>
                      <w:rFonts w:ascii="Times New Roman" w:hAnsi="Times New Roman"/>
                      <w:sz w:val="21"/>
                    </w:rPr>
                  </w:pPr>
                  <w:r>
                    <w:rPr>
                      <w:rFonts w:ascii="Times New Roman" w:hAnsi="Times New Roman"/>
                      <w:sz w:val="21"/>
                    </w:rPr>
                    <w:t>0.56</w:t>
                  </w:r>
                </w:p>
              </w:tc>
              <w:tc>
                <w:tcPr>
                  <w:tcW w:w="634" w:type="pct"/>
                  <w:vAlign w:val="center"/>
                </w:tcPr>
                <w:p>
                  <w:pPr>
                    <w:pStyle w:val="217"/>
                    <w:spacing w:before="25"/>
                    <w:ind w:left="285" w:right="276"/>
                    <w:rPr>
                      <w:rFonts w:ascii="Times New Roman" w:hAnsi="Times New Roman"/>
                      <w:sz w:val="21"/>
                    </w:rPr>
                  </w:pPr>
                  <w:r>
                    <w:rPr>
                      <w:rFonts w:ascii="Times New Roman" w:hAnsi="Times New Roman"/>
                      <w:sz w:val="21"/>
                    </w:rPr>
                    <w:t>0.39</w:t>
                  </w:r>
                </w:p>
              </w:tc>
              <w:tc>
                <w:tcPr>
                  <w:tcW w:w="583" w:type="pct"/>
                  <w:vAlign w:val="center"/>
                </w:tcPr>
                <w:p>
                  <w:pPr>
                    <w:pStyle w:val="217"/>
                    <w:spacing w:before="39"/>
                    <w:ind w:left="325"/>
                    <w:jc w:val="left"/>
                    <w:rPr>
                      <w:rFonts w:ascii="Times New Roman" w:hAnsi="Times New Roman"/>
                      <w:b/>
                      <w:sz w:val="21"/>
                    </w:rPr>
                  </w:pPr>
                  <w:r>
                    <w:rPr>
                      <w:rFonts w:ascii="Times New Roman" w:hAnsi="Times New Roman"/>
                      <w:b/>
                      <w:sz w:val="21"/>
                    </w:rPr>
                    <w:t>0.41</w:t>
                  </w:r>
                </w:p>
              </w:tc>
              <w:tc>
                <w:tcPr>
                  <w:tcW w:w="616" w:type="pct"/>
                  <w:vMerge w:val="continue"/>
                  <w:tcBorders>
                    <w:top w:val="nil"/>
                  </w:tcBorders>
                  <w:vAlign w:val="center"/>
                </w:tcPr>
                <w:p>
                  <w:pPr>
                    <w:jc w:val="center"/>
                    <w:rPr>
                      <w:szCs w:val="2"/>
                    </w:rPr>
                  </w:pPr>
                </w:p>
              </w:tc>
            </w:tr>
          </w:tbl>
          <w:p>
            <w:pPr>
              <w:spacing w:line="360" w:lineRule="auto"/>
              <w:ind w:firstLine="480" w:firstLineChars="200"/>
              <w:jc w:val="center"/>
              <w:rPr>
                <w:b/>
                <w:bCs/>
                <w:kern w:val="0"/>
                <w:sz w:val="24"/>
              </w:rPr>
            </w:pPr>
            <w:r>
              <w:rPr>
                <w:kern w:val="0"/>
                <w:sz w:val="24"/>
              </w:rPr>
              <w:t>根据监测结果，生活污水总排口所测项目：NH3-N、BOD</w:t>
            </w:r>
            <w:r>
              <w:rPr>
                <w:kern w:val="0"/>
                <w:sz w:val="24"/>
                <w:vertAlign w:val="subscript"/>
              </w:rPr>
              <w:t>5</w:t>
            </w:r>
            <w:r>
              <w:rPr>
                <w:kern w:val="0"/>
                <w:sz w:val="24"/>
              </w:rPr>
              <w:t>、SS、COD、动植物油均达到《污水综合排放标准》（GB8978-1996）中表</w:t>
            </w:r>
            <w:r>
              <w:rPr>
                <w:rFonts w:hint="eastAsia"/>
                <w:kern w:val="0"/>
                <w:sz w:val="24"/>
              </w:rPr>
              <w:t>4</w:t>
            </w:r>
            <w:r>
              <w:rPr>
                <w:kern w:val="0"/>
                <w:sz w:val="24"/>
              </w:rPr>
              <w:t>三级标准要求。</w:t>
            </w:r>
          </w:p>
          <w:p>
            <w:pPr>
              <w:spacing w:line="360" w:lineRule="auto"/>
              <w:ind w:firstLine="480" w:firstLineChars="200"/>
              <w:rPr>
                <w:kern w:val="0"/>
                <w:sz w:val="24"/>
              </w:rPr>
            </w:pPr>
            <w:r>
              <w:rPr>
                <w:rFonts w:hint="eastAsia"/>
                <w:kern w:val="0"/>
                <w:sz w:val="24"/>
              </w:rPr>
              <w:t>（3）噪声</w:t>
            </w:r>
          </w:p>
          <w:p>
            <w:pPr>
              <w:spacing w:line="360" w:lineRule="auto"/>
              <w:ind w:firstLine="480" w:firstLineChars="200"/>
              <w:rPr>
                <w:kern w:val="0"/>
                <w:sz w:val="24"/>
              </w:rPr>
            </w:pPr>
            <w:r>
              <w:rPr>
                <w:rFonts w:hint="eastAsia"/>
                <w:kern w:val="0"/>
                <w:sz w:val="24"/>
              </w:rPr>
              <w:t>本项目的噪声主要来源于各生产线上生产设备运行时产生的设备噪声，项目通过合理布局、厂房隔声、基础减震、加强生产管理等措施降噪。</w:t>
            </w:r>
          </w:p>
          <w:p>
            <w:pPr>
              <w:spacing w:line="360" w:lineRule="auto"/>
              <w:ind w:firstLine="482" w:firstLineChars="200"/>
              <w:jc w:val="center"/>
              <w:rPr>
                <w:b/>
                <w:bCs/>
                <w:kern w:val="0"/>
                <w:sz w:val="24"/>
              </w:rPr>
            </w:pPr>
            <w:r>
              <w:rPr>
                <w:rFonts w:hint="eastAsia"/>
                <w:b/>
                <w:bCs/>
                <w:kern w:val="0"/>
                <w:sz w:val="24"/>
              </w:rPr>
              <w:t>表2-2</w:t>
            </w:r>
            <w:r>
              <w:rPr>
                <w:rFonts w:hint="eastAsia"/>
                <w:b/>
                <w:bCs/>
                <w:kern w:val="0"/>
                <w:sz w:val="24"/>
                <w:lang w:val="en-US" w:eastAsia="zh-CN"/>
              </w:rPr>
              <w:t>2</w:t>
            </w:r>
            <w:r>
              <w:rPr>
                <w:rFonts w:hint="eastAsia"/>
                <w:b/>
                <w:bCs/>
                <w:kern w:val="0"/>
                <w:sz w:val="24"/>
              </w:rPr>
              <w:t xml:space="preserve">  </w:t>
            </w:r>
            <w:r>
              <w:rPr>
                <w:b/>
                <w:bCs/>
                <w:kern w:val="0"/>
                <w:sz w:val="24"/>
              </w:rPr>
              <w:t>现有项目</w:t>
            </w:r>
            <w:r>
              <w:rPr>
                <w:rFonts w:hint="eastAsia"/>
                <w:b/>
                <w:bCs/>
                <w:kern w:val="0"/>
                <w:sz w:val="24"/>
              </w:rPr>
              <w:t>噪声</w:t>
            </w:r>
            <w:r>
              <w:rPr>
                <w:b/>
                <w:bCs/>
                <w:kern w:val="0"/>
                <w:sz w:val="24"/>
              </w:rPr>
              <w:t>排放一览表</w:t>
            </w:r>
          </w:p>
          <w:tbl>
            <w:tblPr>
              <w:tblStyle w:val="5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368"/>
              <w:gridCol w:w="1465"/>
              <w:gridCol w:w="2288"/>
              <w:gridCol w:w="1385"/>
              <w:gridCol w:w="8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pct"/>
                  <w:vAlign w:val="center"/>
                </w:tcPr>
                <w:p>
                  <w:pPr>
                    <w:pStyle w:val="217"/>
                    <w:spacing w:before="22"/>
                    <w:ind w:left="590"/>
                    <w:rPr>
                      <w:rFonts w:ascii="Times New Roman" w:hAnsi="Times New Roman"/>
                      <w:sz w:val="21"/>
                    </w:rPr>
                  </w:pPr>
                  <w:r>
                    <w:rPr>
                      <w:rFonts w:ascii="Times New Roman" w:hAnsi="Times New Roman"/>
                      <w:sz w:val="21"/>
                    </w:rPr>
                    <w:t>监测日期</w:t>
                  </w:r>
                </w:p>
              </w:tc>
              <w:tc>
                <w:tcPr>
                  <w:tcW w:w="877" w:type="pct"/>
                  <w:vAlign w:val="center"/>
                </w:tcPr>
                <w:p>
                  <w:pPr>
                    <w:pStyle w:val="217"/>
                    <w:spacing w:before="22"/>
                    <w:ind w:left="158"/>
                    <w:rPr>
                      <w:rFonts w:ascii="Times New Roman" w:hAnsi="Times New Roman"/>
                      <w:sz w:val="21"/>
                    </w:rPr>
                  </w:pPr>
                  <w:r>
                    <w:rPr>
                      <w:rFonts w:ascii="Times New Roman" w:hAnsi="Times New Roman"/>
                      <w:sz w:val="21"/>
                    </w:rPr>
                    <w:t>监测点位</w:t>
                  </w:r>
                </w:p>
              </w:tc>
              <w:tc>
                <w:tcPr>
                  <w:tcW w:w="1370" w:type="pct"/>
                  <w:vAlign w:val="center"/>
                </w:tcPr>
                <w:p>
                  <w:pPr>
                    <w:pStyle w:val="217"/>
                    <w:spacing w:before="22"/>
                    <w:ind w:left="147" w:right="133"/>
                    <w:rPr>
                      <w:rFonts w:ascii="Times New Roman" w:hAnsi="Times New Roman"/>
                      <w:sz w:val="21"/>
                    </w:rPr>
                  </w:pPr>
                  <w:r>
                    <w:rPr>
                      <w:rFonts w:ascii="Times New Roman" w:hAnsi="Times New Roman"/>
                      <w:sz w:val="21"/>
                    </w:rPr>
                    <w:t>时间</w:t>
                  </w:r>
                </w:p>
              </w:tc>
              <w:tc>
                <w:tcPr>
                  <w:tcW w:w="829" w:type="pct"/>
                  <w:vAlign w:val="center"/>
                </w:tcPr>
                <w:p>
                  <w:pPr>
                    <w:pStyle w:val="217"/>
                    <w:spacing w:before="22"/>
                    <w:ind w:left="141" w:right="126"/>
                    <w:rPr>
                      <w:rFonts w:ascii="Times New Roman" w:hAnsi="Times New Roman"/>
                      <w:sz w:val="21"/>
                    </w:rPr>
                  </w:pPr>
                  <w:r>
                    <w:rPr>
                      <w:rFonts w:ascii="Times New Roman" w:hAnsi="Times New Roman"/>
                      <w:sz w:val="21"/>
                    </w:rPr>
                    <w:t>监测结果</w:t>
                  </w:r>
                </w:p>
              </w:tc>
              <w:tc>
                <w:tcPr>
                  <w:tcW w:w="504" w:type="pct"/>
                  <w:vAlign w:val="center"/>
                </w:tcPr>
                <w:p>
                  <w:pPr>
                    <w:pStyle w:val="217"/>
                    <w:spacing w:before="22"/>
                    <w:ind w:left="121" w:right="106"/>
                    <w:rPr>
                      <w:rFonts w:ascii="Times New Roman" w:hAnsi="Times New Roman"/>
                      <w:sz w:val="21"/>
                    </w:rPr>
                  </w:pPr>
                  <w:r>
                    <w:rPr>
                      <w:rFonts w:ascii="Times New Roman" w:hAnsi="Times New Roman"/>
                      <w:sz w:val="21"/>
                    </w:rPr>
                    <w:t>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418" w:type="pct"/>
                  <w:vMerge w:val="restart"/>
                  <w:vAlign w:val="center"/>
                </w:tcPr>
                <w:p>
                  <w:pPr>
                    <w:pStyle w:val="217"/>
                    <w:ind w:left="196"/>
                    <w:rPr>
                      <w:rFonts w:ascii="Times New Roman" w:hAnsi="Times New Roman"/>
                      <w:sz w:val="21"/>
                    </w:rPr>
                  </w:pPr>
                  <w:r>
                    <w:rPr>
                      <w:rFonts w:ascii="Times New Roman" w:hAnsi="Times New Roman"/>
                      <w:sz w:val="21"/>
                    </w:rPr>
                    <w:t>2020年</w:t>
                  </w:r>
                  <w:r>
                    <w:rPr>
                      <w:rFonts w:hint="eastAsia" w:ascii="Times New Roman" w:hAnsi="Times New Roman"/>
                      <w:sz w:val="21"/>
                      <w:lang w:val="en-US"/>
                    </w:rPr>
                    <w:t>4</w:t>
                  </w:r>
                  <w:r>
                    <w:rPr>
                      <w:rFonts w:ascii="Times New Roman" w:hAnsi="Times New Roman"/>
                      <w:sz w:val="21"/>
                    </w:rPr>
                    <w:t>月</w:t>
                  </w:r>
                  <w:r>
                    <w:rPr>
                      <w:rFonts w:hint="eastAsia" w:ascii="Times New Roman" w:hAnsi="Times New Roman"/>
                      <w:sz w:val="21"/>
                      <w:lang w:val="en-US"/>
                    </w:rPr>
                    <w:t>23</w:t>
                  </w:r>
                  <w:r>
                    <w:rPr>
                      <w:rFonts w:ascii="Times New Roman" w:hAnsi="Times New Roman"/>
                      <w:sz w:val="21"/>
                    </w:rPr>
                    <w:t>日</w:t>
                  </w:r>
                </w:p>
              </w:tc>
              <w:tc>
                <w:tcPr>
                  <w:tcW w:w="877" w:type="pct"/>
                  <w:vMerge w:val="restart"/>
                  <w:vAlign w:val="center"/>
                </w:tcPr>
                <w:p>
                  <w:pPr>
                    <w:pStyle w:val="217"/>
                    <w:spacing w:before="186"/>
                    <w:ind w:left="418" w:right="411"/>
                    <w:rPr>
                      <w:rFonts w:ascii="Times New Roman" w:hAnsi="Times New Roman"/>
                      <w:sz w:val="21"/>
                    </w:rPr>
                  </w:pPr>
                  <w:r>
                    <w:rPr>
                      <w:rFonts w:ascii="Times New Roman" w:hAnsi="Times New Roman"/>
                      <w:sz w:val="21"/>
                    </w:rPr>
                    <w:t>N1</w:t>
                  </w:r>
                </w:p>
              </w:tc>
              <w:tc>
                <w:tcPr>
                  <w:tcW w:w="1370" w:type="pct"/>
                  <w:vAlign w:val="center"/>
                </w:tcPr>
                <w:p>
                  <w:pPr>
                    <w:pStyle w:val="217"/>
                    <w:spacing w:before="25"/>
                    <w:ind w:left="147" w:right="136"/>
                    <w:rPr>
                      <w:rFonts w:ascii="Times New Roman" w:hAnsi="Times New Roman"/>
                      <w:sz w:val="21"/>
                    </w:rPr>
                  </w:pPr>
                  <w:r>
                    <w:rPr>
                      <w:rFonts w:ascii="Times New Roman" w:hAnsi="Times New Roman"/>
                      <w:sz w:val="21"/>
                    </w:rPr>
                    <w:t>昼 6：00~22：00</w:t>
                  </w:r>
                </w:p>
              </w:tc>
              <w:tc>
                <w:tcPr>
                  <w:tcW w:w="829" w:type="pct"/>
                  <w:vAlign w:val="center"/>
                </w:tcPr>
                <w:p>
                  <w:pPr>
                    <w:pStyle w:val="217"/>
                    <w:spacing w:before="39"/>
                    <w:ind w:left="141" w:right="124"/>
                    <w:rPr>
                      <w:rFonts w:ascii="Times New Roman" w:hAnsi="Times New Roman"/>
                      <w:sz w:val="21"/>
                    </w:rPr>
                  </w:pPr>
                  <w:r>
                    <w:rPr>
                      <w:rFonts w:ascii="Times New Roman" w:hAnsi="Times New Roman"/>
                      <w:sz w:val="21"/>
                    </w:rPr>
                    <w:t>54.6</w:t>
                  </w:r>
                </w:p>
              </w:tc>
              <w:tc>
                <w:tcPr>
                  <w:tcW w:w="504" w:type="pct"/>
                  <w:vAlign w:val="center"/>
                </w:tcPr>
                <w:p>
                  <w:pPr>
                    <w:pStyle w:val="217"/>
                    <w:spacing w:before="39"/>
                    <w:ind w:left="121" w:right="106"/>
                    <w:rPr>
                      <w:rFonts w:ascii="Times New Roman" w:hAnsi="Times New Roman"/>
                      <w:sz w:val="21"/>
                    </w:rPr>
                  </w:pPr>
                  <w:r>
                    <w:rPr>
                      <w:rFonts w:ascii="Times New Roman" w:hAnsi="Times New Roman"/>
                      <w:sz w:val="21"/>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1418" w:type="pct"/>
                  <w:vMerge w:val="continue"/>
                  <w:tcBorders>
                    <w:top w:val="nil"/>
                  </w:tcBorders>
                  <w:vAlign w:val="center"/>
                </w:tcPr>
                <w:p>
                  <w:pPr>
                    <w:jc w:val="center"/>
                    <w:rPr>
                      <w:szCs w:val="2"/>
                    </w:rPr>
                  </w:pPr>
                </w:p>
              </w:tc>
              <w:tc>
                <w:tcPr>
                  <w:tcW w:w="877" w:type="pct"/>
                  <w:vMerge w:val="continue"/>
                  <w:tcBorders>
                    <w:top w:val="nil"/>
                  </w:tcBorders>
                  <w:vAlign w:val="center"/>
                </w:tcPr>
                <w:p>
                  <w:pPr>
                    <w:jc w:val="center"/>
                    <w:rPr>
                      <w:szCs w:val="2"/>
                    </w:rPr>
                  </w:pPr>
                </w:p>
              </w:tc>
              <w:tc>
                <w:tcPr>
                  <w:tcW w:w="1370" w:type="pct"/>
                  <w:vAlign w:val="center"/>
                </w:tcPr>
                <w:p>
                  <w:pPr>
                    <w:pStyle w:val="217"/>
                    <w:spacing w:before="22"/>
                    <w:ind w:left="147" w:right="136"/>
                    <w:rPr>
                      <w:rFonts w:ascii="Times New Roman" w:hAnsi="Times New Roman"/>
                      <w:sz w:val="21"/>
                    </w:rPr>
                  </w:pPr>
                  <w:r>
                    <w:rPr>
                      <w:rFonts w:ascii="Times New Roman" w:hAnsi="Times New Roman"/>
                      <w:sz w:val="21"/>
                    </w:rPr>
                    <w:t>夜 22：00~6：00</w:t>
                  </w:r>
                </w:p>
              </w:tc>
              <w:tc>
                <w:tcPr>
                  <w:tcW w:w="829" w:type="pct"/>
                  <w:vAlign w:val="center"/>
                </w:tcPr>
                <w:p>
                  <w:pPr>
                    <w:pStyle w:val="217"/>
                    <w:spacing w:before="36"/>
                    <w:ind w:left="141" w:right="124"/>
                    <w:rPr>
                      <w:rFonts w:ascii="Times New Roman" w:hAnsi="Times New Roman"/>
                      <w:sz w:val="21"/>
                    </w:rPr>
                  </w:pPr>
                  <w:r>
                    <w:rPr>
                      <w:rFonts w:ascii="Times New Roman" w:hAnsi="Times New Roman"/>
                      <w:sz w:val="21"/>
                    </w:rPr>
                    <w:t>44.7</w:t>
                  </w:r>
                </w:p>
              </w:tc>
              <w:tc>
                <w:tcPr>
                  <w:tcW w:w="504" w:type="pct"/>
                  <w:vAlign w:val="center"/>
                </w:tcPr>
                <w:p>
                  <w:pPr>
                    <w:pStyle w:val="217"/>
                    <w:spacing w:before="36"/>
                    <w:ind w:left="121" w:right="106"/>
                    <w:rPr>
                      <w:rFonts w:ascii="Times New Roman" w:hAnsi="Times New Roman"/>
                      <w:sz w:val="21"/>
                    </w:rPr>
                  </w:pPr>
                  <w:r>
                    <w:rPr>
                      <w:rFonts w:ascii="Times New Roman" w:hAnsi="Times New Roman"/>
                      <w:sz w:val="21"/>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pct"/>
                  <w:vMerge w:val="continue"/>
                  <w:tcBorders>
                    <w:top w:val="nil"/>
                  </w:tcBorders>
                  <w:vAlign w:val="center"/>
                </w:tcPr>
                <w:p>
                  <w:pPr>
                    <w:jc w:val="center"/>
                    <w:rPr>
                      <w:szCs w:val="2"/>
                    </w:rPr>
                  </w:pPr>
                </w:p>
              </w:tc>
              <w:tc>
                <w:tcPr>
                  <w:tcW w:w="877" w:type="pct"/>
                  <w:vMerge w:val="restart"/>
                  <w:vAlign w:val="center"/>
                </w:tcPr>
                <w:p>
                  <w:pPr>
                    <w:pStyle w:val="217"/>
                    <w:spacing w:before="183"/>
                    <w:ind w:left="418" w:right="411"/>
                    <w:rPr>
                      <w:rFonts w:ascii="Times New Roman" w:hAnsi="Times New Roman"/>
                      <w:sz w:val="21"/>
                    </w:rPr>
                  </w:pPr>
                  <w:r>
                    <w:rPr>
                      <w:rFonts w:ascii="Times New Roman" w:hAnsi="Times New Roman"/>
                      <w:sz w:val="21"/>
                    </w:rPr>
                    <w:t>N2</w:t>
                  </w:r>
                </w:p>
              </w:tc>
              <w:tc>
                <w:tcPr>
                  <w:tcW w:w="1370" w:type="pct"/>
                  <w:vAlign w:val="center"/>
                </w:tcPr>
                <w:p>
                  <w:pPr>
                    <w:pStyle w:val="217"/>
                    <w:spacing w:before="22"/>
                    <w:ind w:left="147" w:right="136"/>
                    <w:rPr>
                      <w:rFonts w:ascii="Times New Roman" w:hAnsi="Times New Roman"/>
                      <w:sz w:val="21"/>
                    </w:rPr>
                  </w:pPr>
                  <w:r>
                    <w:rPr>
                      <w:rFonts w:ascii="Times New Roman" w:hAnsi="Times New Roman"/>
                      <w:sz w:val="21"/>
                    </w:rPr>
                    <w:t>昼 6：00~22：00</w:t>
                  </w:r>
                </w:p>
              </w:tc>
              <w:tc>
                <w:tcPr>
                  <w:tcW w:w="829" w:type="pct"/>
                  <w:vAlign w:val="center"/>
                </w:tcPr>
                <w:p>
                  <w:pPr>
                    <w:pStyle w:val="217"/>
                    <w:spacing w:before="36"/>
                    <w:ind w:left="141" w:right="123"/>
                    <w:rPr>
                      <w:rFonts w:ascii="Times New Roman" w:hAnsi="Times New Roman"/>
                      <w:sz w:val="21"/>
                    </w:rPr>
                  </w:pPr>
                  <w:r>
                    <w:rPr>
                      <w:rFonts w:ascii="Times New Roman" w:hAnsi="Times New Roman"/>
                      <w:sz w:val="21"/>
                    </w:rPr>
                    <w:t>58.2</w:t>
                  </w:r>
                </w:p>
              </w:tc>
              <w:tc>
                <w:tcPr>
                  <w:tcW w:w="504" w:type="pct"/>
                  <w:vAlign w:val="center"/>
                </w:tcPr>
                <w:p>
                  <w:pPr>
                    <w:pStyle w:val="217"/>
                    <w:spacing w:before="36"/>
                    <w:ind w:left="121" w:right="105"/>
                    <w:rPr>
                      <w:rFonts w:ascii="Times New Roman" w:hAnsi="Times New Roman"/>
                      <w:sz w:val="21"/>
                    </w:rPr>
                  </w:pPr>
                  <w:r>
                    <w:rPr>
                      <w:rFonts w:ascii="Times New Roman" w:hAnsi="Times New Roman"/>
                      <w:sz w:val="21"/>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pct"/>
                  <w:vMerge w:val="continue"/>
                  <w:tcBorders>
                    <w:top w:val="nil"/>
                  </w:tcBorders>
                  <w:vAlign w:val="center"/>
                </w:tcPr>
                <w:p>
                  <w:pPr>
                    <w:jc w:val="center"/>
                    <w:rPr>
                      <w:szCs w:val="2"/>
                    </w:rPr>
                  </w:pPr>
                </w:p>
              </w:tc>
              <w:tc>
                <w:tcPr>
                  <w:tcW w:w="877" w:type="pct"/>
                  <w:vMerge w:val="continue"/>
                  <w:tcBorders>
                    <w:top w:val="nil"/>
                  </w:tcBorders>
                  <w:vAlign w:val="center"/>
                </w:tcPr>
                <w:p>
                  <w:pPr>
                    <w:jc w:val="center"/>
                    <w:rPr>
                      <w:szCs w:val="2"/>
                    </w:rPr>
                  </w:pPr>
                </w:p>
              </w:tc>
              <w:tc>
                <w:tcPr>
                  <w:tcW w:w="1370" w:type="pct"/>
                  <w:vAlign w:val="center"/>
                </w:tcPr>
                <w:p>
                  <w:pPr>
                    <w:pStyle w:val="217"/>
                    <w:spacing w:before="22"/>
                    <w:ind w:left="147" w:right="136"/>
                    <w:rPr>
                      <w:rFonts w:ascii="Times New Roman" w:hAnsi="Times New Roman"/>
                      <w:sz w:val="21"/>
                    </w:rPr>
                  </w:pPr>
                  <w:r>
                    <w:rPr>
                      <w:rFonts w:ascii="Times New Roman" w:hAnsi="Times New Roman"/>
                      <w:sz w:val="21"/>
                    </w:rPr>
                    <w:t>夜 22：00~6：00</w:t>
                  </w:r>
                </w:p>
              </w:tc>
              <w:tc>
                <w:tcPr>
                  <w:tcW w:w="829" w:type="pct"/>
                  <w:vAlign w:val="center"/>
                </w:tcPr>
                <w:p>
                  <w:pPr>
                    <w:pStyle w:val="217"/>
                    <w:spacing w:before="36"/>
                    <w:ind w:left="141" w:right="123"/>
                    <w:rPr>
                      <w:rFonts w:ascii="Times New Roman" w:hAnsi="Times New Roman"/>
                      <w:sz w:val="21"/>
                    </w:rPr>
                  </w:pPr>
                  <w:r>
                    <w:rPr>
                      <w:rFonts w:ascii="Times New Roman" w:hAnsi="Times New Roman"/>
                      <w:sz w:val="21"/>
                    </w:rPr>
                    <w:t>45.3</w:t>
                  </w:r>
                </w:p>
              </w:tc>
              <w:tc>
                <w:tcPr>
                  <w:tcW w:w="504" w:type="pct"/>
                  <w:vAlign w:val="center"/>
                </w:tcPr>
                <w:p>
                  <w:pPr>
                    <w:pStyle w:val="217"/>
                    <w:spacing w:before="36"/>
                    <w:ind w:left="121" w:right="105"/>
                    <w:rPr>
                      <w:rFonts w:ascii="Times New Roman" w:hAnsi="Times New Roman"/>
                      <w:sz w:val="21"/>
                    </w:rPr>
                  </w:pPr>
                  <w:r>
                    <w:rPr>
                      <w:rFonts w:ascii="Times New Roman" w:hAnsi="Times New Roman"/>
                      <w:sz w:val="21"/>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pct"/>
                  <w:vMerge w:val="continue"/>
                  <w:tcBorders>
                    <w:top w:val="nil"/>
                  </w:tcBorders>
                  <w:vAlign w:val="center"/>
                </w:tcPr>
                <w:p>
                  <w:pPr>
                    <w:jc w:val="center"/>
                    <w:rPr>
                      <w:szCs w:val="2"/>
                    </w:rPr>
                  </w:pPr>
                </w:p>
              </w:tc>
              <w:tc>
                <w:tcPr>
                  <w:tcW w:w="877" w:type="pct"/>
                  <w:vMerge w:val="restart"/>
                  <w:vAlign w:val="center"/>
                </w:tcPr>
                <w:p>
                  <w:pPr>
                    <w:pStyle w:val="217"/>
                    <w:spacing w:before="183"/>
                    <w:ind w:left="418" w:right="411"/>
                    <w:rPr>
                      <w:rFonts w:ascii="Times New Roman" w:hAnsi="Times New Roman"/>
                      <w:sz w:val="21"/>
                    </w:rPr>
                  </w:pPr>
                  <w:r>
                    <w:rPr>
                      <w:rFonts w:ascii="Times New Roman" w:hAnsi="Times New Roman"/>
                      <w:sz w:val="21"/>
                    </w:rPr>
                    <w:t>N3</w:t>
                  </w:r>
                </w:p>
              </w:tc>
              <w:tc>
                <w:tcPr>
                  <w:tcW w:w="1370" w:type="pct"/>
                  <w:vAlign w:val="center"/>
                </w:tcPr>
                <w:p>
                  <w:pPr>
                    <w:pStyle w:val="217"/>
                    <w:spacing w:before="22"/>
                    <w:ind w:left="147" w:right="136"/>
                    <w:rPr>
                      <w:rFonts w:ascii="Times New Roman" w:hAnsi="Times New Roman"/>
                      <w:sz w:val="21"/>
                    </w:rPr>
                  </w:pPr>
                  <w:r>
                    <w:rPr>
                      <w:rFonts w:ascii="Times New Roman" w:hAnsi="Times New Roman"/>
                      <w:sz w:val="21"/>
                    </w:rPr>
                    <w:t>昼 6：00~22：00</w:t>
                  </w:r>
                </w:p>
              </w:tc>
              <w:tc>
                <w:tcPr>
                  <w:tcW w:w="829" w:type="pct"/>
                  <w:vAlign w:val="center"/>
                </w:tcPr>
                <w:p>
                  <w:pPr>
                    <w:pStyle w:val="217"/>
                    <w:spacing w:before="36"/>
                    <w:ind w:left="141" w:right="123"/>
                    <w:rPr>
                      <w:rFonts w:ascii="Times New Roman" w:hAnsi="Times New Roman"/>
                      <w:sz w:val="21"/>
                    </w:rPr>
                  </w:pPr>
                  <w:r>
                    <w:rPr>
                      <w:rFonts w:ascii="Times New Roman" w:hAnsi="Times New Roman"/>
                      <w:sz w:val="21"/>
                    </w:rPr>
                    <w:t>55.7</w:t>
                  </w:r>
                </w:p>
              </w:tc>
              <w:tc>
                <w:tcPr>
                  <w:tcW w:w="504" w:type="pct"/>
                  <w:vAlign w:val="center"/>
                </w:tcPr>
                <w:p>
                  <w:pPr>
                    <w:pStyle w:val="217"/>
                    <w:spacing w:before="36"/>
                    <w:ind w:left="121" w:right="105"/>
                    <w:rPr>
                      <w:rFonts w:ascii="Times New Roman" w:hAnsi="Times New Roman"/>
                      <w:sz w:val="21"/>
                    </w:rPr>
                  </w:pPr>
                  <w:r>
                    <w:rPr>
                      <w:rFonts w:ascii="Times New Roman" w:hAnsi="Times New Roman"/>
                      <w:sz w:val="21"/>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pct"/>
                  <w:vMerge w:val="continue"/>
                  <w:tcBorders>
                    <w:top w:val="nil"/>
                  </w:tcBorders>
                  <w:vAlign w:val="center"/>
                </w:tcPr>
                <w:p>
                  <w:pPr>
                    <w:jc w:val="center"/>
                    <w:rPr>
                      <w:szCs w:val="2"/>
                    </w:rPr>
                  </w:pPr>
                </w:p>
              </w:tc>
              <w:tc>
                <w:tcPr>
                  <w:tcW w:w="877" w:type="pct"/>
                  <w:vMerge w:val="continue"/>
                  <w:tcBorders>
                    <w:top w:val="nil"/>
                  </w:tcBorders>
                  <w:vAlign w:val="center"/>
                </w:tcPr>
                <w:p>
                  <w:pPr>
                    <w:jc w:val="center"/>
                    <w:rPr>
                      <w:szCs w:val="2"/>
                    </w:rPr>
                  </w:pPr>
                </w:p>
              </w:tc>
              <w:tc>
                <w:tcPr>
                  <w:tcW w:w="1370" w:type="pct"/>
                  <w:vAlign w:val="center"/>
                </w:tcPr>
                <w:p>
                  <w:pPr>
                    <w:pStyle w:val="217"/>
                    <w:spacing w:before="22"/>
                    <w:ind w:left="147" w:right="136"/>
                    <w:rPr>
                      <w:rFonts w:ascii="Times New Roman" w:hAnsi="Times New Roman"/>
                      <w:sz w:val="21"/>
                    </w:rPr>
                  </w:pPr>
                  <w:r>
                    <w:rPr>
                      <w:rFonts w:ascii="Times New Roman" w:hAnsi="Times New Roman"/>
                      <w:sz w:val="21"/>
                    </w:rPr>
                    <w:t>夜 22：00~6：00</w:t>
                  </w:r>
                </w:p>
              </w:tc>
              <w:tc>
                <w:tcPr>
                  <w:tcW w:w="829" w:type="pct"/>
                  <w:vAlign w:val="center"/>
                </w:tcPr>
                <w:p>
                  <w:pPr>
                    <w:pStyle w:val="217"/>
                    <w:spacing w:before="36"/>
                    <w:ind w:left="141" w:right="123"/>
                    <w:rPr>
                      <w:rFonts w:ascii="Times New Roman" w:hAnsi="Times New Roman"/>
                      <w:sz w:val="21"/>
                    </w:rPr>
                  </w:pPr>
                  <w:r>
                    <w:rPr>
                      <w:rFonts w:ascii="Times New Roman" w:hAnsi="Times New Roman"/>
                      <w:sz w:val="21"/>
                    </w:rPr>
                    <w:t>43.6</w:t>
                  </w:r>
                </w:p>
              </w:tc>
              <w:tc>
                <w:tcPr>
                  <w:tcW w:w="504" w:type="pct"/>
                  <w:vAlign w:val="center"/>
                </w:tcPr>
                <w:p>
                  <w:pPr>
                    <w:pStyle w:val="217"/>
                    <w:spacing w:before="36"/>
                    <w:ind w:left="121" w:right="105"/>
                    <w:rPr>
                      <w:rFonts w:ascii="Times New Roman" w:hAnsi="Times New Roman"/>
                      <w:sz w:val="21"/>
                    </w:rPr>
                  </w:pPr>
                  <w:r>
                    <w:rPr>
                      <w:rFonts w:ascii="Times New Roman" w:hAnsi="Times New Roman"/>
                      <w:sz w:val="21"/>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418" w:type="pct"/>
                  <w:vMerge w:val="continue"/>
                  <w:tcBorders>
                    <w:top w:val="nil"/>
                  </w:tcBorders>
                  <w:vAlign w:val="center"/>
                </w:tcPr>
                <w:p>
                  <w:pPr>
                    <w:jc w:val="center"/>
                    <w:rPr>
                      <w:szCs w:val="2"/>
                    </w:rPr>
                  </w:pPr>
                </w:p>
              </w:tc>
              <w:tc>
                <w:tcPr>
                  <w:tcW w:w="877" w:type="pct"/>
                  <w:vMerge w:val="restart"/>
                  <w:vAlign w:val="center"/>
                </w:tcPr>
                <w:p>
                  <w:pPr>
                    <w:pStyle w:val="217"/>
                    <w:spacing w:before="186"/>
                    <w:ind w:left="418" w:right="411"/>
                    <w:rPr>
                      <w:rFonts w:ascii="Times New Roman" w:hAnsi="Times New Roman"/>
                      <w:sz w:val="21"/>
                    </w:rPr>
                  </w:pPr>
                  <w:r>
                    <w:rPr>
                      <w:rFonts w:ascii="Times New Roman" w:hAnsi="Times New Roman"/>
                      <w:sz w:val="21"/>
                    </w:rPr>
                    <w:t>N4</w:t>
                  </w:r>
                </w:p>
              </w:tc>
              <w:tc>
                <w:tcPr>
                  <w:tcW w:w="1370" w:type="pct"/>
                  <w:vAlign w:val="center"/>
                </w:tcPr>
                <w:p>
                  <w:pPr>
                    <w:pStyle w:val="217"/>
                    <w:spacing w:before="25"/>
                    <w:ind w:left="147" w:right="136"/>
                    <w:rPr>
                      <w:rFonts w:ascii="Times New Roman" w:hAnsi="Times New Roman"/>
                      <w:sz w:val="21"/>
                    </w:rPr>
                  </w:pPr>
                  <w:r>
                    <w:rPr>
                      <w:rFonts w:ascii="Times New Roman" w:hAnsi="Times New Roman"/>
                      <w:sz w:val="21"/>
                    </w:rPr>
                    <w:t>昼 6：00~22：00</w:t>
                  </w:r>
                </w:p>
              </w:tc>
              <w:tc>
                <w:tcPr>
                  <w:tcW w:w="829" w:type="pct"/>
                  <w:vAlign w:val="center"/>
                </w:tcPr>
                <w:p>
                  <w:pPr>
                    <w:pStyle w:val="217"/>
                    <w:spacing w:before="39"/>
                    <w:ind w:left="141" w:right="123"/>
                    <w:rPr>
                      <w:rFonts w:ascii="Times New Roman" w:hAnsi="Times New Roman"/>
                      <w:sz w:val="21"/>
                    </w:rPr>
                  </w:pPr>
                  <w:r>
                    <w:rPr>
                      <w:rFonts w:ascii="Times New Roman" w:hAnsi="Times New Roman"/>
                      <w:sz w:val="21"/>
                    </w:rPr>
                    <w:t>54.1</w:t>
                  </w:r>
                </w:p>
              </w:tc>
              <w:tc>
                <w:tcPr>
                  <w:tcW w:w="504" w:type="pct"/>
                  <w:vAlign w:val="center"/>
                </w:tcPr>
                <w:p>
                  <w:pPr>
                    <w:pStyle w:val="217"/>
                    <w:spacing w:before="39"/>
                    <w:ind w:left="121" w:right="105"/>
                    <w:rPr>
                      <w:rFonts w:ascii="Times New Roman" w:hAnsi="Times New Roman"/>
                      <w:sz w:val="21"/>
                    </w:rPr>
                  </w:pPr>
                  <w:r>
                    <w:rPr>
                      <w:rFonts w:ascii="Times New Roman" w:hAnsi="Times New Roman"/>
                      <w:sz w:val="21"/>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pct"/>
                  <w:vMerge w:val="continue"/>
                  <w:tcBorders>
                    <w:top w:val="nil"/>
                  </w:tcBorders>
                  <w:vAlign w:val="center"/>
                </w:tcPr>
                <w:p>
                  <w:pPr>
                    <w:jc w:val="center"/>
                    <w:rPr>
                      <w:szCs w:val="2"/>
                    </w:rPr>
                  </w:pPr>
                </w:p>
              </w:tc>
              <w:tc>
                <w:tcPr>
                  <w:tcW w:w="877" w:type="pct"/>
                  <w:vMerge w:val="continue"/>
                  <w:tcBorders>
                    <w:top w:val="nil"/>
                  </w:tcBorders>
                  <w:vAlign w:val="center"/>
                </w:tcPr>
                <w:p>
                  <w:pPr>
                    <w:jc w:val="center"/>
                    <w:rPr>
                      <w:szCs w:val="2"/>
                    </w:rPr>
                  </w:pPr>
                </w:p>
              </w:tc>
              <w:tc>
                <w:tcPr>
                  <w:tcW w:w="1370" w:type="pct"/>
                  <w:vAlign w:val="center"/>
                </w:tcPr>
                <w:p>
                  <w:pPr>
                    <w:pStyle w:val="217"/>
                    <w:spacing w:before="22"/>
                    <w:ind w:left="147" w:right="136"/>
                    <w:rPr>
                      <w:rFonts w:ascii="Times New Roman" w:hAnsi="Times New Roman"/>
                      <w:sz w:val="21"/>
                    </w:rPr>
                  </w:pPr>
                  <w:r>
                    <w:rPr>
                      <w:rFonts w:ascii="Times New Roman" w:hAnsi="Times New Roman"/>
                      <w:sz w:val="21"/>
                    </w:rPr>
                    <w:t>夜 22：00~6：00</w:t>
                  </w:r>
                </w:p>
              </w:tc>
              <w:tc>
                <w:tcPr>
                  <w:tcW w:w="829" w:type="pct"/>
                  <w:vAlign w:val="center"/>
                </w:tcPr>
                <w:p>
                  <w:pPr>
                    <w:pStyle w:val="217"/>
                    <w:spacing w:before="36"/>
                    <w:ind w:left="141" w:right="123"/>
                    <w:rPr>
                      <w:rFonts w:ascii="Times New Roman" w:hAnsi="Times New Roman"/>
                      <w:sz w:val="21"/>
                    </w:rPr>
                  </w:pPr>
                  <w:r>
                    <w:rPr>
                      <w:rFonts w:ascii="Times New Roman" w:hAnsi="Times New Roman"/>
                      <w:sz w:val="21"/>
                    </w:rPr>
                    <w:t>42.3</w:t>
                  </w:r>
                </w:p>
              </w:tc>
              <w:tc>
                <w:tcPr>
                  <w:tcW w:w="504" w:type="pct"/>
                  <w:vAlign w:val="center"/>
                </w:tcPr>
                <w:p>
                  <w:pPr>
                    <w:pStyle w:val="217"/>
                    <w:spacing w:before="36"/>
                    <w:ind w:left="121" w:right="105"/>
                    <w:rPr>
                      <w:rFonts w:ascii="Times New Roman" w:hAnsi="Times New Roman"/>
                      <w:sz w:val="21"/>
                    </w:rPr>
                  </w:pPr>
                  <w:r>
                    <w:rPr>
                      <w:rFonts w:ascii="Times New Roman" w:hAnsi="Times New Roman"/>
                      <w:sz w:val="21"/>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pct"/>
                  <w:vMerge w:val="restart"/>
                  <w:vAlign w:val="center"/>
                </w:tcPr>
                <w:p>
                  <w:pPr>
                    <w:pStyle w:val="217"/>
                    <w:ind w:left="196"/>
                    <w:rPr>
                      <w:rFonts w:ascii="Times New Roman" w:hAnsi="Times New Roman"/>
                      <w:sz w:val="21"/>
                    </w:rPr>
                  </w:pPr>
                  <w:r>
                    <w:rPr>
                      <w:rFonts w:ascii="Times New Roman" w:hAnsi="Times New Roman"/>
                      <w:sz w:val="21"/>
                    </w:rPr>
                    <w:t>2020年4月24日</w:t>
                  </w:r>
                </w:p>
              </w:tc>
              <w:tc>
                <w:tcPr>
                  <w:tcW w:w="877" w:type="pct"/>
                  <w:vMerge w:val="restart"/>
                  <w:vAlign w:val="center"/>
                </w:tcPr>
                <w:p>
                  <w:pPr>
                    <w:pStyle w:val="217"/>
                    <w:spacing w:before="183"/>
                    <w:ind w:left="418" w:right="411"/>
                    <w:rPr>
                      <w:rFonts w:ascii="Times New Roman" w:hAnsi="Times New Roman"/>
                      <w:sz w:val="21"/>
                    </w:rPr>
                  </w:pPr>
                  <w:r>
                    <w:rPr>
                      <w:rFonts w:ascii="Times New Roman" w:hAnsi="Times New Roman"/>
                      <w:sz w:val="21"/>
                    </w:rPr>
                    <w:t>N1</w:t>
                  </w:r>
                </w:p>
              </w:tc>
              <w:tc>
                <w:tcPr>
                  <w:tcW w:w="1370" w:type="pct"/>
                  <w:vAlign w:val="center"/>
                </w:tcPr>
                <w:p>
                  <w:pPr>
                    <w:pStyle w:val="217"/>
                    <w:spacing w:before="22"/>
                    <w:ind w:left="147" w:right="136"/>
                    <w:rPr>
                      <w:rFonts w:ascii="Times New Roman" w:hAnsi="Times New Roman"/>
                      <w:sz w:val="21"/>
                    </w:rPr>
                  </w:pPr>
                  <w:r>
                    <w:rPr>
                      <w:rFonts w:ascii="Times New Roman" w:hAnsi="Times New Roman"/>
                      <w:sz w:val="21"/>
                    </w:rPr>
                    <w:t>昼 6：00~22：00</w:t>
                  </w:r>
                </w:p>
              </w:tc>
              <w:tc>
                <w:tcPr>
                  <w:tcW w:w="829" w:type="pct"/>
                  <w:vAlign w:val="center"/>
                </w:tcPr>
                <w:p>
                  <w:pPr>
                    <w:pStyle w:val="217"/>
                    <w:spacing w:before="36"/>
                    <w:ind w:left="141" w:right="124"/>
                    <w:rPr>
                      <w:rFonts w:ascii="Times New Roman" w:hAnsi="Times New Roman"/>
                      <w:sz w:val="21"/>
                    </w:rPr>
                  </w:pPr>
                  <w:r>
                    <w:rPr>
                      <w:rFonts w:ascii="Times New Roman" w:hAnsi="Times New Roman"/>
                      <w:sz w:val="21"/>
                    </w:rPr>
                    <w:t>55.2</w:t>
                  </w:r>
                </w:p>
              </w:tc>
              <w:tc>
                <w:tcPr>
                  <w:tcW w:w="504" w:type="pct"/>
                  <w:vAlign w:val="center"/>
                </w:tcPr>
                <w:p>
                  <w:pPr>
                    <w:pStyle w:val="217"/>
                    <w:spacing w:before="36"/>
                    <w:ind w:left="121" w:right="106"/>
                    <w:rPr>
                      <w:rFonts w:ascii="Times New Roman" w:hAnsi="Times New Roman"/>
                      <w:sz w:val="21"/>
                    </w:rPr>
                  </w:pPr>
                  <w:r>
                    <w:rPr>
                      <w:rFonts w:ascii="Times New Roman" w:hAnsi="Times New Roman"/>
                      <w:sz w:val="21"/>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pct"/>
                  <w:vMerge w:val="continue"/>
                  <w:tcBorders>
                    <w:top w:val="nil"/>
                  </w:tcBorders>
                  <w:vAlign w:val="center"/>
                </w:tcPr>
                <w:p>
                  <w:pPr>
                    <w:jc w:val="center"/>
                    <w:rPr>
                      <w:szCs w:val="2"/>
                    </w:rPr>
                  </w:pPr>
                </w:p>
              </w:tc>
              <w:tc>
                <w:tcPr>
                  <w:tcW w:w="877" w:type="pct"/>
                  <w:vMerge w:val="continue"/>
                  <w:tcBorders>
                    <w:top w:val="nil"/>
                  </w:tcBorders>
                  <w:vAlign w:val="center"/>
                </w:tcPr>
                <w:p>
                  <w:pPr>
                    <w:jc w:val="center"/>
                    <w:rPr>
                      <w:szCs w:val="2"/>
                    </w:rPr>
                  </w:pPr>
                </w:p>
              </w:tc>
              <w:tc>
                <w:tcPr>
                  <w:tcW w:w="1370" w:type="pct"/>
                  <w:vAlign w:val="center"/>
                </w:tcPr>
                <w:p>
                  <w:pPr>
                    <w:pStyle w:val="217"/>
                    <w:spacing w:before="22"/>
                    <w:ind w:left="147" w:right="136"/>
                    <w:rPr>
                      <w:rFonts w:ascii="Times New Roman" w:hAnsi="Times New Roman"/>
                      <w:sz w:val="21"/>
                    </w:rPr>
                  </w:pPr>
                  <w:r>
                    <w:rPr>
                      <w:rFonts w:ascii="Times New Roman" w:hAnsi="Times New Roman"/>
                      <w:sz w:val="21"/>
                    </w:rPr>
                    <w:t>夜 22：00~6：00</w:t>
                  </w:r>
                </w:p>
              </w:tc>
              <w:tc>
                <w:tcPr>
                  <w:tcW w:w="829" w:type="pct"/>
                  <w:vAlign w:val="center"/>
                </w:tcPr>
                <w:p>
                  <w:pPr>
                    <w:pStyle w:val="217"/>
                    <w:spacing w:before="36"/>
                    <w:ind w:left="141" w:right="124"/>
                    <w:rPr>
                      <w:rFonts w:ascii="Times New Roman" w:hAnsi="Times New Roman"/>
                      <w:sz w:val="21"/>
                    </w:rPr>
                  </w:pPr>
                  <w:r>
                    <w:rPr>
                      <w:rFonts w:ascii="Times New Roman" w:hAnsi="Times New Roman"/>
                      <w:sz w:val="21"/>
                    </w:rPr>
                    <w:t>45.1</w:t>
                  </w:r>
                </w:p>
              </w:tc>
              <w:tc>
                <w:tcPr>
                  <w:tcW w:w="504" w:type="pct"/>
                  <w:vAlign w:val="center"/>
                </w:tcPr>
                <w:p>
                  <w:pPr>
                    <w:pStyle w:val="217"/>
                    <w:spacing w:before="36"/>
                    <w:ind w:left="121" w:right="106"/>
                    <w:rPr>
                      <w:rFonts w:ascii="Times New Roman" w:hAnsi="Times New Roman"/>
                      <w:sz w:val="21"/>
                    </w:rPr>
                  </w:pPr>
                  <w:r>
                    <w:rPr>
                      <w:rFonts w:ascii="Times New Roman" w:hAnsi="Times New Roman"/>
                      <w:sz w:val="21"/>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1418" w:type="pct"/>
                  <w:vMerge w:val="continue"/>
                  <w:tcBorders>
                    <w:top w:val="nil"/>
                  </w:tcBorders>
                  <w:vAlign w:val="center"/>
                </w:tcPr>
                <w:p>
                  <w:pPr>
                    <w:jc w:val="center"/>
                    <w:rPr>
                      <w:szCs w:val="2"/>
                    </w:rPr>
                  </w:pPr>
                </w:p>
              </w:tc>
              <w:tc>
                <w:tcPr>
                  <w:tcW w:w="877" w:type="pct"/>
                  <w:vMerge w:val="restart"/>
                  <w:vAlign w:val="center"/>
                </w:tcPr>
                <w:p>
                  <w:pPr>
                    <w:pStyle w:val="217"/>
                    <w:spacing w:before="183"/>
                    <w:ind w:left="418" w:right="411"/>
                    <w:rPr>
                      <w:rFonts w:ascii="Times New Roman" w:hAnsi="Times New Roman"/>
                      <w:sz w:val="21"/>
                    </w:rPr>
                  </w:pPr>
                  <w:r>
                    <w:rPr>
                      <w:rFonts w:ascii="Times New Roman" w:hAnsi="Times New Roman"/>
                      <w:sz w:val="21"/>
                    </w:rPr>
                    <w:t>N2</w:t>
                  </w:r>
                </w:p>
              </w:tc>
              <w:tc>
                <w:tcPr>
                  <w:tcW w:w="1370" w:type="pct"/>
                  <w:vAlign w:val="center"/>
                </w:tcPr>
                <w:p>
                  <w:pPr>
                    <w:pStyle w:val="217"/>
                    <w:spacing w:before="22"/>
                    <w:ind w:left="147" w:right="136"/>
                    <w:rPr>
                      <w:rFonts w:ascii="Times New Roman" w:hAnsi="Times New Roman"/>
                      <w:sz w:val="21"/>
                    </w:rPr>
                  </w:pPr>
                  <w:r>
                    <w:rPr>
                      <w:rFonts w:ascii="Times New Roman" w:hAnsi="Times New Roman"/>
                      <w:sz w:val="21"/>
                    </w:rPr>
                    <w:t>昼 6：00~22：00</w:t>
                  </w:r>
                </w:p>
              </w:tc>
              <w:tc>
                <w:tcPr>
                  <w:tcW w:w="829" w:type="pct"/>
                  <w:vAlign w:val="center"/>
                </w:tcPr>
                <w:p>
                  <w:pPr>
                    <w:pStyle w:val="217"/>
                    <w:spacing w:before="36"/>
                    <w:ind w:left="141" w:right="124"/>
                    <w:rPr>
                      <w:rFonts w:ascii="Times New Roman" w:hAnsi="Times New Roman"/>
                      <w:sz w:val="21"/>
                    </w:rPr>
                  </w:pPr>
                  <w:r>
                    <w:rPr>
                      <w:rFonts w:ascii="Times New Roman" w:hAnsi="Times New Roman"/>
                      <w:sz w:val="21"/>
                    </w:rPr>
                    <w:t>57.8</w:t>
                  </w:r>
                </w:p>
              </w:tc>
              <w:tc>
                <w:tcPr>
                  <w:tcW w:w="504" w:type="pct"/>
                  <w:vAlign w:val="center"/>
                </w:tcPr>
                <w:p>
                  <w:pPr>
                    <w:pStyle w:val="217"/>
                    <w:spacing w:before="36"/>
                    <w:ind w:left="121" w:right="106"/>
                    <w:rPr>
                      <w:rFonts w:ascii="Times New Roman" w:hAnsi="Times New Roman"/>
                      <w:sz w:val="21"/>
                    </w:rPr>
                  </w:pPr>
                  <w:r>
                    <w:rPr>
                      <w:rFonts w:ascii="Times New Roman" w:hAnsi="Times New Roman"/>
                      <w:sz w:val="21"/>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pct"/>
                  <w:vMerge w:val="continue"/>
                  <w:tcBorders>
                    <w:top w:val="nil"/>
                  </w:tcBorders>
                  <w:vAlign w:val="center"/>
                </w:tcPr>
                <w:p>
                  <w:pPr>
                    <w:jc w:val="center"/>
                    <w:rPr>
                      <w:szCs w:val="2"/>
                    </w:rPr>
                  </w:pPr>
                </w:p>
              </w:tc>
              <w:tc>
                <w:tcPr>
                  <w:tcW w:w="877" w:type="pct"/>
                  <w:vMerge w:val="continue"/>
                  <w:tcBorders>
                    <w:top w:val="nil"/>
                  </w:tcBorders>
                  <w:vAlign w:val="center"/>
                </w:tcPr>
                <w:p>
                  <w:pPr>
                    <w:jc w:val="center"/>
                    <w:rPr>
                      <w:szCs w:val="2"/>
                    </w:rPr>
                  </w:pPr>
                </w:p>
              </w:tc>
              <w:tc>
                <w:tcPr>
                  <w:tcW w:w="1370" w:type="pct"/>
                  <w:vAlign w:val="center"/>
                </w:tcPr>
                <w:p>
                  <w:pPr>
                    <w:pStyle w:val="217"/>
                    <w:spacing w:before="22"/>
                    <w:ind w:left="147" w:right="136"/>
                    <w:rPr>
                      <w:rFonts w:ascii="Times New Roman" w:hAnsi="Times New Roman"/>
                      <w:sz w:val="21"/>
                    </w:rPr>
                  </w:pPr>
                  <w:r>
                    <w:rPr>
                      <w:rFonts w:ascii="Times New Roman" w:hAnsi="Times New Roman"/>
                      <w:sz w:val="21"/>
                    </w:rPr>
                    <w:t>夜 22：00~6：00</w:t>
                  </w:r>
                </w:p>
              </w:tc>
              <w:tc>
                <w:tcPr>
                  <w:tcW w:w="829" w:type="pct"/>
                  <w:vAlign w:val="center"/>
                </w:tcPr>
                <w:p>
                  <w:pPr>
                    <w:pStyle w:val="217"/>
                    <w:spacing w:before="36"/>
                    <w:ind w:left="141" w:right="124"/>
                    <w:rPr>
                      <w:rFonts w:ascii="Times New Roman" w:hAnsi="Times New Roman"/>
                      <w:sz w:val="21"/>
                    </w:rPr>
                  </w:pPr>
                  <w:r>
                    <w:rPr>
                      <w:rFonts w:ascii="Times New Roman" w:hAnsi="Times New Roman"/>
                      <w:sz w:val="21"/>
                    </w:rPr>
                    <w:t>45.6</w:t>
                  </w:r>
                </w:p>
              </w:tc>
              <w:tc>
                <w:tcPr>
                  <w:tcW w:w="504" w:type="pct"/>
                  <w:vAlign w:val="center"/>
                </w:tcPr>
                <w:p>
                  <w:pPr>
                    <w:pStyle w:val="217"/>
                    <w:spacing w:before="36"/>
                    <w:ind w:left="121" w:right="106"/>
                    <w:rPr>
                      <w:rFonts w:ascii="Times New Roman" w:hAnsi="Times New Roman"/>
                      <w:sz w:val="21"/>
                    </w:rPr>
                  </w:pPr>
                  <w:r>
                    <w:rPr>
                      <w:rFonts w:ascii="Times New Roman" w:hAnsi="Times New Roman"/>
                      <w:sz w:val="21"/>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29" w:hRule="atLeast"/>
              </w:trPr>
              <w:tc>
                <w:tcPr>
                  <w:tcW w:w="1418" w:type="pct"/>
                  <w:vMerge w:val="continue"/>
                  <w:tcBorders>
                    <w:top w:val="nil"/>
                  </w:tcBorders>
                  <w:vAlign w:val="center"/>
                </w:tcPr>
                <w:p>
                  <w:pPr>
                    <w:jc w:val="center"/>
                    <w:rPr>
                      <w:szCs w:val="2"/>
                    </w:rPr>
                  </w:pPr>
                </w:p>
              </w:tc>
              <w:tc>
                <w:tcPr>
                  <w:tcW w:w="877" w:type="pct"/>
                  <w:vMerge w:val="restart"/>
                  <w:vAlign w:val="center"/>
                </w:tcPr>
                <w:p>
                  <w:pPr>
                    <w:pStyle w:val="217"/>
                    <w:spacing w:before="186"/>
                    <w:ind w:left="418" w:right="411"/>
                    <w:rPr>
                      <w:rFonts w:ascii="Times New Roman" w:hAnsi="Times New Roman"/>
                      <w:sz w:val="21"/>
                    </w:rPr>
                  </w:pPr>
                  <w:r>
                    <w:rPr>
                      <w:rFonts w:ascii="Times New Roman" w:hAnsi="Times New Roman"/>
                      <w:sz w:val="21"/>
                    </w:rPr>
                    <w:t>N3</w:t>
                  </w:r>
                </w:p>
              </w:tc>
              <w:tc>
                <w:tcPr>
                  <w:tcW w:w="1370" w:type="pct"/>
                  <w:vAlign w:val="center"/>
                </w:tcPr>
                <w:p>
                  <w:pPr>
                    <w:pStyle w:val="217"/>
                    <w:spacing w:before="25"/>
                    <w:ind w:left="147" w:right="136"/>
                    <w:rPr>
                      <w:rFonts w:ascii="Times New Roman" w:hAnsi="Times New Roman"/>
                      <w:sz w:val="21"/>
                    </w:rPr>
                  </w:pPr>
                  <w:r>
                    <w:rPr>
                      <w:rFonts w:ascii="Times New Roman" w:hAnsi="Times New Roman"/>
                      <w:sz w:val="21"/>
                    </w:rPr>
                    <w:t>昼 6：00~22：00</w:t>
                  </w:r>
                </w:p>
              </w:tc>
              <w:tc>
                <w:tcPr>
                  <w:tcW w:w="829" w:type="pct"/>
                  <w:vAlign w:val="center"/>
                </w:tcPr>
                <w:p>
                  <w:pPr>
                    <w:pStyle w:val="217"/>
                    <w:spacing w:before="39"/>
                    <w:ind w:left="141" w:right="123"/>
                    <w:rPr>
                      <w:rFonts w:ascii="Times New Roman" w:hAnsi="Times New Roman"/>
                      <w:sz w:val="21"/>
                    </w:rPr>
                  </w:pPr>
                  <w:r>
                    <w:rPr>
                      <w:rFonts w:ascii="Times New Roman" w:hAnsi="Times New Roman"/>
                      <w:sz w:val="21"/>
                    </w:rPr>
                    <w:t>55.4</w:t>
                  </w:r>
                </w:p>
              </w:tc>
              <w:tc>
                <w:tcPr>
                  <w:tcW w:w="504" w:type="pct"/>
                  <w:vAlign w:val="center"/>
                </w:tcPr>
                <w:p>
                  <w:pPr>
                    <w:pStyle w:val="217"/>
                    <w:spacing w:before="39"/>
                    <w:ind w:left="121" w:right="105"/>
                    <w:rPr>
                      <w:rFonts w:ascii="Times New Roman" w:hAnsi="Times New Roman"/>
                      <w:sz w:val="21"/>
                    </w:rPr>
                  </w:pPr>
                  <w:r>
                    <w:rPr>
                      <w:rFonts w:ascii="Times New Roman" w:hAnsi="Times New Roman"/>
                      <w:sz w:val="21"/>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 w:hRule="atLeast"/>
              </w:trPr>
              <w:tc>
                <w:tcPr>
                  <w:tcW w:w="1418" w:type="pct"/>
                  <w:vMerge w:val="continue"/>
                  <w:tcBorders>
                    <w:top w:val="nil"/>
                  </w:tcBorders>
                  <w:vAlign w:val="center"/>
                </w:tcPr>
                <w:p>
                  <w:pPr>
                    <w:jc w:val="center"/>
                    <w:rPr>
                      <w:szCs w:val="2"/>
                    </w:rPr>
                  </w:pPr>
                </w:p>
              </w:tc>
              <w:tc>
                <w:tcPr>
                  <w:tcW w:w="877" w:type="pct"/>
                  <w:vMerge w:val="continue"/>
                  <w:tcBorders>
                    <w:top w:val="nil"/>
                  </w:tcBorders>
                  <w:vAlign w:val="center"/>
                </w:tcPr>
                <w:p>
                  <w:pPr>
                    <w:jc w:val="center"/>
                    <w:rPr>
                      <w:szCs w:val="2"/>
                    </w:rPr>
                  </w:pPr>
                </w:p>
              </w:tc>
              <w:tc>
                <w:tcPr>
                  <w:tcW w:w="1370" w:type="pct"/>
                  <w:vAlign w:val="center"/>
                </w:tcPr>
                <w:p>
                  <w:pPr>
                    <w:pStyle w:val="217"/>
                    <w:spacing w:before="22"/>
                    <w:ind w:left="147" w:right="136"/>
                    <w:rPr>
                      <w:rFonts w:ascii="Times New Roman" w:hAnsi="Times New Roman"/>
                      <w:sz w:val="21"/>
                    </w:rPr>
                  </w:pPr>
                  <w:r>
                    <w:rPr>
                      <w:rFonts w:ascii="Times New Roman" w:hAnsi="Times New Roman"/>
                      <w:sz w:val="21"/>
                    </w:rPr>
                    <w:t>夜 22：00~6：00</w:t>
                  </w:r>
                </w:p>
              </w:tc>
              <w:tc>
                <w:tcPr>
                  <w:tcW w:w="829" w:type="pct"/>
                  <w:vAlign w:val="center"/>
                </w:tcPr>
                <w:p>
                  <w:pPr>
                    <w:pStyle w:val="217"/>
                    <w:spacing w:before="36"/>
                    <w:ind w:left="141" w:right="123"/>
                    <w:rPr>
                      <w:rFonts w:ascii="Times New Roman" w:hAnsi="Times New Roman"/>
                      <w:sz w:val="21"/>
                    </w:rPr>
                  </w:pPr>
                  <w:r>
                    <w:rPr>
                      <w:rFonts w:ascii="Times New Roman" w:hAnsi="Times New Roman"/>
                      <w:sz w:val="21"/>
                    </w:rPr>
                    <w:t>44.2</w:t>
                  </w:r>
                </w:p>
              </w:tc>
              <w:tc>
                <w:tcPr>
                  <w:tcW w:w="504" w:type="pct"/>
                  <w:vAlign w:val="center"/>
                </w:tcPr>
                <w:p>
                  <w:pPr>
                    <w:pStyle w:val="217"/>
                    <w:spacing w:before="36"/>
                    <w:ind w:left="121" w:right="105"/>
                    <w:rPr>
                      <w:rFonts w:ascii="Times New Roman" w:hAnsi="Times New Roman"/>
                      <w:sz w:val="21"/>
                    </w:rPr>
                  </w:pPr>
                  <w:r>
                    <w:rPr>
                      <w:rFonts w:ascii="Times New Roman" w:hAnsi="Times New Roman"/>
                      <w:sz w:val="21"/>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1418" w:type="pct"/>
                  <w:vMerge w:val="continue"/>
                  <w:tcBorders>
                    <w:top w:val="nil"/>
                  </w:tcBorders>
                  <w:vAlign w:val="center"/>
                </w:tcPr>
                <w:p>
                  <w:pPr>
                    <w:jc w:val="center"/>
                    <w:rPr>
                      <w:szCs w:val="2"/>
                    </w:rPr>
                  </w:pPr>
                </w:p>
              </w:tc>
              <w:tc>
                <w:tcPr>
                  <w:tcW w:w="877" w:type="pct"/>
                  <w:vMerge w:val="restart"/>
                  <w:vAlign w:val="center"/>
                </w:tcPr>
                <w:p>
                  <w:pPr>
                    <w:pStyle w:val="217"/>
                    <w:spacing w:before="183"/>
                    <w:ind w:left="418" w:right="411"/>
                    <w:rPr>
                      <w:rFonts w:ascii="Times New Roman" w:hAnsi="Times New Roman"/>
                      <w:sz w:val="21"/>
                    </w:rPr>
                  </w:pPr>
                  <w:r>
                    <w:rPr>
                      <w:rFonts w:ascii="Times New Roman" w:hAnsi="Times New Roman"/>
                      <w:sz w:val="21"/>
                    </w:rPr>
                    <w:t>N4</w:t>
                  </w:r>
                </w:p>
              </w:tc>
              <w:tc>
                <w:tcPr>
                  <w:tcW w:w="1370" w:type="pct"/>
                  <w:vAlign w:val="center"/>
                </w:tcPr>
                <w:p>
                  <w:pPr>
                    <w:pStyle w:val="217"/>
                    <w:spacing w:before="22"/>
                    <w:ind w:left="147" w:right="136"/>
                    <w:rPr>
                      <w:rFonts w:ascii="Times New Roman" w:hAnsi="Times New Roman"/>
                      <w:sz w:val="21"/>
                    </w:rPr>
                  </w:pPr>
                  <w:r>
                    <w:rPr>
                      <w:rFonts w:ascii="Times New Roman" w:hAnsi="Times New Roman"/>
                      <w:sz w:val="21"/>
                    </w:rPr>
                    <w:t>昼 6：00~22：00</w:t>
                  </w:r>
                </w:p>
              </w:tc>
              <w:tc>
                <w:tcPr>
                  <w:tcW w:w="829" w:type="pct"/>
                  <w:vAlign w:val="center"/>
                </w:tcPr>
                <w:p>
                  <w:pPr>
                    <w:pStyle w:val="217"/>
                    <w:spacing w:before="36"/>
                    <w:ind w:left="141" w:right="123"/>
                    <w:rPr>
                      <w:rFonts w:ascii="Times New Roman" w:hAnsi="Times New Roman"/>
                      <w:sz w:val="21"/>
                    </w:rPr>
                  </w:pPr>
                  <w:r>
                    <w:rPr>
                      <w:rFonts w:ascii="Times New Roman" w:hAnsi="Times New Roman"/>
                      <w:sz w:val="21"/>
                    </w:rPr>
                    <w:t>54.3</w:t>
                  </w:r>
                </w:p>
              </w:tc>
              <w:tc>
                <w:tcPr>
                  <w:tcW w:w="504" w:type="pct"/>
                  <w:vAlign w:val="center"/>
                </w:tcPr>
                <w:p>
                  <w:pPr>
                    <w:pStyle w:val="217"/>
                    <w:spacing w:before="36"/>
                    <w:ind w:left="121" w:right="105"/>
                    <w:rPr>
                      <w:rFonts w:ascii="Times New Roman" w:hAnsi="Times New Roman"/>
                      <w:sz w:val="21"/>
                    </w:rPr>
                  </w:pPr>
                  <w:r>
                    <w:rPr>
                      <w:rFonts w:ascii="Times New Roman" w:hAnsi="Times New Roman"/>
                      <w:sz w:val="21"/>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18" w:type="pct"/>
                  <w:vMerge w:val="continue"/>
                  <w:tcBorders>
                    <w:top w:val="nil"/>
                  </w:tcBorders>
                  <w:vAlign w:val="center"/>
                </w:tcPr>
                <w:p>
                  <w:pPr>
                    <w:jc w:val="center"/>
                    <w:rPr>
                      <w:szCs w:val="2"/>
                    </w:rPr>
                  </w:pPr>
                </w:p>
              </w:tc>
              <w:tc>
                <w:tcPr>
                  <w:tcW w:w="877" w:type="pct"/>
                  <w:vMerge w:val="continue"/>
                  <w:tcBorders>
                    <w:top w:val="nil"/>
                  </w:tcBorders>
                  <w:vAlign w:val="center"/>
                </w:tcPr>
                <w:p>
                  <w:pPr>
                    <w:jc w:val="center"/>
                    <w:rPr>
                      <w:szCs w:val="2"/>
                    </w:rPr>
                  </w:pPr>
                </w:p>
              </w:tc>
              <w:tc>
                <w:tcPr>
                  <w:tcW w:w="1370" w:type="pct"/>
                  <w:vAlign w:val="center"/>
                </w:tcPr>
                <w:p>
                  <w:pPr>
                    <w:pStyle w:val="217"/>
                    <w:spacing w:before="22"/>
                    <w:ind w:left="147" w:right="136"/>
                    <w:rPr>
                      <w:rFonts w:ascii="Times New Roman" w:hAnsi="Times New Roman"/>
                      <w:sz w:val="21"/>
                    </w:rPr>
                  </w:pPr>
                  <w:r>
                    <w:rPr>
                      <w:rFonts w:ascii="Times New Roman" w:hAnsi="Times New Roman"/>
                      <w:sz w:val="21"/>
                    </w:rPr>
                    <w:t>夜 22：00~6：00</w:t>
                  </w:r>
                </w:p>
              </w:tc>
              <w:tc>
                <w:tcPr>
                  <w:tcW w:w="829" w:type="pct"/>
                  <w:vAlign w:val="center"/>
                </w:tcPr>
                <w:p>
                  <w:pPr>
                    <w:pStyle w:val="217"/>
                    <w:spacing w:before="36"/>
                    <w:ind w:left="141" w:right="123"/>
                    <w:rPr>
                      <w:rFonts w:ascii="Times New Roman" w:hAnsi="Times New Roman"/>
                      <w:sz w:val="21"/>
                    </w:rPr>
                  </w:pPr>
                  <w:r>
                    <w:rPr>
                      <w:rFonts w:ascii="Times New Roman" w:hAnsi="Times New Roman"/>
                      <w:sz w:val="21"/>
                    </w:rPr>
                    <w:t>42.8</w:t>
                  </w:r>
                </w:p>
              </w:tc>
              <w:tc>
                <w:tcPr>
                  <w:tcW w:w="504" w:type="pct"/>
                  <w:vAlign w:val="center"/>
                </w:tcPr>
                <w:p>
                  <w:pPr>
                    <w:pStyle w:val="217"/>
                    <w:spacing w:before="36"/>
                    <w:ind w:left="121" w:right="105"/>
                    <w:rPr>
                      <w:rFonts w:ascii="Times New Roman" w:hAnsi="Times New Roman"/>
                      <w:sz w:val="21"/>
                    </w:rPr>
                  </w:pPr>
                  <w:r>
                    <w:rPr>
                      <w:rFonts w:ascii="Times New Roman" w:hAnsi="Times New Roman"/>
                      <w:sz w:val="21"/>
                    </w:rPr>
                    <w:t>55</w:t>
                  </w:r>
                </w:p>
              </w:tc>
            </w:tr>
          </w:tbl>
          <w:p>
            <w:pPr>
              <w:spacing w:line="360" w:lineRule="auto"/>
              <w:ind w:firstLine="480" w:firstLineChars="200"/>
              <w:rPr>
                <w:kern w:val="0"/>
                <w:sz w:val="24"/>
                <w:lang w:val="zh-CN"/>
              </w:rPr>
            </w:pPr>
            <w:r>
              <w:rPr>
                <w:rFonts w:hint="eastAsia"/>
                <w:kern w:val="0"/>
                <w:sz w:val="24"/>
                <w:lang w:val="zh-CN"/>
              </w:rPr>
              <w:t>根据监测结果，项目厂界东侧、北侧噪声限值满足《工业企业厂界环境噪声排放标准》（GB12348-2008）3类标准要求，厂界南侧、西侧噪声限值满足《工业企业厂界环境噪声排放标准》（GB 12348-2008）4类标准要求。综上，项目厂界噪声能够达标。</w:t>
            </w:r>
          </w:p>
          <w:p>
            <w:pPr>
              <w:spacing w:line="360" w:lineRule="auto"/>
              <w:ind w:firstLine="480" w:firstLineChars="200"/>
              <w:jc w:val="left"/>
              <w:rPr>
                <w:kern w:val="0"/>
                <w:sz w:val="24"/>
              </w:rPr>
            </w:pPr>
            <w:r>
              <w:rPr>
                <w:rFonts w:hint="eastAsia"/>
                <w:kern w:val="0"/>
                <w:sz w:val="24"/>
              </w:rPr>
              <w:t>（4）固体废物</w:t>
            </w:r>
          </w:p>
          <w:p>
            <w:pPr>
              <w:spacing w:line="360" w:lineRule="auto"/>
              <w:ind w:firstLine="480" w:firstLineChars="200"/>
              <w:jc w:val="left"/>
              <w:rPr>
                <w:kern w:val="0"/>
                <w:sz w:val="24"/>
              </w:rPr>
            </w:pPr>
            <w:r>
              <w:rPr>
                <w:rFonts w:hint="eastAsia"/>
                <w:kern w:val="0"/>
                <w:sz w:val="24"/>
              </w:rPr>
              <w:t>现有</w:t>
            </w:r>
            <w:r>
              <w:rPr>
                <w:kern w:val="0"/>
                <w:sz w:val="24"/>
              </w:rPr>
              <w:t>项目固废主要为一般固废和危险固废：</w:t>
            </w:r>
          </w:p>
          <w:p>
            <w:pPr>
              <w:spacing w:line="360" w:lineRule="auto"/>
              <w:ind w:firstLine="480" w:firstLineChars="200"/>
              <w:jc w:val="left"/>
              <w:rPr>
                <w:kern w:val="0"/>
                <w:sz w:val="24"/>
              </w:rPr>
            </w:pPr>
            <w:r>
              <w:rPr>
                <w:kern w:val="0"/>
                <w:sz w:val="24"/>
              </w:rPr>
              <w:t>①一般固废</w:t>
            </w:r>
          </w:p>
          <w:p>
            <w:pPr>
              <w:spacing w:line="360" w:lineRule="auto"/>
              <w:ind w:firstLine="480" w:firstLineChars="200"/>
              <w:jc w:val="left"/>
              <w:rPr>
                <w:kern w:val="0"/>
                <w:sz w:val="24"/>
              </w:rPr>
            </w:pPr>
            <w:r>
              <w:rPr>
                <w:kern w:val="0"/>
                <w:sz w:val="24"/>
              </w:rPr>
              <w:t>项目一般固废包括生活垃圾、边角废料、机加工粉尘、抛丸粉尘、焊接粉尘、焊渣。生活垃圾收集后交由市政环卫部门统一清运、处置；边角废料、机加工粉尘、抛丸粉尘、焊接烟尘、焊渣主要成分为金属及钢板表面金属氧化物，收集后交由物资回收部门回收处理。</w:t>
            </w:r>
          </w:p>
          <w:p>
            <w:pPr>
              <w:spacing w:line="360" w:lineRule="auto"/>
              <w:ind w:firstLine="480" w:firstLineChars="200"/>
              <w:jc w:val="left"/>
              <w:rPr>
                <w:kern w:val="0"/>
                <w:sz w:val="24"/>
              </w:rPr>
            </w:pPr>
            <w:r>
              <w:rPr>
                <w:kern w:val="0"/>
                <w:sz w:val="24"/>
              </w:rPr>
              <w:t>②危险固废</w:t>
            </w:r>
          </w:p>
          <w:p>
            <w:pPr>
              <w:spacing w:line="360" w:lineRule="auto"/>
              <w:ind w:firstLine="480" w:firstLineChars="200"/>
              <w:jc w:val="left"/>
              <w:rPr>
                <w:kern w:val="0"/>
                <w:sz w:val="24"/>
              </w:rPr>
            </w:pPr>
            <w:r>
              <w:rPr>
                <w:kern w:val="0"/>
                <w:sz w:val="24"/>
              </w:rPr>
              <w:t>项目危险固废包括废机油、废乳化液、废漆雾棉、废活性炭、废抹布和废手套。</w:t>
            </w:r>
          </w:p>
          <w:p>
            <w:pPr>
              <w:spacing w:line="360" w:lineRule="auto"/>
              <w:ind w:firstLine="480" w:firstLineChars="200"/>
              <w:jc w:val="left"/>
              <w:rPr>
                <w:kern w:val="0"/>
                <w:sz w:val="24"/>
              </w:rPr>
            </w:pPr>
            <w:r>
              <w:rPr>
                <w:kern w:val="0"/>
                <w:sz w:val="24"/>
              </w:rPr>
              <w:t>废机油、废乳化液来源于液压机使用和维修过程，收集暂存，定期交由有资质的单位处理（芜湖致源环保科技有限公司）；废过滤棉来源于漆雾经过滤后形成含漆的过滤棉，收集暂存，定期交由有资质的单位处理（芜湖致源环保科技有限公司）；废活性炭来源于喷涂有机废气处理措施，活性炭只能进行一定的吸附脱附次数（一般为20次）后废弃，收集暂存，定期交由有资质的单位处理（芜湖致源环保科技有限公司）；废抹布和废手套来源于项目生产、设备维护维修清洁过程，收集暂存，定期交由有资质的单位处理（芜湖致源环保科技有限公司）。</w:t>
            </w:r>
          </w:p>
          <w:p>
            <w:pPr>
              <w:spacing w:line="360" w:lineRule="auto"/>
              <w:ind w:firstLine="480" w:firstLineChars="200"/>
              <w:jc w:val="left"/>
              <w:rPr>
                <w:kern w:val="0"/>
                <w:sz w:val="24"/>
              </w:rPr>
            </w:pPr>
            <w:r>
              <w:rPr>
                <w:kern w:val="0"/>
                <w:sz w:val="24"/>
              </w:rPr>
              <w:t>项目废原料桶主要为项目生产过程会产生废漆料桶、废溶剂桶，均交由原供应商回收再利用。用于原始用途的含有或直接沾染危险废物的包装物、容器不作为固废管理。</w:t>
            </w:r>
          </w:p>
          <w:p>
            <w:pPr>
              <w:spacing w:line="360" w:lineRule="auto"/>
              <w:ind w:firstLine="480" w:firstLineChars="200"/>
              <w:jc w:val="left"/>
              <w:rPr>
                <w:kern w:val="0"/>
                <w:sz w:val="24"/>
              </w:rPr>
            </w:pPr>
            <w:r>
              <w:rPr>
                <w:kern w:val="0"/>
                <w:sz w:val="24"/>
              </w:rPr>
              <w:t>项目已建成一般固废暂存场所100m</w:t>
            </w:r>
            <w:r>
              <w:rPr>
                <w:kern w:val="0"/>
                <w:sz w:val="24"/>
                <w:vertAlign w:val="superscript"/>
              </w:rPr>
              <w:t>2</w:t>
            </w:r>
            <w:r>
              <w:rPr>
                <w:kern w:val="0"/>
                <w:sz w:val="24"/>
              </w:rPr>
              <w:t>，危险固废暂存间100m</w:t>
            </w:r>
            <w:r>
              <w:rPr>
                <w:kern w:val="0"/>
                <w:sz w:val="24"/>
                <w:vertAlign w:val="superscript"/>
              </w:rPr>
              <w:t>2</w:t>
            </w:r>
            <w:r>
              <w:rPr>
                <w:kern w:val="0"/>
                <w:sz w:val="24"/>
              </w:rPr>
              <w:t>，对产生的一般固废和危险固废分类收集存放，且均妥善处置。</w:t>
            </w:r>
          </w:p>
          <w:p>
            <w:pPr>
              <w:spacing w:line="360" w:lineRule="auto"/>
              <w:ind w:firstLine="482" w:firstLineChars="200"/>
              <w:jc w:val="center"/>
              <w:rPr>
                <w:b/>
                <w:bCs/>
                <w:kern w:val="0"/>
                <w:sz w:val="24"/>
                <w:lang w:val="zh-CN"/>
              </w:rPr>
            </w:pPr>
            <w:r>
              <w:rPr>
                <w:rFonts w:hint="eastAsia"/>
                <w:b/>
                <w:bCs/>
                <w:kern w:val="0"/>
                <w:sz w:val="24"/>
                <w:lang w:val="zh-CN"/>
              </w:rPr>
              <w:t xml:space="preserve">表 </w:t>
            </w:r>
            <w:r>
              <w:rPr>
                <w:rFonts w:hint="eastAsia"/>
                <w:b/>
                <w:bCs/>
                <w:kern w:val="0"/>
                <w:sz w:val="24"/>
              </w:rPr>
              <w:t>2-2</w:t>
            </w:r>
            <w:r>
              <w:rPr>
                <w:rFonts w:hint="eastAsia"/>
                <w:b/>
                <w:bCs/>
                <w:kern w:val="0"/>
                <w:sz w:val="24"/>
                <w:lang w:val="en-US" w:eastAsia="zh-CN"/>
              </w:rPr>
              <w:t>3</w:t>
            </w:r>
            <w:r>
              <w:rPr>
                <w:rFonts w:hint="eastAsia"/>
                <w:b/>
                <w:bCs/>
                <w:kern w:val="0"/>
                <w:sz w:val="24"/>
                <w:lang w:val="zh-CN"/>
              </w:rPr>
              <w:tab/>
            </w:r>
            <w:r>
              <w:rPr>
                <w:rFonts w:hint="eastAsia"/>
                <w:b/>
                <w:bCs/>
                <w:kern w:val="0"/>
                <w:sz w:val="24"/>
              </w:rPr>
              <w:t>现有</w:t>
            </w:r>
            <w:r>
              <w:rPr>
                <w:rFonts w:hint="eastAsia"/>
                <w:b/>
                <w:bCs/>
                <w:kern w:val="0"/>
                <w:sz w:val="24"/>
                <w:lang w:val="zh-CN"/>
              </w:rPr>
              <w:t>项目固体废物产生处置情况汇总表</w:t>
            </w:r>
          </w:p>
          <w:tbl>
            <w:tblPr>
              <w:tblStyle w:val="58"/>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51"/>
              <w:gridCol w:w="897"/>
              <w:gridCol w:w="1826"/>
              <w:gridCol w:w="1405"/>
              <w:gridCol w:w="1420"/>
              <w:gridCol w:w="21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390" w:type="pct"/>
                  <w:vAlign w:val="center"/>
                </w:tcPr>
                <w:p>
                  <w:pPr>
                    <w:pStyle w:val="217"/>
                    <w:spacing w:before="112" w:line="306" w:lineRule="exact"/>
                    <w:ind w:left="90" w:right="83"/>
                    <w:rPr>
                      <w:rFonts w:ascii="Times New Roman" w:hAnsi="Times New Roman"/>
                      <w:sz w:val="21"/>
                    </w:rPr>
                  </w:pPr>
                  <w:r>
                    <w:rPr>
                      <w:rFonts w:ascii="Times New Roman" w:hAnsi="Times New Roman"/>
                      <w:sz w:val="21"/>
                    </w:rPr>
                    <w:t>序号</w:t>
                  </w:r>
                </w:p>
              </w:tc>
              <w:tc>
                <w:tcPr>
                  <w:tcW w:w="537" w:type="pct"/>
                  <w:vAlign w:val="center"/>
                </w:tcPr>
                <w:p>
                  <w:pPr>
                    <w:pStyle w:val="217"/>
                    <w:spacing w:before="112" w:line="306" w:lineRule="exact"/>
                    <w:rPr>
                      <w:rFonts w:ascii="Times New Roman" w:hAnsi="Times New Roman"/>
                      <w:sz w:val="21"/>
                    </w:rPr>
                  </w:pPr>
                  <w:r>
                    <w:rPr>
                      <w:rFonts w:ascii="Times New Roman" w:hAnsi="Times New Roman"/>
                      <w:sz w:val="21"/>
                    </w:rPr>
                    <w:t>分类</w:t>
                  </w:r>
                </w:p>
              </w:tc>
              <w:tc>
                <w:tcPr>
                  <w:tcW w:w="1093" w:type="pct"/>
                  <w:vAlign w:val="center"/>
                </w:tcPr>
                <w:p>
                  <w:pPr>
                    <w:pStyle w:val="217"/>
                    <w:spacing w:before="112" w:line="306" w:lineRule="exact"/>
                    <w:ind w:left="170" w:right="161"/>
                    <w:rPr>
                      <w:rFonts w:ascii="Times New Roman" w:hAnsi="Times New Roman"/>
                      <w:sz w:val="21"/>
                    </w:rPr>
                  </w:pPr>
                  <w:r>
                    <w:rPr>
                      <w:rFonts w:ascii="Times New Roman" w:hAnsi="Times New Roman"/>
                      <w:sz w:val="21"/>
                    </w:rPr>
                    <w:t>固废名称</w:t>
                  </w:r>
                </w:p>
              </w:tc>
              <w:tc>
                <w:tcPr>
                  <w:tcW w:w="841" w:type="pct"/>
                  <w:vAlign w:val="center"/>
                </w:tcPr>
                <w:p>
                  <w:pPr>
                    <w:pStyle w:val="217"/>
                    <w:spacing w:before="112" w:line="306" w:lineRule="exact"/>
                    <w:ind w:left="170" w:right="161"/>
                    <w:rPr>
                      <w:rFonts w:ascii="Times New Roman" w:hAnsi="Times New Roman"/>
                      <w:sz w:val="21"/>
                      <w:lang w:val="en-US"/>
                    </w:rPr>
                  </w:pPr>
                  <w:r>
                    <w:rPr>
                      <w:rFonts w:hint="eastAsia" w:ascii="Times New Roman" w:hAnsi="Times New Roman"/>
                      <w:sz w:val="21"/>
                      <w:lang w:val="en-US"/>
                    </w:rPr>
                    <w:t>产生量（t/a）</w:t>
                  </w:r>
                </w:p>
              </w:tc>
              <w:tc>
                <w:tcPr>
                  <w:tcW w:w="850" w:type="pct"/>
                  <w:vAlign w:val="center"/>
                </w:tcPr>
                <w:p>
                  <w:pPr>
                    <w:pStyle w:val="217"/>
                    <w:spacing w:before="112" w:line="306" w:lineRule="exact"/>
                    <w:ind w:left="170" w:right="161"/>
                    <w:rPr>
                      <w:rFonts w:ascii="Times New Roman" w:hAnsi="Times New Roman"/>
                      <w:sz w:val="21"/>
                    </w:rPr>
                  </w:pPr>
                  <w:r>
                    <w:rPr>
                      <w:rFonts w:hint="eastAsia" w:ascii="Times New Roman" w:hAnsi="Times New Roman"/>
                      <w:sz w:val="21"/>
                      <w:lang w:val="en-US"/>
                    </w:rPr>
                    <w:t>排放量</w:t>
                  </w:r>
                  <w:r>
                    <w:rPr>
                      <w:rFonts w:ascii="Times New Roman" w:hAnsi="Times New Roman"/>
                      <w:sz w:val="21"/>
                    </w:rPr>
                    <w:t>（t/a）</w:t>
                  </w:r>
                </w:p>
              </w:tc>
              <w:tc>
                <w:tcPr>
                  <w:tcW w:w="1285" w:type="pct"/>
                  <w:vAlign w:val="center"/>
                </w:tcPr>
                <w:p>
                  <w:pPr>
                    <w:pStyle w:val="217"/>
                    <w:spacing w:before="112" w:line="306" w:lineRule="exact"/>
                    <w:rPr>
                      <w:rFonts w:ascii="Times New Roman" w:hAnsi="Times New Roman"/>
                      <w:sz w:val="21"/>
                    </w:rPr>
                  </w:pPr>
                  <w:r>
                    <w:rPr>
                      <w:rFonts w:ascii="Times New Roman" w:hAnsi="Times New Roman"/>
                      <w:sz w:val="21"/>
                    </w:rPr>
                    <w:t>治理措施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0" w:hRule="atLeast"/>
              </w:trPr>
              <w:tc>
                <w:tcPr>
                  <w:tcW w:w="390" w:type="pct"/>
                  <w:vAlign w:val="center"/>
                </w:tcPr>
                <w:p>
                  <w:pPr>
                    <w:pStyle w:val="217"/>
                    <w:ind w:left="7"/>
                    <w:rPr>
                      <w:rFonts w:ascii="Times New Roman" w:hAnsi="Times New Roman"/>
                      <w:sz w:val="21"/>
                    </w:rPr>
                  </w:pPr>
                  <w:r>
                    <w:rPr>
                      <w:rFonts w:ascii="Times New Roman" w:hAnsi="Times New Roman"/>
                      <w:sz w:val="21"/>
                    </w:rPr>
                    <w:t>1</w:t>
                  </w:r>
                </w:p>
              </w:tc>
              <w:tc>
                <w:tcPr>
                  <w:tcW w:w="537" w:type="pct"/>
                  <w:vMerge w:val="restart"/>
                  <w:vAlign w:val="center"/>
                </w:tcPr>
                <w:p>
                  <w:pPr>
                    <w:pStyle w:val="217"/>
                    <w:rPr>
                      <w:rFonts w:ascii="Times New Roman" w:hAnsi="Times New Roman"/>
                      <w:sz w:val="21"/>
                    </w:rPr>
                  </w:pPr>
                  <w:r>
                    <w:rPr>
                      <w:rFonts w:ascii="Times New Roman" w:hAnsi="Times New Roman"/>
                      <w:sz w:val="21"/>
                    </w:rPr>
                    <w:t>一般固废</w:t>
                  </w:r>
                </w:p>
              </w:tc>
              <w:tc>
                <w:tcPr>
                  <w:tcW w:w="1093" w:type="pct"/>
                  <w:vAlign w:val="center"/>
                </w:tcPr>
                <w:p>
                  <w:pPr>
                    <w:pStyle w:val="217"/>
                    <w:ind w:left="170" w:right="161"/>
                    <w:rPr>
                      <w:rFonts w:ascii="Times New Roman" w:hAnsi="Times New Roman"/>
                      <w:sz w:val="21"/>
                    </w:rPr>
                  </w:pPr>
                  <w:r>
                    <w:rPr>
                      <w:rFonts w:ascii="Times New Roman" w:hAnsi="Times New Roman"/>
                      <w:sz w:val="21"/>
                    </w:rPr>
                    <w:t>生活垃圾</w:t>
                  </w:r>
                </w:p>
              </w:tc>
              <w:tc>
                <w:tcPr>
                  <w:tcW w:w="841" w:type="pct"/>
                  <w:vAlign w:val="center"/>
                </w:tcPr>
                <w:p>
                  <w:pPr>
                    <w:pStyle w:val="217"/>
                    <w:ind w:left="170" w:right="161"/>
                    <w:rPr>
                      <w:rFonts w:ascii="Times New Roman" w:hAnsi="Times New Roman"/>
                      <w:sz w:val="21"/>
                      <w:lang w:val="en-US"/>
                    </w:rPr>
                  </w:pPr>
                  <w:r>
                    <w:rPr>
                      <w:rFonts w:hint="eastAsia" w:ascii="Times New Roman" w:hAnsi="Times New Roman"/>
                      <w:sz w:val="21"/>
                      <w:lang w:val="en-US"/>
                    </w:rPr>
                    <w:t>30</w:t>
                  </w:r>
                </w:p>
              </w:tc>
              <w:tc>
                <w:tcPr>
                  <w:tcW w:w="850" w:type="pct"/>
                  <w:vAlign w:val="center"/>
                </w:tcPr>
                <w:p>
                  <w:pPr>
                    <w:pStyle w:val="217"/>
                    <w:ind w:left="170" w:right="161"/>
                    <w:rPr>
                      <w:rFonts w:ascii="Times New Roman" w:hAnsi="Times New Roman"/>
                      <w:sz w:val="21"/>
                      <w:lang w:val="en-US"/>
                    </w:rPr>
                  </w:pPr>
                  <w:r>
                    <w:rPr>
                      <w:rFonts w:hint="eastAsia" w:ascii="Times New Roman" w:hAnsi="Times New Roman"/>
                      <w:sz w:val="21"/>
                      <w:lang w:val="en-US"/>
                    </w:rPr>
                    <w:t>0</w:t>
                  </w:r>
                </w:p>
              </w:tc>
              <w:tc>
                <w:tcPr>
                  <w:tcW w:w="1285" w:type="pct"/>
                  <w:vAlign w:val="center"/>
                </w:tcPr>
                <w:p>
                  <w:pPr>
                    <w:pStyle w:val="217"/>
                    <w:spacing w:before="3" w:line="440" w:lineRule="exact"/>
                    <w:ind w:right="123"/>
                    <w:rPr>
                      <w:rFonts w:ascii="Times New Roman" w:hAnsi="Times New Roman"/>
                      <w:sz w:val="21"/>
                    </w:rPr>
                  </w:pPr>
                  <w:r>
                    <w:rPr>
                      <w:rFonts w:ascii="Times New Roman" w:hAnsi="Times New Roman"/>
                      <w:sz w:val="21"/>
                    </w:rPr>
                    <w:t>收集后交由市政环卫部门统一清运、处置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390" w:type="pct"/>
                  <w:vAlign w:val="center"/>
                </w:tcPr>
                <w:p>
                  <w:pPr>
                    <w:pStyle w:val="217"/>
                    <w:spacing w:before="126"/>
                    <w:ind w:left="7"/>
                    <w:rPr>
                      <w:rFonts w:ascii="Times New Roman" w:hAnsi="Times New Roman"/>
                      <w:sz w:val="21"/>
                    </w:rPr>
                  </w:pPr>
                  <w:r>
                    <w:rPr>
                      <w:rFonts w:ascii="Times New Roman" w:hAnsi="Times New Roman"/>
                      <w:sz w:val="21"/>
                    </w:rPr>
                    <w:t>2</w:t>
                  </w:r>
                </w:p>
              </w:tc>
              <w:tc>
                <w:tcPr>
                  <w:tcW w:w="537" w:type="pct"/>
                  <w:vMerge w:val="continue"/>
                  <w:tcBorders>
                    <w:top w:val="nil"/>
                  </w:tcBorders>
                  <w:vAlign w:val="center"/>
                </w:tcPr>
                <w:p>
                  <w:pPr>
                    <w:jc w:val="center"/>
                    <w:rPr>
                      <w:szCs w:val="2"/>
                    </w:rPr>
                  </w:pPr>
                </w:p>
              </w:tc>
              <w:tc>
                <w:tcPr>
                  <w:tcW w:w="1093" w:type="pct"/>
                  <w:vAlign w:val="center"/>
                </w:tcPr>
                <w:p>
                  <w:pPr>
                    <w:pStyle w:val="217"/>
                    <w:spacing w:before="110"/>
                    <w:ind w:left="170" w:right="161"/>
                    <w:rPr>
                      <w:rFonts w:ascii="Times New Roman" w:hAnsi="Times New Roman"/>
                      <w:sz w:val="21"/>
                    </w:rPr>
                  </w:pPr>
                  <w:r>
                    <w:rPr>
                      <w:rFonts w:ascii="Times New Roman" w:hAnsi="Times New Roman"/>
                      <w:sz w:val="21"/>
                    </w:rPr>
                    <w:t>边角废料</w:t>
                  </w:r>
                </w:p>
              </w:tc>
              <w:tc>
                <w:tcPr>
                  <w:tcW w:w="841" w:type="pct"/>
                  <w:vAlign w:val="center"/>
                </w:tcPr>
                <w:p>
                  <w:pPr>
                    <w:pStyle w:val="217"/>
                    <w:spacing w:before="110"/>
                    <w:ind w:left="170" w:right="161"/>
                    <w:rPr>
                      <w:rFonts w:ascii="Times New Roman" w:hAnsi="Times New Roman"/>
                      <w:sz w:val="21"/>
                      <w:lang w:val="en-US"/>
                    </w:rPr>
                  </w:pPr>
                  <w:r>
                    <w:rPr>
                      <w:rFonts w:hint="eastAsia" w:ascii="Times New Roman" w:hAnsi="Times New Roman"/>
                      <w:sz w:val="21"/>
                      <w:lang w:val="en-US"/>
                    </w:rPr>
                    <w:t>65</w:t>
                  </w:r>
                </w:p>
              </w:tc>
              <w:tc>
                <w:tcPr>
                  <w:tcW w:w="850" w:type="pct"/>
                  <w:vAlign w:val="center"/>
                </w:tcPr>
                <w:p>
                  <w:pPr>
                    <w:pStyle w:val="217"/>
                    <w:spacing w:before="110"/>
                    <w:ind w:left="170" w:right="161"/>
                    <w:rPr>
                      <w:rFonts w:ascii="Times New Roman" w:hAnsi="Times New Roman"/>
                      <w:sz w:val="21"/>
                      <w:lang w:val="en-US"/>
                    </w:rPr>
                  </w:pPr>
                  <w:r>
                    <w:rPr>
                      <w:rFonts w:hint="eastAsia" w:ascii="Times New Roman" w:hAnsi="Times New Roman"/>
                      <w:sz w:val="21"/>
                      <w:lang w:val="en-US"/>
                    </w:rPr>
                    <w:t>0</w:t>
                  </w:r>
                </w:p>
              </w:tc>
              <w:tc>
                <w:tcPr>
                  <w:tcW w:w="1285" w:type="pct"/>
                  <w:vMerge w:val="restart"/>
                  <w:vAlign w:val="center"/>
                </w:tcPr>
                <w:p>
                  <w:pPr>
                    <w:pStyle w:val="217"/>
                    <w:spacing w:before="176" w:line="343" w:lineRule="auto"/>
                    <w:ind w:right="123"/>
                    <w:rPr>
                      <w:rFonts w:ascii="Times New Roman" w:hAnsi="Times New Roman"/>
                      <w:sz w:val="21"/>
                    </w:rPr>
                  </w:pPr>
                  <w:r>
                    <w:rPr>
                      <w:rFonts w:ascii="Times New Roman" w:hAnsi="Times New Roman"/>
                      <w:sz w:val="21"/>
                    </w:rPr>
                    <w:t>收集后交由物资回收部门回收处理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390" w:type="pct"/>
                  <w:vAlign w:val="center"/>
                </w:tcPr>
                <w:p>
                  <w:pPr>
                    <w:pStyle w:val="217"/>
                    <w:spacing w:before="128"/>
                    <w:ind w:left="7"/>
                    <w:rPr>
                      <w:rFonts w:ascii="Times New Roman" w:hAnsi="Times New Roman"/>
                      <w:sz w:val="21"/>
                    </w:rPr>
                  </w:pPr>
                  <w:r>
                    <w:rPr>
                      <w:rFonts w:ascii="Times New Roman" w:hAnsi="Times New Roman"/>
                      <w:sz w:val="21"/>
                    </w:rPr>
                    <w:t>3</w:t>
                  </w:r>
                </w:p>
              </w:tc>
              <w:tc>
                <w:tcPr>
                  <w:tcW w:w="537" w:type="pct"/>
                  <w:vMerge w:val="continue"/>
                  <w:tcBorders>
                    <w:top w:val="nil"/>
                  </w:tcBorders>
                  <w:vAlign w:val="center"/>
                </w:tcPr>
                <w:p>
                  <w:pPr>
                    <w:jc w:val="center"/>
                    <w:rPr>
                      <w:szCs w:val="2"/>
                    </w:rPr>
                  </w:pPr>
                </w:p>
              </w:tc>
              <w:tc>
                <w:tcPr>
                  <w:tcW w:w="1093" w:type="pct"/>
                  <w:vAlign w:val="center"/>
                </w:tcPr>
                <w:p>
                  <w:pPr>
                    <w:pStyle w:val="217"/>
                    <w:spacing w:before="112" w:line="306" w:lineRule="exact"/>
                    <w:ind w:left="167" w:right="161"/>
                    <w:rPr>
                      <w:rFonts w:ascii="Times New Roman" w:hAnsi="Times New Roman"/>
                      <w:sz w:val="21"/>
                    </w:rPr>
                  </w:pPr>
                  <w:r>
                    <w:rPr>
                      <w:rFonts w:ascii="Times New Roman" w:hAnsi="Times New Roman"/>
                      <w:sz w:val="21"/>
                    </w:rPr>
                    <w:t>机加工粉尘</w:t>
                  </w:r>
                </w:p>
              </w:tc>
              <w:tc>
                <w:tcPr>
                  <w:tcW w:w="841" w:type="pct"/>
                  <w:tcBorders>
                    <w:top w:val="nil"/>
                  </w:tcBorders>
                  <w:vAlign w:val="center"/>
                </w:tcPr>
                <w:p>
                  <w:pPr>
                    <w:pStyle w:val="217"/>
                    <w:spacing w:before="112" w:line="306" w:lineRule="exact"/>
                    <w:ind w:left="167" w:right="161"/>
                    <w:rPr>
                      <w:rFonts w:ascii="Times New Roman" w:hAnsi="Times New Roman"/>
                      <w:sz w:val="21"/>
                      <w:lang w:val="en-US"/>
                    </w:rPr>
                  </w:pPr>
                  <w:r>
                    <w:rPr>
                      <w:rFonts w:hint="eastAsia" w:ascii="Times New Roman" w:hAnsi="Times New Roman"/>
                      <w:sz w:val="21"/>
                      <w:lang w:val="en-US"/>
                    </w:rPr>
                    <w:t>3.12</w:t>
                  </w:r>
                </w:p>
              </w:tc>
              <w:tc>
                <w:tcPr>
                  <w:tcW w:w="850" w:type="pct"/>
                  <w:tcBorders>
                    <w:top w:val="nil"/>
                  </w:tcBorders>
                  <w:vAlign w:val="center"/>
                </w:tcPr>
                <w:p>
                  <w:pPr>
                    <w:pStyle w:val="217"/>
                    <w:spacing w:before="112" w:line="306" w:lineRule="exact"/>
                    <w:ind w:left="167" w:right="161"/>
                    <w:rPr>
                      <w:rFonts w:ascii="Times New Roman" w:hAnsi="Times New Roman"/>
                      <w:sz w:val="21"/>
                      <w:lang w:val="en-US"/>
                    </w:rPr>
                  </w:pPr>
                  <w:r>
                    <w:rPr>
                      <w:rFonts w:hint="eastAsia" w:ascii="Times New Roman" w:hAnsi="Times New Roman"/>
                      <w:sz w:val="21"/>
                      <w:lang w:val="en-US"/>
                    </w:rPr>
                    <w:t>0</w:t>
                  </w:r>
                </w:p>
              </w:tc>
              <w:tc>
                <w:tcPr>
                  <w:tcW w:w="1285" w:type="pct"/>
                  <w:vMerge w:val="continue"/>
                  <w:tcBorders>
                    <w:top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390" w:type="pct"/>
                  <w:vAlign w:val="center"/>
                </w:tcPr>
                <w:p>
                  <w:pPr>
                    <w:pStyle w:val="217"/>
                    <w:spacing w:before="128"/>
                    <w:ind w:left="7"/>
                    <w:rPr>
                      <w:rFonts w:ascii="Times New Roman" w:hAnsi="Times New Roman"/>
                      <w:sz w:val="21"/>
                    </w:rPr>
                  </w:pPr>
                  <w:r>
                    <w:rPr>
                      <w:rFonts w:ascii="Times New Roman" w:hAnsi="Times New Roman"/>
                      <w:sz w:val="21"/>
                    </w:rPr>
                    <w:t>4</w:t>
                  </w:r>
                </w:p>
              </w:tc>
              <w:tc>
                <w:tcPr>
                  <w:tcW w:w="537" w:type="pct"/>
                  <w:vMerge w:val="continue"/>
                  <w:tcBorders>
                    <w:top w:val="nil"/>
                  </w:tcBorders>
                  <w:vAlign w:val="center"/>
                </w:tcPr>
                <w:p>
                  <w:pPr>
                    <w:jc w:val="center"/>
                    <w:rPr>
                      <w:szCs w:val="2"/>
                    </w:rPr>
                  </w:pPr>
                </w:p>
              </w:tc>
              <w:tc>
                <w:tcPr>
                  <w:tcW w:w="1093" w:type="pct"/>
                  <w:vAlign w:val="center"/>
                </w:tcPr>
                <w:p>
                  <w:pPr>
                    <w:pStyle w:val="217"/>
                    <w:spacing w:before="112"/>
                    <w:ind w:left="170" w:right="161"/>
                    <w:rPr>
                      <w:rFonts w:ascii="Times New Roman" w:hAnsi="Times New Roman"/>
                      <w:sz w:val="21"/>
                    </w:rPr>
                  </w:pPr>
                  <w:r>
                    <w:rPr>
                      <w:rFonts w:ascii="Times New Roman" w:hAnsi="Times New Roman"/>
                      <w:sz w:val="21"/>
                    </w:rPr>
                    <w:t>抛丸粉尘</w:t>
                  </w:r>
                </w:p>
              </w:tc>
              <w:tc>
                <w:tcPr>
                  <w:tcW w:w="841" w:type="pct"/>
                  <w:tcBorders>
                    <w:top w:val="nil"/>
                  </w:tcBorders>
                  <w:vAlign w:val="center"/>
                </w:tcPr>
                <w:p>
                  <w:pPr>
                    <w:pStyle w:val="217"/>
                    <w:spacing w:before="112"/>
                    <w:ind w:left="170" w:right="161"/>
                    <w:rPr>
                      <w:rFonts w:ascii="Times New Roman" w:hAnsi="Times New Roman"/>
                      <w:sz w:val="21"/>
                      <w:lang w:val="en-US"/>
                    </w:rPr>
                  </w:pPr>
                  <w:r>
                    <w:rPr>
                      <w:rFonts w:hint="eastAsia" w:ascii="Times New Roman" w:hAnsi="Times New Roman"/>
                      <w:sz w:val="21"/>
                      <w:lang w:val="en-US"/>
                    </w:rPr>
                    <w:t>49.57</w:t>
                  </w:r>
                </w:p>
              </w:tc>
              <w:tc>
                <w:tcPr>
                  <w:tcW w:w="850" w:type="pct"/>
                  <w:tcBorders>
                    <w:top w:val="nil"/>
                  </w:tcBorders>
                  <w:vAlign w:val="center"/>
                </w:tcPr>
                <w:p>
                  <w:pPr>
                    <w:pStyle w:val="217"/>
                    <w:spacing w:before="112"/>
                    <w:ind w:left="170" w:right="161"/>
                    <w:rPr>
                      <w:rFonts w:ascii="Times New Roman" w:hAnsi="Times New Roman"/>
                      <w:sz w:val="21"/>
                      <w:lang w:val="en-US"/>
                    </w:rPr>
                  </w:pPr>
                  <w:r>
                    <w:rPr>
                      <w:rFonts w:hint="eastAsia" w:ascii="Times New Roman" w:hAnsi="Times New Roman"/>
                      <w:sz w:val="21"/>
                      <w:lang w:val="en-US"/>
                    </w:rPr>
                    <w:t>0</w:t>
                  </w:r>
                </w:p>
              </w:tc>
              <w:tc>
                <w:tcPr>
                  <w:tcW w:w="1285" w:type="pct"/>
                  <w:vMerge w:val="continue"/>
                  <w:tcBorders>
                    <w:top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390" w:type="pct"/>
                  <w:vAlign w:val="center"/>
                </w:tcPr>
                <w:p>
                  <w:pPr>
                    <w:pStyle w:val="217"/>
                    <w:spacing w:before="128"/>
                    <w:ind w:left="7"/>
                    <w:rPr>
                      <w:rFonts w:ascii="Times New Roman" w:hAnsi="Times New Roman"/>
                      <w:sz w:val="21"/>
                    </w:rPr>
                  </w:pPr>
                  <w:r>
                    <w:rPr>
                      <w:rFonts w:ascii="Times New Roman" w:hAnsi="Times New Roman"/>
                      <w:sz w:val="21"/>
                    </w:rPr>
                    <w:t>5</w:t>
                  </w:r>
                </w:p>
              </w:tc>
              <w:tc>
                <w:tcPr>
                  <w:tcW w:w="537" w:type="pct"/>
                  <w:vMerge w:val="continue"/>
                  <w:tcBorders>
                    <w:top w:val="nil"/>
                  </w:tcBorders>
                  <w:vAlign w:val="center"/>
                </w:tcPr>
                <w:p>
                  <w:pPr>
                    <w:jc w:val="center"/>
                    <w:rPr>
                      <w:szCs w:val="2"/>
                    </w:rPr>
                  </w:pPr>
                </w:p>
              </w:tc>
              <w:tc>
                <w:tcPr>
                  <w:tcW w:w="1093" w:type="pct"/>
                  <w:vAlign w:val="center"/>
                </w:tcPr>
                <w:p>
                  <w:pPr>
                    <w:pStyle w:val="217"/>
                    <w:spacing w:before="112" w:line="306" w:lineRule="exact"/>
                    <w:ind w:left="170" w:right="161"/>
                    <w:rPr>
                      <w:rFonts w:ascii="Times New Roman" w:hAnsi="Times New Roman"/>
                      <w:sz w:val="21"/>
                    </w:rPr>
                  </w:pPr>
                  <w:r>
                    <w:rPr>
                      <w:rFonts w:ascii="Times New Roman" w:hAnsi="Times New Roman"/>
                      <w:sz w:val="21"/>
                    </w:rPr>
                    <w:t>焊接烟尘</w:t>
                  </w:r>
                </w:p>
              </w:tc>
              <w:tc>
                <w:tcPr>
                  <w:tcW w:w="841" w:type="pct"/>
                  <w:tcBorders>
                    <w:top w:val="nil"/>
                  </w:tcBorders>
                  <w:vAlign w:val="center"/>
                </w:tcPr>
                <w:p>
                  <w:pPr>
                    <w:pStyle w:val="217"/>
                    <w:spacing w:before="112" w:line="306" w:lineRule="exact"/>
                    <w:ind w:left="170" w:right="161"/>
                    <w:rPr>
                      <w:rFonts w:ascii="Times New Roman" w:hAnsi="Times New Roman"/>
                      <w:sz w:val="21"/>
                      <w:lang w:val="en-US"/>
                    </w:rPr>
                  </w:pPr>
                  <w:r>
                    <w:rPr>
                      <w:rFonts w:hint="eastAsia" w:ascii="Times New Roman" w:hAnsi="Times New Roman"/>
                      <w:sz w:val="21"/>
                      <w:lang w:val="en-US"/>
                    </w:rPr>
                    <w:t>0.038</w:t>
                  </w:r>
                </w:p>
              </w:tc>
              <w:tc>
                <w:tcPr>
                  <w:tcW w:w="850" w:type="pct"/>
                  <w:tcBorders>
                    <w:top w:val="nil"/>
                  </w:tcBorders>
                  <w:vAlign w:val="center"/>
                </w:tcPr>
                <w:p>
                  <w:pPr>
                    <w:pStyle w:val="217"/>
                    <w:spacing w:before="112" w:line="306" w:lineRule="exact"/>
                    <w:ind w:left="170" w:right="161"/>
                    <w:rPr>
                      <w:rFonts w:ascii="Times New Roman" w:hAnsi="Times New Roman"/>
                      <w:sz w:val="21"/>
                      <w:lang w:val="en-US"/>
                    </w:rPr>
                  </w:pPr>
                  <w:r>
                    <w:rPr>
                      <w:rFonts w:hint="eastAsia" w:ascii="Times New Roman" w:hAnsi="Times New Roman"/>
                      <w:sz w:val="21"/>
                      <w:lang w:val="en-US"/>
                    </w:rPr>
                    <w:t>0</w:t>
                  </w:r>
                </w:p>
              </w:tc>
              <w:tc>
                <w:tcPr>
                  <w:tcW w:w="1285" w:type="pct"/>
                  <w:vMerge w:val="continue"/>
                  <w:tcBorders>
                    <w:top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390" w:type="pct"/>
                  <w:vAlign w:val="center"/>
                </w:tcPr>
                <w:p>
                  <w:pPr>
                    <w:pStyle w:val="217"/>
                    <w:spacing w:before="128"/>
                    <w:ind w:left="7"/>
                    <w:rPr>
                      <w:rFonts w:ascii="Times New Roman" w:hAnsi="Times New Roman"/>
                      <w:sz w:val="21"/>
                    </w:rPr>
                  </w:pPr>
                  <w:r>
                    <w:rPr>
                      <w:rFonts w:ascii="Times New Roman" w:hAnsi="Times New Roman"/>
                      <w:sz w:val="21"/>
                    </w:rPr>
                    <w:t>6</w:t>
                  </w:r>
                </w:p>
              </w:tc>
              <w:tc>
                <w:tcPr>
                  <w:tcW w:w="537" w:type="pct"/>
                  <w:vMerge w:val="continue"/>
                  <w:tcBorders>
                    <w:top w:val="nil"/>
                  </w:tcBorders>
                  <w:vAlign w:val="center"/>
                </w:tcPr>
                <w:p>
                  <w:pPr>
                    <w:jc w:val="center"/>
                    <w:rPr>
                      <w:szCs w:val="2"/>
                    </w:rPr>
                  </w:pPr>
                </w:p>
              </w:tc>
              <w:tc>
                <w:tcPr>
                  <w:tcW w:w="1093" w:type="pct"/>
                  <w:vAlign w:val="center"/>
                </w:tcPr>
                <w:p>
                  <w:pPr>
                    <w:pStyle w:val="217"/>
                    <w:spacing w:before="112"/>
                    <w:ind w:left="170" w:right="161"/>
                    <w:rPr>
                      <w:rFonts w:ascii="Times New Roman" w:hAnsi="Times New Roman"/>
                      <w:sz w:val="21"/>
                    </w:rPr>
                  </w:pPr>
                  <w:r>
                    <w:rPr>
                      <w:rFonts w:ascii="Times New Roman" w:hAnsi="Times New Roman"/>
                      <w:sz w:val="21"/>
                    </w:rPr>
                    <w:t>焊渣</w:t>
                  </w:r>
                </w:p>
              </w:tc>
              <w:tc>
                <w:tcPr>
                  <w:tcW w:w="841" w:type="pct"/>
                  <w:tcBorders>
                    <w:top w:val="nil"/>
                  </w:tcBorders>
                  <w:vAlign w:val="center"/>
                </w:tcPr>
                <w:p>
                  <w:pPr>
                    <w:pStyle w:val="217"/>
                    <w:spacing w:before="112"/>
                    <w:ind w:left="170" w:right="161"/>
                    <w:rPr>
                      <w:rFonts w:ascii="Times New Roman" w:hAnsi="Times New Roman"/>
                      <w:sz w:val="21"/>
                      <w:lang w:val="en-US"/>
                    </w:rPr>
                  </w:pPr>
                  <w:r>
                    <w:rPr>
                      <w:rFonts w:hint="eastAsia" w:ascii="Times New Roman" w:hAnsi="Times New Roman"/>
                      <w:sz w:val="21"/>
                      <w:lang w:val="en-US"/>
                    </w:rPr>
                    <w:t>0.65</w:t>
                  </w:r>
                </w:p>
              </w:tc>
              <w:tc>
                <w:tcPr>
                  <w:tcW w:w="850" w:type="pct"/>
                  <w:tcBorders>
                    <w:top w:val="nil"/>
                  </w:tcBorders>
                  <w:vAlign w:val="center"/>
                </w:tcPr>
                <w:p>
                  <w:pPr>
                    <w:pStyle w:val="217"/>
                    <w:spacing w:before="112"/>
                    <w:ind w:left="170" w:right="161"/>
                    <w:rPr>
                      <w:rFonts w:ascii="Times New Roman" w:hAnsi="Times New Roman"/>
                      <w:sz w:val="21"/>
                      <w:lang w:val="en-US"/>
                    </w:rPr>
                  </w:pPr>
                  <w:r>
                    <w:rPr>
                      <w:rFonts w:hint="eastAsia" w:ascii="Times New Roman" w:hAnsi="Times New Roman"/>
                      <w:sz w:val="21"/>
                      <w:lang w:val="en-US"/>
                    </w:rPr>
                    <w:t>0</w:t>
                  </w:r>
                </w:p>
              </w:tc>
              <w:tc>
                <w:tcPr>
                  <w:tcW w:w="1285" w:type="pct"/>
                  <w:vMerge w:val="continue"/>
                  <w:tcBorders>
                    <w:top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390" w:type="pct"/>
                  <w:vAlign w:val="center"/>
                </w:tcPr>
                <w:p>
                  <w:pPr>
                    <w:pStyle w:val="217"/>
                    <w:spacing w:before="128"/>
                    <w:ind w:left="7"/>
                    <w:rPr>
                      <w:rFonts w:ascii="Times New Roman" w:hAnsi="Times New Roman"/>
                      <w:sz w:val="21"/>
                    </w:rPr>
                  </w:pPr>
                  <w:r>
                    <w:rPr>
                      <w:rFonts w:ascii="Times New Roman" w:hAnsi="Times New Roman"/>
                      <w:sz w:val="21"/>
                    </w:rPr>
                    <w:t>7</w:t>
                  </w:r>
                </w:p>
              </w:tc>
              <w:tc>
                <w:tcPr>
                  <w:tcW w:w="537" w:type="pct"/>
                  <w:vMerge w:val="restart"/>
                  <w:vAlign w:val="center"/>
                </w:tcPr>
                <w:p>
                  <w:pPr>
                    <w:pStyle w:val="217"/>
                    <w:rPr>
                      <w:rFonts w:ascii="Times New Roman" w:hAnsi="Times New Roman"/>
                      <w:sz w:val="21"/>
                    </w:rPr>
                  </w:pPr>
                  <w:r>
                    <w:rPr>
                      <w:rFonts w:ascii="Times New Roman" w:hAnsi="Times New Roman"/>
                      <w:sz w:val="21"/>
                    </w:rPr>
                    <w:t>危险固废</w:t>
                  </w:r>
                </w:p>
              </w:tc>
              <w:tc>
                <w:tcPr>
                  <w:tcW w:w="1093" w:type="pct"/>
                  <w:vAlign w:val="center"/>
                </w:tcPr>
                <w:p>
                  <w:pPr>
                    <w:pStyle w:val="217"/>
                    <w:spacing w:before="112" w:line="306" w:lineRule="exact"/>
                    <w:ind w:left="170" w:right="161"/>
                    <w:rPr>
                      <w:rFonts w:ascii="Times New Roman" w:hAnsi="Times New Roman"/>
                      <w:sz w:val="21"/>
                    </w:rPr>
                  </w:pPr>
                  <w:r>
                    <w:rPr>
                      <w:rFonts w:ascii="Times New Roman" w:hAnsi="Times New Roman"/>
                      <w:sz w:val="21"/>
                    </w:rPr>
                    <w:t>废机油</w:t>
                  </w:r>
                </w:p>
              </w:tc>
              <w:tc>
                <w:tcPr>
                  <w:tcW w:w="841" w:type="pct"/>
                  <w:vAlign w:val="center"/>
                </w:tcPr>
                <w:p>
                  <w:pPr>
                    <w:pStyle w:val="217"/>
                    <w:spacing w:before="112" w:line="306" w:lineRule="exact"/>
                    <w:ind w:left="170" w:right="161"/>
                    <w:rPr>
                      <w:rFonts w:ascii="Times New Roman" w:hAnsi="Times New Roman"/>
                      <w:sz w:val="21"/>
                      <w:lang w:val="en-US"/>
                    </w:rPr>
                  </w:pPr>
                  <w:r>
                    <w:rPr>
                      <w:rFonts w:hint="eastAsia" w:ascii="Times New Roman" w:hAnsi="Times New Roman"/>
                      <w:sz w:val="21"/>
                      <w:lang w:val="en-US"/>
                    </w:rPr>
                    <w:t>0.33</w:t>
                  </w:r>
                </w:p>
              </w:tc>
              <w:tc>
                <w:tcPr>
                  <w:tcW w:w="850" w:type="pct"/>
                  <w:vAlign w:val="center"/>
                </w:tcPr>
                <w:p>
                  <w:pPr>
                    <w:pStyle w:val="217"/>
                    <w:spacing w:before="112" w:line="306" w:lineRule="exact"/>
                    <w:ind w:left="170" w:right="161"/>
                    <w:rPr>
                      <w:rFonts w:ascii="Times New Roman" w:hAnsi="Times New Roman"/>
                      <w:sz w:val="21"/>
                      <w:lang w:val="en-US"/>
                    </w:rPr>
                  </w:pPr>
                  <w:r>
                    <w:rPr>
                      <w:rFonts w:hint="eastAsia" w:ascii="Times New Roman" w:hAnsi="Times New Roman"/>
                      <w:sz w:val="21"/>
                      <w:lang w:val="en-US"/>
                    </w:rPr>
                    <w:t>0</w:t>
                  </w:r>
                </w:p>
              </w:tc>
              <w:tc>
                <w:tcPr>
                  <w:tcW w:w="1285" w:type="pct"/>
                  <w:vMerge w:val="restart"/>
                  <w:vAlign w:val="center"/>
                </w:tcPr>
                <w:p>
                  <w:pPr>
                    <w:pStyle w:val="217"/>
                    <w:spacing w:line="343" w:lineRule="auto"/>
                    <w:ind w:left="137" w:right="123"/>
                    <w:rPr>
                      <w:rFonts w:ascii="Times New Roman" w:hAnsi="Times New Roman"/>
                      <w:sz w:val="21"/>
                    </w:rPr>
                  </w:pPr>
                  <w:r>
                    <w:rPr>
                      <w:rFonts w:ascii="Times New Roman" w:hAnsi="Times New Roman"/>
                      <w:sz w:val="21"/>
                    </w:rPr>
                    <w:t>收集暂存，定期交由有资质的单位处理（芜湖致源环保科技有限公司）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390" w:type="pct"/>
                  <w:vAlign w:val="center"/>
                </w:tcPr>
                <w:p>
                  <w:pPr>
                    <w:pStyle w:val="217"/>
                    <w:spacing w:before="128"/>
                    <w:ind w:left="7"/>
                    <w:rPr>
                      <w:rFonts w:ascii="Times New Roman" w:hAnsi="Times New Roman"/>
                      <w:sz w:val="21"/>
                    </w:rPr>
                  </w:pPr>
                  <w:r>
                    <w:rPr>
                      <w:rFonts w:ascii="Times New Roman" w:hAnsi="Times New Roman"/>
                      <w:sz w:val="21"/>
                    </w:rPr>
                    <w:t>8</w:t>
                  </w:r>
                </w:p>
              </w:tc>
              <w:tc>
                <w:tcPr>
                  <w:tcW w:w="537" w:type="pct"/>
                  <w:vMerge w:val="continue"/>
                  <w:tcBorders>
                    <w:top w:val="nil"/>
                  </w:tcBorders>
                  <w:vAlign w:val="center"/>
                </w:tcPr>
                <w:p>
                  <w:pPr>
                    <w:jc w:val="center"/>
                    <w:rPr>
                      <w:szCs w:val="2"/>
                    </w:rPr>
                  </w:pPr>
                </w:p>
              </w:tc>
              <w:tc>
                <w:tcPr>
                  <w:tcW w:w="1093" w:type="pct"/>
                  <w:vAlign w:val="center"/>
                </w:tcPr>
                <w:p>
                  <w:pPr>
                    <w:pStyle w:val="217"/>
                    <w:spacing w:before="112"/>
                    <w:ind w:left="170" w:right="161"/>
                    <w:rPr>
                      <w:rFonts w:ascii="Times New Roman" w:hAnsi="Times New Roman"/>
                      <w:sz w:val="21"/>
                    </w:rPr>
                  </w:pPr>
                  <w:r>
                    <w:rPr>
                      <w:rFonts w:ascii="Times New Roman" w:hAnsi="Times New Roman"/>
                      <w:sz w:val="21"/>
                    </w:rPr>
                    <w:t>废乳化液</w:t>
                  </w:r>
                </w:p>
              </w:tc>
              <w:tc>
                <w:tcPr>
                  <w:tcW w:w="841" w:type="pct"/>
                  <w:tcBorders>
                    <w:top w:val="nil"/>
                  </w:tcBorders>
                  <w:vAlign w:val="center"/>
                </w:tcPr>
                <w:p>
                  <w:pPr>
                    <w:pStyle w:val="217"/>
                    <w:spacing w:before="112"/>
                    <w:ind w:left="170" w:right="161"/>
                    <w:rPr>
                      <w:rFonts w:ascii="Times New Roman" w:hAnsi="Times New Roman"/>
                      <w:sz w:val="21"/>
                      <w:lang w:val="en-US"/>
                    </w:rPr>
                  </w:pPr>
                  <w:r>
                    <w:rPr>
                      <w:rFonts w:hint="eastAsia" w:ascii="Times New Roman" w:hAnsi="Times New Roman"/>
                      <w:sz w:val="21"/>
                      <w:lang w:val="en-US"/>
                    </w:rPr>
                    <w:t>0.33</w:t>
                  </w:r>
                </w:p>
              </w:tc>
              <w:tc>
                <w:tcPr>
                  <w:tcW w:w="850" w:type="pct"/>
                  <w:tcBorders>
                    <w:top w:val="nil"/>
                  </w:tcBorders>
                  <w:vAlign w:val="center"/>
                </w:tcPr>
                <w:p>
                  <w:pPr>
                    <w:pStyle w:val="217"/>
                    <w:spacing w:before="112"/>
                    <w:ind w:left="170" w:right="161"/>
                    <w:rPr>
                      <w:rFonts w:ascii="Times New Roman" w:hAnsi="Times New Roman"/>
                      <w:sz w:val="21"/>
                      <w:lang w:val="en-US"/>
                    </w:rPr>
                  </w:pPr>
                  <w:r>
                    <w:rPr>
                      <w:rFonts w:hint="eastAsia" w:ascii="Times New Roman" w:hAnsi="Times New Roman"/>
                      <w:sz w:val="21"/>
                      <w:lang w:val="en-US"/>
                    </w:rPr>
                    <w:t>0</w:t>
                  </w:r>
                </w:p>
              </w:tc>
              <w:tc>
                <w:tcPr>
                  <w:tcW w:w="1285" w:type="pct"/>
                  <w:vMerge w:val="continue"/>
                  <w:tcBorders>
                    <w:top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390" w:type="pct"/>
                  <w:vAlign w:val="center"/>
                </w:tcPr>
                <w:p>
                  <w:pPr>
                    <w:pStyle w:val="217"/>
                    <w:spacing w:before="128"/>
                    <w:ind w:left="7"/>
                    <w:rPr>
                      <w:rFonts w:ascii="Times New Roman" w:hAnsi="Times New Roman"/>
                      <w:sz w:val="21"/>
                    </w:rPr>
                  </w:pPr>
                  <w:r>
                    <w:rPr>
                      <w:rFonts w:ascii="Times New Roman" w:hAnsi="Times New Roman"/>
                      <w:sz w:val="21"/>
                    </w:rPr>
                    <w:t>9</w:t>
                  </w:r>
                </w:p>
              </w:tc>
              <w:tc>
                <w:tcPr>
                  <w:tcW w:w="537" w:type="pct"/>
                  <w:vMerge w:val="continue"/>
                  <w:tcBorders>
                    <w:top w:val="nil"/>
                  </w:tcBorders>
                  <w:vAlign w:val="center"/>
                </w:tcPr>
                <w:p>
                  <w:pPr>
                    <w:jc w:val="center"/>
                    <w:rPr>
                      <w:szCs w:val="2"/>
                    </w:rPr>
                  </w:pPr>
                </w:p>
              </w:tc>
              <w:tc>
                <w:tcPr>
                  <w:tcW w:w="1093" w:type="pct"/>
                  <w:vAlign w:val="center"/>
                </w:tcPr>
                <w:p>
                  <w:pPr>
                    <w:pStyle w:val="217"/>
                    <w:spacing w:before="112" w:line="306" w:lineRule="exact"/>
                    <w:ind w:left="167" w:right="161"/>
                    <w:rPr>
                      <w:rFonts w:ascii="Times New Roman" w:hAnsi="Times New Roman"/>
                      <w:sz w:val="21"/>
                    </w:rPr>
                  </w:pPr>
                  <w:r>
                    <w:rPr>
                      <w:rFonts w:ascii="Times New Roman" w:hAnsi="Times New Roman"/>
                      <w:sz w:val="21"/>
                    </w:rPr>
                    <w:t>废活性碳</w:t>
                  </w:r>
                </w:p>
              </w:tc>
              <w:tc>
                <w:tcPr>
                  <w:tcW w:w="841" w:type="pct"/>
                  <w:tcBorders>
                    <w:top w:val="nil"/>
                  </w:tcBorders>
                  <w:vAlign w:val="center"/>
                </w:tcPr>
                <w:p>
                  <w:pPr>
                    <w:pStyle w:val="217"/>
                    <w:spacing w:before="112" w:line="306" w:lineRule="exact"/>
                    <w:ind w:left="167" w:right="161"/>
                    <w:rPr>
                      <w:rFonts w:ascii="Times New Roman" w:hAnsi="Times New Roman"/>
                      <w:sz w:val="21"/>
                      <w:lang w:val="en-US"/>
                    </w:rPr>
                  </w:pPr>
                  <w:r>
                    <w:rPr>
                      <w:rFonts w:hint="eastAsia" w:ascii="Times New Roman" w:hAnsi="Times New Roman"/>
                      <w:sz w:val="21"/>
                      <w:lang w:val="en-US"/>
                    </w:rPr>
                    <w:t>3.04</w:t>
                  </w:r>
                </w:p>
              </w:tc>
              <w:tc>
                <w:tcPr>
                  <w:tcW w:w="850" w:type="pct"/>
                  <w:tcBorders>
                    <w:top w:val="nil"/>
                  </w:tcBorders>
                  <w:vAlign w:val="center"/>
                </w:tcPr>
                <w:p>
                  <w:pPr>
                    <w:pStyle w:val="217"/>
                    <w:spacing w:before="112" w:line="306" w:lineRule="exact"/>
                    <w:ind w:left="167" w:right="161"/>
                    <w:rPr>
                      <w:rFonts w:ascii="Times New Roman" w:hAnsi="Times New Roman"/>
                      <w:sz w:val="21"/>
                      <w:lang w:val="en-US"/>
                    </w:rPr>
                  </w:pPr>
                  <w:r>
                    <w:rPr>
                      <w:rFonts w:hint="eastAsia" w:ascii="Times New Roman" w:hAnsi="Times New Roman"/>
                      <w:sz w:val="21"/>
                      <w:lang w:val="en-US"/>
                    </w:rPr>
                    <w:t>0</w:t>
                  </w:r>
                </w:p>
              </w:tc>
              <w:tc>
                <w:tcPr>
                  <w:tcW w:w="1285" w:type="pct"/>
                  <w:vMerge w:val="continue"/>
                  <w:tcBorders>
                    <w:top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390" w:type="pct"/>
                  <w:vAlign w:val="center"/>
                </w:tcPr>
                <w:p>
                  <w:pPr>
                    <w:pStyle w:val="217"/>
                    <w:spacing w:before="128"/>
                    <w:ind w:left="90" w:right="83"/>
                    <w:rPr>
                      <w:rFonts w:ascii="Times New Roman" w:hAnsi="Times New Roman"/>
                      <w:sz w:val="21"/>
                    </w:rPr>
                  </w:pPr>
                  <w:r>
                    <w:rPr>
                      <w:rFonts w:ascii="Times New Roman" w:hAnsi="Times New Roman"/>
                      <w:sz w:val="21"/>
                    </w:rPr>
                    <w:t>10</w:t>
                  </w:r>
                </w:p>
              </w:tc>
              <w:tc>
                <w:tcPr>
                  <w:tcW w:w="537" w:type="pct"/>
                  <w:vMerge w:val="continue"/>
                  <w:tcBorders>
                    <w:top w:val="nil"/>
                  </w:tcBorders>
                  <w:vAlign w:val="center"/>
                </w:tcPr>
                <w:p>
                  <w:pPr>
                    <w:jc w:val="center"/>
                    <w:rPr>
                      <w:szCs w:val="2"/>
                    </w:rPr>
                  </w:pPr>
                </w:p>
              </w:tc>
              <w:tc>
                <w:tcPr>
                  <w:tcW w:w="1093" w:type="pct"/>
                  <w:vAlign w:val="center"/>
                </w:tcPr>
                <w:p>
                  <w:pPr>
                    <w:pStyle w:val="217"/>
                    <w:spacing w:before="112"/>
                    <w:ind w:left="170" w:right="161"/>
                    <w:rPr>
                      <w:rFonts w:ascii="Times New Roman" w:hAnsi="Times New Roman"/>
                      <w:sz w:val="21"/>
                    </w:rPr>
                  </w:pPr>
                  <w:r>
                    <w:rPr>
                      <w:rFonts w:ascii="Times New Roman" w:hAnsi="Times New Roman"/>
                      <w:sz w:val="21"/>
                    </w:rPr>
                    <w:t>废过滤棉</w:t>
                  </w:r>
                </w:p>
              </w:tc>
              <w:tc>
                <w:tcPr>
                  <w:tcW w:w="841" w:type="pct"/>
                  <w:tcBorders>
                    <w:top w:val="nil"/>
                  </w:tcBorders>
                  <w:vAlign w:val="center"/>
                </w:tcPr>
                <w:p>
                  <w:pPr>
                    <w:pStyle w:val="217"/>
                    <w:spacing w:before="112"/>
                    <w:ind w:left="170" w:right="161"/>
                    <w:rPr>
                      <w:rFonts w:ascii="Times New Roman" w:hAnsi="Times New Roman"/>
                      <w:sz w:val="21"/>
                      <w:lang w:val="en-US"/>
                    </w:rPr>
                  </w:pPr>
                  <w:r>
                    <w:rPr>
                      <w:rFonts w:hint="eastAsia" w:ascii="Times New Roman" w:hAnsi="Times New Roman"/>
                      <w:sz w:val="21"/>
                      <w:lang w:val="en-US"/>
                    </w:rPr>
                    <w:t>21.19</w:t>
                  </w:r>
                </w:p>
              </w:tc>
              <w:tc>
                <w:tcPr>
                  <w:tcW w:w="850" w:type="pct"/>
                  <w:tcBorders>
                    <w:top w:val="nil"/>
                  </w:tcBorders>
                  <w:vAlign w:val="center"/>
                </w:tcPr>
                <w:p>
                  <w:pPr>
                    <w:pStyle w:val="217"/>
                    <w:spacing w:before="112"/>
                    <w:ind w:left="170" w:right="161"/>
                    <w:rPr>
                      <w:rFonts w:ascii="Times New Roman" w:hAnsi="Times New Roman"/>
                      <w:sz w:val="21"/>
                      <w:lang w:val="en-US"/>
                    </w:rPr>
                  </w:pPr>
                  <w:r>
                    <w:rPr>
                      <w:rFonts w:hint="eastAsia" w:ascii="Times New Roman" w:hAnsi="Times New Roman"/>
                      <w:sz w:val="21"/>
                      <w:lang w:val="en-US"/>
                    </w:rPr>
                    <w:t>0</w:t>
                  </w:r>
                </w:p>
              </w:tc>
              <w:tc>
                <w:tcPr>
                  <w:tcW w:w="1285" w:type="pct"/>
                  <w:vMerge w:val="continue"/>
                  <w:tcBorders>
                    <w:top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390" w:type="pct"/>
                  <w:vAlign w:val="center"/>
                </w:tcPr>
                <w:p>
                  <w:pPr>
                    <w:pStyle w:val="217"/>
                    <w:spacing w:before="128"/>
                    <w:ind w:left="90" w:right="83"/>
                    <w:rPr>
                      <w:rFonts w:ascii="Times New Roman" w:hAnsi="Times New Roman"/>
                      <w:sz w:val="21"/>
                      <w:lang w:val="en-US"/>
                    </w:rPr>
                  </w:pPr>
                  <w:r>
                    <w:rPr>
                      <w:rFonts w:hint="eastAsia" w:ascii="Times New Roman" w:hAnsi="Times New Roman"/>
                      <w:sz w:val="21"/>
                      <w:lang w:val="en-US"/>
                    </w:rPr>
                    <w:t>11</w:t>
                  </w:r>
                </w:p>
              </w:tc>
              <w:tc>
                <w:tcPr>
                  <w:tcW w:w="537" w:type="pct"/>
                  <w:vMerge w:val="continue"/>
                  <w:tcBorders>
                    <w:top w:val="nil"/>
                  </w:tcBorders>
                  <w:vAlign w:val="center"/>
                </w:tcPr>
                <w:p>
                  <w:pPr>
                    <w:jc w:val="center"/>
                    <w:rPr>
                      <w:szCs w:val="2"/>
                    </w:rPr>
                  </w:pPr>
                </w:p>
              </w:tc>
              <w:tc>
                <w:tcPr>
                  <w:tcW w:w="1093" w:type="pct"/>
                  <w:vAlign w:val="center"/>
                </w:tcPr>
                <w:p>
                  <w:pPr>
                    <w:pStyle w:val="217"/>
                    <w:spacing w:before="112"/>
                    <w:ind w:left="170" w:right="161"/>
                    <w:rPr>
                      <w:rFonts w:ascii="Times New Roman" w:hAnsi="Times New Roman"/>
                      <w:sz w:val="21"/>
                      <w:lang w:val="en-US"/>
                    </w:rPr>
                  </w:pPr>
                  <w:r>
                    <w:rPr>
                      <w:rFonts w:hint="eastAsia" w:ascii="Times New Roman" w:hAnsi="Times New Roman"/>
                      <w:sz w:val="21"/>
                      <w:lang w:val="en-US"/>
                    </w:rPr>
                    <w:t>废漆桶</w:t>
                  </w:r>
                </w:p>
              </w:tc>
              <w:tc>
                <w:tcPr>
                  <w:tcW w:w="841" w:type="pct"/>
                  <w:tcBorders>
                    <w:top w:val="nil"/>
                  </w:tcBorders>
                  <w:vAlign w:val="center"/>
                </w:tcPr>
                <w:p>
                  <w:pPr>
                    <w:pStyle w:val="217"/>
                    <w:spacing w:before="112"/>
                    <w:ind w:left="170" w:right="161"/>
                    <w:rPr>
                      <w:rFonts w:ascii="Times New Roman" w:hAnsi="Times New Roman"/>
                      <w:sz w:val="21"/>
                      <w:lang w:val="en-US"/>
                    </w:rPr>
                  </w:pPr>
                  <w:r>
                    <w:rPr>
                      <w:rFonts w:hint="eastAsia" w:ascii="Times New Roman" w:hAnsi="Times New Roman"/>
                      <w:sz w:val="21"/>
                      <w:lang w:val="en-US"/>
                    </w:rPr>
                    <w:t>6.0</w:t>
                  </w:r>
                </w:p>
              </w:tc>
              <w:tc>
                <w:tcPr>
                  <w:tcW w:w="850" w:type="pct"/>
                  <w:tcBorders>
                    <w:top w:val="nil"/>
                  </w:tcBorders>
                  <w:vAlign w:val="center"/>
                </w:tcPr>
                <w:p>
                  <w:pPr>
                    <w:pStyle w:val="217"/>
                    <w:spacing w:before="112"/>
                    <w:ind w:left="170" w:right="161"/>
                    <w:rPr>
                      <w:rFonts w:ascii="Times New Roman" w:hAnsi="Times New Roman"/>
                      <w:sz w:val="21"/>
                      <w:lang w:val="en-US"/>
                    </w:rPr>
                  </w:pPr>
                  <w:r>
                    <w:rPr>
                      <w:rFonts w:hint="eastAsia" w:ascii="Times New Roman" w:hAnsi="Times New Roman"/>
                      <w:sz w:val="21"/>
                      <w:lang w:val="en-US"/>
                    </w:rPr>
                    <w:t>0</w:t>
                  </w:r>
                </w:p>
              </w:tc>
              <w:tc>
                <w:tcPr>
                  <w:tcW w:w="1285" w:type="pct"/>
                  <w:vMerge w:val="continue"/>
                  <w:tcBorders>
                    <w:top w:val="nil"/>
                  </w:tcBorders>
                  <w:vAlign w:val="center"/>
                </w:tcPr>
                <w:p>
                  <w:pPr>
                    <w:jc w:val="center"/>
                    <w:rPr>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390" w:type="pct"/>
                  <w:vAlign w:val="center"/>
                </w:tcPr>
                <w:p>
                  <w:pPr>
                    <w:pStyle w:val="217"/>
                    <w:spacing w:before="128"/>
                    <w:ind w:left="90" w:right="83"/>
                    <w:rPr>
                      <w:rFonts w:ascii="Times New Roman" w:hAnsi="Times New Roman"/>
                      <w:sz w:val="21"/>
                    </w:rPr>
                  </w:pPr>
                  <w:r>
                    <w:rPr>
                      <w:rFonts w:ascii="Times New Roman" w:hAnsi="Times New Roman"/>
                      <w:sz w:val="21"/>
                    </w:rPr>
                    <w:t>1</w:t>
                  </w:r>
                  <w:r>
                    <w:rPr>
                      <w:rFonts w:hint="eastAsia" w:ascii="Times New Roman" w:hAnsi="Times New Roman"/>
                      <w:sz w:val="21"/>
                      <w:lang w:val="en-US"/>
                    </w:rPr>
                    <w:t>2</w:t>
                  </w:r>
                </w:p>
              </w:tc>
              <w:tc>
                <w:tcPr>
                  <w:tcW w:w="537" w:type="pct"/>
                  <w:vMerge w:val="continue"/>
                  <w:tcBorders>
                    <w:top w:val="nil"/>
                  </w:tcBorders>
                  <w:vAlign w:val="center"/>
                </w:tcPr>
                <w:p>
                  <w:pPr>
                    <w:jc w:val="center"/>
                    <w:rPr>
                      <w:szCs w:val="2"/>
                    </w:rPr>
                  </w:pPr>
                </w:p>
              </w:tc>
              <w:tc>
                <w:tcPr>
                  <w:tcW w:w="1093" w:type="pct"/>
                  <w:vAlign w:val="center"/>
                </w:tcPr>
                <w:p>
                  <w:pPr>
                    <w:pStyle w:val="217"/>
                    <w:spacing w:before="112" w:line="306" w:lineRule="exact"/>
                    <w:ind w:left="170" w:right="161"/>
                    <w:rPr>
                      <w:rFonts w:ascii="Times New Roman" w:hAnsi="Times New Roman"/>
                      <w:sz w:val="21"/>
                    </w:rPr>
                  </w:pPr>
                  <w:r>
                    <w:rPr>
                      <w:rFonts w:ascii="Times New Roman" w:hAnsi="Times New Roman"/>
                      <w:sz w:val="21"/>
                    </w:rPr>
                    <w:t>废抹布和废手套</w:t>
                  </w:r>
                </w:p>
              </w:tc>
              <w:tc>
                <w:tcPr>
                  <w:tcW w:w="841" w:type="pct"/>
                  <w:tcBorders>
                    <w:top w:val="nil"/>
                  </w:tcBorders>
                  <w:vAlign w:val="center"/>
                </w:tcPr>
                <w:p>
                  <w:pPr>
                    <w:pStyle w:val="217"/>
                    <w:spacing w:before="112" w:line="306" w:lineRule="exact"/>
                    <w:ind w:left="170" w:right="161"/>
                    <w:rPr>
                      <w:rFonts w:ascii="Times New Roman" w:hAnsi="Times New Roman"/>
                      <w:sz w:val="21"/>
                      <w:lang w:val="en-US"/>
                    </w:rPr>
                  </w:pPr>
                  <w:r>
                    <w:rPr>
                      <w:rFonts w:hint="eastAsia" w:ascii="Times New Roman" w:hAnsi="Times New Roman"/>
                      <w:sz w:val="21"/>
                      <w:lang w:val="en-US"/>
                    </w:rPr>
                    <w:t>0.05</w:t>
                  </w:r>
                </w:p>
              </w:tc>
              <w:tc>
                <w:tcPr>
                  <w:tcW w:w="850" w:type="pct"/>
                  <w:tcBorders>
                    <w:top w:val="nil"/>
                  </w:tcBorders>
                  <w:vAlign w:val="center"/>
                </w:tcPr>
                <w:p>
                  <w:pPr>
                    <w:pStyle w:val="217"/>
                    <w:spacing w:before="112" w:line="306" w:lineRule="exact"/>
                    <w:ind w:left="170" w:right="161"/>
                    <w:rPr>
                      <w:rFonts w:ascii="Times New Roman" w:hAnsi="Times New Roman"/>
                      <w:sz w:val="21"/>
                      <w:lang w:val="en-US"/>
                    </w:rPr>
                  </w:pPr>
                  <w:r>
                    <w:rPr>
                      <w:rFonts w:hint="eastAsia" w:ascii="Times New Roman" w:hAnsi="Times New Roman"/>
                      <w:sz w:val="21"/>
                      <w:lang w:val="en-US"/>
                    </w:rPr>
                    <w:t>0</w:t>
                  </w:r>
                </w:p>
              </w:tc>
              <w:tc>
                <w:tcPr>
                  <w:tcW w:w="1285" w:type="pct"/>
                  <w:vMerge w:val="continue"/>
                  <w:tcBorders>
                    <w:top w:val="nil"/>
                  </w:tcBorders>
                  <w:vAlign w:val="center"/>
                </w:tcPr>
                <w:p>
                  <w:pPr>
                    <w:jc w:val="center"/>
                    <w:rPr>
                      <w:szCs w:val="2"/>
                    </w:rPr>
                  </w:pPr>
                </w:p>
              </w:tc>
            </w:tr>
          </w:tbl>
          <w:p>
            <w:pPr>
              <w:spacing w:line="360" w:lineRule="auto"/>
              <w:ind w:firstLine="482" w:firstLineChars="200"/>
              <w:rPr>
                <w:b/>
                <w:bCs/>
                <w:kern w:val="0"/>
                <w:sz w:val="24"/>
              </w:rPr>
            </w:pPr>
            <w:r>
              <w:rPr>
                <w:rFonts w:hint="eastAsia"/>
                <w:b/>
                <w:bCs/>
                <w:kern w:val="0"/>
                <w:sz w:val="24"/>
              </w:rPr>
              <w:t>3</w:t>
            </w:r>
            <w:r>
              <w:rPr>
                <w:b/>
                <w:bCs/>
                <w:kern w:val="0"/>
                <w:sz w:val="24"/>
              </w:rPr>
              <w:t>、现有工程存在的主要环境问题及整改措施</w:t>
            </w:r>
          </w:p>
          <w:p>
            <w:pPr>
              <w:spacing w:line="360" w:lineRule="auto"/>
              <w:ind w:firstLine="480" w:firstLineChars="200"/>
              <w:rPr>
                <w:b/>
                <w:sz w:val="24"/>
              </w:rPr>
            </w:pPr>
            <w:r>
              <w:rPr>
                <w:rFonts w:hint="eastAsia"/>
                <w:kern w:val="0"/>
                <w:sz w:val="24"/>
                <w:lang w:val="zh-CN"/>
              </w:rPr>
              <w:t>经过现场勘查及三同时验收监测结果，现有项目污染防治措施建成运行，废气、废水及噪声都实现达标排放要求。</w:t>
            </w:r>
          </w:p>
        </w:tc>
      </w:tr>
    </w:tbl>
    <w:p>
      <w:pPr>
        <w:pStyle w:val="53"/>
        <w:jc w:val="center"/>
        <w:outlineLvl w:val="0"/>
        <w:rPr>
          <w:rFonts w:ascii="Times New Roman" w:hAnsi="Times New Roman"/>
          <w:b/>
          <w:snapToGrid w:val="0"/>
          <w:color w:val="000000"/>
          <w:sz w:val="30"/>
          <w:szCs w:val="30"/>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pPr>
        <w:pStyle w:val="53"/>
        <w:jc w:val="center"/>
        <w:outlineLvl w:val="0"/>
        <w:rPr>
          <w:rFonts w:ascii="Times New Roman" w:hAnsi="Times New Roman"/>
          <w:b/>
          <w:snapToGrid w:val="0"/>
          <w:color w:val="000000"/>
          <w:sz w:val="30"/>
          <w:szCs w:val="30"/>
        </w:rPr>
      </w:pPr>
      <w:r>
        <w:rPr>
          <w:rFonts w:hint="eastAsia" w:ascii="Times New Roman" w:hAnsi="Times New Roman"/>
          <w:b/>
          <w:snapToGrid w:val="0"/>
          <w:color w:val="000000"/>
          <w:sz w:val="30"/>
          <w:szCs w:val="30"/>
        </w:rPr>
        <w:t>三、区域环境质量现状、环境保护目标及评价标准</w:t>
      </w: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03"/>
        <w:gridCol w:w="855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503"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区域</w:t>
            </w:r>
          </w:p>
          <w:p>
            <w:pPr>
              <w:autoSpaceDE w:val="0"/>
              <w:autoSpaceDN w:val="0"/>
              <w:adjustRightInd w:val="0"/>
              <w:snapToGrid w:val="0"/>
              <w:jc w:val="center"/>
              <w:rPr>
                <w:rFonts w:cs="宋体"/>
                <w:color w:val="000000"/>
                <w:kern w:val="0"/>
                <w:sz w:val="24"/>
              </w:rPr>
            </w:pPr>
            <w:r>
              <w:rPr>
                <w:rFonts w:hint="eastAsia" w:cs="宋体"/>
                <w:color w:val="000000"/>
                <w:kern w:val="0"/>
                <w:sz w:val="24"/>
              </w:rPr>
              <w:t>环境</w:t>
            </w:r>
          </w:p>
          <w:p>
            <w:pPr>
              <w:autoSpaceDE w:val="0"/>
              <w:autoSpaceDN w:val="0"/>
              <w:adjustRightInd w:val="0"/>
              <w:snapToGrid w:val="0"/>
              <w:jc w:val="center"/>
              <w:rPr>
                <w:rFonts w:cs="宋体"/>
                <w:color w:val="000000"/>
                <w:kern w:val="0"/>
                <w:sz w:val="24"/>
              </w:rPr>
            </w:pPr>
            <w:r>
              <w:rPr>
                <w:rFonts w:hint="eastAsia" w:cs="宋体"/>
                <w:color w:val="000000"/>
                <w:kern w:val="0"/>
                <w:sz w:val="24"/>
              </w:rPr>
              <w:t>质量</w:t>
            </w:r>
          </w:p>
          <w:p>
            <w:pPr>
              <w:autoSpaceDE w:val="0"/>
              <w:autoSpaceDN w:val="0"/>
              <w:adjustRightInd w:val="0"/>
              <w:snapToGrid w:val="0"/>
              <w:jc w:val="center"/>
              <w:rPr>
                <w:rFonts w:cs="宋体"/>
                <w:color w:val="000000"/>
                <w:kern w:val="0"/>
                <w:sz w:val="24"/>
              </w:rPr>
            </w:pPr>
            <w:r>
              <w:rPr>
                <w:rFonts w:hint="eastAsia" w:cs="宋体"/>
                <w:color w:val="000000"/>
                <w:kern w:val="0"/>
                <w:sz w:val="24"/>
              </w:rPr>
              <w:t>现状</w:t>
            </w:r>
          </w:p>
        </w:tc>
        <w:tc>
          <w:tcPr>
            <w:tcW w:w="8558" w:type="dxa"/>
            <w:vAlign w:val="center"/>
          </w:tcPr>
          <w:p>
            <w:pPr>
              <w:spacing w:before="120" w:beforeLines="50" w:line="360" w:lineRule="auto"/>
              <w:ind w:firstLine="482" w:firstLineChars="200"/>
              <w:rPr>
                <w:b/>
                <w:sz w:val="24"/>
              </w:rPr>
            </w:pPr>
            <w:r>
              <w:rPr>
                <w:rFonts w:hint="eastAsia"/>
                <w:b/>
                <w:sz w:val="24"/>
              </w:rPr>
              <w:t>1、区域大气环境质量现状</w:t>
            </w:r>
          </w:p>
          <w:p>
            <w:pPr>
              <w:spacing w:line="360" w:lineRule="auto"/>
              <w:ind w:firstLine="482"/>
              <w:rPr>
                <w:sz w:val="24"/>
              </w:rPr>
            </w:pPr>
            <w:r>
              <w:rPr>
                <w:rFonts w:hint="eastAsia"/>
                <w:sz w:val="24"/>
              </w:rPr>
              <w:t>（1）空气质量达标区判定</w:t>
            </w:r>
          </w:p>
          <w:p>
            <w:pPr>
              <w:spacing w:line="360" w:lineRule="auto"/>
              <w:ind w:firstLine="482"/>
              <w:rPr>
                <w:sz w:val="24"/>
              </w:rPr>
            </w:pPr>
            <w:r>
              <w:rPr>
                <w:sz w:val="24"/>
              </w:rPr>
              <w:t>本次评价选取20</w:t>
            </w:r>
            <w:r>
              <w:rPr>
                <w:rFonts w:hint="eastAsia"/>
                <w:sz w:val="24"/>
              </w:rPr>
              <w:t>20</w:t>
            </w:r>
            <w:r>
              <w:rPr>
                <w:sz w:val="24"/>
              </w:rPr>
              <w:t>年作为评价基准年，</w:t>
            </w:r>
            <w:r>
              <w:rPr>
                <w:rFonts w:hint="eastAsia"/>
                <w:sz w:val="24"/>
              </w:rPr>
              <w:t>根据</w:t>
            </w:r>
            <w:r>
              <w:rPr>
                <w:sz w:val="24"/>
              </w:rPr>
              <w:t>芜湖市</w:t>
            </w:r>
            <w:r>
              <w:rPr>
                <w:rFonts w:hint="eastAsia"/>
                <w:sz w:val="24"/>
              </w:rPr>
              <w:t>生态</w:t>
            </w:r>
            <w:r>
              <w:rPr>
                <w:sz w:val="24"/>
              </w:rPr>
              <w:t>环境局网站公示的</w:t>
            </w:r>
            <w:r>
              <w:rPr>
                <w:rFonts w:hint="eastAsia"/>
                <w:sz w:val="24"/>
              </w:rPr>
              <w:t>2020</w:t>
            </w:r>
            <w:r>
              <w:rPr>
                <w:sz w:val="24"/>
              </w:rPr>
              <w:t>年度</w:t>
            </w:r>
            <w:r>
              <w:rPr>
                <w:rFonts w:hint="eastAsia"/>
                <w:sz w:val="24"/>
              </w:rPr>
              <w:t>生态</w:t>
            </w:r>
            <w:r>
              <w:rPr>
                <w:sz w:val="24"/>
              </w:rPr>
              <w:t>环境</w:t>
            </w:r>
            <w:r>
              <w:rPr>
                <w:rFonts w:hint="eastAsia"/>
                <w:sz w:val="24"/>
              </w:rPr>
              <w:t>状况</w:t>
            </w:r>
            <w:r>
              <w:rPr>
                <w:sz w:val="24"/>
              </w:rPr>
              <w:t>公报</w:t>
            </w:r>
            <w:r>
              <w:rPr>
                <w:rFonts w:hint="eastAsia"/>
                <w:sz w:val="24"/>
              </w:rPr>
              <w:t>（</w:t>
            </w:r>
            <w:r>
              <w:rPr>
                <w:sz w:val="24"/>
              </w:rPr>
              <w:t>http://sthjj.wuhu.gov.cn/hbyw/hjzl/hjzlgb/8284951.html</w:t>
            </w:r>
            <w:r>
              <w:rPr>
                <w:rFonts w:hint="eastAsia"/>
                <w:sz w:val="24"/>
              </w:rPr>
              <w:t>）。全年环境空气优良天数为323天，优良率达88.3%，较2019年增加63天，空气质量优良天数比例为88.3%，同比提高16.5%，改善幅度位居全省第二位，；轻度污染37天，中度污染5天，重度污染1天，无严重污染天气，重度污染天数比2019年减少1天，比2015年减少6天。</w:t>
            </w:r>
          </w:p>
          <w:p>
            <w:pPr>
              <w:spacing w:line="360" w:lineRule="auto"/>
              <w:ind w:firstLine="480" w:firstLineChars="200"/>
              <w:rPr>
                <w:sz w:val="24"/>
              </w:rPr>
            </w:pPr>
            <w:r>
              <w:rPr>
                <w:rFonts w:hint="eastAsia"/>
                <w:sz w:val="24"/>
              </w:rPr>
              <w:t>2020年，芜湖市共设置9座空气质量监测站点，所有站点均采用空气质量自动监测系统监测，鸠江区设置1座空气质量监测站点。以下为鸠江区1座监测站首要污染物浓度一览表</w:t>
            </w:r>
            <w:r>
              <w:rPr>
                <w:sz w:val="24"/>
              </w:rPr>
              <w:t>。</w:t>
            </w:r>
          </w:p>
          <w:p>
            <w:pPr>
              <w:spacing w:before="120" w:beforeLines="50"/>
              <w:jc w:val="center"/>
              <w:rPr>
                <w:b/>
                <w:sz w:val="24"/>
              </w:rPr>
            </w:pPr>
            <w:r>
              <w:rPr>
                <w:b/>
                <w:sz w:val="24"/>
              </w:rPr>
              <w:t>表</w:t>
            </w:r>
            <w:r>
              <w:rPr>
                <w:rFonts w:hint="eastAsia"/>
                <w:b/>
                <w:sz w:val="24"/>
              </w:rPr>
              <w:t>3-1</w:t>
            </w:r>
            <w:r>
              <w:rPr>
                <w:b/>
                <w:sz w:val="24"/>
              </w:rPr>
              <w:t xml:space="preserve">  </w:t>
            </w:r>
            <w:r>
              <w:rPr>
                <w:rFonts w:hint="eastAsia"/>
                <w:b/>
                <w:sz w:val="24"/>
              </w:rPr>
              <w:t>鸠江区</w:t>
            </w:r>
            <w:r>
              <w:rPr>
                <w:b/>
                <w:sz w:val="24"/>
              </w:rPr>
              <w:t>环境空气</w:t>
            </w:r>
            <w:r>
              <w:rPr>
                <w:rFonts w:hint="eastAsia"/>
                <w:b/>
                <w:sz w:val="24"/>
              </w:rPr>
              <w:t>首要污染物平均浓度值汇总</w:t>
            </w:r>
            <w:r>
              <w:rPr>
                <w:b/>
                <w:sz w:val="24"/>
              </w:rPr>
              <w:t>表</w:t>
            </w:r>
          </w:p>
          <w:tbl>
            <w:tblPr>
              <w:tblStyle w:val="5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3263"/>
              <w:gridCol w:w="3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vMerge w:val="restart"/>
                  <w:tcBorders>
                    <w:top w:val="single" w:color="auto" w:sz="12" w:space="0"/>
                    <w:left w:val="nil"/>
                    <w:tl2br w:val="single" w:color="auto" w:sz="4" w:space="0"/>
                  </w:tcBorders>
                  <w:vAlign w:val="center"/>
                </w:tcPr>
                <w:p>
                  <w:pPr>
                    <w:jc w:val="right"/>
                    <w:rPr>
                      <w:b/>
                      <w:szCs w:val="21"/>
                    </w:rPr>
                  </w:pPr>
                  <w:r>
                    <w:rPr>
                      <w:rFonts w:hint="eastAsia"/>
                      <w:b/>
                      <w:szCs w:val="21"/>
                    </w:rPr>
                    <w:t>站点</w:t>
                  </w:r>
                </w:p>
                <w:p>
                  <w:pPr>
                    <w:rPr>
                      <w:b/>
                      <w:szCs w:val="21"/>
                    </w:rPr>
                  </w:pPr>
                  <w:r>
                    <w:rPr>
                      <w:b/>
                      <w:szCs w:val="21"/>
                    </w:rPr>
                    <w:t>监测项</w:t>
                  </w:r>
                </w:p>
              </w:tc>
              <w:tc>
                <w:tcPr>
                  <w:tcW w:w="3970" w:type="pct"/>
                  <w:gridSpan w:val="2"/>
                  <w:tcBorders>
                    <w:top w:val="single" w:color="auto" w:sz="12" w:space="0"/>
                    <w:right w:val="nil"/>
                  </w:tcBorders>
                  <w:vAlign w:val="center"/>
                </w:tcPr>
                <w:p>
                  <w:pPr>
                    <w:jc w:val="center"/>
                    <w:rPr>
                      <w:b/>
                      <w:szCs w:val="21"/>
                    </w:rPr>
                  </w:pPr>
                  <w:r>
                    <w:rPr>
                      <w:rFonts w:hint="eastAsia"/>
                      <w:b/>
                      <w:szCs w:val="21"/>
                    </w:rPr>
                    <w:t>2020年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vMerge w:val="continue"/>
                  <w:tcBorders>
                    <w:left w:val="nil"/>
                    <w:tl2br w:val="single" w:color="auto" w:sz="4" w:space="0"/>
                  </w:tcBorders>
                  <w:vAlign w:val="center"/>
                </w:tcPr>
                <w:p>
                  <w:pPr>
                    <w:rPr>
                      <w:b/>
                      <w:szCs w:val="21"/>
                    </w:rPr>
                  </w:pPr>
                </w:p>
              </w:tc>
              <w:tc>
                <w:tcPr>
                  <w:tcW w:w="1958" w:type="pct"/>
                  <w:vAlign w:val="center"/>
                </w:tcPr>
                <w:p>
                  <w:pPr>
                    <w:ind w:left="-105" w:leftChars="-50" w:right="-105" w:rightChars="-50"/>
                    <w:jc w:val="center"/>
                    <w:rPr>
                      <w:b/>
                      <w:szCs w:val="21"/>
                    </w:rPr>
                  </w:pPr>
                  <w:r>
                    <w:rPr>
                      <w:rFonts w:hint="eastAsia"/>
                      <w:b/>
                      <w:szCs w:val="21"/>
                    </w:rPr>
                    <w:t>济民医院</w:t>
                  </w:r>
                </w:p>
              </w:tc>
              <w:tc>
                <w:tcPr>
                  <w:tcW w:w="2012" w:type="pct"/>
                  <w:tcBorders>
                    <w:right w:val="nil"/>
                  </w:tcBorders>
                  <w:vAlign w:val="center"/>
                </w:tcPr>
                <w:p>
                  <w:pPr>
                    <w:jc w:val="center"/>
                    <w:rPr>
                      <w:b/>
                      <w:szCs w:val="21"/>
                    </w:rPr>
                  </w:pPr>
                  <w:r>
                    <w:rPr>
                      <w:b/>
                      <w:szCs w:val="21"/>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tcBorders>
                    <w:left w:val="nil"/>
                  </w:tcBorders>
                  <w:vAlign w:val="center"/>
                </w:tcPr>
                <w:p>
                  <w:pPr>
                    <w:jc w:val="center"/>
                    <w:rPr>
                      <w:szCs w:val="21"/>
                    </w:rPr>
                  </w:pPr>
                  <w:r>
                    <w:rPr>
                      <w:rFonts w:hint="eastAsia"/>
                      <w:szCs w:val="21"/>
                    </w:rPr>
                    <w:t>S</w:t>
                  </w:r>
                  <w:r>
                    <w:rPr>
                      <w:szCs w:val="21"/>
                    </w:rPr>
                    <w:t>O</w:t>
                  </w:r>
                  <w:r>
                    <w:rPr>
                      <w:szCs w:val="21"/>
                      <w:vertAlign w:val="subscript"/>
                    </w:rPr>
                    <w:t>2</w:t>
                  </w:r>
                  <w:r>
                    <w:rPr>
                      <w:szCs w:val="21"/>
                    </w:rPr>
                    <w:t>年平均</w:t>
                  </w:r>
                </w:p>
              </w:tc>
              <w:tc>
                <w:tcPr>
                  <w:tcW w:w="1958" w:type="pct"/>
                  <w:vAlign w:val="center"/>
                </w:tcPr>
                <w:p>
                  <w:pPr>
                    <w:jc w:val="center"/>
                    <w:rPr>
                      <w:szCs w:val="21"/>
                    </w:rPr>
                  </w:pPr>
                  <w:r>
                    <w:rPr>
                      <w:rFonts w:hint="eastAsia"/>
                      <w:szCs w:val="21"/>
                    </w:rPr>
                    <w:t>8</w:t>
                  </w:r>
                </w:p>
              </w:tc>
              <w:tc>
                <w:tcPr>
                  <w:tcW w:w="2012" w:type="pct"/>
                  <w:tcBorders>
                    <w:right w:val="nil"/>
                  </w:tcBorders>
                  <w:vAlign w:val="center"/>
                </w:tcPr>
                <w:p>
                  <w:pPr>
                    <w:jc w:val="center"/>
                    <w:rPr>
                      <w:szCs w:val="21"/>
                    </w:rPr>
                  </w:pPr>
                  <w:r>
                    <w:rPr>
                      <w:rFonts w:hint="eastAsia"/>
                      <w:szCs w:val="21"/>
                    </w:rPr>
                    <w:t>6</w:t>
                  </w:r>
                  <w:r>
                    <w:rPr>
                      <w:szCs w:val="21"/>
                    </w:rPr>
                    <w:t>0</w:t>
                  </w:r>
                  <w:r>
                    <w:rPr>
                      <w:rFonts w:hint="eastAsia"/>
                      <w:szCs w:val="21"/>
                    </w:rPr>
                    <w:t xml:space="preserve"> </w:t>
                  </w:r>
                  <w:r>
                    <w:rPr>
                      <w:szCs w:val="21"/>
                    </w:rPr>
                    <w:t>μg/m</w:t>
                  </w:r>
                  <w:r>
                    <w:rPr>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tcBorders>
                    <w:left w:val="nil"/>
                  </w:tcBorders>
                  <w:vAlign w:val="center"/>
                </w:tcPr>
                <w:p>
                  <w:pPr>
                    <w:jc w:val="center"/>
                    <w:rPr>
                      <w:szCs w:val="21"/>
                    </w:rPr>
                  </w:pPr>
                  <w:r>
                    <w:rPr>
                      <w:szCs w:val="21"/>
                    </w:rPr>
                    <w:t>NO</w:t>
                  </w:r>
                  <w:r>
                    <w:rPr>
                      <w:szCs w:val="21"/>
                      <w:vertAlign w:val="subscript"/>
                    </w:rPr>
                    <w:t>2</w:t>
                  </w:r>
                  <w:r>
                    <w:rPr>
                      <w:szCs w:val="21"/>
                    </w:rPr>
                    <w:t>年平均</w:t>
                  </w:r>
                </w:p>
              </w:tc>
              <w:tc>
                <w:tcPr>
                  <w:tcW w:w="1958" w:type="pct"/>
                  <w:vAlign w:val="center"/>
                </w:tcPr>
                <w:p>
                  <w:pPr>
                    <w:jc w:val="center"/>
                    <w:rPr>
                      <w:szCs w:val="21"/>
                    </w:rPr>
                  </w:pPr>
                  <w:r>
                    <w:rPr>
                      <w:rFonts w:hint="eastAsia"/>
                      <w:szCs w:val="21"/>
                    </w:rPr>
                    <w:t>34</w:t>
                  </w:r>
                </w:p>
              </w:tc>
              <w:tc>
                <w:tcPr>
                  <w:tcW w:w="2012" w:type="pct"/>
                  <w:tcBorders>
                    <w:right w:val="nil"/>
                  </w:tcBorders>
                  <w:vAlign w:val="center"/>
                </w:tcPr>
                <w:p>
                  <w:pPr>
                    <w:jc w:val="center"/>
                    <w:rPr>
                      <w:szCs w:val="21"/>
                    </w:rPr>
                  </w:pPr>
                  <w:r>
                    <w:rPr>
                      <w:szCs w:val="21"/>
                    </w:rPr>
                    <w:t>40</w:t>
                  </w:r>
                  <w:r>
                    <w:rPr>
                      <w:rFonts w:hint="eastAsia"/>
                      <w:szCs w:val="21"/>
                    </w:rPr>
                    <w:t xml:space="preserve"> </w:t>
                  </w:r>
                  <w:r>
                    <w:rPr>
                      <w:szCs w:val="21"/>
                    </w:rPr>
                    <w:t>μg/m</w:t>
                  </w:r>
                  <w:r>
                    <w:rPr>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tcBorders>
                    <w:left w:val="nil"/>
                  </w:tcBorders>
                  <w:vAlign w:val="center"/>
                </w:tcPr>
                <w:p>
                  <w:pPr>
                    <w:jc w:val="center"/>
                    <w:rPr>
                      <w:szCs w:val="21"/>
                    </w:rPr>
                  </w:pPr>
                  <w:r>
                    <w:rPr>
                      <w:szCs w:val="21"/>
                    </w:rPr>
                    <w:t>PM</w:t>
                  </w:r>
                  <w:r>
                    <w:rPr>
                      <w:szCs w:val="21"/>
                      <w:vertAlign w:val="subscript"/>
                    </w:rPr>
                    <w:t>10</w:t>
                  </w:r>
                  <w:r>
                    <w:rPr>
                      <w:szCs w:val="21"/>
                    </w:rPr>
                    <w:t>年平均</w:t>
                  </w:r>
                </w:p>
              </w:tc>
              <w:tc>
                <w:tcPr>
                  <w:tcW w:w="1958" w:type="pct"/>
                  <w:vAlign w:val="center"/>
                </w:tcPr>
                <w:p>
                  <w:pPr>
                    <w:jc w:val="center"/>
                    <w:rPr>
                      <w:szCs w:val="21"/>
                    </w:rPr>
                  </w:pPr>
                  <w:r>
                    <w:rPr>
                      <w:rFonts w:hint="eastAsia"/>
                      <w:szCs w:val="21"/>
                    </w:rPr>
                    <w:t>49</w:t>
                  </w:r>
                </w:p>
              </w:tc>
              <w:tc>
                <w:tcPr>
                  <w:tcW w:w="2012" w:type="pct"/>
                  <w:tcBorders>
                    <w:right w:val="nil"/>
                  </w:tcBorders>
                  <w:vAlign w:val="center"/>
                </w:tcPr>
                <w:p>
                  <w:pPr>
                    <w:jc w:val="center"/>
                    <w:rPr>
                      <w:szCs w:val="21"/>
                    </w:rPr>
                  </w:pPr>
                  <w:r>
                    <w:rPr>
                      <w:szCs w:val="21"/>
                    </w:rPr>
                    <w:t>70</w:t>
                  </w:r>
                  <w:r>
                    <w:rPr>
                      <w:rFonts w:hint="eastAsia"/>
                      <w:szCs w:val="21"/>
                    </w:rPr>
                    <w:t xml:space="preserve"> </w:t>
                  </w:r>
                  <w:r>
                    <w:rPr>
                      <w:szCs w:val="21"/>
                    </w:rPr>
                    <w:t>μg/m</w:t>
                  </w:r>
                  <w:r>
                    <w:rPr>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tcBorders>
                    <w:left w:val="nil"/>
                  </w:tcBorders>
                  <w:vAlign w:val="center"/>
                </w:tcPr>
                <w:p>
                  <w:pPr>
                    <w:jc w:val="center"/>
                    <w:rPr>
                      <w:szCs w:val="21"/>
                    </w:rPr>
                  </w:pPr>
                  <w:r>
                    <w:rPr>
                      <w:szCs w:val="21"/>
                    </w:rPr>
                    <w:t>PM</w:t>
                  </w:r>
                  <w:r>
                    <w:rPr>
                      <w:szCs w:val="21"/>
                      <w:vertAlign w:val="subscript"/>
                    </w:rPr>
                    <w:t>2.5</w:t>
                  </w:r>
                  <w:r>
                    <w:rPr>
                      <w:szCs w:val="21"/>
                    </w:rPr>
                    <w:t>年平均</w:t>
                  </w:r>
                </w:p>
              </w:tc>
              <w:tc>
                <w:tcPr>
                  <w:tcW w:w="1958" w:type="pct"/>
                  <w:vAlign w:val="center"/>
                </w:tcPr>
                <w:p>
                  <w:pPr>
                    <w:jc w:val="center"/>
                    <w:rPr>
                      <w:szCs w:val="21"/>
                    </w:rPr>
                  </w:pPr>
                  <w:r>
                    <w:rPr>
                      <w:rFonts w:hint="eastAsia"/>
                      <w:szCs w:val="21"/>
                    </w:rPr>
                    <w:t>36</w:t>
                  </w:r>
                </w:p>
              </w:tc>
              <w:tc>
                <w:tcPr>
                  <w:tcW w:w="2012" w:type="pct"/>
                  <w:tcBorders>
                    <w:right w:val="nil"/>
                  </w:tcBorders>
                  <w:vAlign w:val="center"/>
                </w:tcPr>
                <w:p>
                  <w:pPr>
                    <w:jc w:val="center"/>
                    <w:rPr>
                      <w:szCs w:val="21"/>
                    </w:rPr>
                  </w:pPr>
                  <w:r>
                    <w:rPr>
                      <w:szCs w:val="21"/>
                    </w:rPr>
                    <w:t>35</w:t>
                  </w:r>
                  <w:r>
                    <w:rPr>
                      <w:rFonts w:hint="eastAsia"/>
                      <w:szCs w:val="21"/>
                    </w:rPr>
                    <w:t xml:space="preserve"> </w:t>
                  </w:r>
                  <w:r>
                    <w:rPr>
                      <w:szCs w:val="21"/>
                    </w:rPr>
                    <w:t>μg/m</w:t>
                  </w:r>
                  <w:r>
                    <w:rPr>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tcBorders>
                    <w:left w:val="nil"/>
                  </w:tcBorders>
                  <w:vAlign w:val="center"/>
                </w:tcPr>
                <w:p>
                  <w:pPr>
                    <w:jc w:val="center"/>
                    <w:rPr>
                      <w:szCs w:val="21"/>
                    </w:rPr>
                  </w:pPr>
                  <w:r>
                    <w:rPr>
                      <w:rFonts w:hint="eastAsia"/>
                      <w:szCs w:val="21"/>
                    </w:rPr>
                    <w:t>C</w:t>
                  </w:r>
                  <w:r>
                    <w:rPr>
                      <w:szCs w:val="21"/>
                    </w:rPr>
                    <w:t>O年平均</w:t>
                  </w:r>
                </w:p>
              </w:tc>
              <w:tc>
                <w:tcPr>
                  <w:tcW w:w="1958" w:type="pct"/>
                  <w:vAlign w:val="center"/>
                </w:tcPr>
                <w:p>
                  <w:pPr>
                    <w:jc w:val="center"/>
                    <w:rPr>
                      <w:szCs w:val="21"/>
                    </w:rPr>
                  </w:pPr>
                  <w:r>
                    <w:rPr>
                      <w:rFonts w:hint="eastAsia"/>
                      <w:szCs w:val="21"/>
                    </w:rPr>
                    <w:t>1.2</w:t>
                  </w:r>
                </w:p>
              </w:tc>
              <w:tc>
                <w:tcPr>
                  <w:tcW w:w="2012" w:type="pct"/>
                  <w:tcBorders>
                    <w:right w:val="nil"/>
                  </w:tcBorders>
                  <w:vAlign w:val="center"/>
                </w:tcPr>
                <w:p>
                  <w:pPr>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30" w:type="pct"/>
                  <w:tcBorders>
                    <w:left w:val="nil"/>
                    <w:bottom w:val="single" w:color="auto" w:sz="12" w:space="0"/>
                  </w:tcBorders>
                  <w:vAlign w:val="center"/>
                </w:tcPr>
                <w:p>
                  <w:pPr>
                    <w:ind w:left="-105" w:leftChars="-50" w:right="-105" w:rightChars="-50"/>
                    <w:jc w:val="center"/>
                    <w:rPr>
                      <w:szCs w:val="21"/>
                    </w:rPr>
                  </w:pPr>
                  <w:r>
                    <w:rPr>
                      <w:szCs w:val="21"/>
                    </w:rPr>
                    <w:t>O</w:t>
                  </w:r>
                  <w:r>
                    <w:rPr>
                      <w:szCs w:val="21"/>
                      <w:vertAlign w:val="subscript"/>
                    </w:rPr>
                    <w:t>3</w:t>
                  </w:r>
                  <w:r>
                    <w:rPr>
                      <w:szCs w:val="21"/>
                    </w:rPr>
                    <w:t xml:space="preserve"> </w:t>
                  </w:r>
                  <w:r>
                    <w:rPr>
                      <w:rFonts w:hint="eastAsia"/>
                      <w:szCs w:val="21"/>
                    </w:rPr>
                    <w:t>日最大</w:t>
                  </w:r>
                  <w:r>
                    <w:rPr>
                      <w:szCs w:val="21"/>
                    </w:rPr>
                    <w:t>8h平均</w:t>
                  </w:r>
                </w:p>
              </w:tc>
              <w:tc>
                <w:tcPr>
                  <w:tcW w:w="1958" w:type="pct"/>
                  <w:tcBorders>
                    <w:bottom w:val="single" w:color="auto" w:sz="12" w:space="0"/>
                  </w:tcBorders>
                  <w:vAlign w:val="center"/>
                </w:tcPr>
                <w:p>
                  <w:pPr>
                    <w:jc w:val="center"/>
                    <w:rPr>
                      <w:szCs w:val="21"/>
                    </w:rPr>
                  </w:pPr>
                  <w:r>
                    <w:rPr>
                      <w:rFonts w:hint="eastAsia"/>
                      <w:szCs w:val="21"/>
                    </w:rPr>
                    <w:t>148</w:t>
                  </w:r>
                </w:p>
              </w:tc>
              <w:tc>
                <w:tcPr>
                  <w:tcW w:w="2012" w:type="pct"/>
                  <w:tcBorders>
                    <w:bottom w:val="single" w:color="auto" w:sz="12" w:space="0"/>
                    <w:right w:val="nil"/>
                  </w:tcBorders>
                  <w:vAlign w:val="center"/>
                </w:tcPr>
                <w:p>
                  <w:pPr>
                    <w:jc w:val="center"/>
                    <w:rPr>
                      <w:szCs w:val="21"/>
                    </w:rPr>
                  </w:pPr>
                  <w:r>
                    <w:rPr>
                      <w:rFonts w:hint="eastAsia"/>
                      <w:szCs w:val="21"/>
                    </w:rPr>
                    <w:t xml:space="preserve">160 </w:t>
                  </w:r>
                  <w:r>
                    <w:rPr>
                      <w:szCs w:val="21"/>
                    </w:rPr>
                    <w:t>μg/m</w:t>
                  </w:r>
                  <w:r>
                    <w:rPr>
                      <w:szCs w:val="21"/>
                      <w:vertAlign w:val="superscript"/>
                    </w:rPr>
                    <w:t>3</w:t>
                  </w:r>
                </w:p>
              </w:tc>
            </w:tr>
          </w:tbl>
          <w:p>
            <w:pPr>
              <w:spacing w:line="360" w:lineRule="auto"/>
              <w:ind w:firstLine="480" w:firstLineChars="200"/>
              <w:rPr>
                <w:kern w:val="0"/>
                <w:sz w:val="24"/>
              </w:rPr>
            </w:pPr>
            <w:r>
              <w:rPr>
                <w:sz w:val="24"/>
              </w:rPr>
              <w:t>由上表分析可知：判定项目所在地</w:t>
            </w:r>
            <w:r>
              <w:rPr>
                <w:rFonts w:hint="eastAsia"/>
                <w:sz w:val="24"/>
              </w:rPr>
              <w:t>鸠江区</w:t>
            </w:r>
            <w:r>
              <w:rPr>
                <w:sz w:val="24"/>
              </w:rPr>
              <w:t>环境空气为</w:t>
            </w:r>
            <w:r>
              <w:rPr>
                <w:rFonts w:hint="eastAsia"/>
                <w:sz w:val="24"/>
              </w:rPr>
              <w:t>“不</w:t>
            </w:r>
            <w:r>
              <w:rPr>
                <w:sz w:val="24"/>
              </w:rPr>
              <w:t>达标区</w:t>
            </w:r>
            <w:r>
              <w:rPr>
                <w:rFonts w:hint="eastAsia"/>
                <w:sz w:val="24"/>
              </w:rPr>
              <w:t>”，</w:t>
            </w:r>
            <w:r>
              <w:rPr>
                <w:sz w:val="24"/>
              </w:rPr>
              <w:t>PM</w:t>
            </w:r>
            <w:r>
              <w:rPr>
                <w:sz w:val="24"/>
                <w:vertAlign w:val="subscript"/>
              </w:rPr>
              <w:t>2.5</w:t>
            </w:r>
            <w:r>
              <w:rPr>
                <w:rFonts w:hint="eastAsia"/>
                <w:sz w:val="24"/>
              </w:rPr>
              <w:t>不</w:t>
            </w:r>
            <w:r>
              <w:rPr>
                <w:sz w:val="24"/>
              </w:rPr>
              <w:t>达标</w:t>
            </w:r>
            <w:r>
              <w:rPr>
                <w:rFonts w:hint="eastAsia"/>
                <w:sz w:val="24"/>
              </w:rPr>
              <w:t>，</w:t>
            </w:r>
            <w:r>
              <w:rPr>
                <w:rFonts w:hint="eastAsia"/>
                <w:kern w:val="0"/>
                <w:sz w:val="24"/>
              </w:rPr>
              <w:t>原因可能为：县区受区域扬尘、道路工程施工、工业污染源排放量偏高，以及外源污染传输叠加影响。</w:t>
            </w:r>
          </w:p>
          <w:p>
            <w:pPr>
              <w:spacing w:line="360" w:lineRule="auto"/>
              <w:ind w:firstLine="480" w:firstLineChars="200"/>
              <w:rPr>
                <w:kern w:val="0"/>
                <w:sz w:val="24"/>
              </w:rPr>
            </w:pPr>
            <w:r>
              <w:rPr>
                <w:rFonts w:hint="eastAsia"/>
                <w:kern w:val="0"/>
                <w:sz w:val="24"/>
              </w:rPr>
              <w:t>（2）其他污染物环境质量现状（引用数据）</w:t>
            </w:r>
          </w:p>
          <w:p>
            <w:pPr>
              <w:spacing w:line="360" w:lineRule="auto"/>
              <w:ind w:firstLine="480" w:firstLineChars="200"/>
              <w:rPr>
                <w:kern w:val="0"/>
                <w:sz w:val="24"/>
              </w:rPr>
            </w:pPr>
            <w:r>
              <w:rPr>
                <w:rFonts w:hint="eastAsia" w:hAnsi="宋体"/>
                <w:sz w:val="24"/>
              </w:rPr>
              <w:t>本报告环境空气（非甲烷总烃、二甲苯、甲苯）质量现状评价引用《安徽芜湖鸠江经济开发区环境影响区域评估报告》所在地的监测数据作为评价依据，监测时间为2021年11月15日~11月21日，连续监测7天。甲苯、二甲苯、非甲烷总烃小时浓度采样时间每小时不低于45min。</w:t>
            </w:r>
            <w:r>
              <w:rPr>
                <w:bCs/>
                <w:sz w:val="24"/>
              </w:rPr>
              <w:t>根据《环境影响评价</w:t>
            </w:r>
            <w:r>
              <w:rPr>
                <w:kern w:val="0"/>
                <w:sz w:val="24"/>
              </w:rPr>
              <w:t>技术导则-大气环境》（HJ2.2-20</w:t>
            </w:r>
            <w:r>
              <w:rPr>
                <w:rFonts w:hint="eastAsia"/>
                <w:kern w:val="0"/>
                <w:sz w:val="24"/>
              </w:rPr>
              <w:t>1</w:t>
            </w:r>
            <w:r>
              <w:rPr>
                <w:kern w:val="0"/>
                <w:sz w:val="24"/>
              </w:rPr>
              <w:t>8），与项目有关的监测数据三年内有效，故本次监测数据引用合理。</w:t>
            </w:r>
          </w:p>
          <w:p>
            <w:pPr>
              <w:spacing w:line="360" w:lineRule="auto"/>
              <w:ind w:firstLine="480" w:firstLineChars="200"/>
              <w:rPr>
                <w:rFonts w:hAnsi="宋体"/>
                <w:sz w:val="24"/>
              </w:rPr>
            </w:pPr>
            <w:r>
              <w:rPr>
                <w:rFonts w:hint="eastAsia" w:hAnsi="宋体"/>
                <w:sz w:val="24"/>
              </w:rPr>
              <w:t>①非甲烷总烃</w:t>
            </w:r>
          </w:p>
          <w:p>
            <w:pPr>
              <w:spacing w:line="360" w:lineRule="auto"/>
              <w:ind w:firstLine="480" w:firstLineChars="200"/>
              <w:rPr>
                <w:rFonts w:hAnsi="宋体"/>
                <w:sz w:val="24"/>
              </w:rPr>
            </w:pPr>
            <w:r>
              <w:rPr>
                <w:rFonts w:hAnsi="宋体"/>
                <w:sz w:val="24"/>
              </w:rPr>
              <w:t>监测点位信息见下表：</w:t>
            </w:r>
          </w:p>
          <w:p>
            <w:pPr>
              <w:spacing w:before="120" w:beforeLines="50"/>
              <w:jc w:val="center"/>
              <w:rPr>
                <w:b/>
                <w:bCs/>
                <w:sz w:val="24"/>
              </w:rPr>
            </w:pPr>
            <w:r>
              <w:rPr>
                <w:rFonts w:hAnsi="宋体"/>
                <w:b/>
                <w:bCs/>
                <w:sz w:val="24"/>
              </w:rPr>
              <w:t>表</w:t>
            </w:r>
            <w:r>
              <w:rPr>
                <w:rFonts w:hint="eastAsia"/>
                <w:b/>
                <w:bCs/>
                <w:sz w:val="24"/>
              </w:rPr>
              <w:t>3-2</w:t>
            </w:r>
            <w:r>
              <w:rPr>
                <w:b/>
                <w:bCs/>
                <w:sz w:val="24"/>
              </w:rPr>
              <w:t xml:space="preserve">  </w:t>
            </w:r>
            <w:r>
              <w:rPr>
                <w:rFonts w:hint="eastAsia" w:hAnsi="宋体"/>
                <w:b/>
                <w:bCs/>
                <w:sz w:val="24"/>
              </w:rPr>
              <w:t>非甲烷总烃</w:t>
            </w:r>
            <w:r>
              <w:rPr>
                <w:rFonts w:hAnsi="宋体"/>
                <w:b/>
                <w:bCs/>
                <w:sz w:val="24"/>
              </w:rPr>
              <w:t>环境质量现状一览表</w:t>
            </w:r>
          </w:p>
          <w:tbl>
            <w:tblPr>
              <w:tblStyle w:val="5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427"/>
              <w:gridCol w:w="815"/>
              <w:gridCol w:w="815"/>
              <w:gridCol w:w="890"/>
              <w:gridCol w:w="864"/>
              <w:gridCol w:w="875"/>
              <w:gridCol w:w="924"/>
              <w:gridCol w:w="1219"/>
              <w:gridCol w:w="63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3" w:type="pct"/>
                  <w:vMerge w:val="restart"/>
                  <w:vAlign w:val="center"/>
                </w:tcPr>
                <w:p>
                  <w:pPr>
                    <w:jc w:val="center"/>
                    <w:rPr>
                      <w:b/>
                      <w:bCs/>
                      <w:szCs w:val="21"/>
                    </w:rPr>
                  </w:pPr>
                  <w:r>
                    <w:rPr>
                      <w:rFonts w:hAnsi="宋体"/>
                      <w:b/>
                      <w:bCs/>
                      <w:szCs w:val="21"/>
                    </w:rPr>
                    <w:t>点位</w:t>
                  </w:r>
                  <w:r>
                    <w:rPr>
                      <w:rFonts w:hAnsi="Calibri"/>
                      <w:b/>
                      <w:bCs/>
                      <w:szCs w:val="21"/>
                    </w:rPr>
                    <w:t>名称</w:t>
                  </w:r>
                </w:p>
              </w:tc>
              <w:tc>
                <w:tcPr>
                  <w:tcW w:w="224" w:type="pct"/>
                  <w:vMerge w:val="restart"/>
                  <w:vAlign w:val="center"/>
                </w:tcPr>
                <w:p>
                  <w:pPr>
                    <w:jc w:val="center"/>
                    <w:rPr>
                      <w:b/>
                      <w:bCs/>
                      <w:szCs w:val="21"/>
                    </w:rPr>
                  </w:pPr>
                  <w:r>
                    <w:rPr>
                      <w:rFonts w:hAnsi="宋体"/>
                      <w:b/>
                      <w:bCs/>
                      <w:szCs w:val="21"/>
                    </w:rPr>
                    <w:t>监测</w:t>
                  </w:r>
                  <w:r>
                    <w:rPr>
                      <w:rFonts w:hAnsi="Calibri"/>
                      <w:b/>
                      <w:bCs/>
                      <w:szCs w:val="21"/>
                    </w:rPr>
                    <w:t>因子</w:t>
                  </w:r>
                </w:p>
              </w:tc>
              <w:tc>
                <w:tcPr>
                  <w:tcW w:w="530" w:type="pct"/>
                  <w:vMerge w:val="restart"/>
                  <w:vAlign w:val="center"/>
                </w:tcPr>
                <w:p>
                  <w:pPr>
                    <w:jc w:val="center"/>
                    <w:rPr>
                      <w:b/>
                      <w:bCs/>
                      <w:szCs w:val="21"/>
                    </w:rPr>
                  </w:pPr>
                  <w:r>
                    <w:rPr>
                      <w:rFonts w:hAnsi="宋体"/>
                      <w:b/>
                      <w:bCs/>
                      <w:szCs w:val="21"/>
                    </w:rPr>
                    <w:t>相对本项目</w:t>
                  </w:r>
                  <w:r>
                    <w:rPr>
                      <w:rFonts w:hAnsi="Calibri"/>
                      <w:b/>
                      <w:bCs/>
                      <w:szCs w:val="21"/>
                    </w:rPr>
                    <w:t>厂址方位</w:t>
                  </w:r>
                </w:p>
              </w:tc>
              <w:tc>
                <w:tcPr>
                  <w:tcW w:w="530" w:type="pct"/>
                  <w:vMerge w:val="restart"/>
                  <w:vAlign w:val="center"/>
                </w:tcPr>
                <w:p>
                  <w:pPr>
                    <w:jc w:val="center"/>
                    <w:rPr>
                      <w:b/>
                      <w:bCs/>
                      <w:szCs w:val="21"/>
                    </w:rPr>
                  </w:pPr>
                  <w:r>
                    <w:rPr>
                      <w:rFonts w:hAnsi="宋体"/>
                      <w:b/>
                      <w:bCs/>
                      <w:szCs w:val="21"/>
                    </w:rPr>
                    <w:t>相对本项目</w:t>
                  </w:r>
                  <w:r>
                    <w:rPr>
                      <w:rFonts w:hAnsi="Calibri"/>
                      <w:b/>
                      <w:bCs/>
                      <w:szCs w:val="21"/>
                    </w:rPr>
                    <w:t>厂界距离</w:t>
                  </w:r>
                </w:p>
              </w:tc>
              <w:tc>
                <w:tcPr>
                  <w:tcW w:w="1134" w:type="pct"/>
                  <w:gridSpan w:val="2"/>
                  <w:vAlign w:val="center"/>
                </w:tcPr>
                <w:p>
                  <w:pPr>
                    <w:jc w:val="center"/>
                    <w:rPr>
                      <w:rFonts w:hAnsi="宋体"/>
                      <w:b/>
                      <w:bCs/>
                      <w:szCs w:val="21"/>
                    </w:rPr>
                  </w:pPr>
                  <w:r>
                    <w:rPr>
                      <w:rFonts w:hint="eastAsia" w:hAnsi="宋体"/>
                      <w:b/>
                      <w:bCs/>
                      <w:szCs w:val="21"/>
                    </w:rPr>
                    <w:t>浓度范围(mg/m</w:t>
                  </w:r>
                  <w:r>
                    <w:rPr>
                      <w:rFonts w:hint="eastAsia" w:hAnsi="宋体"/>
                      <w:b/>
                      <w:bCs/>
                      <w:szCs w:val="21"/>
                      <w:vertAlign w:val="superscript"/>
                    </w:rPr>
                    <w:t>3</w:t>
                  </w:r>
                  <w:r>
                    <w:rPr>
                      <w:rFonts w:hint="eastAsia" w:hAnsi="宋体"/>
                      <w:b/>
                      <w:bCs/>
                      <w:szCs w:val="21"/>
                    </w:rPr>
                    <w:t>)</w:t>
                  </w:r>
                </w:p>
              </w:tc>
              <w:tc>
                <w:tcPr>
                  <w:tcW w:w="1161" w:type="pct"/>
                  <w:gridSpan w:val="2"/>
                  <w:vAlign w:val="center"/>
                </w:tcPr>
                <w:p>
                  <w:pPr>
                    <w:jc w:val="center"/>
                    <w:rPr>
                      <w:rFonts w:hAnsi="宋体"/>
                      <w:b/>
                      <w:bCs/>
                      <w:szCs w:val="21"/>
                    </w:rPr>
                  </w:pPr>
                  <w:r>
                    <w:rPr>
                      <w:rFonts w:hint="eastAsia" w:hAnsi="宋体"/>
                      <w:b/>
                      <w:bCs/>
                      <w:szCs w:val="21"/>
                    </w:rPr>
                    <w:t>污染指数范围</w:t>
                  </w:r>
                </w:p>
              </w:tc>
              <w:tc>
                <w:tcPr>
                  <w:tcW w:w="431" w:type="pct"/>
                  <w:vMerge w:val="restart"/>
                  <w:vAlign w:val="center"/>
                </w:tcPr>
                <w:p>
                  <w:pPr>
                    <w:jc w:val="center"/>
                    <w:rPr>
                      <w:rFonts w:hAnsi="宋体"/>
                      <w:b/>
                      <w:bCs/>
                      <w:szCs w:val="21"/>
                    </w:rPr>
                  </w:pPr>
                  <w:r>
                    <w:rPr>
                      <w:rFonts w:hint="eastAsia" w:hAnsi="宋体"/>
                      <w:b/>
                      <w:bCs/>
                      <w:szCs w:val="21"/>
                    </w:rPr>
                    <w:t>评价标准（mg/m</w:t>
                  </w:r>
                  <w:r>
                    <w:rPr>
                      <w:rFonts w:hint="eastAsia" w:hAnsi="宋体"/>
                      <w:b/>
                      <w:bCs/>
                      <w:szCs w:val="21"/>
                      <w:vertAlign w:val="superscript"/>
                    </w:rPr>
                    <w:t>3</w:t>
                  </w:r>
                  <w:r>
                    <w:rPr>
                      <w:rFonts w:hint="eastAsia" w:hAnsi="宋体"/>
                      <w:b/>
                      <w:bCs/>
                      <w:szCs w:val="21"/>
                    </w:rPr>
                    <w:t>）</w:t>
                  </w:r>
                </w:p>
              </w:tc>
              <w:tc>
                <w:tcPr>
                  <w:tcW w:w="424" w:type="pct"/>
                  <w:vMerge w:val="restart"/>
                  <w:vAlign w:val="center"/>
                </w:tcPr>
                <w:p>
                  <w:pPr>
                    <w:jc w:val="center"/>
                    <w:rPr>
                      <w:rFonts w:hAnsi="宋体"/>
                      <w:b/>
                      <w:bCs/>
                      <w:szCs w:val="21"/>
                    </w:rPr>
                  </w:pPr>
                  <w:r>
                    <w:rPr>
                      <w:rFonts w:hAnsi="宋体"/>
                      <w:b/>
                      <w:bCs/>
                      <w:szCs w:val="21"/>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3" w:type="pct"/>
                  <w:vMerge w:val="continue"/>
                  <w:vAlign w:val="center"/>
                </w:tcPr>
                <w:p>
                  <w:pPr>
                    <w:jc w:val="center"/>
                    <w:rPr>
                      <w:b/>
                      <w:bCs/>
                      <w:szCs w:val="21"/>
                    </w:rPr>
                  </w:pPr>
                </w:p>
              </w:tc>
              <w:tc>
                <w:tcPr>
                  <w:tcW w:w="224" w:type="pct"/>
                  <w:vMerge w:val="continue"/>
                  <w:vAlign w:val="center"/>
                </w:tcPr>
                <w:p>
                  <w:pPr>
                    <w:jc w:val="center"/>
                    <w:rPr>
                      <w:b/>
                      <w:bCs/>
                      <w:szCs w:val="21"/>
                    </w:rPr>
                  </w:pPr>
                </w:p>
              </w:tc>
              <w:tc>
                <w:tcPr>
                  <w:tcW w:w="530" w:type="pct"/>
                  <w:vMerge w:val="continue"/>
                  <w:vAlign w:val="center"/>
                </w:tcPr>
                <w:p>
                  <w:pPr>
                    <w:jc w:val="center"/>
                    <w:rPr>
                      <w:b/>
                      <w:bCs/>
                      <w:szCs w:val="21"/>
                    </w:rPr>
                  </w:pPr>
                </w:p>
              </w:tc>
              <w:tc>
                <w:tcPr>
                  <w:tcW w:w="530" w:type="pct"/>
                  <w:vMerge w:val="continue"/>
                  <w:vAlign w:val="center"/>
                </w:tcPr>
                <w:p>
                  <w:pPr>
                    <w:jc w:val="center"/>
                    <w:rPr>
                      <w:b/>
                      <w:bCs/>
                      <w:szCs w:val="21"/>
                    </w:rPr>
                  </w:pPr>
                </w:p>
              </w:tc>
              <w:tc>
                <w:tcPr>
                  <w:tcW w:w="575" w:type="pct"/>
                  <w:vAlign w:val="center"/>
                </w:tcPr>
                <w:p>
                  <w:pPr>
                    <w:jc w:val="center"/>
                    <w:rPr>
                      <w:b/>
                      <w:bCs/>
                      <w:szCs w:val="21"/>
                    </w:rPr>
                  </w:pPr>
                  <w:r>
                    <w:rPr>
                      <w:rFonts w:hint="eastAsia"/>
                      <w:b/>
                      <w:bCs/>
                      <w:szCs w:val="21"/>
                    </w:rPr>
                    <w:t>最小值</w:t>
                  </w:r>
                </w:p>
              </w:tc>
              <w:tc>
                <w:tcPr>
                  <w:tcW w:w="558" w:type="pct"/>
                  <w:vAlign w:val="center"/>
                </w:tcPr>
                <w:p>
                  <w:pPr>
                    <w:jc w:val="center"/>
                    <w:rPr>
                      <w:b/>
                      <w:bCs/>
                      <w:szCs w:val="21"/>
                    </w:rPr>
                  </w:pPr>
                  <w:r>
                    <w:rPr>
                      <w:rFonts w:hint="eastAsia"/>
                      <w:b/>
                      <w:bCs/>
                      <w:szCs w:val="21"/>
                    </w:rPr>
                    <w:t>最大值</w:t>
                  </w:r>
                </w:p>
              </w:tc>
              <w:tc>
                <w:tcPr>
                  <w:tcW w:w="566" w:type="pct"/>
                  <w:vAlign w:val="center"/>
                </w:tcPr>
                <w:p>
                  <w:pPr>
                    <w:jc w:val="center"/>
                    <w:rPr>
                      <w:b/>
                      <w:bCs/>
                      <w:szCs w:val="21"/>
                    </w:rPr>
                  </w:pPr>
                  <w:r>
                    <w:rPr>
                      <w:rFonts w:hint="eastAsia"/>
                      <w:b/>
                      <w:bCs/>
                      <w:szCs w:val="21"/>
                    </w:rPr>
                    <w:t>最小值</w:t>
                  </w:r>
                </w:p>
              </w:tc>
              <w:tc>
                <w:tcPr>
                  <w:tcW w:w="594" w:type="pct"/>
                  <w:vAlign w:val="center"/>
                </w:tcPr>
                <w:p>
                  <w:pPr>
                    <w:jc w:val="center"/>
                    <w:rPr>
                      <w:b/>
                      <w:bCs/>
                      <w:szCs w:val="21"/>
                    </w:rPr>
                  </w:pPr>
                  <w:r>
                    <w:rPr>
                      <w:rFonts w:hint="eastAsia"/>
                      <w:b/>
                      <w:bCs/>
                      <w:szCs w:val="21"/>
                    </w:rPr>
                    <w:t>最大值</w:t>
                  </w:r>
                </w:p>
              </w:tc>
              <w:tc>
                <w:tcPr>
                  <w:tcW w:w="431" w:type="pct"/>
                  <w:vMerge w:val="continue"/>
                  <w:vAlign w:val="center"/>
                </w:tcPr>
                <w:p>
                  <w:pPr>
                    <w:jc w:val="center"/>
                    <w:rPr>
                      <w:b/>
                      <w:bCs/>
                      <w:szCs w:val="21"/>
                    </w:rPr>
                  </w:pPr>
                </w:p>
              </w:tc>
              <w:tc>
                <w:tcPr>
                  <w:tcW w:w="424" w:type="pct"/>
                  <w:vMerge w:val="continue"/>
                  <w:vAlign w:val="center"/>
                </w:tcPr>
                <w:p>
                  <w:pPr>
                    <w:jc w:val="center"/>
                    <w:rPr>
                      <w:b/>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3" w:type="pct"/>
                  <w:vAlign w:val="center"/>
                </w:tcPr>
                <w:p>
                  <w:pPr>
                    <w:pStyle w:val="1039"/>
                    <w:widowControl/>
                    <w:jc w:val="center"/>
                    <w:rPr>
                      <w:bCs/>
                      <w:color w:val="auto"/>
                    </w:rPr>
                  </w:pPr>
                  <w:r>
                    <w:rPr>
                      <w:rFonts w:hint="eastAsia"/>
                      <w:bCs/>
                      <w:color w:val="auto"/>
                    </w:rPr>
                    <w:t>官飞村</w:t>
                  </w:r>
                </w:p>
              </w:tc>
              <w:tc>
                <w:tcPr>
                  <w:tcW w:w="224" w:type="pct"/>
                  <w:vMerge w:val="restart"/>
                  <w:vAlign w:val="center"/>
                </w:tcPr>
                <w:p>
                  <w:pPr>
                    <w:jc w:val="center"/>
                    <w:rPr>
                      <w:szCs w:val="21"/>
                    </w:rPr>
                  </w:pPr>
                  <w:r>
                    <w:rPr>
                      <w:rFonts w:hint="eastAsia"/>
                      <w:szCs w:val="21"/>
                    </w:rPr>
                    <w:t>非甲烷总烃</w:t>
                  </w:r>
                </w:p>
              </w:tc>
              <w:tc>
                <w:tcPr>
                  <w:tcW w:w="530" w:type="pct"/>
                  <w:vAlign w:val="center"/>
                </w:tcPr>
                <w:p>
                  <w:pPr>
                    <w:jc w:val="center"/>
                  </w:pPr>
                  <w:r>
                    <w:rPr>
                      <w:rFonts w:hint="eastAsia"/>
                    </w:rPr>
                    <w:t>西</w:t>
                  </w:r>
                </w:p>
              </w:tc>
              <w:tc>
                <w:tcPr>
                  <w:tcW w:w="530" w:type="pct"/>
                  <w:vAlign w:val="center"/>
                </w:tcPr>
                <w:p>
                  <w:pPr>
                    <w:jc w:val="center"/>
                  </w:pPr>
                  <w:r>
                    <w:rPr>
                      <w:rFonts w:hint="eastAsia"/>
                    </w:rPr>
                    <w:t>3803</w:t>
                  </w:r>
                </w:p>
              </w:tc>
              <w:tc>
                <w:tcPr>
                  <w:tcW w:w="575" w:type="pct"/>
                  <w:vAlign w:val="center"/>
                </w:tcPr>
                <w:p>
                  <w:pPr>
                    <w:jc w:val="center"/>
                  </w:pPr>
                  <w:r>
                    <w:rPr>
                      <w:rFonts w:hint="eastAsia"/>
                    </w:rPr>
                    <w:t>0.31</w:t>
                  </w:r>
                </w:p>
              </w:tc>
              <w:tc>
                <w:tcPr>
                  <w:tcW w:w="558" w:type="pct"/>
                  <w:vAlign w:val="center"/>
                </w:tcPr>
                <w:p>
                  <w:pPr>
                    <w:jc w:val="center"/>
                  </w:pPr>
                  <w:r>
                    <w:rPr>
                      <w:rFonts w:hint="eastAsia"/>
                    </w:rPr>
                    <w:t>0.64</w:t>
                  </w:r>
                </w:p>
              </w:tc>
              <w:tc>
                <w:tcPr>
                  <w:tcW w:w="566" w:type="pct"/>
                  <w:vAlign w:val="center"/>
                </w:tcPr>
                <w:p>
                  <w:pPr>
                    <w:jc w:val="center"/>
                  </w:pPr>
                  <w:r>
                    <w:rPr>
                      <w:rFonts w:hint="eastAsia"/>
                    </w:rPr>
                    <w:t>0.155</w:t>
                  </w:r>
                </w:p>
              </w:tc>
              <w:tc>
                <w:tcPr>
                  <w:tcW w:w="594" w:type="pct"/>
                  <w:vAlign w:val="center"/>
                </w:tcPr>
                <w:p>
                  <w:pPr>
                    <w:jc w:val="center"/>
                  </w:pPr>
                  <w:r>
                    <w:rPr>
                      <w:rFonts w:hint="eastAsia"/>
                    </w:rPr>
                    <w:t>0.32</w:t>
                  </w:r>
                </w:p>
              </w:tc>
              <w:tc>
                <w:tcPr>
                  <w:tcW w:w="431" w:type="pct"/>
                  <w:vMerge w:val="restart"/>
                  <w:vAlign w:val="center"/>
                </w:tcPr>
                <w:p>
                  <w:pPr>
                    <w:jc w:val="center"/>
                  </w:pPr>
                  <w:r>
                    <w:rPr>
                      <w:rFonts w:hint="eastAsia"/>
                      <w:szCs w:val="21"/>
                    </w:rPr>
                    <w:t>2.0</w:t>
                  </w:r>
                </w:p>
              </w:tc>
              <w:tc>
                <w:tcPr>
                  <w:tcW w:w="424" w:type="pct"/>
                  <w:vAlign w:val="center"/>
                </w:tcPr>
                <w:p>
                  <w:pPr>
                    <w:jc w:val="center"/>
                  </w:pPr>
                  <w:r>
                    <w:rPr>
                      <w:rFonts w:hAnsi="宋体"/>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3" w:type="pct"/>
                  <w:vAlign w:val="center"/>
                </w:tcPr>
                <w:p>
                  <w:pPr>
                    <w:pStyle w:val="1039"/>
                    <w:widowControl/>
                    <w:jc w:val="center"/>
                    <w:rPr>
                      <w:bCs/>
                      <w:color w:val="auto"/>
                    </w:rPr>
                  </w:pPr>
                  <w:r>
                    <w:rPr>
                      <w:rFonts w:hint="eastAsia"/>
                      <w:bCs/>
                      <w:color w:val="auto"/>
                    </w:rPr>
                    <w:t>东部新城</w:t>
                  </w:r>
                </w:p>
              </w:tc>
              <w:tc>
                <w:tcPr>
                  <w:tcW w:w="224" w:type="pct"/>
                  <w:vMerge w:val="continue"/>
                  <w:vAlign w:val="center"/>
                </w:tcPr>
                <w:p>
                  <w:pPr>
                    <w:jc w:val="center"/>
                    <w:rPr>
                      <w:rFonts w:hAnsi="宋体"/>
                      <w:szCs w:val="21"/>
                    </w:rPr>
                  </w:pPr>
                </w:p>
              </w:tc>
              <w:tc>
                <w:tcPr>
                  <w:tcW w:w="530" w:type="pct"/>
                  <w:vAlign w:val="center"/>
                </w:tcPr>
                <w:p>
                  <w:pPr>
                    <w:jc w:val="center"/>
                  </w:pPr>
                  <w:r>
                    <w:rPr>
                      <w:rFonts w:hint="eastAsia"/>
                    </w:rPr>
                    <w:t>西南</w:t>
                  </w:r>
                </w:p>
              </w:tc>
              <w:tc>
                <w:tcPr>
                  <w:tcW w:w="530" w:type="pct"/>
                  <w:vAlign w:val="center"/>
                </w:tcPr>
                <w:p>
                  <w:pPr>
                    <w:jc w:val="center"/>
                  </w:pPr>
                  <w:r>
                    <w:rPr>
                      <w:rFonts w:hint="eastAsia"/>
                    </w:rPr>
                    <w:t>5275</w:t>
                  </w:r>
                </w:p>
              </w:tc>
              <w:tc>
                <w:tcPr>
                  <w:tcW w:w="575" w:type="pct"/>
                  <w:vAlign w:val="center"/>
                </w:tcPr>
                <w:p>
                  <w:pPr>
                    <w:jc w:val="center"/>
                  </w:pPr>
                  <w:r>
                    <w:rPr>
                      <w:rFonts w:hint="eastAsia"/>
                    </w:rPr>
                    <w:t>0.28</w:t>
                  </w:r>
                </w:p>
              </w:tc>
              <w:tc>
                <w:tcPr>
                  <w:tcW w:w="558" w:type="pct"/>
                  <w:vAlign w:val="center"/>
                </w:tcPr>
                <w:p>
                  <w:pPr>
                    <w:jc w:val="center"/>
                  </w:pPr>
                  <w:r>
                    <w:rPr>
                      <w:rFonts w:hint="eastAsia"/>
                    </w:rPr>
                    <w:t>0.51</w:t>
                  </w:r>
                </w:p>
              </w:tc>
              <w:tc>
                <w:tcPr>
                  <w:tcW w:w="566" w:type="pct"/>
                  <w:vAlign w:val="center"/>
                </w:tcPr>
                <w:p>
                  <w:pPr>
                    <w:jc w:val="center"/>
                  </w:pPr>
                  <w:r>
                    <w:rPr>
                      <w:rFonts w:hint="eastAsia"/>
                    </w:rPr>
                    <w:t>0.14</w:t>
                  </w:r>
                </w:p>
              </w:tc>
              <w:tc>
                <w:tcPr>
                  <w:tcW w:w="594" w:type="pct"/>
                  <w:vAlign w:val="center"/>
                </w:tcPr>
                <w:p>
                  <w:pPr>
                    <w:jc w:val="center"/>
                  </w:pPr>
                  <w:r>
                    <w:rPr>
                      <w:rFonts w:hint="eastAsia"/>
                    </w:rPr>
                    <w:t>0.255</w:t>
                  </w:r>
                </w:p>
              </w:tc>
              <w:tc>
                <w:tcPr>
                  <w:tcW w:w="431" w:type="pct"/>
                  <w:vMerge w:val="continue"/>
                  <w:vAlign w:val="center"/>
                </w:tcPr>
                <w:p>
                  <w:pPr>
                    <w:jc w:val="center"/>
                  </w:pPr>
                </w:p>
              </w:tc>
              <w:tc>
                <w:tcPr>
                  <w:tcW w:w="424" w:type="pct"/>
                  <w:vAlign w:val="center"/>
                </w:tcPr>
                <w:p>
                  <w:pPr>
                    <w:jc w:val="center"/>
                  </w:pPr>
                  <w:r>
                    <w:rPr>
                      <w:rFonts w:hAnsi="宋体"/>
                      <w:szCs w:val="21"/>
                    </w:rPr>
                    <w:t>达标</w:t>
                  </w:r>
                </w:p>
              </w:tc>
            </w:tr>
          </w:tbl>
          <w:p>
            <w:pPr>
              <w:spacing w:line="360" w:lineRule="auto"/>
              <w:ind w:firstLine="480" w:firstLineChars="200"/>
              <w:rPr>
                <w:rFonts w:hAnsi="宋体"/>
                <w:sz w:val="24"/>
              </w:rPr>
            </w:pPr>
            <w:r>
              <w:rPr>
                <w:rFonts w:hAnsi="宋体"/>
                <w:sz w:val="24"/>
              </w:rPr>
              <w:t>由上表可知，项目所在区域非甲烷总烃小时浓度值满足</w:t>
            </w:r>
            <w:r>
              <w:rPr>
                <w:rFonts w:hint="eastAsia" w:hAnsi="宋体"/>
                <w:sz w:val="24"/>
              </w:rPr>
              <w:t>《大气污染物综合排放标准详解》中</w:t>
            </w:r>
            <w:r>
              <w:rPr>
                <w:rFonts w:hAnsi="宋体"/>
                <w:sz w:val="24"/>
              </w:rPr>
              <w:t>标准值。</w:t>
            </w:r>
          </w:p>
          <w:p>
            <w:pPr>
              <w:spacing w:line="360" w:lineRule="auto"/>
              <w:ind w:firstLine="480" w:firstLineChars="200"/>
              <w:rPr>
                <w:rFonts w:hAnsi="宋体"/>
                <w:sz w:val="24"/>
              </w:rPr>
            </w:pPr>
            <w:r>
              <w:rPr>
                <w:rFonts w:hint="eastAsia" w:ascii="宋体" w:hAnsi="宋体"/>
                <w:sz w:val="24"/>
              </w:rPr>
              <w:t>②</w:t>
            </w:r>
            <w:r>
              <w:rPr>
                <w:rFonts w:hint="eastAsia" w:hAnsi="宋体"/>
                <w:sz w:val="24"/>
              </w:rPr>
              <w:t>二甲苯</w:t>
            </w:r>
          </w:p>
          <w:p>
            <w:pPr>
              <w:spacing w:line="360" w:lineRule="auto"/>
              <w:ind w:firstLine="480" w:firstLineChars="200"/>
              <w:rPr>
                <w:rFonts w:hAnsi="宋体"/>
                <w:sz w:val="24"/>
              </w:rPr>
            </w:pPr>
            <w:r>
              <w:rPr>
                <w:rFonts w:hAnsi="宋体"/>
                <w:sz w:val="24"/>
              </w:rPr>
              <w:t>监测信息见下表：</w:t>
            </w:r>
          </w:p>
          <w:p>
            <w:pPr>
              <w:spacing w:before="120" w:beforeLines="50"/>
              <w:jc w:val="center"/>
              <w:rPr>
                <w:b/>
                <w:bCs/>
                <w:sz w:val="24"/>
              </w:rPr>
            </w:pPr>
            <w:r>
              <w:rPr>
                <w:rFonts w:hAnsi="宋体"/>
                <w:b/>
                <w:bCs/>
                <w:sz w:val="24"/>
              </w:rPr>
              <w:t>表</w:t>
            </w:r>
            <w:r>
              <w:rPr>
                <w:rFonts w:hint="eastAsia"/>
                <w:b/>
                <w:bCs/>
                <w:sz w:val="24"/>
              </w:rPr>
              <w:t>3-3</w:t>
            </w:r>
            <w:r>
              <w:rPr>
                <w:b/>
                <w:bCs/>
                <w:sz w:val="24"/>
              </w:rPr>
              <w:t xml:space="preserve">  </w:t>
            </w:r>
            <w:r>
              <w:rPr>
                <w:rFonts w:hint="eastAsia" w:hAnsi="宋体"/>
                <w:b/>
                <w:bCs/>
                <w:sz w:val="24"/>
              </w:rPr>
              <w:t>二甲苯</w:t>
            </w:r>
            <w:r>
              <w:rPr>
                <w:rFonts w:hAnsi="宋体"/>
                <w:b/>
                <w:bCs/>
                <w:sz w:val="24"/>
              </w:rPr>
              <w:t>环境质量现状一览表</w:t>
            </w:r>
          </w:p>
          <w:tbl>
            <w:tblPr>
              <w:tblStyle w:val="5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427"/>
              <w:gridCol w:w="815"/>
              <w:gridCol w:w="815"/>
              <w:gridCol w:w="890"/>
              <w:gridCol w:w="864"/>
              <w:gridCol w:w="875"/>
              <w:gridCol w:w="924"/>
              <w:gridCol w:w="1219"/>
              <w:gridCol w:w="63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3" w:type="pct"/>
                  <w:vMerge w:val="restart"/>
                  <w:vAlign w:val="center"/>
                </w:tcPr>
                <w:p>
                  <w:pPr>
                    <w:jc w:val="center"/>
                    <w:rPr>
                      <w:b/>
                      <w:bCs/>
                      <w:szCs w:val="21"/>
                    </w:rPr>
                  </w:pPr>
                  <w:r>
                    <w:rPr>
                      <w:rFonts w:hAnsi="宋体"/>
                      <w:b/>
                      <w:bCs/>
                      <w:szCs w:val="21"/>
                    </w:rPr>
                    <w:t>点位</w:t>
                  </w:r>
                  <w:r>
                    <w:rPr>
                      <w:rFonts w:hAnsi="Calibri"/>
                      <w:b/>
                      <w:bCs/>
                      <w:szCs w:val="21"/>
                    </w:rPr>
                    <w:t>名称</w:t>
                  </w:r>
                </w:p>
              </w:tc>
              <w:tc>
                <w:tcPr>
                  <w:tcW w:w="224" w:type="pct"/>
                  <w:vMerge w:val="restart"/>
                  <w:vAlign w:val="center"/>
                </w:tcPr>
                <w:p>
                  <w:pPr>
                    <w:jc w:val="center"/>
                    <w:rPr>
                      <w:b/>
                      <w:bCs/>
                      <w:szCs w:val="21"/>
                    </w:rPr>
                  </w:pPr>
                  <w:r>
                    <w:rPr>
                      <w:rFonts w:hAnsi="宋体"/>
                      <w:b/>
                      <w:bCs/>
                      <w:szCs w:val="21"/>
                    </w:rPr>
                    <w:t>监测</w:t>
                  </w:r>
                  <w:r>
                    <w:rPr>
                      <w:rFonts w:hAnsi="Calibri"/>
                      <w:b/>
                      <w:bCs/>
                      <w:szCs w:val="21"/>
                    </w:rPr>
                    <w:t>因子</w:t>
                  </w:r>
                </w:p>
              </w:tc>
              <w:tc>
                <w:tcPr>
                  <w:tcW w:w="530" w:type="pct"/>
                  <w:vMerge w:val="restart"/>
                  <w:vAlign w:val="center"/>
                </w:tcPr>
                <w:p>
                  <w:pPr>
                    <w:jc w:val="center"/>
                    <w:rPr>
                      <w:b/>
                      <w:bCs/>
                      <w:szCs w:val="21"/>
                    </w:rPr>
                  </w:pPr>
                  <w:r>
                    <w:rPr>
                      <w:rFonts w:hAnsi="宋体"/>
                      <w:b/>
                      <w:bCs/>
                      <w:szCs w:val="21"/>
                    </w:rPr>
                    <w:t>相对本项目</w:t>
                  </w:r>
                  <w:r>
                    <w:rPr>
                      <w:rFonts w:hAnsi="Calibri"/>
                      <w:b/>
                      <w:bCs/>
                      <w:szCs w:val="21"/>
                    </w:rPr>
                    <w:t>厂址方位</w:t>
                  </w:r>
                </w:p>
              </w:tc>
              <w:tc>
                <w:tcPr>
                  <w:tcW w:w="530" w:type="pct"/>
                  <w:vMerge w:val="restart"/>
                  <w:vAlign w:val="center"/>
                </w:tcPr>
                <w:p>
                  <w:pPr>
                    <w:jc w:val="center"/>
                    <w:rPr>
                      <w:b/>
                      <w:bCs/>
                      <w:szCs w:val="21"/>
                    </w:rPr>
                  </w:pPr>
                  <w:r>
                    <w:rPr>
                      <w:rFonts w:hAnsi="宋体"/>
                      <w:b/>
                      <w:bCs/>
                      <w:szCs w:val="21"/>
                    </w:rPr>
                    <w:t>相对本项目</w:t>
                  </w:r>
                  <w:r>
                    <w:rPr>
                      <w:rFonts w:hAnsi="Calibri"/>
                      <w:b/>
                      <w:bCs/>
                      <w:szCs w:val="21"/>
                    </w:rPr>
                    <w:t>厂界距离</w:t>
                  </w:r>
                </w:p>
              </w:tc>
              <w:tc>
                <w:tcPr>
                  <w:tcW w:w="1134" w:type="pct"/>
                  <w:gridSpan w:val="2"/>
                  <w:vAlign w:val="center"/>
                </w:tcPr>
                <w:p>
                  <w:pPr>
                    <w:jc w:val="center"/>
                    <w:rPr>
                      <w:rFonts w:hAnsi="宋体"/>
                      <w:b/>
                      <w:bCs/>
                      <w:szCs w:val="21"/>
                    </w:rPr>
                  </w:pPr>
                  <w:r>
                    <w:rPr>
                      <w:rFonts w:hint="eastAsia" w:hAnsi="宋体"/>
                      <w:b/>
                      <w:bCs/>
                      <w:szCs w:val="21"/>
                    </w:rPr>
                    <w:t>小时浓度范围(mg/m</w:t>
                  </w:r>
                  <w:r>
                    <w:rPr>
                      <w:rFonts w:hint="eastAsia" w:hAnsi="宋体"/>
                      <w:b/>
                      <w:bCs/>
                      <w:szCs w:val="21"/>
                      <w:vertAlign w:val="superscript"/>
                    </w:rPr>
                    <w:t>3</w:t>
                  </w:r>
                  <w:r>
                    <w:rPr>
                      <w:rFonts w:hint="eastAsia" w:hAnsi="宋体"/>
                      <w:b/>
                      <w:bCs/>
                      <w:szCs w:val="21"/>
                    </w:rPr>
                    <w:t>)</w:t>
                  </w:r>
                </w:p>
              </w:tc>
              <w:tc>
                <w:tcPr>
                  <w:tcW w:w="1161" w:type="pct"/>
                  <w:gridSpan w:val="2"/>
                  <w:vAlign w:val="center"/>
                </w:tcPr>
                <w:p>
                  <w:pPr>
                    <w:jc w:val="center"/>
                    <w:rPr>
                      <w:rFonts w:hAnsi="宋体"/>
                      <w:b/>
                      <w:bCs/>
                      <w:szCs w:val="21"/>
                    </w:rPr>
                  </w:pPr>
                  <w:r>
                    <w:rPr>
                      <w:rFonts w:hint="eastAsia" w:hAnsi="宋体"/>
                      <w:b/>
                      <w:bCs/>
                      <w:szCs w:val="21"/>
                    </w:rPr>
                    <w:t>污染指数范围</w:t>
                  </w:r>
                </w:p>
              </w:tc>
              <w:tc>
                <w:tcPr>
                  <w:tcW w:w="431" w:type="pct"/>
                  <w:vMerge w:val="restart"/>
                  <w:vAlign w:val="center"/>
                </w:tcPr>
                <w:p>
                  <w:pPr>
                    <w:jc w:val="center"/>
                    <w:rPr>
                      <w:rFonts w:hAnsi="宋体"/>
                      <w:b/>
                      <w:bCs/>
                      <w:szCs w:val="21"/>
                    </w:rPr>
                  </w:pPr>
                  <w:r>
                    <w:rPr>
                      <w:rFonts w:hint="eastAsia" w:hAnsi="宋体"/>
                      <w:b/>
                      <w:bCs/>
                      <w:szCs w:val="21"/>
                    </w:rPr>
                    <w:t>评价标准（mg/m</w:t>
                  </w:r>
                  <w:r>
                    <w:rPr>
                      <w:rFonts w:hint="eastAsia" w:hAnsi="宋体"/>
                      <w:b/>
                      <w:bCs/>
                      <w:szCs w:val="21"/>
                      <w:vertAlign w:val="superscript"/>
                    </w:rPr>
                    <w:t>3</w:t>
                  </w:r>
                  <w:r>
                    <w:rPr>
                      <w:rFonts w:hint="eastAsia" w:hAnsi="宋体"/>
                      <w:b/>
                      <w:bCs/>
                      <w:szCs w:val="21"/>
                    </w:rPr>
                    <w:t>）</w:t>
                  </w:r>
                </w:p>
              </w:tc>
              <w:tc>
                <w:tcPr>
                  <w:tcW w:w="424" w:type="pct"/>
                  <w:vMerge w:val="restart"/>
                  <w:vAlign w:val="center"/>
                </w:tcPr>
                <w:p>
                  <w:pPr>
                    <w:jc w:val="center"/>
                    <w:rPr>
                      <w:rFonts w:hAnsi="宋体"/>
                      <w:b/>
                      <w:bCs/>
                      <w:szCs w:val="21"/>
                    </w:rPr>
                  </w:pPr>
                  <w:r>
                    <w:rPr>
                      <w:rFonts w:hAnsi="宋体"/>
                      <w:b/>
                      <w:bCs/>
                      <w:szCs w:val="21"/>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3" w:type="pct"/>
                  <w:vMerge w:val="continue"/>
                  <w:vAlign w:val="center"/>
                </w:tcPr>
                <w:p>
                  <w:pPr>
                    <w:jc w:val="center"/>
                    <w:rPr>
                      <w:b/>
                      <w:bCs/>
                      <w:szCs w:val="21"/>
                    </w:rPr>
                  </w:pPr>
                </w:p>
              </w:tc>
              <w:tc>
                <w:tcPr>
                  <w:tcW w:w="224" w:type="pct"/>
                  <w:vMerge w:val="continue"/>
                  <w:vAlign w:val="center"/>
                </w:tcPr>
                <w:p>
                  <w:pPr>
                    <w:jc w:val="center"/>
                    <w:rPr>
                      <w:b/>
                      <w:bCs/>
                      <w:szCs w:val="21"/>
                    </w:rPr>
                  </w:pPr>
                </w:p>
              </w:tc>
              <w:tc>
                <w:tcPr>
                  <w:tcW w:w="530" w:type="pct"/>
                  <w:vMerge w:val="continue"/>
                  <w:vAlign w:val="center"/>
                </w:tcPr>
                <w:p>
                  <w:pPr>
                    <w:jc w:val="center"/>
                    <w:rPr>
                      <w:b/>
                      <w:bCs/>
                      <w:szCs w:val="21"/>
                    </w:rPr>
                  </w:pPr>
                </w:p>
              </w:tc>
              <w:tc>
                <w:tcPr>
                  <w:tcW w:w="530" w:type="pct"/>
                  <w:vMerge w:val="continue"/>
                  <w:vAlign w:val="center"/>
                </w:tcPr>
                <w:p>
                  <w:pPr>
                    <w:jc w:val="center"/>
                    <w:rPr>
                      <w:b/>
                      <w:bCs/>
                      <w:szCs w:val="21"/>
                    </w:rPr>
                  </w:pPr>
                </w:p>
              </w:tc>
              <w:tc>
                <w:tcPr>
                  <w:tcW w:w="575" w:type="pct"/>
                  <w:vAlign w:val="center"/>
                </w:tcPr>
                <w:p>
                  <w:pPr>
                    <w:jc w:val="center"/>
                    <w:rPr>
                      <w:b/>
                      <w:bCs/>
                      <w:szCs w:val="21"/>
                    </w:rPr>
                  </w:pPr>
                  <w:r>
                    <w:rPr>
                      <w:rFonts w:hint="eastAsia"/>
                      <w:b/>
                      <w:bCs/>
                      <w:szCs w:val="21"/>
                    </w:rPr>
                    <w:t>最小值</w:t>
                  </w:r>
                </w:p>
              </w:tc>
              <w:tc>
                <w:tcPr>
                  <w:tcW w:w="558" w:type="pct"/>
                  <w:vAlign w:val="center"/>
                </w:tcPr>
                <w:p>
                  <w:pPr>
                    <w:jc w:val="center"/>
                    <w:rPr>
                      <w:b/>
                      <w:bCs/>
                      <w:szCs w:val="21"/>
                    </w:rPr>
                  </w:pPr>
                  <w:r>
                    <w:rPr>
                      <w:rFonts w:hint="eastAsia"/>
                      <w:b/>
                      <w:bCs/>
                      <w:szCs w:val="21"/>
                    </w:rPr>
                    <w:t>最大值</w:t>
                  </w:r>
                </w:p>
              </w:tc>
              <w:tc>
                <w:tcPr>
                  <w:tcW w:w="566" w:type="pct"/>
                  <w:vAlign w:val="center"/>
                </w:tcPr>
                <w:p>
                  <w:pPr>
                    <w:jc w:val="center"/>
                    <w:rPr>
                      <w:b/>
                      <w:bCs/>
                      <w:szCs w:val="21"/>
                    </w:rPr>
                  </w:pPr>
                  <w:r>
                    <w:rPr>
                      <w:rFonts w:hint="eastAsia"/>
                      <w:b/>
                      <w:bCs/>
                      <w:szCs w:val="21"/>
                    </w:rPr>
                    <w:t>最小值</w:t>
                  </w:r>
                </w:p>
              </w:tc>
              <w:tc>
                <w:tcPr>
                  <w:tcW w:w="594" w:type="pct"/>
                  <w:vAlign w:val="center"/>
                </w:tcPr>
                <w:p>
                  <w:pPr>
                    <w:jc w:val="center"/>
                    <w:rPr>
                      <w:b/>
                      <w:bCs/>
                      <w:szCs w:val="21"/>
                    </w:rPr>
                  </w:pPr>
                  <w:r>
                    <w:rPr>
                      <w:rFonts w:hint="eastAsia"/>
                      <w:b/>
                      <w:bCs/>
                      <w:szCs w:val="21"/>
                    </w:rPr>
                    <w:t>最大值</w:t>
                  </w:r>
                </w:p>
              </w:tc>
              <w:tc>
                <w:tcPr>
                  <w:tcW w:w="431" w:type="pct"/>
                  <w:vMerge w:val="continue"/>
                  <w:vAlign w:val="center"/>
                </w:tcPr>
                <w:p>
                  <w:pPr>
                    <w:jc w:val="center"/>
                    <w:rPr>
                      <w:b/>
                      <w:bCs/>
                      <w:szCs w:val="21"/>
                    </w:rPr>
                  </w:pPr>
                </w:p>
              </w:tc>
              <w:tc>
                <w:tcPr>
                  <w:tcW w:w="424" w:type="pct"/>
                  <w:vMerge w:val="continue"/>
                  <w:vAlign w:val="center"/>
                </w:tcPr>
                <w:p>
                  <w:pPr>
                    <w:jc w:val="center"/>
                    <w:rPr>
                      <w:b/>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3" w:type="pct"/>
                  <w:vAlign w:val="center"/>
                </w:tcPr>
                <w:p>
                  <w:pPr>
                    <w:pStyle w:val="1039"/>
                    <w:widowControl/>
                    <w:jc w:val="center"/>
                    <w:rPr>
                      <w:bCs/>
                      <w:color w:val="auto"/>
                    </w:rPr>
                  </w:pPr>
                  <w:r>
                    <w:rPr>
                      <w:rFonts w:hint="eastAsia"/>
                      <w:bCs/>
                      <w:color w:val="auto"/>
                    </w:rPr>
                    <w:t>官飞村</w:t>
                  </w:r>
                </w:p>
              </w:tc>
              <w:tc>
                <w:tcPr>
                  <w:tcW w:w="224" w:type="pct"/>
                  <w:vMerge w:val="restart"/>
                  <w:vAlign w:val="center"/>
                </w:tcPr>
                <w:p>
                  <w:pPr>
                    <w:jc w:val="center"/>
                    <w:rPr>
                      <w:szCs w:val="21"/>
                    </w:rPr>
                  </w:pPr>
                  <w:r>
                    <w:rPr>
                      <w:rFonts w:hint="eastAsia"/>
                      <w:szCs w:val="21"/>
                    </w:rPr>
                    <w:t>二甲苯</w:t>
                  </w:r>
                </w:p>
              </w:tc>
              <w:tc>
                <w:tcPr>
                  <w:tcW w:w="530" w:type="pct"/>
                  <w:vAlign w:val="center"/>
                </w:tcPr>
                <w:p>
                  <w:pPr>
                    <w:jc w:val="center"/>
                  </w:pPr>
                  <w:r>
                    <w:rPr>
                      <w:rFonts w:hint="eastAsia"/>
                    </w:rPr>
                    <w:t>西</w:t>
                  </w:r>
                </w:p>
              </w:tc>
              <w:tc>
                <w:tcPr>
                  <w:tcW w:w="530" w:type="pct"/>
                  <w:vAlign w:val="center"/>
                </w:tcPr>
                <w:p>
                  <w:pPr>
                    <w:jc w:val="center"/>
                  </w:pPr>
                  <w:r>
                    <w:rPr>
                      <w:rFonts w:hint="eastAsia"/>
                    </w:rPr>
                    <w:t>3803</w:t>
                  </w:r>
                </w:p>
              </w:tc>
              <w:tc>
                <w:tcPr>
                  <w:tcW w:w="575" w:type="pct"/>
                  <w:vAlign w:val="center"/>
                </w:tcPr>
                <w:p>
                  <w:pPr>
                    <w:jc w:val="center"/>
                  </w:pPr>
                  <w:r>
                    <w:rPr>
                      <w:rFonts w:hint="eastAsia" w:ascii="TimesNewRomanPSMT" w:hAnsi="TimesNewRomanPSMT" w:eastAsia="TimesNewRomanPSMT"/>
                    </w:rPr>
                    <w:t>ND</w:t>
                  </w:r>
                </w:p>
              </w:tc>
              <w:tc>
                <w:tcPr>
                  <w:tcW w:w="558" w:type="pct"/>
                  <w:vAlign w:val="center"/>
                </w:tcPr>
                <w:p>
                  <w:pPr>
                    <w:jc w:val="center"/>
                    <w:rPr>
                      <w:rFonts w:ascii="TimesNewRomanPSMT" w:hAnsi="TimesNewRomanPSMT" w:eastAsia="TimesNewRomanPSMT"/>
                    </w:rPr>
                  </w:pPr>
                  <w:r>
                    <w:rPr>
                      <w:rFonts w:hint="eastAsia" w:ascii="TimesNewRomanPSMT" w:hAnsi="TimesNewRomanPSMT" w:eastAsia="TimesNewRomanPSMT"/>
                    </w:rPr>
                    <w:t>ND</w:t>
                  </w:r>
                </w:p>
              </w:tc>
              <w:tc>
                <w:tcPr>
                  <w:tcW w:w="566" w:type="pct"/>
                  <w:vAlign w:val="center"/>
                </w:tcPr>
                <w:p>
                  <w:pPr>
                    <w:jc w:val="center"/>
                  </w:pPr>
                  <w:r>
                    <w:rPr>
                      <w:rFonts w:hint="eastAsia"/>
                    </w:rPr>
                    <w:t>/</w:t>
                  </w:r>
                </w:p>
              </w:tc>
              <w:tc>
                <w:tcPr>
                  <w:tcW w:w="594" w:type="pct"/>
                  <w:vAlign w:val="center"/>
                </w:tcPr>
                <w:p>
                  <w:pPr>
                    <w:jc w:val="center"/>
                  </w:pPr>
                  <w:r>
                    <w:rPr>
                      <w:rFonts w:hint="eastAsia"/>
                    </w:rPr>
                    <w:t>/</w:t>
                  </w:r>
                </w:p>
              </w:tc>
              <w:tc>
                <w:tcPr>
                  <w:tcW w:w="431" w:type="pct"/>
                  <w:vMerge w:val="restart"/>
                  <w:vAlign w:val="center"/>
                </w:tcPr>
                <w:p>
                  <w:pPr>
                    <w:jc w:val="center"/>
                  </w:pPr>
                  <w:r>
                    <w:rPr>
                      <w:rFonts w:hint="eastAsia"/>
                      <w:szCs w:val="21"/>
                    </w:rPr>
                    <w:t>0.2</w:t>
                  </w:r>
                </w:p>
              </w:tc>
              <w:tc>
                <w:tcPr>
                  <w:tcW w:w="424" w:type="pct"/>
                  <w:vAlign w:val="center"/>
                </w:tcPr>
                <w:p>
                  <w:pPr>
                    <w:jc w:val="center"/>
                  </w:pPr>
                  <w:r>
                    <w:rPr>
                      <w:rFonts w:hAnsi="宋体"/>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3" w:type="pct"/>
                  <w:vAlign w:val="center"/>
                </w:tcPr>
                <w:p>
                  <w:pPr>
                    <w:pStyle w:val="1039"/>
                    <w:widowControl/>
                    <w:jc w:val="center"/>
                    <w:rPr>
                      <w:bCs/>
                      <w:color w:val="auto"/>
                    </w:rPr>
                  </w:pPr>
                  <w:r>
                    <w:rPr>
                      <w:rFonts w:hint="eastAsia"/>
                      <w:bCs/>
                      <w:color w:val="auto"/>
                    </w:rPr>
                    <w:t>东部新城</w:t>
                  </w:r>
                </w:p>
              </w:tc>
              <w:tc>
                <w:tcPr>
                  <w:tcW w:w="224" w:type="pct"/>
                  <w:vMerge w:val="continue"/>
                  <w:vAlign w:val="center"/>
                </w:tcPr>
                <w:p>
                  <w:pPr>
                    <w:jc w:val="center"/>
                    <w:rPr>
                      <w:rFonts w:hAnsi="宋体"/>
                      <w:szCs w:val="21"/>
                    </w:rPr>
                  </w:pPr>
                </w:p>
              </w:tc>
              <w:tc>
                <w:tcPr>
                  <w:tcW w:w="530" w:type="pct"/>
                  <w:vAlign w:val="center"/>
                </w:tcPr>
                <w:p>
                  <w:pPr>
                    <w:jc w:val="center"/>
                  </w:pPr>
                  <w:r>
                    <w:rPr>
                      <w:rFonts w:hint="eastAsia"/>
                    </w:rPr>
                    <w:t>西南</w:t>
                  </w:r>
                </w:p>
              </w:tc>
              <w:tc>
                <w:tcPr>
                  <w:tcW w:w="530" w:type="pct"/>
                  <w:vAlign w:val="center"/>
                </w:tcPr>
                <w:p>
                  <w:pPr>
                    <w:jc w:val="center"/>
                  </w:pPr>
                  <w:r>
                    <w:rPr>
                      <w:rFonts w:hint="eastAsia"/>
                    </w:rPr>
                    <w:t>5275</w:t>
                  </w:r>
                </w:p>
              </w:tc>
              <w:tc>
                <w:tcPr>
                  <w:tcW w:w="575" w:type="pct"/>
                  <w:vAlign w:val="center"/>
                </w:tcPr>
                <w:p>
                  <w:pPr>
                    <w:jc w:val="center"/>
                    <w:rPr>
                      <w:rFonts w:ascii="TimesNewRomanPSMT" w:hAnsi="TimesNewRomanPSMT" w:eastAsia="TimesNewRomanPSMT"/>
                    </w:rPr>
                  </w:pPr>
                  <w:r>
                    <w:rPr>
                      <w:rFonts w:hint="eastAsia" w:ascii="TimesNewRomanPSMT" w:hAnsi="TimesNewRomanPSMT" w:eastAsia="TimesNewRomanPSMT"/>
                    </w:rPr>
                    <w:t>ND</w:t>
                  </w:r>
                </w:p>
              </w:tc>
              <w:tc>
                <w:tcPr>
                  <w:tcW w:w="558" w:type="pct"/>
                  <w:vAlign w:val="center"/>
                </w:tcPr>
                <w:p>
                  <w:pPr>
                    <w:jc w:val="center"/>
                    <w:rPr>
                      <w:rFonts w:ascii="TimesNewRomanPSMT" w:hAnsi="TimesNewRomanPSMT" w:eastAsia="TimesNewRomanPSMT"/>
                    </w:rPr>
                  </w:pPr>
                  <w:r>
                    <w:rPr>
                      <w:rFonts w:hint="eastAsia" w:ascii="TimesNewRomanPSMT" w:hAnsi="TimesNewRomanPSMT" w:eastAsia="TimesNewRomanPSMT"/>
                    </w:rPr>
                    <w:t>ND</w:t>
                  </w:r>
                </w:p>
              </w:tc>
              <w:tc>
                <w:tcPr>
                  <w:tcW w:w="566" w:type="pct"/>
                  <w:vAlign w:val="center"/>
                </w:tcPr>
                <w:p>
                  <w:pPr>
                    <w:jc w:val="center"/>
                  </w:pPr>
                  <w:r>
                    <w:rPr>
                      <w:rFonts w:hint="eastAsia"/>
                    </w:rPr>
                    <w:t>/</w:t>
                  </w:r>
                </w:p>
              </w:tc>
              <w:tc>
                <w:tcPr>
                  <w:tcW w:w="594" w:type="pct"/>
                  <w:vAlign w:val="center"/>
                </w:tcPr>
                <w:p>
                  <w:pPr>
                    <w:jc w:val="center"/>
                  </w:pPr>
                  <w:r>
                    <w:rPr>
                      <w:rFonts w:hint="eastAsia"/>
                    </w:rPr>
                    <w:t>/</w:t>
                  </w:r>
                </w:p>
              </w:tc>
              <w:tc>
                <w:tcPr>
                  <w:tcW w:w="431" w:type="pct"/>
                  <w:vMerge w:val="continue"/>
                  <w:vAlign w:val="center"/>
                </w:tcPr>
                <w:p>
                  <w:pPr>
                    <w:jc w:val="center"/>
                  </w:pPr>
                </w:p>
              </w:tc>
              <w:tc>
                <w:tcPr>
                  <w:tcW w:w="424" w:type="pct"/>
                  <w:vAlign w:val="center"/>
                </w:tcPr>
                <w:p>
                  <w:pPr>
                    <w:jc w:val="center"/>
                  </w:pPr>
                  <w:r>
                    <w:rPr>
                      <w:rFonts w:hAnsi="宋体"/>
                      <w:szCs w:val="21"/>
                    </w:rPr>
                    <w:t>达标</w:t>
                  </w:r>
                </w:p>
              </w:tc>
            </w:tr>
          </w:tbl>
          <w:p>
            <w:pPr>
              <w:spacing w:line="360" w:lineRule="auto"/>
              <w:ind w:firstLine="480" w:firstLineChars="200"/>
              <w:rPr>
                <w:rFonts w:hAnsi="宋体"/>
                <w:sz w:val="24"/>
              </w:rPr>
            </w:pPr>
            <w:r>
              <w:rPr>
                <w:rFonts w:hAnsi="宋体"/>
                <w:sz w:val="24"/>
              </w:rPr>
              <w:t>由上表可知，项目所在区域</w:t>
            </w:r>
            <w:r>
              <w:rPr>
                <w:rFonts w:hint="eastAsia" w:hAnsi="宋体"/>
                <w:sz w:val="24"/>
              </w:rPr>
              <w:t>二甲苯小时</w:t>
            </w:r>
            <w:r>
              <w:rPr>
                <w:rFonts w:hAnsi="宋体"/>
                <w:sz w:val="24"/>
              </w:rPr>
              <w:t>浓度值满足《环境影响评价技术导则-大气环境》（HJ2.2-2018）中附录D表D.1其他污染物空气质量浓度参考限值。</w:t>
            </w:r>
          </w:p>
          <w:p>
            <w:pPr>
              <w:spacing w:line="360" w:lineRule="auto"/>
              <w:ind w:firstLine="480" w:firstLineChars="200"/>
              <w:rPr>
                <w:rFonts w:hAnsi="宋体"/>
                <w:sz w:val="24"/>
              </w:rPr>
            </w:pPr>
            <w:r>
              <w:rPr>
                <w:rFonts w:hAnsi="宋体"/>
                <w:sz w:val="24"/>
              </w:rPr>
              <w:fldChar w:fldCharType="begin"/>
            </w:r>
            <w:r>
              <w:rPr>
                <w:rFonts w:hAnsi="宋体"/>
                <w:sz w:val="24"/>
              </w:rPr>
              <w:instrText xml:space="preserve"> = 3 \* GB3 \* MERGEFORMAT </w:instrText>
            </w:r>
            <w:r>
              <w:rPr>
                <w:rFonts w:hAnsi="宋体"/>
                <w:sz w:val="24"/>
              </w:rPr>
              <w:fldChar w:fldCharType="separate"/>
            </w:r>
            <w:r>
              <w:t>③</w:t>
            </w:r>
            <w:r>
              <w:rPr>
                <w:rFonts w:hAnsi="宋体"/>
                <w:sz w:val="24"/>
              </w:rPr>
              <w:fldChar w:fldCharType="end"/>
            </w:r>
            <w:r>
              <w:rPr>
                <w:rFonts w:hint="eastAsia" w:hAnsi="宋体"/>
                <w:sz w:val="24"/>
              </w:rPr>
              <w:t>甲苯</w:t>
            </w:r>
          </w:p>
          <w:p>
            <w:pPr>
              <w:spacing w:line="360" w:lineRule="auto"/>
              <w:ind w:firstLine="480" w:firstLineChars="200"/>
              <w:rPr>
                <w:rFonts w:hAnsi="宋体"/>
                <w:sz w:val="24"/>
              </w:rPr>
            </w:pPr>
            <w:r>
              <w:rPr>
                <w:rFonts w:hint="eastAsia" w:hAnsi="宋体"/>
                <w:sz w:val="24"/>
              </w:rPr>
              <w:t>监测信息见下表：</w:t>
            </w:r>
          </w:p>
          <w:p>
            <w:pPr>
              <w:spacing w:line="360" w:lineRule="auto"/>
              <w:ind w:firstLine="482" w:firstLineChars="200"/>
              <w:jc w:val="center"/>
              <w:rPr>
                <w:rFonts w:hAnsi="宋体"/>
                <w:b/>
                <w:bCs/>
                <w:sz w:val="24"/>
              </w:rPr>
            </w:pPr>
            <w:r>
              <w:rPr>
                <w:rFonts w:hint="eastAsia" w:hAnsi="宋体"/>
                <w:b/>
                <w:bCs/>
                <w:sz w:val="24"/>
              </w:rPr>
              <w:t>表3-4  甲苯环境质量现状一览表</w:t>
            </w:r>
          </w:p>
          <w:tbl>
            <w:tblPr>
              <w:tblStyle w:val="5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427"/>
              <w:gridCol w:w="814"/>
              <w:gridCol w:w="815"/>
              <w:gridCol w:w="891"/>
              <w:gridCol w:w="840"/>
              <w:gridCol w:w="901"/>
              <w:gridCol w:w="921"/>
              <w:gridCol w:w="1219"/>
              <w:gridCol w:w="6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3" w:type="pct"/>
                  <w:vMerge w:val="restart"/>
                  <w:vAlign w:val="center"/>
                </w:tcPr>
                <w:p>
                  <w:pPr>
                    <w:jc w:val="center"/>
                    <w:rPr>
                      <w:b/>
                      <w:bCs/>
                      <w:szCs w:val="21"/>
                    </w:rPr>
                  </w:pPr>
                  <w:r>
                    <w:rPr>
                      <w:rFonts w:hAnsi="宋体"/>
                      <w:b/>
                      <w:bCs/>
                      <w:szCs w:val="21"/>
                    </w:rPr>
                    <w:t>点位</w:t>
                  </w:r>
                  <w:r>
                    <w:rPr>
                      <w:rFonts w:hAnsi="Calibri"/>
                      <w:b/>
                      <w:bCs/>
                      <w:szCs w:val="21"/>
                    </w:rPr>
                    <w:t>名称</w:t>
                  </w:r>
                </w:p>
              </w:tc>
              <w:tc>
                <w:tcPr>
                  <w:tcW w:w="224" w:type="pct"/>
                  <w:vMerge w:val="restart"/>
                  <w:vAlign w:val="center"/>
                </w:tcPr>
                <w:p>
                  <w:pPr>
                    <w:jc w:val="center"/>
                    <w:rPr>
                      <w:b/>
                      <w:bCs/>
                      <w:szCs w:val="21"/>
                    </w:rPr>
                  </w:pPr>
                  <w:r>
                    <w:rPr>
                      <w:rFonts w:hAnsi="宋体"/>
                      <w:b/>
                      <w:bCs/>
                      <w:szCs w:val="21"/>
                    </w:rPr>
                    <w:t>监测</w:t>
                  </w:r>
                  <w:r>
                    <w:rPr>
                      <w:rFonts w:hAnsi="Calibri"/>
                      <w:b/>
                      <w:bCs/>
                      <w:szCs w:val="21"/>
                    </w:rPr>
                    <w:t>因子</w:t>
                  </w:r>
                </w:p>
              </w:tc>
              <w:tc>
                <w:tcPr>
                  <w:tcW w:w="530" w:type="pct"/>
                  <w:vMerge w:val="restart"/>
                  <w:vAlign w:val="center"/>
                </w:tcPr>
                <w:p>
                  <w:pPr>
                    <w:jc w:val="center"/>
                    <w:rPr>
                      <w:b/>
                      <w:bCs/>
                      <w:szCs w:val="21"/>
                    </w:rPr>
                  </w:pPr>
                  <w:r>
                    <w:rPr>
                      <w:rFonts w:hAnsi="宋体"/>
                      <w:b/>
                      <w:bCs/>
                      <w:szCs w:val="21"/>
                    </w:rPr>
                    <w:t>相对本项目</w:t>
                  </w:r>
                  <w:r>
                    <w:rPr>
                      <w:rFonts w:hAnsi="Calibri"/>
                      <w:b/>
                      <w:bCs/>
                      <w:szCs w:val="21"/>
                    </w:rPr>
                    <w:t>厂址方位</w:t>
                  </w:r>
                </w:p>
              </w:tc>
              <w:tc>
                <w:tcPr>
                  <w:tcW w:w="530" w:type="pct"/>
                  <w:vMerge w:val="restart"/>
                  <w:vAlign w:val="center"/>
                </w:tcPr>
                <w:p>
                  <w:pPr>
                    <w:jc w:val="center"/>
                    <w:rPr>
                      <w:b/>
                      <w:bCs/>
                      <w:szCs w:val="21"/>
                    </w:rPr>
                  </w:pPr>
                  <w:r>
                    <w:rPr>
                      <w:rFonts w:hAnsi="宋体"/>
                      <w:b/>
                      <w:bCs/>
                      <w:szCs w:val="21"/>
                    </w:rPr>
                    <w:t>相对本项目</w:t>
                  </w:r>
                  <w:r>
                    <w:rPr>
                      <w:rFonts w:hAnsi="Calibri"/>
                      <w:b/>
                      <w:bCs/>
                      <w:szCs w:val="21"/>
                    </w:rPr>
                    <w:t>厂界距离</w:t>
                  </w:r>
                </w:p>
              </w:tc>
              <w:tc>
                <w:tcPr>
                  <w:tcW w:w="1120" w:type="pct"/>
                  <w:gridSpan w:val="2"/>
                  <w:vAlign w:val="center"/>
                </w:tcPr>
                <w:p>
                  <w:pPr>
                    <w:jc w:val="center"/>
                    <w:rPr>
                      <w:rFonts w:hAnsi="宋体"/>
                      <w:b/>
                      <w:bCs/>
                      <w:szCs w:val="21"/>
                    </w:rPr>
                  </w:pPr>
                  <w:r>
                    <w:rPr>
                      <w:rFonts w:hint="eastAsia" w:hAnsi="宋体"/>
                      <w:b/>
                      <w:bCs/>
                      <w:szCs w:val="21"/>
                    </w:rPr>
                    <w:t>小时浓度范围(mg/m</w:t>
                  </w:r>
                  <w:r>
                    <w:rPr>
                      <w:rFonts w:hint="eastAsia" w:hAnsi="宋体"/>
                      <w:b/>
                      <w:bCs/>
                      <w:szCs w:val="21"/>
                      <w:vertAlign w:val="superscript"/>
                    </w:rPr>
                    <w:t>3</w:t>
                  </w:r>
                  <w:r>
                    <w:rPr>
                      <w:rFonts w:hint="eastAsia" w:hAnsi="宋体"/>
                      <w:b/>
                      <w:bCs/>
                      <w:szCs w:val="21"/>
                    </w:rPr>
                    <w:t>)</w:t>
                  </w:r>
                </w:p>
              </w:tc>
              <w:tc>
                <w:tcPr>
                  <w:tcW w:w="1174" w:type="pct"/>
                  <w:gridSpan w:val="2"/>
                  <w:vAlign w:val="center"/>
                </w:tcPr>
                <w:p>
                  <w:pPr>
                    <w:jc w:val="center"/>
                    <w:rPr>
                      <w:rFonts w:hAnsi="宋体"/>
                      <w:b/>
                      <w:bCs/>
                      <w:szCs w:val="21"/>
                    </w:rPr>
                  </w:pPr>
                  <w:r>
                    <w:rPr>
                      <w:rFonts w:hint="eastAsia" w:hAnsi="宋体"/>
                      <w:b/>
                      <w:bCs/>
                      <w:szCs w:val="21"/>
                    </w:rPr>
                    <w:t>污染指数范围</w:t>
                  </w:r>
                </w:p>
              </w:tc>
              <w:tc>
                <w:tcPr>
                  <w:tcW w:w="431" w:type="pct"/>
                  <w:vMerge w:val="restart"/>
                  <w:vAlign w:val="center"/>
                </w:tcPr>
                <w:p>
                  <w:pPr>
                    <w:jc w:val="center"/>
                    <w:rPr>
                      <w:rFonts w:hAnsi="宋体"/>
                      <w:b/>
                      <w:bCs/>
                      <w:szCs w:val="21"/>
                    </w:rPr>
                  </w:pPr>
                  <w:r>
                    <w:rPr>
                      <w:rFonts w:hint="eastAsia" w:hAnsi="宋体"/>
                      <w:b/>
                      <w:bCs/>
                      <w:szCs w:val="21"/>
                    </w:rPr>
                    <w:t>评价标准（mg/m</w:t>
                  </w:r>
                  <w:r>
                    <w:rPr>
                      <w:rFonts w:hint="eastAsia" w:hAnsi="宋体"/>
                      <w:b/>
                      <w:bCs/>
                      <w:szCs w:val="21"/>
                      <w:vertAlign w:val="superscript"/>
                    </w:rPr>
                    <w:t>3</w:t>
                  </w:r>
                  <w:r>
                    <w:rPr>
                      <w:rFonts w:hint="eastAsia" w:hAnsi="宋体"/>
                      <w:b/>
                      <w:bCs/>
                      <w:szCs w:val="21"/>
                    </w:rPr>
                    <w:t>）</w:t>
                  </w:r>
                </w:p>
              </w:tc>
              <w:tc>
                <w:tcPr>
                  <w:tcW w:w="424" w:type="pct"/>
                  <w:vMerge w:val="restart"/>
                  <w:vAlign w:val="center"/>
                </w:tcPr>
                <w:p>
                  <w:pPr>
                    <w:jc w:val="center"/>
                    <w:rPr>
                      <w:rFonts w:hAnsi="宋体"/>
                      <w:b/>
                      <w:bCs/>
                      <w:szCs w:val="21"/>
                    </w:rPr>
                  </w:pPr>
                  <w:r>
                    <w:rPr>
                      <w:rFonts w:hAnsi="宋体"/>
                      <w:b/>
                      <w:bCs/>
                      <w:szCs w:val="21"/>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3" w:type="pct"/>
                  <w:vMerge w:val="continue"/>
                  <w:vAlign w:val="center"/>
                </w:tcPr>
                <w:p>
                  <w:pPr>
                    <w:jc w:val="center"/>
                    <w:rPr>
                      <w:b/>
                      <w:bCs/>
                      <w:szCs w:val="21"/>
                    </w:rPr>
                  </w:pPr>
                </w:p>
              </w:tc>
              <w:tc>
                <w:tcPr>
                  <w:tcW w:w="224" w:type="pct"/>
                  <w:vMerge w:val="continue"/>
                  <w:vAlign w:val="center"/>
                </w:tcPr>
                <w:p>
                  <w:pPr>
                    <w:jc w:val="center"/>
                    <w:rPr>
                      <w:b/>
                      <w:bCs/>
                      <w:szCs w:val="21"/>
                    </w:rPr>
                  </w:pPr>
                </w:p>
              </w:tc>
              <w:tc>
                <w:tcPr>
                  <w:tcW w:w="530" w:type="pct"/>
                  <w:vMerge w:val="continue"/>
                  <w:vAlign w:val="center"/>
                </w:tcPr>
                <w:p>
                  <w:pPr>
                    <w:jc w:val="center"/>
                    <w:rPr>
                      <w:b/>
                      <w:bCs/>
                      <w:szCs w:val="21"/>
                    </w:rPr>
                  </w:pPr>
                </w:p>
              </w:tc>
              <w:tc>
                <w:tcPr>
                  <w:tcW w:w="530" w:type="pct"/>
                  <w:vMerge w:val="continue"/>
                  <w:vAlign w:val="center"/>
                </w:tcPr>
                <w:p>
                  <w:pPr>
                    <w:jc w:val="center"/>
                    <w:rPr>
                      <w:b/>
                      <w:bCs/>
                      <w:szCs w:val="21"/>
                    </w:rPr>
                  </w:pPr>
                </w:p>
              </w:tc>
              <w:tc>
                <w:tcPr>
                  <w:tcW w:w="575" w:type="pct"/>
                  <w:vAlign w:val="center"/>
                </w:tcPr>
                <w:p>
                  <w:pPr>
                    <w:jc w:val="center"/>
                    <w:rPr>
                      <w:b/>
                      <w:bCs/>
                      <w:szCs w:val="21"/>
                    </w:rPr>
                  </w:pPr>
                  <w:r>
                    <w:rPr>
                      <w:rFonts w:hint="eastAsia"/>
                      <w:b/>
                      <w:bCs/>
                      <w:szCs w:val="21"/>
                    </w:rPr>
                    <w:t>最小值</w:t>
                  </w:r>
                </w:p>
              </w:tc>
              <w:tc>
                <w:tcPr>
                  <w:tcW w:w="544" w:type="pct"/>
                  <w:vAlign w:val="center"/>
                </w:tcPr>
                <w:p>
                  <w:pPr>
                    <w:jc w:val="center"/>
                    <w:rPr>
                      <w:b/>
                      <w:bCs/>
                      <w:szCs w:val="21"/>
                    </w:rPr>
                  </w:pPr>
                  <w:r>
                    <w:rPr>
                      <w:rFonts w:hint="eastAsia"/>
                      <w:b/>
                      <w:bCs/>
                      <w:szCs w:val="21"/>
                    </w:rPr>
                    <w:t>最大值</w:t>
                  </w:r>
                </w:p>
              </w:tc>
              <w:tc>
                <w:tcPr>
                  <w:tcW w:w="581" w:type="pct"/>
                  <w:vAlign w:val="center"/>
                </w:tcPr>
                <w:p>
                  <w:pPr>
                    <w:jc w:val="center"/>
                    <w:rPr>
                      <w:b/>
                      <w:bCs/>
                      <w:szCs w:val="21"/>
                    </w:rPr>
                  </w:pPr>
                  <w:r>
                    <w:rPr>
                      <w:rFonts w:hint="eastAsia"/>
                      <w:b/>
                      <w:bCs/>
                      <w:szCs w:val="21"/>
                    </w:rPr>
                    <w:t>最小值</w:t>
                  </w:r>
                </w:p>
              </w:tc>
              <w:tc>
                <w:tcPr>
                  <w:tcW w:w="593" w:type="pct"/>
                  <w:vAlign w:val="center"/>
                </w:tcPr>
                <w:p>
                  <w:pPr>
                    <w:jc w:val="center"/>
                    <w:rPr>
                      <w:b/>
                      <w:bCs/>
                      <w:szCs w:val="21"/>
                    </w:rPr>
                  </w:pPr>
                  <w:r>
                    <w:rPr>
                      <w:rFonts w:hint="eastAsia"/>
                      <w:b/>
                      <w:bCs/>
                      <w:szCs w:val="21"/>
                    </w:rPr>
                    <w:t>最大值</w:t>
                  </w:r>
                </w:p>
              </w:tc>
              <w:tc>
                <w:tcPr>
                  <w:tcW w:w="431" w:type="pct"/>
                  <w:vMerge w:val="continue"/>
                  <w:vAlign w:val="center"/>
                </w:tcPr>
                <w:p>
                  <w:pPr>
                    <w:jc w:val="center"/>
                    <w:rPr>
                      <w:b/>
                      <w:bCs/>
                      <w:szCs w:val="21"/>
                    </w:rPr>
                  </w:pPr>
                </w:p>
              </w:tc>
              <w:tc>
                <w:tcPr>
                  <w:tcW w:w="424" w:type="pct"/>
                  <w:vMerge w:val="continue"/>
                  <w:vAlign w:val="center"/>
                </w:tcPr>
                <w:p>
                  <w:pPr>
                    <w:jc w:val="center"/>
                    <w:rPr>
                      <w:b/>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3" w:type="pct"/>
                  <w:vAlign w:val="center"/>
                </w:tcPr>
                <w:p>
                  <w:pPr>
                    <w:pStyle w:val="1039"/>
                    <w:widowControl/>
                    <w:jc w:val="center"/>
                    <w:rPr>
                      <w:bCs/>
                      <w:color w:val="auto"/>
                    </w:rPr>
                  </w:pPr>
                  <w:r>
                    <w:rPr>
                      <w:rFonts w:hint="eastAsia"/>
                      <w:bCs/>
                      <w:color w:val="auto"/>
                    </w:rPr>
                    <w:t>官飞村</w:t>
                  </w:r>
                </w:p>
              </w:tc>
              <w:tc>
                <w:tcPr>
                  <w:tcW w:w="224" w:type="pct"/>
                  <w:vMerge w:val="restart"/>
                  <w:vAlign w:val="center"/>
                </w:tcPr>
                <w:p>
                  <w:pPr>
                    <w:jc w:val="center"/>
                    <w:rPr>
                      <w:szCs w:val="21"/>
                    </w:rPr>
                  </w:pPr>
                  <w:r>
                    <w:rPr>
                      <w:rFonts w:hint="eastAsia"/>
                      <w:szCs w:val="21"/>
                    </w:rPr>
                    <w:t>甲苯</w:t>
                  </w:r>
                </w:p>
                <w:p>
                  <w:pPr>
                    <w:jc w:val="center"/>
                    <w:rPr>
                      <w:szCs w:val="21"/>
                    </w:rPr>
                  </w:pPr>
                </w:p>
              </w:tc>
              <w:tc>
                <w:tcPr>
                  <w:tcW w:w="530" w:type="pct"/>
                  <w:vAlign w:val="center"/>
                </w:tcPr>
                <w:p>
                  <w:pPr>
                    <w:jc w:val="center"/>
                  </w:pPr>
                  <w:r>
                    <w:rPr>
                      <w:rFonts w:hint="eastAsia"/>
                    </w:rPr>
                    <w:t>西</w:t>
                  </w:r>
                </w:p>
              </w:tc>
              <w:tc>
                <w:tcPr>
                  <w:tcW w:w="530" w:type="pct"/>
                  <w:vAlign w:val="center"/>
                </w:tcPr>
                <w:p>
                  <w:pPr>
                    <w:jc w:val="center"/>
                  </w:pPr>
                  <w:r>
                    <w:rPr>
                      <w:rFonts w:hint="eastAsia"/>
                    </w:rPr>
                    <w:t>3803</w:t>
                  </w:r>
                </w:p>
              </w:tc>
              <w:tc>
                <w:tcPr>
                  <w:tcW w:w="575" w:type="pct"/>
                  <w:vAlign w:val="center"/>
                </w:tcPr>
                <w:p>
                  <w:pPr>
                    <w:jc w:val="center"/>
                  </w:pPr>
                  <w:r>
                    <w:rPr>
                      <w:rFonts w:hint="eastAsia" w:ascii="TimesNewRomanPSMT" w:hAnsi="TimesNewRomanPSMT" w:eastAsia="TimesNewRomanPSMT"/>
                    </w:rPr>
                    <w:t>ND</w:t>
                  </w:r>
                </w:p>
              </w:tc>
              <w:tc>
                <w:tcPr>
                  <w:tcW w:w="544" w:type="pct"/>
                  <w:vAlign w:val="center"/>
                </w:tcPr>
                <w:p>
                  <w:pPr>
                    <w:jc w:val="center"/>
                    <w:rPr>
                      <w:rFonts w:ascii="TimesNewRomanPSMT" w:hAnsi="TimesNewRomanPSMT" w:eastAsia="TimesNewRomanPSMT"/>
                    </w:rPr>
                  </w:pPr>
                  <w:r>
                    <w:rPr>
                      <w:rFonts w:hint="eastAsia" w:ascii="TimesNewRomanPSMT" w:hAnsi="TimesNewRomanPSMT" w:eastAsia="TimesNewRomanPSMT"/>
                    </w:rPr>
                    <w:t>ND</w:t>
                  </w:r>
                </w:p>
              </w:tc>
              <w:tc>
                <w:tcPr>
                  <w:tcW w:w="581" w:type="pct"/>
                  <w:vAlign w:val="center"/>
                </w:tcPr>
                <w:p>
                  <w:pPr>
                    <w:jc w:val="center"/>
                  </w:pPr>
                  <w:r>
                    <w:rPr>
                      <w:rFonts w:hint="eastAsia"/>
                    </w:rPr>
                    <w:t>/</w:t>
                  </w:r>
                </w:p>
              </w:tc>
              <w:tc>
                <w:tcPr>
                  <w:tcW w:w="593" w:type="pct"/>
                  <w:vAlign w:val="center"/>
                </w:tcPr>
                <w:p>
                  <w:pPr>
                    <w:jc w:val="center"/>
                  </w:pPr>
                  <w:r>
                    <w:rPr>
                      <w:rFonts w:hint="eastAsia"/>
                    </w:rPr>
                    <w:t>/</w:t>
                  </w:r>
                </w:p>
              </w:tc>
              <w:tc>
                <w:tcPr>
                  <w:tcW w:w="431" w:type="pct"/>
                  <w:vMerge w:val="restart"/>
                  <w:vAlign w:val="center"/>
                </w:tcPr>
                <w:p>
                  <w:pPr>
                    <w:jc w:val="center"/>
                  </w:pPr>
                  <w:r>
                    <w:rPr>
                      <w:rFonts w:hint="eastAsia"/>
                      <w:szCs w:val="21"/>
                    </w:rPr>
                    <w:t>0.2</w:t>
                  </w:r>
                </w:p>
              </w:tc>
              <w:tc>
                <w:tcPr>
                  <w:tcW w:w="424" w:type="pct"/>
                  <w:vAlign w:val="center"/>
                </w:tcPr>
                <w:p>
                  <w:pPr>
                    <w:jc w:val="center"/>
                  </w:pPr>
                  <w:r>
                    <w:rPr>
                      <w:rFonts w:hAnsi="宋体"/>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3" w:type="pct"/>
                  <w:vAlign w:val="center"/>
                </w:tcPr>
                <w:p>
                  <w:pPr>
                    <w:pStyle w:val="1039"/>
                    <w:widowControl/>
                    <w:jc w:val="center"/>
                    <w:rPr>
                      <w:bCs/>
                      <w:color w:val="auto"/>
                    </w:rPr>
                  </w:pPr>
                  <w:r>
                    <w:rPr>
                      <w:rFonts w:hint="eastAsia"/>
                      <w:bCs/>
                      <w:color w:val="auto"/>
                    </w:rPr>
                    <w:t>东部新城</w:t>
                  </w:r>
                </w:p>
              </w:tc>
              <w:tc>
                <w:tcPr>
                  <w:tcW w:w="224" w:type="pct"/>
                  <w:vMerge w:val="continue"/>
                  <w:vAlign w:val="center"/>
                </w:tcPr>
                <w:p>
                  <w:pPr>
                    <w:jc w:val="center"/>
                    <w:rPr>
                      <w:rFonts w:hAnsi="宋体"/>
                      <w:szCs w:val="21"/>
                    </w:rPr>
                  </w:pPr>
                </w:p>
              </w:tc>
              <w:tc>
                <w:tcPr>
                  <w:tcW w:w="530" w:type="pct"/>
                  <w:vAlign w:val="center"/>
                </w:tcPr>
                <w:p>
                  <w:pPr>
                    <w:jc w:val="center"/>
                  </w:pPr>
                  <w:r>
                    <w:rPr>
                      <w:rFonts w:hint="eastAsia"/>
                    </w:rPr>
                    <w:t>西南</w:t>
                  </w:r>
                </w:p>
              </w:tc>
              <w:tc>
                <w:tcPr>
                  <w:tcW w:w="530" w:type="pct"/>
                  <w:vAlign w:val="center"/>
                </w:tcPr>
                <w:p>
                  <w:pPr>
                    <w:jc w:val="center"/>
                  </w:pPr>
                  <w:r>
                    <w:rPr>
                      <w:rFonts w:hint="eastAsia"/>
                    </w:rPr>
                    <w:t>5275</w:t>
                  </w:r>
                </w:p>
              </w:tc>
              <w:tc>
                <w:tcPr>
                  <w:tcW w:w="575" w:type="pct"/>
                  <w:vAlign w:val="center"/>
                </w:tcPr>
                <w:p>
                  <w:pPr>
                    <w:jc w:val="center"/>
                    <w:rPr>
                      <w:rFonts w:ascii="TimesNewRomanPSMT" w:hAnsi="TimesNewRomanPSMT" w:eastAsia="TimesNewRomanPSMT"/>
                    </w:rPr>
                  </w:pPr>
                  <w:r>
                    <w:rPr>
                      <w:rFonts w:hint="eastAsia" w:ascii="TimesNewRomanPSMT" w:hAnsi="TimesNewRomanPSMT" w:eastAsia="TimesNewRomanPSMT"/>
                    </w:rPr>
                    <w:t>ND</w:t>
                  </w:r>
                </w:p>
              </w:tc>
              <w:tc>
                <w:tcPr>
                  <w:tcW w:w="544" w:type="pct"/>
                  <w:vAlign w:val="center"/>
                </w:tcPr>
                <w:p>
                  <w:pPr>
                    <w:jc w:val="center"/>
                    <w:rPr>
                      <w:rFonts w:ascii="TimesNewRomanPSMT" w:hAnsi="TimesNewRomanPSMT" w:eastAsia="TimesNewRomanPSMT"/>
                    </w:rPr>
                  </w:pPr>
                  <w:r>
                    <w:rPr>
                      <w:rFonts w:hint="eastAsia" w:ascii="TimesNewRomanPSMT" w:hAnsi="TimesNewRomanPSMT" w:eastAsia="TimesNewRomanPSMT"/>
                    </w:rPr>
                    <w:t>ND</w:t>
                  </w:r>
                </w:p>
              </w:tc>
              <w:tc>
                <w:tcPr>
                  <w:tcW w:w="581" w:type="pct"/>
                  <w:vAlign w:val="center"/>
                </w:tcPr>
                <w:p>
                  <w:pPr>
                    <w:jc w:val="center"/>
                  </w:pPr>
                  <w:r>
                    <w:rPr>
                      <w:rFonts w:hint="eastAsia"/>
                    </w:rPr>
                    <w:t>/</w:t>
                  </w:r>
                </w:p>
              </w:tc>
              <w:tc>
                <w:tcPr>
                  <w:tcW w:w="593" w:type="pct"/>
                  <w:vAlign w:val="center"/>
                </w:tcPr>
                <w:p>
                  <w:pPr>
                    <w:jc w:val="center"/>
                  </w:pPr>
                  <w:r>
                    <w:rPr>
                      <w:rFonts w:hint="eastAsia"/>
                    </w:rPr>
                    <w:t>/</w:t>
                  </w:r>
                </w:p>
              </w:tc>
              <w:tc>
                <w:tcPr>
                  <w:tcW w:w="431" w:type="pct"/>
                  <w:vMerge w:val="continue"/>
                  <w:vAlign w:val="center"/>
                </w:tcPr>
                <w:p>
                  <w:pPr>
                    <w:jc w:val="center"/>
                  </w:pPr>
                </w:p>
              </w:tc>
              <w:tc>
                <w:tcPr>
                  <w:tcW w:w="424" w:type="pct"/>
                  <w:vAlign w:val="center"/>
                </w:tcPr>
                <w:p>
                  <w:pPr>
                    <w:jc w:val="center"/>
                  </w:pPr>
                  <w:r>
                    <w:rPr>
                      <w:rFonts w:hAnsi="宋体"/>
                      <w:szCs w:val="21"/>
                    </w:rPr>
                    <w:t>达标</w:t>
                  </w:r>
                </w:p>
              </w:tc>
            </w:tr>
          </w:tbl>
          <w:p>
            <w:pPr>
              <w:spacing w:line="360" w:lineRule="auto"/>
              <w:ind w:firstLine="480" w:firstLineChars="200"/>
              <w:rPr>
                <w:rFonts w:hAnsi="宋体"/>
                <w:sz w:val="24"/>
              </w:rPr>
            </w:pPr>
            <w:r>
              <w:rPr>
                <w:rFonts w:hint="eastAsia" w:hAnsi="宋体"/>
                <w:sz w:val="24"/>
              </w:rPr>
              <w:t>由上表可知，项目所在区域甲苯小时浓度值满足《环境影响评价技术导则-大气环境》（HJ2.2-2018）中附录D表D.1其他污染物空气质量浓度参考限值。</w:t>
            </w:r>
          </w:p>
          <w:p>
            <w:pPr>
              <w:widowControl/>
              <w:spacing w:line="360" w:lineRule="auto"/>
              <w:ind w:firstLine="458" w:firstLineChars="190"/>
              <w:jc w:val="left"/>
              <w:rPr>
                <w:b/>
                <w:bCs/>
                <w:color w:val="000000"/>
                <w:kern w:val="0"/>
                <w:sz w:val="24"/>
              </w:rPr>
            </w:pPr>
            <w:r>
              <w:rPr>
                <w:b/>
                <w:color w:val="000000"/>
                <w:kern w:val="0"/>
                <w:sz w:val="24"/>
              </w:rPr>
              <w:t>2、</w:t>
            </w:r>
            <w:r>
              <w:rPr>
                <w:b/>
                <w:bCs/>
                <w:color w:val="000000"/>
                <w:kern w:val="0"/>
                <w:sz w:val="24"/>
              </w:rPr>
              <w:t>地表水环境质量现状</w:t>
            </w:r>
          </w:p>
          <w:p>
            <w:pPr>
              <w:autoSpaceDE w:val="0"/>
              <w:autoSpaceDN w:val="0"/>
              <w:adjustRightInd w:val="0"/>
              <w:spacing w:line="360" w:lineRule="auto"/>
              <w:ind w:firstLine="600" w:firstLineChars="250"/>
              <w:jc w:val="left"/>
              <w:rPr>
                <w:rFonts w:ascii="宋体" w:hAnsi="宋体"/>
                <w:bCs/>
                <w:sz w:val="24"/>
              </w:rPr>
            </w:pPr>
            <w:r>
              <w:rPr>
                <w:rFonts w:hint="eastAsia" w:ascii="宋体" w:hAnsi="宋体"/>
                <w:bCs/>
                <w:sz w:val="24"/>
              </w:rPr>
              <w:t>根据芜湖市生态环境局发布的《2020 年城市水环境质量状况公报》：区域水环境质量如下：</w:t>
            </w:r>
          </w:p>
          <w:p>
            <w:pPr>
              <w:autoSpaceDE w:val="0"/>
              <w:autoSpaceDN w:val="0"/>
              <w:adjustRightInd w:val="0"/>
              <w:spacing w:line="360" w:lineRule="auto"/>
              <w:ind w:firstLine="600" w:firstLineChars="250"/>
              <w:jc w:val="left"/>
              <w:rPr>
                <w:rFonts w:ascii="宋体" w:hAnsi="宋体"/>
                <w:bCs/>
                <w:sz w:val="24"/>
              </w:rPr>
            </w:pPr>
            <w:r>
              <w:rPr>
                <w:rFonts w:hint="eastAsia" w:ascii="宋体" w:hAnsi="宋体"/>
                <w:bCs/>
                <w:sz w:val="24"/>
              </w:rPr>
              <w:t>（1）河流</w:t>
            </w:r>
          </w:p>
          <w:p>
            <w:pPr>
              <w:autoSpaceDE w:val="0"/>
              <w:autoSpaceDN w:val="0"/>
              <w:adjustRightInd w:val="0"/>
              <w:spacing w:line="360" w:lineRule="auto"/>
              <w:ind w:firstLine="600" w:firstLineChars="250"/>
              <w:jc w:val="left"/>
              <w:rPr>
                <w:rFonts w:ascii="宋体" w:hAnsi="宋体"/>
                <w:bCs/>
                <w:sz w:val="24"/>
              </w:rPr>
            </w:pPr>
            <w:r>
              <w:rPr>
                <w:rFonts w:hint="eastAsia" w:ascii="宋体" w:hAnsi="宋体"/>
                <w:bCs/>
                <w:sz w:val="24"/>
              </w:rPr>
              <w:t>全市列入国家水质考核断面共有6个，长江东西梁山、漳河澛港桥、青山河查湾、青弋江宝塔根、裕溪河裕溪口、黄浒河荻港6个断面水质均值达到《地表水环境质量标准》（GB3838-2002）Ⅱ类标准，其中青弋江宝塔根、裕溪河裕溪口、黄浒河荻港3 个国控断面优于国家考核要求。</w:t>
            </w:r>
          </w:p>
          <w:p>
            <w:pPr>
              <w:autoSpaceDE w:val="0"/>
              <w:autoSpaceDN w:val="0"/>
              <w:adjustRightInd w:val="0"/>
              <w:spacing w:line="360" w:lineRule="auto"/>
              <w:ind w:firstLine="600" w:firstLineChars="250"/>
              <w:jc w:val="left"/>
              <w:rPr>
                <w:rFonts w:ascii="宋体" w:hAnsi="宋体"/>
                <w:sz w:val="24"/>
              </w:rPr>
            </w:pPr>
            <w:r>
              <w:rPr>
                <w:rFonts w:hint="eastAsia" w:ascii="宋体" w:hAnsi="宋体"/>
                <w:bCs/>
                <w:sz w:val="24"/>
              </w:rPr>
              <w:t>（2）县级及以上集中式饮用水水源地</w:t>
            </w:r>
          </w:p>
          <w:p>
            <w:pPr>
              <w:spacing w:line="360" w:lineRule="auto"/>
              <w:ind w:firstLine="496" w:firstLineChars="200"/>
              <w:jc w:val="left"/>
              <w:rPr>
                <w:sz w:val="24"/>
              </w:rPr>
            </w:pPr>
            <w:r>
              <w:rPr>
                <w:rFonts w:hint="eastAsia"/>
                <w:bCs/>
                <w:spacing w:val="4"/>
                <w:sz w:val="24"/>
                <w:szCs w:val="32"/>
              </w:rPr>
              <w:t>全市市级集中式饮用水水源地共2个（二水厂和四水厂），取水口均位于长江，按每月对水源地开展的水质61项指标检测结果评价，每年3月、7月进行的109项全指标分析，水源地总体水质符合国家《地表水环境质量标准》（GB3838-2002）Ⅲ类标准，满足生活饮用水源地水质要求，水质达标率为100%。全市县级集中式饮用水水源地共4个，取水口位于长江、青弋江和西河，按每季度对水源地开展的水质61项指标检测结果评价，每年6-7月开展的109项全指标检测结果符合《地表水环境质量标准》（GB3838-2002）Ⅲ类水标准，水质达标率为100%。县市级集中饮用水源地分布及水质达标情况如下；</w:t>
            </w:r>
          </w:p>
          <w:p>
            <w:pPr>
              <w:jc w:val="center"/>
              <w:rPr>
                <w:rFonts w:hAnsi="宋体"/>
                <w:b/>
                <w:sz w:val="24"/>
              </w:rPr>
            </w:pPr>
            <w:r>
              <w:rPr>
                <w:rFonts w:hAnsi="宋体"/>
                <w:b/>
                <w:sz w:val="24"/>
              </w:rPr>
              <w:t>表</w:t>
            </w:r>
            <w:r>
              <w:rPr>
                <w:rFonts w:hint="eastAsia" w:hAnsi="宋体"/>
                <w:b/>
                <w:sz w:val="24"/>
              </w:rPr>
              <w:t>3-5  市级集中式饮用水源地分布及水质达标情况汇总表</w:t>
            </w:r>
          </w:p>
          <w:tbl>
            <w:tblPr>
              <w:tblStyle w:val="5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3423"/>
              <w:gridCol w:w="739"/>
              <w:gridCol w:w="1130"/>
              <w:gridCol w:w="2136"/>
              <w:gridCol w:w="9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PrEx>
              <w:trPr>
                <w:trHeight w:val="340" w:hRule="atLeast"/>
                <w:jc w:val="center"/>
              </w:trPr>
              <w:tc>
                <w:tcPr>
                  <w:tcW w:w="2052" w:type="pct"/>
                  <w:shd w:val="clear" w:color="auto" w:fill="auto"/>
                  <w:vAlign w:val="center"/>
                </w:tcPr>
                <w:p>
                  <w:pPr>
                    <w:widowControl/>
                    <w:adjustRightInd w:val="0"/>
                    <w:snapToGrid w:val="0"/>
                    <w:jc w:val="center"/>
                    <w:rPr>
                      <w:rFonts w:ascii="宋体" w:hAnsi="宋体" w:cs="宋体"/>
                      <w:b/>
                      <w:kern w:val="0"/>
                      <w:szCs w:val="21"/>
                    </w:rPr>
                  </w:pPr>
                  <w:r>
                    <w:rPr>
                      <w:rFonts w:hint="eastAsia" w:ascii="宋体" w:hAnsi="宋体" w:cs="宋体"/>
                      <w:b/>
                      <w:kern w:val="0"/>
                      <w:szCs w:val="21"/>
                    </w:rPr>
                    <w:t>集中式饮用水水源地级别</w:t>
                  </w:r>
                </w:p>
              </w:tc>
              <w:tc>
                <w:tcPr>
                  <w:tcW w:w="443" w:type="pct"/>
                  <w:shd w:val="clear" w:color="auto" w:fill="auto"/>
                  <w:vAlign w:val="center"/>
                </w:tcPr>
                <w:p>
                  <w:pPr>
                    <w:widowControl/>
                    <w:adjustRightInd w:val="0"/>
                    <w:snapToGrid w:val="0"/>
                    <w:jc w:val="center"/>
                    <w:rPr>
                      <w:rFonts w:ascii="宋体" w:hAnsi="宋体" w:cs="宋体"/>
                      <w:b/>
                      <w:kern w:val="0"/>
                      <w:szCs w:val="21"/>
                    </w:rPr>
                  </w:pPr>
                  <w:r>
                    <w:rPr>
                      <w:rFonts w:hint="eastAsia" w:ascii="宋体" w:hAnsi="宋体" w:cs="宋体"/>
                      <w:b/>
                      <w:kern w:val="0"/>
                      <w:szCs w:val="21"/>
                    </w:rPr>
                    <w:t>级别</w:t>
                  </w:r>
                </w:p>
              </w:tc>
              <w:tc>
                <w:tcPr>
                  <w:tcW w:w="677" w:type="pct"/>
                  <w:shd w:val="clear" w:color="auto" w:fill="auto"/>
                  <w:vAlign w:val="center"/>
                </w:tcPr>
                <w:p>
                  <w:pPr>
                    <w:widowControl/>
                    <w:adjustRightInd w:val="0"/>
                    <w:snapToGrid w:val="0"/>
                    <w:jc w:val="center"/>
                    <w:rPr>
                      <w:rFonts w:ascii="宋体" w:hAnsi="宋体" w:cs="宋体"/>
                      <w:b/>
                      <w:kern w:val="0"/>
                      <w:szCs w:val="21"/>
                    </w:rPr>
                  </w:pPr>
                  <w:r>
                    <w:rPr>
                      <w:rFonts w:hint="eastAsia" w:ascii="宋体" w:hAnsi="宋体" w:cs="宋体"/>
                      <w:b/>
                      <w:kern w:val="0"/>
                      <w:szCs w:val="21"/>
                    </w:rPr>
                    <w:t>监测频次</w:t>
                  </w:r>
                </w:p>
              </w:tc>
              <w:tc>
                <w:tcPr>
                  <w:tcW w:w="1280" w:type="pct"/>
                  <w:shd w:val="clear" w:color="auto" w:fill="auto"/>
                  <w:vAlign w:val="center"/>
                </w:tcPr>
                <w:p>
                  <w:pPr>
                    <w:widowControl/>
                    <w:adjustRightInd w:val="0"/>
                    <w:snapToGrid w:val="0"/>
                    <w:jc w:val="center"/>
                    <w:rPr>
                      <w:rFonts w:ascii="宋体" w:hAnsi="宋体" w:cs="宋体"/>
                      <w:b/>
                      <w:kern w:val="0"/>
                      <w:szCs w:val="21"/>
                    </w:rPr>
                  </w:pPr>
                  <w:r>
                    <w:rPr>
                      <w:rFonts w:hint="eastAsia" w:ascii="宋体" w:hAnsi="宋体" w:cs="宋体"/>
                      <w:b/>
                      <w:kern w:val="0"/>
                      <w:szCs w:val="21"/>
                    </w:rPr>
                    <w:t>检测项目</w:t>
                  </w:r>
                </w:p>
              </w:tc>
              <w:tc>
                <w:tcPr>
                  <w:tcW w:w="546" w:type="pct"/>
                  <w:shd w:val="clear" w:color="auto" w:fill="auto"/>
                  <w:vAlign w:val="center"/>
                </w:tcPr>
                <w:p>
                  <w:pPr>
                    <w:widowControl/>
                    <w:adjustRightInd w:val="0"/>
                    <w:snapToGrid w:val="0"/>
                    <w:jc w:val="center"/>
                    <w:rPr>
                      <w:rFonts w:ascii="宋体" w:hAnsi="宋体" w:cs="宋体"/>
                      <w:b/>
                      <w:kern w:val="0"/>
                      <w:szCs w:val="21"/>
                    </w:rPr>
                  </w:pPr>
                  <w:r>
                    <w:rPr>
                      <w:rFonts w:hint="eastAsia" w:ascii="宋体" w:hAnsi="宋体" w:cs="宋体"/>
                      <w:b/>
                      <w:kern w:val="0"/>
                      <w:szCs w:val="21"/>
                    </w:rPr>
                    <w:t>达标率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52" w:type="pct"/>
                  <w:shd w:val="clear" w:color="auto" w:fill="auto"/>
                  <w:vAlign w:val="center"/>
                </w:tcPr>
                <w:p>
                  <w:pPr>
                    <w:widowControl/>
                    <w:adjustRightInd w:val="0"/>
                    <w:snapToGrid w:val="0"/>
                    <w:jc w:val="center"/>
                    <w:rPr>
                      <w:rFonts w:ascii="宋体" w:hAnsi="宋体" w:cs="宋体"/>
                      <w:bCs/>
                      <w:kern w:val="0"/>
                      <w:szCs w:val="21"/>
                    </w:rPr>
                  </w:pPr>
                  <w:r>
                    <w:rPr>
                      <w:rFonts w:hint="eastAsia" w:ascii="宋体" w:hAnsi="宋体" w:cs="宋体"/>
                      <w:bCs/>
                      <w:kern w:val="0"/>
                      <w:szCs w:val="21"/>
                    </w:rPr>
                    <w:t>二水厂取水口</w:t>
                  </w:r>
                </w:p>
              </w:tc>
              <w:tc>
                <w:tcPr>
                  <w:tcW w:w="443" w:type="pct"/>
                  <w:shd w:val="clear" w:color="auto" w:fill="auto"/>
                  <w:vAlign w:val="center"/>
                </w:tcPr>
                <w:p>
                  <w:pPr>
                    <w:widowControl/>
                    <w:adjustRightInd w:val="0"/>
                    <w:snapToGrid w:val="0"/>
                    <w:jc w:val="center"/>
                    <w:rPr>
                      <w:rFonts w:ascii="宋体" w:hAnsi="宋体" w:cs="宋体"/>
                      <w:bCs/>
                      <w:kern w:val="0"/>
                      <w:szCs w:val="21"/>
                    </w:rPr>
                  </w:pPr>
                  <w:r>
                    <w:rPr>
                      <w:rFonts w:hint="eastAsia" w:ascii="宋体" w:hAnsi="宋体" w:cs="宋体"/>
                      <w:bCs/>
                      <w:kern w:val="0"/>
                      <w:szCs w:val="21"/>
                    </w:rPr>
                    <w:t>市级</w:t>
                  </w:r>
                </w:p>
              </w:tc>
              <w:tc>
                <w:tcPr>
                  <w:tcW w:w="677" w:type="pct"/>
                  <w:shd w:val="clear" w:color="auto" w:fill="auto"/>
                  <w:vAlign w:val="center"/>
                </w:tcPr>
                <w:p>
                  <w:pPr>
                    <w:widowControl/>
                    <w:adjustRightInd w:val="0"/>
                    <w:snapToGrid w:val="0"/>
                    <w:jc w:val="center"/>
                    <w:rPr>
                      <w:rFonts w:ascii="宋体" w:hAnsi="宋体" w:cs="宋体"/>
                      <w:bCs/>
                      <w:kern w:val="0"/>
                      <w:szCs w:val="21"/>
                    </w:rPr>
                  </w:pPr>
                  <w:r>
                    <w:rPr>
                      <w:rFonts w:hint="eastAsia" w:ascii="宋体" w:hAnsi="宋体" w:cs="宋体"/>
                      <w:bCs/>
                      <w:kern w:val="0"/>
                      <w:szCs w:val="21"/>
                    </w:rPr>
                    <w:t>12次/年</w:t>
                  </w:r>
                </w:p>
              </w:tc>
              <w:tc>
                <w:tcPr>
                  <w:tcW w:w="1280" w:type="pct"/>
                  <w:shd w:val="clear" w:color="auto" w:fill="auto"/>
                  <w:vAlign w:val="center"/>
                </w:tcPr>
                <w:p>
                  <w:pPr>
                    <w:widowControl/>
                    <w:adjustRightInd w:val="0"/>
                    <w:snapToGrid w:val="0"/>
                    <w:jc w:val="center"/>
                    <w:rPr>
                      <w:rFonts w:ascii="宋体" w:hAnsi="宋体" w:cs="宋体"/>
                      <w:bCs/>
                      <w:kern w:val="0"/>
                      <w:szCs w:val="21"/>
                    </w:rPr>
                  </w:pPr>
                  <w:r>
                    <w:rPr>
                      <w:rFonts w:hint="eastAsia" w:ascii="宋体" w:hAnsi="宋体" w:cs="宋体"/>
                      <w:bCs/>
                      <w:kern w:val="0"/>
                      <w:szCs w:val="21"/>
                    </w:rPr>
                    <w:t>61项（全分析109项）</w:t>
                  </w:r>
                </w:p>
              </w:tc>
              <w:tc>
                <w:tcPr>
                  <w:tcW w:w="546" w:type="pct"/>
                  <w:shd w:val="clear" w:color="auto" w:fill="auto"/>
                  <w:vAlign w:val="center"/>
                </w:tcPr>
                <w:p>
                  <w:pPr>
                    <w:widowControl/>
                    <w:adjustRightInd w:val="0"/>
                    <w:snapToGrid w:val="0"/>
                    <w:jc w:val="center"/>
                    <w:rPr>
                      <w:rFonts w:ascii="宋体" w:hAnsi="宋体" w:cs="宋体"/>
                      <w:bCs/>
                      <w:kern w:val="0"/>
                      <w:szCs w:val="21"/>
                    </w:rPr>
                  </w:pPr>
                  <w:r>
                    <w:rPr>
                      <w:rFonts w:hint="eastAsia" w:ascii="宋体" w:hAnsi="宋体" w:cs="宋体"/>
                      <w:bCs/>
                      <w:kern w:val="0"/>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52" w:type="pct"/>
                  <w:shd w:val="clear" w:color="auto" w:fill="auto"/>
                  <w:vAlign w:val="center"/>
                </w:tcPr>
                <w:p>
                  <w:pPr>
                    <w:jc w:val="center"/>
                    <w:rPr>
                      <w:szCs w:val="21"/>
                    </w:rPr>
                  </w:pPr>
                  <w:r>
                    <w:rPr>
                      <w:rFonts w:hint="eastAsia"/>
                      <w:szCs w:val="21"/>
                    </w:rPr>
                    <w:t>四水厂取水口</w:t>
                  </w:r>
                </w:p>
              </w:tc>
              <w:tc>
                <w:tcPr>
                  <w:tcW w:w="443" w:type="pct"/>
                  <w:shd w:val="clear" w:color="auto" w:fill="auto"/>
                  <w:vAlign w:val="center"/>
                </w:tcPr>
                <w:p>
                  <w:pPr>
                    <w:jc w:val="center"/>
                    <w:rPr>
                      <w:szCs w:val="21"/>
                    </w:rPr>
                  </w:pPr>
                  <w:r>
                    <w:rPr>
                      <w:rFonts w:hint="eastAsia"/>
                      <w:szCs w:val="21"/>
                    </w:rPr>
                    <w:t>市级</w:t>
                  </w:r>
                </w:p>
              </w:tc>
              <w:tc>
                <w:tcPr>
                  <w:tcW w:w="677" w:type="pct"/>
                  <w:shd w:val="clear" w:color="auto" w:fill="auto"/>
                  <w:vAlign w:val="center"/>
                </w:tcPr>
                <w:p>
                  <w:pPr>
                    <w:jc w:val="center"/>
                    <w:rPr>
                      <w:szCs w:val="21"/>
                    </w:rPr>
                  </w:pPr>
                  <w:r>
                    <w:rPr>
                      <w:rFonts w:hint="eastAsia"/>
                      <w:szCs w:val="21"/>
                    </w:rPr>
                    <w:t>4次/年</w:t>
                  </w:r>
                </w:p>
              </w:tc>
              <w:tc>
                <w:tcPr>
                  <w:tcW w:w="1280" w:type="pct"/>
                  <w:shd w:val="clear" w:color="auto" w:fill="auto"/>
                  <w:vAlign w:val="center"/>
                </w:tcPr>
                <w:p>
                  <w:pPr>
                    <w:jc w:val="center"/>
                    <w:rPr>
                      <w:szCs w:val="21"/>
                    </w:rPr>
                  </w:pPr>
                  <w:r>
                    <w:rPr>
                      <w:rFonts w:hint="eastAsia" w:ascii="宋体" w:hAnsi="宋体" w:cs="宋体"/>
                      <w:bCs/>
                      <w:kern w:val="0"/>
                      <w:szCs w:val="21"/>
                    </w:rPr>
                    <w:t>61项（全分析109项）</w:t>
                  </w:r>
                </w:p>
              </w:tc>
              <w:tc>
                <w:tcPr>
                  <w:tcW w:w="546" w:type="pct"/>
                  <w:shd w:val="clear" w:color="auto" w:fill="auto"/>
                  <w:vAlign w:val="center"/>
                </w:tcPr>
                <w:p>
                  <w:pPr>
                    <w:jc w:val="center"/>
                    <w:rPr>
                      <w:szCs w:val="21"/>
                    </w:rPr>
                  </w:pPr>
                  <w:r>
                    <w:rPr>
                      <w:rFonts w:hint="eastAsia" w:ascii="宋体" w:hAnsi="宋体" w:cs="宋体"/>
                      <w:bCs/>
                      <w:kern w:val="0"/>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52" w:type="pct"/>
                  <w:shd w:val="clear" w:color="auto" w:fill="auto"/>
                  <w:vAlign w:val="center"/>
                </w:tcPr>
                <w:p>
                  <w:pPr>
                    <w:jc w:val="center"/>
                    <w:rPr>
                      <w:szCs w:val="21"/>
                    </w:rPr>
                  </w:pPr>
                  <w:r>
                    <w:rPr>
                      <w:rFonts w:hint="eastAsia"/>
                      <w:szCs w:val="21"/>
                    </w:rPr>
                    <w:t>芜湖县供水有限公司取水口</w:t>
                  </w:r>
                </w:p>
              </w:tc>
              <w:tc>
                <w:tcPr>
                  <w:tcW w:w="443" w:type="pct"/>
                  <w:shd w:val="clear" w:color="auto" w:fill="auto"/>
                  <w:vAlign w:val="center"/>
                </w:tcPr>
                <w:p>
                  <w:pPr>
                    <w:jc w:val="center"/>
                    <w:rPr>
                      <w:szCs w:val="21"/>
                    </w:rPr>
                  </w:pPr>
                  <w:r>
                    <w:rPr>
                      <w:rFonts w:hint="eastAsia"/>
                      <w:szCs w:val="21"/>
                    </w:rPr>
                    <w:t>县级</w:t>
                  </w:r>
                </w:p>
              </w:tc>
              <w:tc>
                <w:tcPr>
                  <w:tcW w:w="677" w:type="pct"/>
                  <w:shd w:val="clear" w:color="auto" w:fill="auto"/>
                  <w:vAlign w:val="center"/>
                </w:tcPr>
                <w:p>
                  <w:pPr>
                    <w:jc w:val="center"/>
                    <w:rPr>
                      <w:szCs w:val="21"/>
                    </w:rPr>
                  </w:pPr>
                  <w:r>
                    <w:rPr>
                      <w:rFonts w:hint="eastAsia"/>
                      <w:szCs w:val="21"/>
                    </w:rPr>
                    <w:t>4次/年</w:t>
                  </w:r>
                </w:p>
              </w:tc>
              <w:tc>
                <w:tcPr>
                  <w:tcW w:w="1280" w:type="pct"/>
                  <w:shd w:val="clear" w:color="auto" w:fill="auto"/>
                  <w:vAlign w:val="center"/>
                </w:tcPr>
                <w:p>
                  <w:pPr>
                    <w:jc w:val="center"/>
                    <w:rPr>
                      <w:szCs w:val="21"/>
                    </w:rPr>
                  </w:pPr>
                  <w:r>
                    <w:rPr>
                      <w:rFonts w:hint="eastAsia" w:ascii="宋体" w:hAnsi="宋体" w:cs="宋体"/>
                      <w:bCs/>
                      <w:kern w:val="0"/>
                      <w:szCs w:val="21"/>
                    </w:rPr>
                    <w:t>61项（全分析109项）</w:t>
                  </w:r>
                </w:p>
              </w:tc>
              <w:tc>
                <w:tcPr>
                  <w:tcW w:w="546" w:type="pct"/>
                  <w:shd w:val="clear" w:color="auto" w:fill="auto"/>
                  <w:vAlign w:val="center"/>
                </w:tcPr>
                <w:p>
                  <w:pPr>
                    <w:jc w:val="center"/>
                    <w:rPr>
                      <w:szCs w:val="21"/>
                    </w:rPr>
                  </w:pPr>
                  <w:r>
                    <w:rPr>
                      <w:rFonts w:hint="eastAsia" w:ascii="宋体" w:hAnsi="宋体" w:cs="宋体"/>
                      <w:bCs/>
                      <w:kern w:val="0"/>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052" w:type="pct"/>
                  <w:shd w:val="clear" w:color="auto" w:fill="auto"/>
                  <w:vAlign w:val="center"/>
                </w:tcPr>
                <w:p>
                  <w:pPr>
                    <w:jc w:val="center"/>
                    <w:rPr>
                      <w:szCs w:val="21"/>
                    </w:rPr>
                  </w:pPr>
                  <w:r>
                    <w:rPr>
                      <w:rFonts w:hint="eastAsia"/>
                      <w:szCs w:val="21"/>
                    </w:rPr>
                    <w:t>南陵县麒麟自来水厂青弋江取水口</w:t>
                  </w:r>
                </w:p>
              </w:tc>
              <w:tc>
                <w:tcPr>
                  <w:tcW w:w="443" w:type="pct"/>
                  <w:shd w:val="clear" w:color="auto" w:fill="auto"/>
                  <w:vAlign w:val="center"/>
                </w:tcPr>
                <w:p>
                  <w:pPr>
                    <w:jc w:val="center"/>
                    <w:rPr>
                      <w:szCs w:val="21"/>
                    </w:rPr>
                  </w:pPr>
                  <w:r>
                    <w:rPr>
                      <w:rFonts w:hint="eastAsia"/>
                      <w:szCs w:val="21"/>
                    </w:rPr>
                    <w:t>县级</w:t>
                  </w:r>
                </w:p>
              </w:tc>
              <w:tc>
                <w:tcPr>
                  <w:tcW w:w="677" w:type="pct"/>
                  <w:shd w:val="clear" w:color="auto" w:fill="auto"/>
                  <w:vAlign w:val="center"/>
                </w:tcPr>
                <w:p>
                  <w:pPr>
                    <w:jc w:val="center"/>
                    <w:rPr>
                      <w:szCs w:val="21"/>
                    </w:rPr>
                  </w:pPr>
                  <w:r>
                    <w:rPr>
                      <w:rFonts w:hint="eastAsia"/>
                      <w:szCs w:val="21"/>
                    </w:rPr>
                    <w:t>4次/年</w:t>
                  </w:r>
                </w:p>
              </w:tc>
              <w:tc>
                <w:tcPr>
                  <w:tcW w:w="1280" w:type="pct"/>
                  <w:shd w:val="clear" w:color="auto" w:fill="auto"/>
                  <w:vAlign w:val="center"/>
                </w:tcPr>
                <w:p>
                  <w:pPr>
                    <w:jc w:val="center"/>
                    <w:rPr>
                      <w:szCs w:val="21"/>
                    </w:rPr>
                  </w:pPr>
                  <w:r>
                    <w:rPr>
                      <w:rFonts w:hint="eastAsia" w:ascii="宋体" w:hAnsi="宋体" w:cs="宋体"/>
                      <w:bCs/>
                      <w:kern w:val="0"/>
                      <w:szCs w:val="21"/>
                    </w:rPr>
                    <w:t>61项（全分析109项）</w:t>
                  </w:r>
                </w:p>
              </w:tc>
              <w:tc>
                <w:tcPr>
                  <w:tcW w:w="546" w:type="pct"/>
                  <w:shd w:val="clear" w:color="auto" w:fill="auto"/>
                  <w:vAlign w:val="center"/>
                </w:tcPr>
                <w:p>
                  <w:pPr>
                    <w:jc w:val="center"/>
                    <w:rPr>
                      <w:szCs w:val="21"/>
                    </w:rPr>
                  </w:pPr>
                  <w:r>
                    <w:rPr>
                      <w:rFonts w:hint="eastAsia" w:ascii="宋体" w:hAnsi="宋体" w:cs="宋体"/>
                      <w:bCs/>
                      <w:kern w:val="0"/>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052" w:type="pct"/>
                  <w:shd w:val="clear" w:color="auto" w:fill="auto"/>
                  <w:vAlign w:val="center"/>
                </w:tcPr>
                <w:p>
                  <w:pPr>
                    <w:jc w:val="center"/>
                    <w:rPr>
                      <w:szCs w:val="21"/>
                    </w:rPr>
                  </w:pPr>
                  <w:r>
                    <w:rPr>
                      <w:rFonts w:hint="eastAsia"/>
                      <w:szCs w:val="21"/>
                    </w:rPr>
                    <w:t>无为县自来水厂长江取水口</w:t>
                  </w:r>
                </w:p>
              </w:tc>
              <w:tc>
                <w:tcPr>
                  <w:tcW w:w="443" w:type="pct"/>
                  <w:shd w:val="clear" w:color="auto" w:fill="auto"/>
                  <w:vAlign w:val="center"/>
                </w:tcPr>
                <w:p>
                  <w:pPr>
                    <w:jc w:val="center"/>
                    <w:rPr>
                      <w:szCs w:val="21"/>
                    </w:rPr>
                  </w:pPr>
                  <w:r>
                    <w:rPr>
                      <w:rFonts w:hint="eastAsia"/>
                      <w:szCs w:val="21"/>
                    </w:rPr>
                    <w:t>县级</w:t>
                  </w:r>
                </w:p>
              </w:tc>
              <w:tc>
                <w:tcPr>
                  <w:tcW w:w="677" w:type="pct"/>
                  <w:shd w:val="clear" w:color="auto" w:fill="auto"/>
                  <w:vAlign w:val="center"/>
                </w:tcPr>
                <w:p>
                  <w:pPr>
                    <w:jc w:val="center"/>
                    <w:rPr>
                      <w:szCs w:val="21"/>
                    </w:rPr>
                  </w:pPr>
                  <w:r>
                    <w:rPr>
                      <w:rFonts w:hint="eastAsia"/>
                      <w:szCs w:val="21"/>
                    </w:rPr>
                    <w:t>4次/年</w:t>
                  </w:r>
                </w:p>
              </w:tc>
              <w:tc>
                <w:tcPr>
                  <w:tcW w:w="1280" w:type="pct"/>
                  <w:shd w:val="clear" w:color="auto" w:fill="auto"/>
                  <w:vAlign w:val="center"/>
                </w:tcPr>
                <w:p>
                  <w:pPr>
                    <w:jc w:val="center"/>
                    <w:rPr>
                      <w:szCs w:val="21"/>
                    </w:rPr>
                  </w:pPr>
                  <w:r>
                    <w:rPr>
                      <w:rFonts w:hint="eastAsia" w:ascii="宋体" w:hAnsi="宋体" w:cs="宋体"/>
                      <w:bCs/>
                      <w:kern w:val="0"/>
                      <w:szCs w:val="21"/>
                    </w:rPr>
                    <w:t>61项（全分析109项）</w:t>
                  </w:r>
                </w:p>
              </w:tc>
              <w:tc>
                <w:tcPr>
                  <w:tcW w:w="546" w:type="pct"/>
                  <w:shd w:val="clear" w:color="auto" w:fill="auto"/>
                  <w:vAlign w:val="center"/>
                </w:tcPr>
                <w:p>
                  <w:pPr>
                    <w:jc w:val="center"/>
                    <w:rPr>
                      <w:szCs w:val="21"/>
                    </w:rPr>
                  </w:pPr>
                  <w:r>
                    <w:rPr>
                      <w:rFonts w:hint="eastAsia" w:ascii="宋体" w:hAnsi="宋体" w:cs="宋体"/>
                      <w:bCs/>
                      <w:kern w:val="0"/>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052" w:type="pct"/>
                  <w:shd w:val="clear" w:color="auto" w:fill="auto"/>
                  <w:vAlign w:val="center"/>
                </w:tcPr>
                <w:p>
                  <w:pPr>
                    <w:jc w:val="center"/>
                    <w:rPr>
                      <w:szCs w:val="21"/>
                    </w:rPr>
                  </w:pPr>
                  <w:r>
                    <w:rPr>
                      <w:rFonts w:hint="eastAsia"/>
                      <w:szCs w:val="21"/>
                    </w:rPr>
                    <w:t>繁昌县长江新港取水口</w:t>
                  </w:r>
                </w:p>
              </w:tc>
              <w:tc>
                <w:tcPr>
                  <w:tcW w:w="443" w:type="pct"/>
                  <w:shd w:val="clear" w:color="auto" w:fill="auto"/>
                  <w:vAlign w:val="center"/>
                </w:tcPr>
                <w:p>
                  <w:pPr>
                    <w:jc w:val="center"/>
                    <w:rPr>
                      <w:szCs w:val="21"/>
                    </w:rPr>
                  </w:pPr>
                  <w:r>
                    <w:rPr>
                      <w:rFonts w:hint="eastAsia"/>
                      <w:szCs w:val="21"/>
                    </w:rPr>
                    <w:t>县级</w:t>
                  </w:r>
                </w:p>
              </w:tc>
              <w:tc>
                <w:tcPr>
                  <w:tcW w:w="677" w:type="pct"/>
                  <w:shd w:val="clear" w:color="auto" w:fill="auto"/>
                  <w:vAlign w:val="center"/>
                </w:tcPr>
                <w:p>
                  <w:pPr>
                    <w:jc w:val="center"/>
                    <w:rPr>
                      <w:szCs w:val="21"/>
                    </w:rPr>
                  </w:pPr>
                  <w:r>
                    <w:rPr>
                      <w:rFonts w:hint="eastAsia"/>
                      <w:szCs w:val="21"/>
                    </w:rPr>
                    <w:t>4次/年</w:t>
                  </w:r>
                </w:p>
              </w:tc>
              <w:tc>
                <w:tcPr>
                  <w:tcW w:w="1280" w:type="pct"/>
                  <w:shd w:val="clear" w:color="auto" w:fill="auto"/>
                  <w:vAlign w:val="center"/>
                </w:tcPr>
                <w:p>
                  <w:pPr>
                    <w:jc w:val="center"/>
                    <w:rPr>
                      <w:szCs w:val="21"/>
                    </w:rPr>
                  </w:pPr>
                  <w:r>
                    <w:rPr>
                      <w:rFonts w:hint="eastAsia" w:ascii="宋体" w:hAnsi="宋体" w:cs="宋体"/>
                      <w:bCs/>
                      <w:kern w:val="0"/>
                      <w:szCs w:val="21"/>
                    </w:rPr>
                    <w:t>61项（全分析109项）</w:t>
                  </w:r>
                </w:p>
              </w:tc>
              <w:tc>
                <w:tcPr>
                  <w:tcW w:w="546" w:type="pct"/>
                  <w:shd w:val="clear" w:color="auto" w:fill="auto"/>
                  <w:vAlign w:val="center"/>
                </w:tcPr>
                <w:p>
                  <w:pPr>
                    <w:jc w:val="center"/>
                    <w:rPr>
                      <w:szCs w:val="21"/>
                    </w:rPr>
                  </w:pPr>
                  <w:r>
                    <w:rPr>
                      <w:rFonts w:hint="eastAsia" w:ascii="宋体" w:hAnsi="宋体" w:cs="宋体"/>
                      <w:bCs/>
                      <w:kern w:val="0"/>
                      <w:szCs w:val="21"/>
                    </w:rPr>
                    <w:t>100%</w:t>
                  </w:r>
                </w:p>
              </w:tc>
            </w:tr>
          </w:tbl>
          <w:p>
            <w:pPr>
              <w:widowControl/>
              <w:spacing w:before="120" w:beforeLines="50" w:line="360" w:lineRule="auto"/>
              <w:ind w:firstLine="456" w:firstLineChars="190"/>
              <w:jc w:val="left"/>
              <w:rPr>
                <w:bCs/>
                <w:color w:val="000000"/>
                <w:kern w:val="0"/>
                <w:sz w:val="24"/>
              </w:rPr>
            </w:pPr>
            <w:r>
              <w:rPr>
                <w:rFonts w:hint="eastAsia"/>
                <w:bCs/>
                <w:color w:val="000000"/>
                <w:kern w:val="0"/>
                <w:sz w:val="24"/>
              </w:rPr>
              <w:t>从上表可以看出，评价河段各断面每个测点的监测因子标准指数达到了《地表水环境质量标准》（GB3838-2002）III 类水质标准限值，能满足地表水III 类水体功能要求，地表水环境总体质量状况良好。</w:t>
            </w:r>
          </w:p>
          <w:p>
            <w:pPr>
              <w:widowControl/>
              <w:spacing w:before="120" w:beforeLines="50" w:line="360" w:lineRule="auto"/>
              <w:ind w:firstLine="458" w:firstLineChars="190"/>
              <w:jc w:val="left"/>
              <w:rPr>
                <w:b/>
                <w:bCs/>
                <w:color w:val="000000"/>
                <w:kern w:val="0"/>
                <w:sz w:val="24"/>
              </w:rPr>
            </w:pPr>
            <w:r>
              <w:rPr>
                <w:rFonts w:hint="eastAsia"/>
                <w:b/>
                <w:color w:val="000000"/>
                <w:kern w:val="0"/>
                <w:sz w:val="24"/>
              </w:rPr>
              <w:t>3</w:t>
            </w:r>
            <w:r>
              <w:rPr>
                <w:b/>
                <w:color w:val="000000"/>
                <w:kern w:val="0"/>
                <w:sz w:val="24"/>
              </w:rPr>
              <w:t>、</w:t>
            </w:r>
            <w:r>
              <w:rPr>
                <w:rFonts w:hint="eastAsia"/>
                <w:b/>
                <w:bCs/>
                <w:color w:val="000000"/>
                <w:kern w:val="0"/>
                <w:sz w:val="24"/>
              </w:rPr>
              <w:t>噪声</w:t>
            </w:r>
            <w:r>
              <w:rPr>
                <w:b/>
                <w:bCs/>
                <w:color w:val="000000"/>
                <w:kern w:val="0"/>
                <w:sz w:val="24"/>
              </w:rPr>
              <w:t>环境质量现状</w:t>
            </w:r>
          </w:p>
          <w:p>
            <w:pPr>
              <w:spacing w:line="360" w:lineRule="auto"/>
              <w:ind w:firstLine="480" w:firstLineChars="200"/>
              <w:rPr>
                <w:bCs/>
                <w:sz w:val="24"/>
              </w:rPr>
            </w:pPr>
            <w:r>
              <w:rPr>
                <w:bCs/>
                <w:sz w:val="24"/>
              </w:rPr>
              <w:t>根据《建设项目环境影响报告表编制技术指南(污染影响类) (试行)》中“区域环境质量”的“3、声环境—厂界外周边50米范围内存在声环境保护目标的建设项目，应监测保护目标声环境质量现状并评价达标情况。各点位应监测昼夜间噪声，监测时间不少于1天，项目夜间不生产则仅监测昼间噪声。</w:t>
            </w:r>
          </w:p>
          <w:p>
            <w:pPr>
              <w:spacing w:line="360" w:lineRule="auto"/>
              <w:ind w:firstLine="480" w:firstLineChars="200"/>
              <w:rPr>
                <w:bCs/>
                <w:sz w:val="24"/>
              </w:rPr>
            </w:pPr>
            <w:r>
              <w:rPr>
                <w:bCs/>
                <w:sz w:val="24"/>
              </w:rPr>
              <w:t>本项目厂界外周边50米范围内不存在声环境保护目标，故无需进行声现状监测。</w:t>
            </w:r>
          </w:p>
          <w:p>
            <w:pPr>
              <w:spacing w:line="360" w:lineRule="auto"/>
              <w:ind w:firstLine="480" w:firstLineChars="200"/>
              <w:rPr>
                <w:bCs/>
                <w:sz w:val="24"/>
              </w:rPr>
            </w:pPr>
            <w:r>
              <w:rPr>
                <w:bCs/>
                <w:sz w:val="24"/>
              </w:rPr>
              <w:t xml:space="preserve">根据《芜湖市2020年环境状况公报》：2020年共设监测点10个，其中：1类标准适用区设监测点1个，2类标准适用区设监测点5个，3类标准适用区设监测点2个，4类标准适用区设监测点2个，各监测点每季度监测一次，全年监测四次，功能区噪声等效声级达标率97.5%。           </w:t>
            </w:r>
            <w:r>
              <w:rPr>
                <w:rFonts w:hint="eastAsia"/>
                <w:bCs/>
                <w:sz w:val="24"/>
              </w:rPr>
              <w:t xml:space="preserve">                                                                                                                                                                                                                                                                                                                                                                                                                                                                                                                                                                                                                                                                                                                                                                                                                                                                                                                                                                                                      </w:t>
            </w:r>
          </w:p>
          <w:p>
            <w:pPr>
              <w:jc w:val="center"/>
              <w:rPr>
                <w:rFonts w:hAnsi="宋体"/>
                <w:b/>
                <w:sz w:val="24"/>
              </w:rPr>
            </w:pPr>
            <w:r>
              <w:rPr>
                <w:rFonts w:hAnsi="宋体"/>
                <w:b/>
                <w:sz w:val="24"/>
              </w:rPr>
              <w:t>表</w:t>
            </w:r>
            <w:r>
              <w:rPr>
                <w:rFonts w:hint="eastAsia" w:hAnsi="宋体"/>
                <w:b/>
                <w:sz w:val="24"/>
              </w:rPr>
              <w:t xml:space="preserve">3-6  </w:t>
            </w:r>
            <w:r>
              <w:rPr>
                <w:rFonts w:hAnsi="宋体"/>
                <w:b/>
                <w:sz w:val="24"/>
              </w:rPr>
              <w:t>全市功能区</w:t>
            </w:r>
            <w:r>
              <w:rPr>
                <w:rFonts w:hint="eastAsia" w:hAnsi="宋体"/>
                <w:b/>
                <w:sz w:val="24"/>
              </w:rPr>
              <w:t>声环境</w:t>
            </w:r>
            <w:r>
              <w:rPr>
                <w:rFonts w:hAnsi="宋体"/>
                <w:b/>
                <w:sz w:val="24"/>
              </w:rPr>
              <w:t>治理达标情况一览表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2129"/>
              <w:gridCol w:w="2930"/>
              <w:gridCol w:w="1378"/>
              <w:gridCol w:w="19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1276" w:type="pct"/>
                  <w:vMerge w:val="restart"/>
                  <w:shd w:val="clear" w:color="auto" w:fill="FFFFFF"/>
                  <w:vAlign w:val="center"/>
                </w:tcPr>
                <w:p>
                  <w:pPr>
                    <w:jc w:val="center"/>
                    <w:rPr>
                      <w:b/>
                      <w:szCs w:val="21"/>
                    </w:rPr>
                  </w:pPr>
                  <w:r>
                    <w:rPr>
                      <w:rFonts w:hint="eastAsia"/>
                      <w:b/>
                      <w:szCs w:val="21"/>
                    </w:rPr>
                    <w:t>功能区</w:t>
                  </w:r>
                </w:p>
              </w:tc>
              <w:tc>
                <w:tcPr>
                  <w:tcW w:w="1756" w:type="pct"/>
                  <w:vMerge w:val="restart"/>
                  <w:shd w:val="clear" w:color="auto" w:fill="FFFFFF"/>
                  <w:vAlign w:val="center"/>
                </w:tcPr>
                <w:p>
                  <w:pPr>
                    <w:jc w:val="center"/>
                    <w:rPr>
                      <w:b/>
                      <w:szCs w:val="21"/>
                    </w:rPr>
                  </w:pPr>
                  <w:r>
                    <w:rPr>
                      <w:rFonts w:hint="eastAsia"/>
                      <w:b/>
                      <w:szCs w:val="21"/>
                    </w:rPr>
                    <w:t>监测</w:t>
                  </w:r>
                  <w:r>
                    <w:rPr>
                      <w:b/>
                      <w:szCs w:val="21"/>
                    </w:rPr>
                    <w:t>点位个数</w:t>
                  </w:r>
                </w:p>
              </w:tc>
              <w:tc>
                <w:tcPr>
                  <w:tcW w:w="1968" w:type="pct"/>
                  <w:gridSpan w:val="2"/>
                  <w:shd w:val="clear" w:color="auto" w:fill="FFFFFF"/>
                  <w:vAlign w:val="center"/>
                </w:tcPr>
                <w:p>
                  <w:pPr>
                    <w:jc w:val="center"/>
                    <w:rPr>
                      <w:b/>
                      <w:szCs w:val="21"/>
                    </w:rPr>
                  </w:pPr>
                  <w:r>
                    <w:rPr>
                      <w:b/>
                      <w:szCs w:val="21"/>
                    </w:rPr>
                    <w:t>功能区达标率</w:t>
                  </w:r>
                  <w:r>
                    <w:rPr>
                      <w:rFonts w:hint="eastAsia"/>
                      <w:b/>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6" w:type="pct"/>
                  <w:vMerge w:val="continue"/>
                  <w:shd w:val="clear" w:color="auto" w:fill="FFFFFF"/>
                  <w:vAlign w:val="center"/>
                </w:tcPr>
                <w:p>
                  <w:pPr>
                    <w:jc w:val="center"/>
                    <w:rPr>
                      <w:b/>
                      <w:szCs w:val="21"/>
                    </w:rPr>
                  </w:pPr>
                </w:p>
              </w:tc>
              <w:tc>
                <w:tcPr>
                  <w:tcW w:w="1756" w:type="pct"/>
                  <w:vMerge w:val="continue"/>
                  <w:shd w:val="clear" w:color="auto" w:fill="FFFFFF"/>
                  <w:vAlign w:val="center"/>
                </w:tcPr>
                <w:p>
                  <w:pPr>
                    <w:jc w:val="center"/>
                    <w:rPr>
                      <w:b/>
                      <w:szCs w:val="21"/>
                    </w:rPr>
                  </w:pPr>
                </w:p>
              </w:tc>
              <w:tc>
                <w:tcPr>
                  <w:tcW w:w="826" w:type="pct"/>
                  <w:shd w:val="clear" w:color="auto" w:fill="FFFFFF"/>
                  <w:vAlign w:val="center"/>
                </w:tcPr>
                <w:p>
                  <w:pPr>
                    <w:jc w:val="center"/>
                    <w:rPr>
                      <w:b/>
                      <w:szCs w:val="21"/>
                    </w:rPr>
                  </w:pPr>
                  <w:r>
                    <w:rPr>
                      <w:rFonts w:hint="eastAsia"/>
                      <w:b/>
                      <w:szCs w:val="21"/>
                    </w:rPr>
                    <w:t>昼间</w:t>
                  </w:r>
                </w:p>
              </w:tc>
              <w:tc>
                <w:tcPr>
                  <w:tcW w:w="1142" w:type="pct"/>
                  <w:shd w:val="clear" w:color="auto" w:fill="FFFFFF"/>
                  <w:vAlign w:val="center"/>
                </w:tcPr>
                <w:p>
                  <w:pPr>
                    <w:jc w:val="center"/>
                    <w:rPr>
                      <w:b/>
                      <w:szCs w:val="21"/>
                    </w:rPr>
                  </w:pPr>
                  <w:r>
                    <w:rPr>
                      <w:b/>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szCs w:val="21"/>
                    </w:rPr>
                  </w:pPr>
                  <w:r>
                    <w:rPr>
                      <w:rFonts w:hint="eastAsia"/>
                      <w:szCs w:val="21"/>
                    </w:rPr>
                    <w:t>0类区</w:t>
                  </w:r>
                </w:p>
              </w:tc>
              <w:tc>
                <w:tcPr>
                  <w:tcW w:w="1756" w:type="pct"/>
                  <w:shd w:val="clear" w:color="auto" w:fill="FFFFFF"/>
                  <w:vAlign w:val="center"/>
                </w:tcPr>
                <w:p>
                  <w:pPr>
                    <w:jc w:val="center"/>
                    <w:rPr>
                      <w:szCs w:val="21"/>
                    </w:rPr>
                  </w:pPr>
                  <w:r>
                    <w:rPr>
                      <w:rFonts w:hint="eastAsia"/>
                      <w:szCs w:val="21"/>
                    </w:rPr>
                    <w:t>0</w:t>
                  </w:r>
                </w:p>
              </w:tc>
              <w:tc>
                <w:tcPr>
                  <w:tcW w:w="826" w:type="pct"/>
                  <w:shd w:val="clear" w:color="auto" w:fill="FFFFFF"/>
                  <w:vAlign w:val="center"/>
                </w:tcPr>
                <w:p>
                  <w:pPr>
                    <w:jc w:val="center"/>
                    <w:rPr>
                      <w:szCs w:val="21"/>
                    </w:rPr>
                  </w:pPr>
                  <w:r>
                    <w:rPr>
                      <w:rFonts w:hint="eastAsia"/>
                      <w:szCs w:val="21"/>
                    </w:rPr>
                    <w:t>/</w:t>
                  </w:r>
                </w:p>
              </w:tc>
              <w:tc>
                <w:tcPr>
                  <w:tcW w:w="1142" w:type="pct"/>
                  <w:shd w:val="clear" w:color="auto" w:fill="FFFFFF"/>
                  <w:vAlign w:val="center"/>
                </w:tcPr>
                <w:p>
                  <w:pPr>
                    <w:jc w:val="center"/>
                    <w:rPr>
                      <w:szCs w:val="21"/>
                    </w:rPr>
                  </w:pPr>
                  <w:r>
                    <w:rPr>
                      <w:rFonts w:hint="eastAsia"/>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szCs w:val="21"/>
                    </w:rPr>
                  </w:pPr>
                  <w:r>
                    <w:rPr>
                      <w:rFonts w:hint="eastAsia"/>
                      <w:szCs w:val="21"/>
                    </w:rPr>
                    <w:t>1类区</w:t>
                  </w:r>
                </w:p>
              </w:tc>
              <w:tc>
                <w:tcPr>
                  <w:tcW w:w="1756" w:type="pct"/>
                  <w:shd w:val="clear" w:color="auto" w:fill="FFFFFF"/>
                  <w:vAlign w:val="center"/>
                </w:tcPr>
                <w:p>
                  <w:pPr>
                    <w:jc w:val="center"/>
                    <w:rPr>
                      <w:szCs w:val="21"/>
                    </w:rPr>
                  </w:pPr>
                  <w:r>
                    <w:rPr>
                      <w:rFonts w:hint="eastAsia"/>
                      <w:szCs w:val="21"/>
                    </w:rPr>
                    <w:t>1</w:t>
                  </w:r>
                </w:p>
              </w:tc>
              <w:tc>
                <w:tcPr>
                  <w:tcW w:w="826" w:type="pct"/>
                  <w:shd w:val="clear" w:color="auto" w:fill="FFFFFF"/>
                  <w:vAlign w:val="center"/>
                </w:tcPr>
                <w:p>
                  <w:pPr>
                    <w:jc w:val="center"/>
                    <w:rPr>
                      <w:szCs w:val="21"/>
                    </w:rPr>
                  </w:pPr>
                  <w:r>
                    <w:rPr>
                      <w:rFonts w:hint="eastAsia"/>
                      <w:szCs w:val="21"/>
                    </w:rPr>
                    <w:t>100</w:t>
                  </w:r>
                </w:p>
              </w:tc>
              <w:tc>
                <w:tcPr>
                  <w:tcW w:w="1142" w:type="pct"/>
                  <w:shd w:val="clear" w:color="auto" w:fill="FFFFFF"/>
                  <w:vAlign w:val="center"/>
                </w:tcPr>
                <w:p>
                  <w:pPr>
                    <w:jc w:val="center"/>
                    <w:rPr>
                      <w:szCs w:val="21"/>
                    </w:rPr>
                  </w:pPr>
                  <w:r>
                    <w:rPr>
                      <w:rFonts w:hint="eastAsia"/>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szCs w:val="21"/>
                    </w:rPr>
                  </w:pPr>
                  <w:r>
                    <w:rPr>
                      <w:rFonts w:hint="eastAsia"/>
                      <w:szCs w:val="21"/>
                    </w:rPr>
                    <w:t>2类区</w:t>
                  </w:r>
                </w:p>
              </w:tc>
              <w:tc>
                <w:tcPr>
                  <w:tcW w:w="1756" w:type="pct"/>
                  <w:shd w:val="clear" w:color="auto" w:fill="FFFFFF"/>
                  <w:vAlign w:val="center"/>
                </w:tcPr>
                <w:p>
                  <w:pPr>
                    <w:jc w:val="center"/>
                    <w:rPr>
                      <w:szCs w:val="21"/>
                    </w:rPr>
                  </w:pPr>
                  <w:r>
                    <w:rPr>
                      <w:rFonts w:hint="eastAsia"/>
                      <w:szCs w:val="21"/>
                    </w:rPr>
                    <w:t>5</w:t>
                  </w:r>
                </w:p>
              </w:tc>
              <w:tc>
                <w:tcPr>
                  <w:tcW w:w="826" w:type="pct"/>
                  <w:shd w:val="clear" w:color="auto" w:fill="FFFFFF"/>
                  <w:vAlign w:val="center"/>
                </w:tcPr>
                <w:p>
                  <w:pPr>
                    <w:jc w:val="center"/>
                    <w:rPr>
                      <w:szCs w:val="21"/>
                    </w:rPr>
                  </w:pPr>
                  <w:r>
                    <w:rPr>
                      <w:rFonts w:hint="eastAsia"/>
                      <w:szCs w:val="21"/>
                    </w:rPr>
                    <w:t>100</w:t>
                  </w:r>
                </w:p>
              </w:tc>
              <w:tc>
                <w:tcPr>
                  <w:tcW w:w="1142" w:type="pct"/>
                  <w:shd w:val="clear" w:color="auto" w:fill="FFFFFF"/>
                  <w:vAlign w:val="center"/>
                </w:tcPr>
                <w:p>
                  <w:pPr>
                    <w:jc w:val="center"/>
                    <w:rPr>
                      <w:szCs w:val="21"/>
                    </w:rPr>
                  </w:pPr>
                  <w:r>
                    <w:rPr>
                      <w:rFonts w:hint="eastAsia"/>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szCs w:val="21"/>
                    </w:rPr>
                  </w:pPr>
                  <w:r>
                    <w:rPr>
                      <w:rFonts w:hint="eastAsia"/>
                      <w:szCs w:val="21"/>
                    </w:rPr>
                    <w:t>3类区</w:t>
                  </w:r>
                </w:p>
              </w:tc>
              <w:tc>
                <w:tcPr>
                  <w:tcW w:w="1756" w:type="pct"/>
                  <w:shd w:val="clear" w:color="auto" w:fill="FFFFFF"/>
                  <w:vAlign w:val="center"/>
                </w:tcPr>
                <w:p>
                  <w:pPr>
                    <w:jc w:val="center"/>
                    <w:rPr>
                      <w:szCs w:val="21"/>
                    </w:rPr>
                  </w:pPr>
                  <w:r>
                    <w:rPr>
                      <w:rFonts w:hint="eastAsia"/>
                      <w:szCs w:val="21"/>
                    </w:rPr>
                    <w:t>2</w:t>
                  </w:r>
                </w:p>
              </w:tc>
              <w:tc>
                <w:tcPr>
                  <w:tcW w:w="826" w:type="pct"/>
                  <w:shd w:val="clear" w:color="auto" w:fill="FFFFFF"/>
                  <w:vAlign w:val="center"/>
                </w:tcPr>
                <w:p>
                  <w:pPr>
                    <w:jc w:val="center"/>
                    <w:rPr>
                      <w:szCs w:val="21"/>
                    </w:rPr>
                  </w:pPr>
                  <w:r>
                    <w:rPr>
                      <w:rFonts w:hint="eastAsia"/>
                      <w:szCs w:val="21"/>
                    </w:rPr>
                    <w:t>100</w:t>
                  </w:r>
                </w:p>
              </w:tc>
              <w:tc>
                <w:tcPr>
                  <w:tcW w:w="1142" w:type="pct"/>
                  <w:shd w:val="clear" w:color="auto" w:fill="FFFFFF"/>
                  <w:vAlign w:val="center"/>
                </w:tcPr>
                <w:p>
                  <w:pPr>
                    <w:jc w:val="center"/>
                    <w:rPr>
                      <w:szCs w:val="21"/>
                    </w:rPr>
                  </w:pPr>
                  <w:r>
                    <w:rPr>
                      <w:rFonts w:hint="eastAsia"/>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szCs w:val="21"/>
                    </w:rPr>
                  </w:pPr>
                  <w:r>
                    <w:rPr>
                      <w:rFonts w:hint="eastAsia"/>
                      <w:szCs w:val="21"/>
                    </w:rPr>
                    <w:t>4a类区</w:t>
                  </w:r>
                </w:p>
              </w:tc>
              <w:tc>
                <w:tcPr>
                  <w:tcW w:w="1756" w:type="pct"/>
                  <w:shd w:val="clear" w:color="auto" w:fill="FFFFFF"/>
                  <w:vAlign w:val="center"/>
                </w:tcPr>
                <w:p>
                  <w:pPr>
                    <w:jc w:val="center"/>
                    <w:rPr>
                      <w:szCs w:val="21"/>
                    </w:rPr>
                  </w:pPr>
                  <w:r>
                    <w:rPr>
                      <w:rFonts w:hint="eastAsia"/>
                      <w:szCs w:val="21"/>
                    </w:rPr>
                    <w:t>1</w:t>
                  </w:r>
                </w:p>
              </w:tc>
              <w:tc>
                <w:tcPr>
                  <w:tcW w:w="826" w:type="pct"/>
                  <w:shd w:val="clear" w:color="auto" w:fill="FFFFFF"/>
                  <w:vAlign w:val="center"/>
                </w:tcPr>
                <w:p>
                  <w:pPr>
                    <w:jc w:val="center"/>
                    <w:rPr>
                      <w:szCs w:val="21"/>
                    </w:rPr>
                  </w:pPr>
                  <w:r>
                    <w:rPr>
                      <w:rFonts w:hint="eastAsia"/>
                      <w:szCs w:val="21"/>
                    </w:rPr>
                    <w:t>100</w:t>
                  </w:r>
                </w:p>
              </w:tc>
              <w:tc>
                <w:tcPr>
                  <w:tcW w:w="1142" w:type="pct"/>
                  <w:shd w:val="clear" w:color="auto" w:fill="FFFFFF"/>
                  <w:vAlign w:val="center"/>
                </w:tcPr>
                <w:p>
                  <w:pPr>
                    <w:jc w:val="center"/>
                    <w:rPr>
                      <w:szCs w:val="21"/>
                    </w:rPr>
                  </w:pPr>
                  <w:r>
                    <w:rPr>
                      <w:rFonts w:hint="eastAsia"/>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6" w:type="pct"/>
                  <w:shd w:val="clear" w:color="auto" w:fill="FFFFFF"/>
                  <w:vAlign w:val="center"/>
                </w:tcPr>
                <w:p>
                  <w:pPr>
                    <w:jc w:val="center"/>
                    <w:rPr>
                      <w:szCs w:val="21"/>
                    </w:rPr>
                  </w:pPr>
                  <w:r>
                    <w:rPr>
                      <w:rFonts w:hint="eastAsia"/>
                      <w:szCs w:val="21"/>
                    </w:rPr>
                    <w:t>4b类区</w:t>
                  </w:r>
                </w:p>
              </w:tc>
              <w:tc>
                <w:tcPr>
                  <w:tcW w:w="1756" w:type="pct"/>
                  <w:shd w:val="clear" w:color="auto" w:fill="FFFFFF"/>
                  <w:vAlign w:val="center"/>
                </w:tcPr>
                <w:p>
                  <w:pPr>
                    <w:jc w:val="center"/>
                    <w:rPr>
                      <w:szCs w:val="21"/>
                    </w:rPr>
                  </w:pPr>
                  <w:r>
                    <w:rPr>
                      <w:rFonts w:hint="eastAsia"/>
                      <w:szCs w:val="21"/>
                    </w:rPr>
                    <w:t>1</w:t>
                  </w:r>
                </w:p>
              </w:tc>
              <w:tc>
                <w:tcPr>
                  <w:tcW w:w="826" w:type="pct"/>
                  <w:shd w:val="clear" w:color="auto" w:fill="FFFFFF"/>
                  <w:vAlign w:val="center"/>
                </w:tcPr>
                <w:p>
                  <w:pPr>
                    <w:jc w:val="center"/>
                    <w:rPr>
                      <w:szCs w:val="21"/>
                    </w:rPr>
                  </w:pPr>
                  <w:r>
                    <w:rPr>
                      <w:rFonts w:hint="eastAsia"/>
                      <w:szCs w:val="21"/>
                    </w:rPr>
                    <w:t>100</w:t>
                  </w:r>
                </w:p>
              </w:tc>
              <w:tc>
                <w:tcPr>
                  <w:tcW w:w="1142" w:type="pct"/>
                  <w:shd w:val="clear" w:color="auto" w:fill="FFFFFF"/>
                  <w:vAlign w:val="center"/>
                </w:tcPr>
                <w:p>
                  <w:pPr>
                    <w:jc w:val="center"/>
                    <w:rPr>
                      <w:szCs w:val="21"/>
                    </w:rPr>
                  </w:pPr>
                  <w:r>
                    <w:rPr>
                      <w:rFonts w:hint="eastAsia"/>
                      <w:szCs w:val="21"/>
                    </w:rPr>
                    <w:t>100</w:t>
                  </w:r>
                </w:p>
              </w:tc>
            </w:tr>
          </w:tbl>
          <w:p>
            <w:pPr>
              <w:spacing w:before="120" w:beforeLines="50" w:line="360" w:lineRule="auto"/>
              <w:ind w:firstLine="480" w:firstLineChars="200"/>
              <w:rPr>
                <w:rFonts w:ascii="宋体" w:hAnsi="宋体"/>
                <w:bCs/>
                <w:sz w:val="24"/>
              </w:rPr>
            </w:pPr>
            <w:r>
              <w:rPr>
                <w:rFonts w:hint="eastAsia" w:ascii="宋体" w:hAnsi="宋体"/>
                <w:bCs/>
                <w:sz w:val="24"/>
              </w:rPr>
              <w:t>由上表可知：城市区域内声环境质量较好。</w:t>
            </w:r>
          </w:p>
          <w:p>
            <w:pPr>
              <w:spacing w:before="120" w:beforeLines="50" w:line="360" w:lineRule="auto"/>
              <w:ind w:firstLine="480" w:firstLineChars="200"/>
              <w:rPr>
                <w:rFonts w:ascii="宋体" w:hAnsi="宋体"/>
                <w:bCs/>
                <w:sz w:val="24"/>
              </w:rPr>
            </w:pPr>
            <w:r>
              <w:rPr>
                <w:rFonts w:hint="eastAsia" w:ascii="宋体" w:hAnsi="宋体"/>
                <w:bCs/>
                <w:sz w:val="24"/>
              </w:rPr>
              <w:t>根据《安徽芜湖鸠江经济开发区环境影响区域评估报告》中对鸠江经济开发区东区点位进行的网格布点噪声现状监测，监测时间为2021年11月15日和2021年11月16日，监测数据如下表。</w:t>
            </w:r>
          </w:p>
          <w:p>
            <w:pPr>
              <w:jc w:val="center"/>
              <w:rPr>
                <w:rFonts w:hAnsi="宋体"/>
                <w:b/>
                <w:sz w:val="24"/>
              </w:rPr>
            </w:pPr>
            <w:r>
              <w:rPr>
                <w:rFonts w:hAnsi="宋体"/>
                <w:b/>
                <w:sz w:val="24"/>
              </w:rPr>
              <w:t>表</w:t>
            </w:r>
            <w:r>
              <w:rPr>
                <w:rFonts w:hint="eastAsia" w:hAnsi="宋体"/>
                <w:b/>
                <w:sz w:val="24"/>
              </w:rPr>
              <w:t>3-7  鸠江经济开发区东区区</w:t>
            </w:r>
            <w:r>
              <w:rPr>
                <w:rFonts w:hAnsi="宋体"/>
                <w:b/>
                <w:sz w:val="24"/>
              </w:rPr>
              <w:t>噪声现状监测结果一览表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460"/>
              <w:gridCol w:w="1297"/>
              <w:gridCol w:w="1789"/>
              <w:gridCol w:w="1297"/>
              <w:gridCol w:w="1297"/>
              <w:gridCol w:w="12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875" w:type="pct"/>
                  <w:vMerge w:val="restart"/>
                  <w:shd w:val="clear" w:color="auto" w:fill="auto"/>
                  <w:vAlign w:val="center"/>
                </w:tcPr>
                <w:p>
                  <w:pPr>
                    <w:widowControl/>
                    <w:adjustRightInd w:val="0"/>
                    <w:snapToGrid w:val="0"/>
                    <w:jc w:val="center"/>
                    <w:rPr>
                      <w:rFonts w:ascii="宋体" w:hAnsi="宋体" w:cs="宋体"/>
                      <w:b/>
                      <w:kern w:val="0"/>
                      <w:szCs w:val="21"/>
                    </w:rPr>
                  </w:pPr>
                  <w:r>
                    <w:rPr>
                      <w:rFonts w:ascii="宋体" w:hAnsi="宋体" w:cs="宋体"/>
                      <w:b/>
                      <w:kern w:val="0"/>
                      <w:szCs w:val="21"/>
                    </w:rPr>
                    <w:t>监测点位</w:t>
                  </w:r>
                </w:p>
              </w:tc>
              <w:tc>
                <w:tcPr>
                  <w:tcW w:w="777" w:type="pct"/>
                  <w:vMerge w:val="restart"/>
                  <w:shd w:val="clear" w:color="auto" w:fill="FFFFFF"/>
                  <w:vAlign w:val="center"/>
                </w:tcPr>
                <w:p>
                  <w:pPr>
                    <w:widowControl/>
                    <w:adjustRightInd w:val="0"/>
                    <w:snapToGrid w:val="0"/>
                    <w:jc w:val="center"/>
                    <w:rPr>
                      <w:rFonts w:ascii="宋体" w:hAnsi="宋体" w:cs="宋体"/>
                      <w:b/>
                      <w:kern w:val="0"/>
                      <w:szCs w:val="21"/>
                    </w:rPr>
                  </w:pPr>
                  <w:r>
                    <w:rPr>
                      <w:rFonts w:ascii="宋体" w:hAnsi="宋体" w:cs="宋体"/>
                      <w:b/>
                      <w:kern w:val="0"/>
                      <w:szCs w:val="21"/>
                    </w:rPr>
                    <w:t>监测</w:t>
                  </w:r>
                  <w:r>
                    <w:rPr>
                      <w:rFonts w:hint="eastAsia" w:ascii="宋体" w:hAnsi="宋体" w:cs="宋体"/>
                      <w:b/>
                      <w:kern w:val="0"/>
                      <w:szCs w:val="21"/>
                    </w:rPr>
                    <w:t>时间</w:t>
                  </w:r>
                </w:p>
              </w:tc>
              <w:tc>
                <w:tcPr>
                  <w:tcW w:w="3346" w:type="pct"/>
                  <w:gridSpan w:val="4"/>
                  <w:shd w:val="clear" w:color="auto" w:fill="FFFFFF"/>
                  <w:vAlign w:val="center"/>
                </w:tcPr>
                <w:p>
                  <w:pPr>
                    <w:widowControl/>
                    <w:adjustRightInd w:val="0"/>
                    <w:snapToGrid w:val="0"/>
                    <w:ind w:firstLine="422" w:firstLineChars="200"/>
                    <w:jc w:val="center"/>
                    <w:rPr>
                      <w:rFonts w:ascii="宋体" w:hAnsi="宋体" w:cs="宋体"/>
                      <w:b/>
                      <w:kern w:val="0"/>
                      <w:szCs w:val="21"/>
                    </w:rPr>
                  </w:pPr>
                  <w:r>
                    <w:rPr>
                      <w:rFonts w:ascii="宋体" w:hAnsi="宋体" w:cs="宋体"/>
                      <w:b/>
                      <w:kern w:val="0"/>
                      <w:szCs w:val="21"/>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continue"/>
                  <w:shd w:val="clear" w:color="auto" w:fill="auto"/>
                  <w:vAlign w:val="center"/>
                </w:tcPr>
                <w:p>
                  <w:pPr>
                    <w:jc w:val="center"/>
                    <w:rPr>
                      <w:szCs w:val="21"/>
                    </w:rPr>
                  </w:pPr>
                </w:p>
              </w:tc>
              <w:tc>
                <w:tcPr>
                  <w:tcW w:w="777" w:type="pct"/>
                  <w:vMerge w:val="continue"/>
                  <w:shd w:val="clear" w:color="auto" w:fill="FFFFFF"/>
                  <w:vAlign w:val="center"/>
                </w:tcPr>
                <w:p>
                  <w:pPr>
                    <w:jc w:val="center"/>
                    <w:rPr>
                      <w:szCs w:val="21"/>
                    </w:rPr>
                  </w:pPr>
                </w:p>
              </w:tc>
              <w:tc>
                <w:tcPr>
                  <w:tcW w:w="1072" w:type="pct"/>
                  <w:shd w:val="clear" w:color="auto" w:fill="FFFFFF"/>
                  <w:vAlign w:val="center"/>
                </w:tcPr>
                <w:p>
                  <w:pPr>
                    <w:jc w:val="center"/>
                    <w:rPr>
                      <w:b/>
                      <w:szCs w:val="21"/>
                    </w:rPr>
                  </w:pPr>
                  <w:r>
                    <w:rPr>
                      <w:b/>
                      <w:szCs w:val="21"/>
                    </w:rPr>
                    <w:t>时间</w:t>
                  </w:r>
                </w:p>
              </w:tc>
              <w:tc>
                <w:tcPr>
                  <w:tcW w:w="777" w:type="pct"/>
                  <w:shd w:val="clear" w:color="auto" w:fill="FFFFFF"/>
                  <w:vAlign w:val="center"/>
                </w:tcPr>
                <w:p>
                  <w:pPr>
                    <w:jc w:val="center"/>
                    <w:rPr>
                      <w:b/>
                      <w:szCs w:val="21"/>
                    </w:rPr>
                  </w:pPr>
                  <w:r>
                    <w:rPr>
                      <w:rFonts w:hint="eastAsia"/>
                      <w:b/>
                      <w:szCs w:val="21"/>
                    </w:rPr>
                    <w:t>/</w:t>
                  </w:r>
                </w:p>
              </w:tc>
              <w:tc>
                <w:tcPr>
                  <w:tcW w:w="777" w:type="pct"/>
                  <w:shd w:val="clear" w:color="auto" w:fill="FFFFFF"/>
                  <w:vAlign w:val="center"/>
                </w:tcPr>
                <w:p>
                  <w:pPr>
                    <w:jc w:val="center"/>
                    <w:rPr>
                      <w:b/>
                      <w:szCs w:val="21"/>
                    </w:rPr>
                  </w:pPr>
                  <w:r>
                    <w:rPr>
                      <w:b/>
                      <w:szCs w:val="21"/>
                    </w:rPr>
                    <w:t>时间</w:t>
                  </w:r>
                </w:p>
              </w:tc>
              <w:tc>
                <w:tcPr>
                  <w:tcW w:w="718" w:type="pct"/>
                  <w:shd w:val="clear" w:color="auto" w:fill="FFFFFF"/>
                  <w:vAlign w:val="center"/>
                </w:tcPr>
                <w:p>
                  <w:pPr>
                    <w:jc w:val="center"/>
                    <w:rPr>
                      <w:b/>
                      <w:szCs w:val="21"/>
                    </w:rPr>
                  </w:pPr>
                  <w:r>
                    <w:rPr>
                      <w:rFonts w:hint="eastAsia"/>
                      <w:b/>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restart"/>
                  <w:shd w:val="clear" w:color="auto" w:fill="auto"/>
                  <w:vAlign w:val="center"/>
                </w:tcPr>
                <w:p>
                  <w:pPr>
                    <w:jc w:val="center"/>
                    <w:rPr>
                      <w:szCs w:val="21"/>
                    </w:rPr>
                  </w:pPr>
                  <w:r>
                    <w:rPr>
                      <w:rFonts w:hint="eastAsia"/>
                      <w:szCs w:val="21"/>
                    </w:rPr>
                    <w:t>东区N9</w:t>
                  </w:r>
                </w:p>
              </w:tc>
              <w:tc>
                <w:tcPr>
                  <w:tcW w:w="777" w:type="pct"/>
                  <w:shd w:val="clear" w:color="auto" w:fill="FFFFFF"/>
                  <w:vAlign w:val="center"/>
                </w:tcPr>
                <w:p>
                  <w:pPr>
                    <w:jc w:val="center"/>
                    <w:rPr>
                      <w:szCs w:val="21"/>
                    </w:rPr>
                  </w:pPr>
                  <w:r>
                    <w:rPr>
                      <w:rFonts w:hint="eastAsia"/>
                      <w:szCs w:val="21"/>
                    </w:rPr>
                    <w:t>2021.11.15</w:t>
                  </w:r>
                </w:p>
              </w:tc>
              <w:tc>
                <w:tcPr>
                  <w:tcW w:w="1072" w:type="pct"/>
                  <w:vMerge w:val="restart"/>
                  <w:shd w:val="clear" w:color="auto" w:fill="FFFFFF"/>
                  <w:vAlign w:val="center"/>
                </w:tcPr>
                <w:p>
                  <w:pPr>
                    <w:jc w:val="center"/>
                    <w:rPr>
                      <w:szCs w:val="21"/>
                    </w:rPr>
                  </w:pPr>
                  <w:r>
                    <w:rPr>
                      <w:szCs w:val="21"/>
                    </w:rPr>
                    <w:t>昼间</w:t>
                  </w:r>
                </w:p>
              </w:tc>
              <w:tc>
                <w:tcPr>
                  <w:tcW w:w="777" w:type="pct"/>
                  <w:shd w:val="clear" w:color="auto" w:fill="FFFFFF"/>
                  <w:vAlign w:val="center"/>
                </w:tcPr>
                <w:p>
                  <w:pPr>
                    <w:jc w:val="center"/>
                    <w:rPr>
                      <w:szCs w:val="21"/>
                    </w:rPr>
                  </w:pPr>
                  <w:r>
                    <w:rPr>
                      <w:rFonts w:hint="eastAsia"/>
                      <w:szCs w:val="21"/>
                    </w:rPr>
                    <w:t>62</w:t>
                  </w:r>
                </w:p>
              </w:tc>
              <w:tc>
                <w:tcPr>
                  <w:tcW w:w="777" w:type="pct"/>
                  <w:vMerge w:val="restart"/>
                  <w:shd w:val="clear" w:color="auto" w:fill="FFFFFF"/>
                  <w:vAlign w:val="center"/>
                </w:tcPr>
                <w:p>
                  <w:pPr>
                    <w:jc w:val="center"/>
                    <w:rPr>
                      <w:szCs w:val="21"/>
                    </w:rPr>
                  </w:pPr>
                  <w:r>
                    <w:rPr>
                      <w:szCs w:val="21"/>
                    </w:rPr>
                    <w:t>夜间</w:t>
                  </w:r>
                </w:p>
              </w:tc>
              <w:tc>
                <w:tcPr>
                  <w:tcW w:w="718" w:type="pct"/>
                  <w:shd w:val="clear" w:color="auto" w:fill="FFFFFF"/>
                  <w:vAlign w:val="center"/>
                </w:tcPr>
                <w:p>
                  <w:pPr>
                    <w:jc w:val="center"/>
                    <w:rPr>
                      <w:szCs w:val="21"/>
                    </w:rPr>
                  </w:pPr>
                  <w:r>
                    <w:rPr>
                      <w:rFonts w:hint="eastAsia"/>
                      <w:szCs w:val="21"/>
                    </w:rPr>
                    <w:t>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continue"/>
                  <w:shd w:val="clear" w:color="auto" w:fill="auto"/>
                  <w:vAlign w:val="center"/>
                </w:tcPr>
                <w:p>
                  <w:pPr>
                    <w:jc w:val="center"/>
                    <w:rPr>
                      <w:szCs w:val="21"/>
                    </w:rPr>
                  </w:pPr>
                </w:p>
              </w:tc>
              <w:tc>
                <w:tcPr>
                  <w:tcW w:w="777" w:type="pct"/>
                  <w:shd w:val="clear" w:color="auto" w:fill="FFFFFF"/>
                  <w:vAlign w:val="center"/>
                </w:tcPr>
                <w:p>
                  <w:pPr>
                    <w:jc w:val="center"/>
                    <w:rPr>
                      <w:szCs w:val="21"/>
                    </w:rPr>
                  </w:pPr>
                  <w:r>
                    <w:rPr>
                      <w:rFonts w:hint="eastAsia"/>
                      <w:szCs w:val="21"/>
                    </w:rPr>
                    <w:t>2021.11.16</w:t>
                  </w:r>
                </w:p>
              </w:tc>
              <w:tc>
                <w:tcPr>
                  <w:tcW w:w="1072" w:type="pct"/>
                  <w:vMerge w:val="continue"/>
                  <w:shd w:val="clear" w:color="auto" w:fill="FFFFFF"/>
                  <w:vAlign w:val="center"/>
                </w:tcPr>
                <w:p>
                  <w:pPr>
                    <w:jc w:val="center"/>
                    <w:rPr>
                      <w:szCs w:val="21"/>
                    </w:rPr>
                  </w:pPr>
                </w:p>
              </w:tc>
              <w:tc>
                <w:tcPr>
                  <w:tcW w:w="777" w:type="pct"/>
                  <w:shd w:val="clear" w:color="auto" w:fill="FFFFFF"/>
                  <w:vAlign w:val="center"/>
                </w:tcPr>
                <w:p>
                  <w:pPr>
                    <w:jc w:val="center"/>
                    <w:rPr>
                      <w:szCs w:val="21"/>
                    </w:rPr>
                  </w:pPr>
                  <w:r>
                    <w:rPr>
                      <w:rFonts w:hint="eastAsia"/>
                      <w:szCs w:val="21"/>
                    </w:rPr>
                    <w:t>63</w:t>
                  </w:r>
                </w:p>
              </w:tc>
              <w:tc>
                <w:tcPr>
                  <w:tcW w:w="777" w:type="pct"/>
                  <w:vMerge w:val="continue"/>
                  <w:shd w:val="clear" w:color="auto" w:fill="FFFFFF"/>
                  <w:vAlign w:val="center"/>
                </w:tcPr>
                <w:p>
                  <w:pPr>
                    <w:jc w:val="center"/>
                    <w:rPr>
                      <w:szCs w:val="21"/>
                    </w:rPr>
                  </w:pPr>
                </w:p>
              </w:tc>
              <w:tc>
                <w:tcPr>
                  <w:tcW w:w="718" w:type="pct"/>
                  <w:shd w:val="clear" w:color="auto" w:fill="FFFFFF"/>
                  <w:vAlign w:val="center"/>
                </w:tcPr>
                <w:p>
                  <w:pPr>
                    <w:jc w:val="center"/>
                    <w:rPr>
                      <w:szCs w:val="21"/>
                    </w:rPr>
                  </w:pPr>
                  <w:r>
                    <w:rPr>
                      <w:rFonts w:hint="eastAsia"/>
                      <w:szCs w:val="21"/>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restart"/>
                  <w:shd w:val="clear" w:color="auto" w:fill="auto"/>
                  <w:vAlign w:val="center"/>
                </w:tcPr>
                <w:p>
                  <w:pPr>
                    <w:jc w:val="center"/>
                    <w:rPr>
                      <w:szCs w:val="21"/>
                    </w:rPr>
                  </w:pPr>
                  <w:r>
                    <w:rPr>
                      <w:rFonts w:hint="eastAsia"/>
                      <w:szCs w:val="21"/>
                    </w:rPr>
                    <w:t>东区N10</w:t>
                  </w:r>
                </w:p>
              </w:tc>
              <w:tc>
                <w:tcPr>
                  <w:tcW w:w="1298" w:type="dxa"/>
                  <w:shd w:val="clear" w:color="auto" w:fill="FFFFFF"/>
                  <w:vAlign w:val="center"/>
                </w:tcPr>
                <w:p>
                  <w:pPr>
                    <w:jc w:val="center"/>
                    <w:rPr>
                      <w:szCs w:val="21"/>
                    </w:rPr>
                  </w:pPr>
                  <w:r>
                    <w:rPr>
                      <w:rFonts w:hint="eastAsia"/>
                      <w:szCs w:val="21"/>
                    </w:rPr>
                    <w:t>2021.11.15</w:t>
                  </w:r>
                </w:p>
              </w:tc>
              <w:tc>
                <w:tcPr>
                  <w:tcW w:w="1072" w:type="pct"/>
                  <w:vMerge w:val="restart"/>
                  <w:shd w:val="clear" w:color="auto" w:fill="FFFFFF"/>
                  <w:vAlign w:val="center"/>
                </w:tcPr>
                <w:p>
                  <w:pPr>
                    <w:jc w:val="center"/>
                    <w:rPr>
                      <w:szCs w:val="21"/>
                    </w:rPr>
                  </w:pPr>
                  <w:r>
                    <w:rPr>
                      <w:szCs w:val="21"/>
                    </w:rPr>
                    <w:t>昼间</w:t>
                  </w:r>
                </w:p>
              </w:tc>
              <w:tc>
                <w:tcPr>
                  <w:tcW w:w="777" w:type="pct"/>
                  <w:shd w:val="clear" w:color="auto" w:fill="FFFFFF"/>
                  <w:vAlign w:val="center"/>
                </w:tcPr>
                <w:p>
                  <w:pPr>
                    <w:jc w:val="center"/>
                    <w:rPr>
                      <w:szCs w:val="21"/>
                    </w:rPr>
                  </w:pPr>
                  <w:r>
                    <w:rPr>
                      <w:rFonts w:hint="eastAsia"/>
                      <w:szCs w:val="21"/>
                    </w:rPr>
                    <w:t>62</w:t>
                  </w:r>
                </w:p>
              </w:tc>
              <w:tc>
                <w:tcPr>
                  <w:tcW w:w="777" w:type="pct"/>
                  <w:vMerge w:val="restart"/>
                  <w:shd w:val="clear" w:color="auto" w:fill="FFFFFF"/>
                  <w:vAlign w:val="center"/>
                </w:tcPr>
                <w:p>
                  <w:pPr>
                    <w:jc w:val="center"/>
                    <w:rPr>
                      <w:szCs w:val="21"/>
                    </w:rPr>
                  </w:pPr>
                  <w:r>
                    <w:rPr>
                      <w:szCs w:val="21"/>
                    </w:rPr>
                    <w:t>夜间</w:t>
                  </w:r>
                </w:p>
              </w:tc>
              <w:tc>
                <w:tcPr>
                  <w:tcW w:w="718" w:type="pct"/>
                  <w:shd w:val="clear" w:color="auto" w:fill="FFFFFF"/>
                  <w:vAlign w:val="center"/>
                </w:tcPr>
                <w:p>
                  <w:pPr>
                    <w:jc w:val="center"/>
                    <w:rPr>
                      <w:szCs w:val="21"/>
                    </w:rPr>
                  </w:pPr>
                  <w:r>
                    <w:rPr>
                      <w:rFonts w:hint="eastAsia"/>
                      <w:szCs w:val="21"/>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continue"/>
                  <w:shd w:val="clear" w:color="auto" w:fill="auto"/>
                  <w:vAlign w:val="center"/>
                </w:tcPr>
                <w:p>
                  <w:pPr>
                    <w:jc w:val="center"/>
                    <w:rPr>
                      <w:szCs w:val="21"/>
                    </w:rPr>
                  </w:pPr>
                </w:p>
              </w:tc>
              <w:tc>
                <w:tcPr>
                  <w:tcW w:w="1298" w:type="dxa"/>
                  <w:shd w:val="clear" w:color="auto" w:fill="FFFFFF"/>
                  <w:vAlign w:val="center"/>
                </w:tcPr>
                <w:p>
                  <w:pPr>
                    <w:jc w:val="center"/>
                    <w:rPr>
                      <w:szCs w:val="21"/>
                    </w:rPr>
                  </w:pPr>
                  <w:r>
                    <w:rPr>
                      <w:rFonts w:hint="eastAsia"/>
                      <w:szCs w:val="21"/>
                    </w:rPr>
                    <w:t>2021.11.16</w:t>
                  </w:r>
                </w:p>
              </w:tc>
              <w:tc>
                <w:tcPr>
                  <w:tcW w:w="1072" w:type="pct"/>
                  <w:vMerge w:val="continue"/>
                  <w:shd w:val="clear" w:color="auto" w:fill="FFFFFF"/>
                  <w:vAlign w:val="center"/>
                </w:tcPr>
                <w:p>
                  <w:pPr>
                    <w:jc w:val="center"/>
                    <w:rPr>
                      <w:szCs w:val="21"/>
                    </w:rPr>
                  </w:pPr>
                </w:p>
              </w:tc>
              <w:tc>
                <w:tcPr>
                  <w:tcW w:w="777" w:type="pct"/>
                  <w:shd w:val="clear" w:color="auto" w:fill="FFFFFF"/>
                  <w:vAlign w:val="center"/>
                </w:tcPr>
                <w:p>
                  <w:pPr>
                    <w:jc w:val="center"/>
                    <w:rPr>
                      <w:szCs w:val="21"/>
                    </w:rPr>
                  </w:pPr>
                  <w:r>
                    <w:rPr>
                      <w:rFonts w:hint="eastAsia"/>
                      <w:szCs w:val="21"/>
                    </w:rPr>
                    <w:t>62</w:t>
                  </w:r>
                </w:p>
              </w:tc>
              <w:tc>
                <w:tcPr>
                  <w:tcW w:w="777" w:type="pct"/>
                  <w:vMerge w:val="continue"/>
                  <w:shd w:val="clear" w:color="auto" w:fill="FFFFFF"/>
                  <w:vAlign w:val="center"/>
                </w:tcPr>
                <w:p>
                  <w:pPr>
                    <w:jc w:val="center"/>
                    <w:rPr>
                      <w:szCs w:val="21"/>
                    </w:rPr>
                  </w:pPr>
                </w:p>
              </w:tc>
              <w:tc>
                <w:tcPr>
                  <w:tcW w:w="718" w:type="pct"/>
                  <w:shd w:val="clear" w:color="auto" w:fill="FFFFFF"/>
                  <w:vAlign w:val="center"/>
                </w:tcPr>
                <w:p>
                  <w:pPr>
                    <w:jc w:val="center"/>
                    <w:rPr>
                      <w:szCs w:val="21"/>
                    </w:rPr>
                  </w:pPr>
                  <w:r>
                    <w:rPr>
                      <w:rFonts w:hint="eastAsia"/>
                      <w:szCs w:val="21"/>
                    </w:rPr>
                    <w:t>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restart"/>
                  <w:shd w:val="clear" w:color="auto" w:fill="auto"/>
                  <w:vAlign w:val="center"/>
                </w:tcPr>
                <w:p>
                  <w:pPr>
                    <w:jc w:val="center"/>
                    <w:rPr>
                      <w:szCs w:val="21"/>
                    </w:rPr>
                  </w:pPr>
                  <w:r>
                    <w:rPr>
                      <w:rFonts w:hint="eastAsia"/>
                      <w:szCs w:val="21"/>
                    </w:rPr>
                    <w:t>东区N11</w:t>
                  </w:r>
                </w:p>
              </w:tc>
              <w:tc>
                <w:tcPr>
                  <w:tcW w:w="1298" w:type="dxa"/>
                  <w:shd w:val="clear" w:color="auto" w:fill="FFFFFF"/>
                  <w:vAlign w:val="center"/>
                </w:tcPr>
                <w:p>
                  <w:pPr>
                    <w:jc w:val="center"/>
                    <w:rPr>
                      <w:szCs w:val="21"/>
                    </w:rPr>
                  </w:pPr>
                  <w:r>
                    <w:rPr>
                      <w:rFonts w:hint="eastAsia"/>
                      <w:szCs w:val="21"/>
                    </w:rPr>
                    <w:t>2021.11.15</w:t>
                  </w:r>
                </w:p>
              </w:tc>
              <w:tc>
                <w:tcPr>
                  <w:tcW w:w="1072" w:type="pct"/>
                  <w:vMerge w:val="restart"/>
                  <w:shd w:val="clear" w:color="auto" w:fill="FFFFFF"/>
                  <w:vAlign w:val="center"/>
                </w:tcPr>
                <w:p>
                  <w:pPr>
                    <w:jc w:val="center"/>
                    <w:rPr>
                      <w:szCs w:val="21"/>
                    </w:rPr>
                  </w:pPr>
                  <w:r>
                    <w:rPr>
                      <w:szCs w:val="21"/>
                    </w:rPr>
                    <w:t>昼间</w:t>
                  </w:r>
                </w:p>
              </w:tc>
              <w:tc>
                <w:tcPr>
                  <w:tcW w:w="777" w:type="pct"/>
                  <w:shd w:val="clear" w:color="auto" w:fill="FFFFFF"/>
                  <w:vAlign w:val="center"/>
                </w:tcPr>
                <w:p>
                  <w:pPr>
                    <w:jc w:val="center"/>
                    <w:rPr>
                      <w:szCs w:val="21"/>
                    </w:rPr>
                  </w:pPr>
                  <w:r>
                    <w:rPr>
                      <w:rFonts w:hint="eastAsia"/>
                      <w:szCs w:val="21"/>
                    </w:rPr>
                    <w:t>63</w:t>
                  </w:r>
                </w:p>
              </w:tc>
              <w:tc>
                <w:tcPr>
                  <w:tcW w:w="777" w:type="pct"/>
                  <w:vMerge w:val="restart"/>
                  <w:shd w:val="clear" w:color="auto" w:fill="FFFFFF"/>
                  <w:vAlign w:val="center"/>
                </w:tcPr>
                <w:p>
                  <w:pPr>
                    <w:jc w:val="center"/>
                    <w:rPr>
                      <w:szCs w:val="21"/>
                    </w:rPr>
                  </w:pPr>
                  <w:r>
                    <w:rPr>
                      <w:szCs w:val="21"/>
                    </w:rPr>
                    <w:t>夜间</w:t>
                  </w:r>
                </w:p>
              </w:tc>
              <w:tc>
                <w:tcPr>
                  <w:tcW w:w="718" w:type="pct"/>
                  <w:shd w:val="clear" w:color="auto" w:fill="FFFFFF"/>
                  <w:vAlign w:val="center"/>
                </w:tcPr>
                <w:p>
                  <w:pPr>
                    <w:jc w:val="center"/>
                    <w:rPr>
                      <w:szCs w:val="21"/>
                    </w:rPr>
                  </w:pPr>
                  <w:r>
                    <w:rPr>
                      <w:rFonts w:hint="eastAsia"/>
                      <w:szCs w:val="21"/>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continue"/>
                  <w:shd w:val="clear" w:color="auto" w:fill="auto"/>
                  <w:vAlign w:val="center"/>
                </w:tcPr>
                <w:p>
                  <w:pPr>
                    <w:jc w:val="center"/>
                    <w:rPr>
                      <w:szCs w:val="21"/>
                    </w:rPr>
                  </w:pPr>
                </w:p>
              </w:tc>
              <w:tc>
                <w:tcPr>
                  <w:tcW w:w="1298" w:type="dxa"/>
                  <w:shd w:val="clear" w:color="auto" w:fill="FFFFFF"/>
                  <w:vAlign w:val="center"/>
                </w:tcPr>
                <w:p>
                  <w:pPr>
                    <w:jc w:val="center"/>
                    <w:rPr>
                      <w:szCs w:val="21"/>
                    </w:rPr>
                  </w:pPr>
                  <w:r>
                    <w:rPr>
                      <w:rFonts w:hint="eastAsia"/>
                      <w:szCs w:val="21"/>
                    </w:rPr>
                    <w:t>2021.11.16</w:t>
                  </w:r>
                </w:p>
              </w:tc>
              <w:tc>
                <w:tcPr>
                  <w:tcW w:w="1072" w:type="pct"/>
                  <w:vMerge w:val="continue"/>
                  <w:shd w:val="clear" w:color="auto" w:fill="FFFFFF"/>
                  <w:vAlign w:val="center"/>
                </w:tcPr>
                <w:p>
                  <w:pPr>
                    <w:jc w:val="center"/>
                    <w:rPr>
                      <w:szCs w:val="21"/>
                    </w:rPr>
                  </w:pPr>
                </w:p>
              </w:tc>
              <w:tc>
                <w:tcPr>
                  <w:tcW w:w="777" w:type="pct"/>
                  <w:shd w:val="clear" w:color="auto" w:fill="FFFFFF"/>
                  <w:vAlign w:val="center"/>
                </w:tcPr>
                <w:p>
                  <w:pPr>
                    <w:jc w:val="center"/>
                    <w:rPr>
                      <w:szCs w:val="21"/>
                    </w:rPr>
                  </w:pPr>
                  <w:r>
                    <w:rPr>
                      <w:rFonts w:hint="eastAsia"/>
                      <w:szCs w:val="21"/>
                    </w:rPr>
                    <w:t>64</w:t>
                  </w:r>
                </w:p>
              </w:tc>
              <w:tc>
                <w:tcPr>
                  <w:tcW w:w="777" w:type="pct"/>
                  <w:vMerge w:val="continue"/>
                  <w:shd w:val="clear" w:color="auto" w:fill="FFFFFF"/>
                  <w:vAlign w:val="center"/>
                </w:tcPr>
                <w:p>
                  <w:pPr>
                    <w:jc w:val="center"/>
                    <w:rPr>
                      <w:szCs w:val="21"/>
                    </w:rPr>
                  </w:pPr>
                </w:p>
              </w:tc>
              <w:tc>
                <w:tcPr>
                  <w:tcW w:w="718" w:type="pct"/>
                  <w:shd w:val="clear" w:color="auto" w:fill="FFFFFF"/>
                  <w:vAlign w:val="center"/>
                </w:tcPr>
                <w:p>
                  <w:pPr>
                    <w:jc w:val="center"/>
                    <w:rPr>
                      <w:szCs w:val="21"/>
                    </w:rPr>
                  </w:pPr>
                  <w:r>
                    <w:rPr>
                      <w:rFonts w:hint="eastAsia"/>
                      <w:szCs w:val="21"/>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restart"/>
                  <w:shd w:val="clear" w:color="auto" w:fill="auto"/>
                  <w:vAlign w:val="center"/>
                </w:tcPr>
                <w:p>
                  <w:pPr>
                    <w:jc w:val="center"/>
                    <w:rPr>
                      <w:szCs w:val="21"/>
                    </w:rPr>
                  </w:pPr>
                  <w:r>
                    <w:rPr>
                      <w:rFonts w:hint="eastAsia"/>
                      <w:szCs w:val="21"/>
                    </w:rPr>
                    <w:t>东区N12</w:t>
                  </w:r>
                </w:p>
              </w:tc>
              <w:tc>
                <w:tcPr>
                  <w:tcW w:w="1298" w:type="dxa"/>
                  <w:shd w:val="clear" w:color="auto" w:fill="FFFFFF"/>
                  <w:vAlign w:val="center"/>
                </w:tcPr>
                <w:p>
                  <w:pPr>
                    <w:jc w:val="center"/>
                    <w:rPr>
                      <w:szCs w:val="21"/>
                    </w:rPr>
                  </w:pPr>
                  <w:r>
                    <w:rPr>
                      <w:rFonts w:hint="eastAsia"/>
                      <w:szCs w:val="21"/>
                    </w:rPr>
                    <w:t>2021.11.15</w:t>
                  </w:r>
                </w:p>
              </w:tc>
              <w:tc>
                <w:tcPr>
                  <w:tcW w:w="1072" w:type="pct"/>
                  <w:vMerge w:val="restart"/>
                  <w:shd w:val="clear" w:color="auto" w:fill="FFFFFF"/>
                  <w:vAlign w:val="center"/>
                </w:tcPr>
                <w:p>
                  <w:pPr>
                    <w:jc w:val="center"/>
                    <w:rPr>
                      <w:szCs w:val="21"/>
                    </w:rPr>
                  </w:pPr>
                  <w:r>
                    <w:rPr>
                      <w:szCs w:val="21"/>
                    </w:rPr>
                    <w:t>昼间</w:t>
                  </w:r>
                </w:p>
              </w:tc>
              <w:tc>
                <w:tcPr>
                  <w:tcW w:w="777" w:type="pct"/>
                  <w:shd w:val="clear" w:color="auto" w:fill="FFFFFF"/>
                  <w:vAlign w:val="center"/>
                </w:tcPr>
                <w:p>
                  <w:pPr>
                    <w:jc w:val="center"/>
                    <w:rPr>
                      <w:szCs w:val="21"/>
                    </w:rPr>
                  </w:pPr>
                  <w:r>
                    <w:rPr>
                      <w:rFonts w:hint="eastAsia"/>
                      <w:szCs w:val="21"/>
                    </w:rPr>
                    <w:t>63</w:t>
                  </w:r>
                </w:p>
              </w:tc>
              <w:tc>
                <w:tcPr>
                  <w:tcW w:w="777" w:type="pct"/>
                  <w:vMerge w:val="restart"/>
                  <w:shd w:val="clear" w:color="auto" w:fill="FFFFFF"/>
                  <w:vAlign w:val="center"/>
                </w:tcPr>
                <w:p>
                  <w:pPr>
                    <w:jc w:val="center"/>
                    <w:rPr>
                      <w:szCs w:val="21"/>
                    </w:rPr>
                  </w:pPr>
                  <w:r>
                    <w:rPr>
                      <w:szCs w:val="21"/>
                    </w:rPr>
                    <w:t>夜间</w:t>
                  </w:r>
                </w:p>
              </w:tc>
              <w:tc>
                <w:tcPr>
                  <w:tcW w:w="718" w:type="pct"/>
                  <w:shd w:val="clear" w:color="auto" w:fill="FFFFFF"/>
                  <w:vAlign w:val="center"/>
                </w:tcPr>
                <w:p>
                  <w:pPr>
                    <w:jc w:val="center"/>
                    <w:rPr>
                      <w:szCs w:val="21"/>
                    </w:rPr>
                  </w:pPr>
                  <w:r>
                    <w:rPr>
                      <w:rFonts w:hint="eastAsia"/>
                      <w:szCs w:val="21"/>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continue"/>
                  <w:shd w:val="clear" w:color="auto" w:fill="auto"/>
                  <w:vAlign w:val="center"/>
                </w:tcPr>
                <w:p>
                  <w:pPr>
                    <w:jc w:val="center"/>
                    <w:rPr>
                      <w:szCs w:val="21"/>
                    </w:rPr>
                  </w:pPr>
                </w:p>
              </w:tc>
              <w:tc>
                <w:tcPr>
                  <w:tcW w:w="1298" w:type="dxa"/>
                  <w:shd w:val="clear" w:color="auto" w:fill="FFFFFF"/>
                  <w:vAlign w:val="center"/>
                </w:tcPr>
                <w:p>
                  <w:pPr>
                    <w:jc w:val="center"/>
                    <w:rPr>
                      <w:szCs w:val="21"/>
                    </w:rPr>
                  </w:pPr>
                  <w:r>
                    <w:rPr>
                      <w:rFonts w:hint="eastAsia"/>
                      <w:szCs w:val="21"/>
                    </w:rPr>
                    <w:t>2021.11.16</w:t>
                  </w:r>
                </w:p>
              </w:tc>
              <w:tc>
                <w:tcPr>
                  <w:tcW w:w="1072" w:type="pct"/>
                  <w:vMerge w:val="continue"/>
                  <w:shd w:val="clear" w:color="auto" w:fill="FFFFFF"/>
                  <w:vAlign w:val="center"/>
                </w:tcPr>
                <w:p>
                  <w:pPr>
                    <w:jc w:val="center"/>
                    <w:rPr>
                      <w:szCs w:val="21"/>
                    </w:rPr>
                  </w:pPr>
                </w:p>
              </w:tc>
              <w:tc>
                <w:tcPr>
                  <w:tcW w:w="777" w:type="pct"/>
                  <w:shd w:val="clear" w:color="auto" w:fill="FFFFFF"/>
                  <w:vAlign w:val="center"/>
                </w:tcPr>
                <w:p>
                  <w:pPr>
                    <w:jc w:val="center"/>
                    <w:rPr>
                      <w:szCs w:val="21"/>
                    </w:rPr>
                  </w:pPr>
                  <w:r>
                    <w:rPr>
                      <w:rFonts w:hint="eastAsia"/>
                      <w:szCs w:val="21"/>
                    </w:rPr>
                    <w:t>63</w:t>
                  </w:r>
                </w:p>
              </w:tc>
              <w:tc>
                <w:tcPr>
                  <w:tcW w:w="777" w:type="pct"/>
                  <w:vMerge w:val="continue"/>
                  <w:shd w:val="clear" w:color="auto" w:fill="FFFFFF"/>
                  <w:vAlign w:val="center"/>
                </w:tcPr>
                <w:p>
                  <w:pPr>
                    <w:jc w:val="center"/>
                    <w:rPr>
                      <w:szCs w:val="21"/>
                    </w:rPr>
                  </w:pPr>
                </w:p>
              </w:tc>
              <w:tc>
                <w:tcPr>
                  <w:tcW w:w="718" w:type="pct"/>
                  <w:shd w:val="clear" w:color="auto" w:fill="FFFFFF"/>
                  <w:vAlign w:val="center"/>
                </w:tcPr>
                <w:p>
                  <w:pPr>
                    <w:jc w:val="center"/>
                    <w:rPr>
                      <w:szCs w:val="21"/>
                    </w:rPr>
                  </w:pPr>
                  <w:r>
                    <w:rPr>
                      <w:rFonts w:hint="eastAsia"/>
                      <w:szCs w:val="21"/>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restart"/>
                  <w:shd w:val="clear" w:color="auto" w:fill="auto"/>
                  <w:vAlign w:val="center"/>
                </w:tcPr>
                <w:p>
                  <w:pPr>
                    <w:jc w:val="center"/>
                    <w:rPr>
                      <w:szCs w:val="21"/>
                    </w:rPr>
                  </w:pPr>
                  <w:r>
                    <w:rPr>
                      <w:rFonts w:hint="eastAsia"/>
                      <w:szCs w:val="21"/>
                    </w:rPr>
                    <w:t>东区N13</w:t>
                  </w:r>
                </w:p>
              </w:tc>
              <w:tc>
                <w:tcPr>
                  <w:tcW w:w="1298" w:type="dxa"/>
                  <w:shd w:val="clear" w:color="auto" w:fill="FFFFFF"/>
                  <w:vAlign w:val="center"/>
                </w:tcPr>
                <w:p>
                  <w:pPr>
                    <w:jc w:val="center"/>
                    <w:rPr>
                      <w:szCs w:val="21"/>
                    </w:rPr>
                  </w:pPr>
                  <w:r>
                    <w:rPr>
                      <w:rFonts w:hint="eastAsia"/>
                      <w:szCs w:val="21"/>
                    </w:rPr>
                    <w:t>2021.11.15</w:t>
                  </w:r>
                </w:p>
              </w:tc>
              <w:tc>
                <w:tcPr>
                  <w:tcW w:w="1072" w:type="pct"/>
                  <w:vMerge w:val="restart"/>
                  <w:shd w:val="clear" w:color="auto" w:fill="FFFFFF"/>
                  <w:vAlign w:val="center"/>
                </w:tcPr>
                <w:p>
                  <w:pPr>
                    <w:jc w:val="center"/>
                    <w:rPr>
                      <w:szCs w:val="21"/>
                    </w:rPr>
                  </w:pPr>
                  <w:r>
                    <w:rPr>
                      <w:szCs w:val="21"/>
                    </w:rPr>
                    <w:t>昼间</w:t>
                  </w:r>
                </w:p>
              </w:tc>
              <w:tc>
                <w:tcPr>
                  <w:tcW w:w="777" w:type="pct"/>
                  <w:shd w:val="clear" w:color="auto" w:fill="FFFFFF"/>
                  <w:vAlign w:val="center"/>
                </w:tcPr>
                <w:p>
                  <w:pPr>
                    <w:jc w:val="center"/>
                    <w:rPr>
                      <w:szCs w:val="21"/>
                    </w:rPr>
                  </w:pPr>
                  <w:r>
                    <w:rPr>
                      <w:rFonts w:hint="eastAsia"/>
                      <w:szCs w:val="21"/>
                    </w:rPr>
                    <w:t>64</w:t>
                  </w:r>
                </w:p>
              </w:tc>
              <w:tc>
                <w:tcPr>
                  <w:tcW w:w="777" w:type="pct"/>
                  <w:vMerge w:val="restart"/>
                  <w:shd w:val="clear" w:color="auto" w:fill="FFFFFF"/>
                  <w:vAlign w:val="center"/>
                </w:tcPr>
                <w:p>
                  <w:pPr>
                    <w:jc w:val="center"/>
                    <w:rPr>
                      <w:szCs w:val="21"/>
                    </w:rPr>
                  </w:pPr>
                  <w:r>
                    <w:rPr>
                      <w:szCs w:val="21"/>
                    </w:rPr>
                    <w:t>夜间</w:t>
                  </w:r>
                </w:p>
              </w:tc>
              <w:tc>
                <w:tcPr>
                  <w:tcW w:w="718" w:type="pct"/>
                  <w:shd w:val="clear" w:color="auto" w:fill="FFFFFF"/>
                  <w:vAlign w:val="center"/>
                </w:tcPr>
                <w:p>
                  <w:pPr>
                    <w:jc w:val="center"/>
                    <w:rPr>
                      <w:szCs w:val="21"/>
                    </w:rPr>
                  </w:pPr>
                  <w:r>
                    <w:rPr>
                      <w:rFonts w:hint="eastAsia"/>
                      <w:szCs w:val="21"/>
                    </w:rPr>
                    <w:t>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875" w:type="pct"/>
                  <w:vMerge w:val="continue"/>
                  <w:shd w:val="clear" w:color="auto" w:fill="auto"/>
                  <w:vAlign w:val="center"/>
                </w:tcPr>
                <w:p>
                  <w:pPr>
                    <w:jc w:val="center"/>
                    <w:rPr>
                      <w:szCs w:val="21"/>
                    </w:rPr>
                  </w:pPr>
                </w:p>
              </w:tc>
              <w:tc>
                <w:tcPr>
                  <w:tcW w:w="1298" w:type="dxa"/>
                  <w:shd w:val="clear" w:color="auto" w:fill="FFFFFF"/>
                  <w:vAlign w:val="center"/>
                </w:tcPr>
                <w:p>
                  <w:pPr>
                    <w:jc w:val="center"/>
                    <w:rPr>
                      <w:szCs w:val="21"/>
                    </w:rPr>
                  </w:pPr>
                  <w:r>
                    <w:rPr>
                      <w:rFonts w:hint="eastAsia"/>
                      <w:szCs w:val="21"/>
                    </w:rPr>
                    <w:t>2021.11.16</w:t>
                  </w:r>
                </w:p>
              </w:tc>
              <w:tc>
                <w:tcPr>
                  <w:tcW w:w="1072" w:type="pct"/>
                  <w:vMerge w:val="continue"/>
                  <w:shd w:val="clear" w:color="auto" w:fill="FFFFFF"/>
                  <w:vAlign w:val="center"/>
                </w:tcPr>
                <w:p>
                  <w:pPr>
                    <w:jc w:val="center"/>
                    <w:rPr>
                      <w:szCs w:val="21"/>
                    </w:rPr>
                  </w:pPr>
                </w:p>
              </w:tc>
              <w:tc>
                <w:tcPr>
                  <w:tcW w:w="777" w:type="pct"/>
                  <w:shd w:val="clear" w:color="auto" w:fill="FFFFFF"/>
                  <w:vAlign w:val="center"/>
                </w:tcPr>
                <w:p>
                  <w:pPr>
                    <w:jc w:val="center"/>
                    <w:rPr>
                      <w:szCs w:val="21"/>
                    </w:rPr>
                  </w:pPr>
                  <w:r>
                    <w:rPr>
                      <w:rFonts w:hint="eastAsia"/>
                      <w:szCs w:val="21"/>
                    </w:rPr>
                    <w:t>63</w:t>
                  </w:r>
                </w:p>
              </w:tc>
              <w:tc>
                <w:tcPr>
                  <w:tcW w:w="777" w:type="pct"/>
                  <w:vMerge w:val="continue"/>
                  <w:shd w:val="clear" w:color="auto" w:fill="FFFFFF"/>
                  <w:vAlign w:val="center"/>
                </w:tcPr>
                <w:p>
                  <w:pPr>
                    <w:jc w:val="center"/>
                    <w:rPr>
                      <w:szCs w:val="21"/>
                    </w:rPr>
                  </w:pPr>
                </w:p>
              </w:tc>
              <w:tc>
                <w:tcPr>
                  <w:tcW w:w="718" w:type="pct"/>
                  <w:shd w:val="clear" w:color="auto" w:fill="FFFFFF"/>
                  <w:vAlign w:val="center"/>
                </w:tcPr>
                <w:p>
                  <w:pPr>
                    <w:jc w:val="center"/>
                    <w:rPr>
                      <w:szCs w:val="21"/>
                    </w:rPr>
                  </w:pPr>
                  <w:r>
                    <w:rPr>
                      <w:rFonts w:hint="eastAsia"/>
                      <w:szCs w:val="21"/>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restart"/>
                  <w:shd w:val="clear" w:color="auto" w:fill="auto"/>
                  <w:vAlign w:val="center"/>
                </w:tcPr>
                <w:p>
                  <w:pPr>
                    <w:jc w:val="center"/>
                    <w:rPr>
                      <w:szCs w:val="21"/>
                    </w:rPr>
                  </w:pPr>
                  <w:r>
                    <w:rPr>
                      <w:rFonts w:hint="eastAsia"/>
                      <w:szCs w:val="21"/>
                    </w:rPr>
                    <w:t>东区N14</w:t>
                  </w:r>
                </w:p>
              </w:tc>
              <w:tc>
                <w:tcPr>
                  <w:tcW w:w="1298" w:type="dxa"/>
                  <w:shd w:val="clear" w:color="auto" w:fill="FFFFFF"/>
                  <w:vAlign w:val="center"/>
                </w:tcPr>
                <w:p>
                  <w:pPr>
                    <w:jc w:val="center"/>
                    <w:rPr>
                      <w:szCs w:val="21"/>
                    </w:rPr>
                  </w:pPr>
                  <w:r>
                    <w:rPr>
                      <w:rFonts w:hint="eastAsia"/>
                      <w:szCs w:val="21"/>
                    </w:rPr>
                    <w:t>2021.11.15</w:t>
                  </w:r>
                </w:p>
              </w:tc>
              <w:tc>
                <w:tcPr>
                  <w:tcW w:w="1072" w:type="pct"/>
                  <w:vMerge w:val="restart"/>
                  <w:shd w:val="clear" w:color="auto" w:fill="FFFFFF"/>
                  <w:vAlign w:val="center"/>
                </w:tcPr>
                <w:p>
                  <w:pPr>
                    <w:jc w:val="center"/>
                    <w:rPr>
                      <w:szCs w:val="21"/>
                    </w:rPr>
                  </w:pPr>
                  <w:r>
                    <w:rPr>
                      <w:szCs w:val="21"/>
                    </w:rPr>
                    <w:t>昼间</w:t>
                  </w:r>
                </w:p>
              </w:tc>
              <w:tc>
                <w:tcPr>
                  <w:tcW w:w="777" w:type="pct"/>
                  <w:shd w:val="clear" w:color="auto" w:fill="FFFFFF"/>
                  <w:vAlign w:val="center"/>
                </w:tcPr>
                <w:p>
                  <w:pPr>
                    <w:jc w:val="center"/>
                    <w:rPr>
                      <w:szCs w:val="21"/>
                    </w:rPr>
                  </w:pPr>
                  <w:r>
                    <w:rPr>
                      <w:rFonts w:hint="eastAsia"/>
                      <w:szCs w:val="21"/>
                    </w:rPr>
                    <w:t>65</w:t>
                  </w:r>
                </w:p>
              </w:tc>
              <w:tc>
                <w:tcPr>
                  <w:tcW w:w="777" w:type="pct"/>
                  <w:vMerge w:val="restart"/>
                  <w:shd w:val="clear" w:color="auto" w:fill="FFFFFF"/>
                  <w:vAlign w:val="center"/>
                </w:tcPr>
                <w:p>
                  <w:pPr>
                    <w:jc w:val="center"/>
                    <w:rPr>
                      <w:szCs w:val="21"/>
                    </w:rPr>
                  </w:pPr>
                  <w:r>
                    <w:rPr>
                      <w:szCs w:val="21"/>
                    </w:rPr>
                    <w:t>夜间</w:t>
                  </w:r>
                </w:p>
              </w:tc>
              <w:tc>
                <w:tcPr>
                  <w:tcW w:w="718" w:type="pct"/>
                  <w:shd w:val="clear" w:color="auto" w:fill="FFFFFF"/>
                  <w:vAlign w:val="center"/>
                </w:tcPr>
                <w:p>
                  <w:pPr>
                    <w:jc w:val="center"/>
                    <w:rPr>
                      <w:szCs w:val="21"/>
                    </w:rPr>
                  </w:pPr>
                  <w:r>
                    <w:rPr>
                      <w:rFonts w:hint="eastAsia"/>
                      <w:szCs w:val="21"/>
                    </w:rPr>
                    <w:t>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continue"/>
                  <w:shd w:val="clear" w:color="auto" w:fill="auto"/>
                  <w:vAlign w:val="center"/>
                </w:tcPr>
                <w:p>
                  <w:pPr>
                    <w:jc w:val="center"/>
                    <w:rPr>
                      <w:szCs w:val="21"/>
                    </w:rPr>
                  </w:pPr>
                </w:p>
              </w:tc>
              <w:tc>
                <w:tcPr>
                  <w:tcW w:w="1298" w:type="dxa"/>
                  <w:shd w:val="clear" w:color="auto" w:fill="FFFFFF"/>
                  <w:vAlign w:val="center"/>
                </w:tcPr>
                <w:p>
                  <w:pPr>
                    <w:jc w:val="center"/>
                    <w:rPr>
                      <w:szCs w:val="21"/>
                    </w:rPr>
                  </w:pPr>
                  <w:r>
                    <w:rPr>
                      <w:rFonts w:hint="eastAsia"/>
                      <w:szCs w:val="21"/>
                    </w:rPr>
                    <w:t>2021.11.16</w:t>
                  </w:r>
                </w:p>
              </w:tc>
              <w:tc>
                <w:tcPr>
                  <w:tcW w:w="1072" w:type="pct"/>
                  <w:vMerge w:val="continue"/>
                  <w:shd w:val="clear" w:color="auto" w:fill="FFFFFF"/>
                  <w:vAlign w:val="center"/>
                </w:tcPr>
                <w:p>
                  <w:pPr>
                    <w:jc w:val="center"/>
                    <w:rPr>
                      <w:szCs w:val="21"/>
                    </w:rPr>
                  </w:pPr>
                </w:p>
              </w:tc>
              <w:tc>
                <w:tcPr>
                  <w:tcW w:w="777" w:type="pct"/>
                  <w:shd w:val="clear" w:color="auto" w:fill="FFFFFF"/>
                  <w:vAlign w:val="center"/>
                </w:tcPr>
                <w:p>
                  <w:pPr>
                    <w:jc w:val="center"/>
                    <w:rPr>
                      <w:szCs w:val="21"/>
                    </w:rPr>
                  </w:pPr>
                  <w:r>
                    <w:rPr>
                      <w:rFonts w:hint="eastAsia"/>
                      <w:szCs w:val="21"/>
                    </w:rPr>
                    <w:t>62</w:t>
                  </w:r>
                </w:p>
              </w:tc>
              <w:tc>
                <w:tcPr>
                  <w:tcW w:w="777" w:type="pct"/>
                  <w:vMerge w:val="continue"/>
                  <w:shd w:val="clear" w:color="auto" w:fill="FFFFFF"/>
                  <w:vAlign w:val="center"/>
                </w:tcPr>
                <w:p>
                  <w:pPr>
                    <w:jc w:val="center"/>
                    <w:rPr>
                      <w:szCs w:val="21"/>
                    </w:rPr>
                  </w:pPr>
                </w:p>
              </w:tc>
              <w:tc>
                <w:tcPr>
                  <w:tcW w:w="718" w:type="pct"/>
                  <w:shd w:val="clear" w:color="auto" w:fill="FFFFFF"/>
                  <w:vAlign w:val="center"/>
                </w:tcPr>
                <w:p>
                  <w:pPr>
                    <w:jc w:val="center"/>
                    <w:rPr>
                      <w:szCs w:val="21"/>
                    </w:rPr>
                  </w:pPr>
                  <w:r>
                    <w:rPr>
                      <w:rFonts w:hint="eastAsia"/>
                      <w:szCs w:val="21"/>
                    </w:rPr>
                    <w:t>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restart"/>
                  <w:shd w:val="clear" w:color="auto" w:fill="auto"/>
                  <w:vAlign w:val="center"/>
                </w:tcPr>
                <w:p>
                  <w:pPr>
                    <w:jc w:val="center"/>
                    <w:rPr>
                      <w:szCs w:val="21"/>
                    </w:rPr>
                  </w:pPr>
                  <w:r>
                    <w:rPr>
                      <w:rFonts w:hint="eastAsia"/>
                      <w:szCs w:val="21"/>
                    </w:rPr>
                    <w:t>东区N15</w:t>
                  </w:r>
                </w:p>
              </w:tc>
              <w:tc>
                <w:tcPr>
                  <w:tcW w:w="1298" w:type="dxa"/>
                  <w:shd w:val="clear" w:color="auto" w:fill="FFFFFF"/>
                  <w:vAlign w:val="center"/>
                </w:tcPr>
                <w:p>
                  <w:pPr>
                    <w:jc w:val="center"/>
                    <w:rPr>
                      <w:szCs w:val="21"/>
                    </w:rPr>
                  </w:pPr>
                  <w:r>
                    <w:rPr>
                      <w:rFonts w:hint="eastAsia"/>
                      <w:szCs w:val="21"/>
                    </w:rPr>
                    <w:t>2021.11.15</w:t>
                  </w:r>
                </w:p>
              </w:tc>
              <w:tc>
                <w:tcPr>
                  <w:tcW w:w="1072" w:type="pct"/>
                  <w:vMerge w:val="restart"/>
                  <w:shd w:val="clear" w:color="auto" w:fill="FFFFFF"/>
                  <w:vAlign w:val="center"/>
                </w:tcPr>
                <w:p>
                  <w:pPr>
                    <w:jc w:val="center"/>
                    <w:rPr>
                      <w:szCs w:val="21"/>
                    </w:rPr>
                  </w:pPr>
                  <w:r>
                    <w:rPr>
                      <w:szCs w:val="21"/>
                    </w:rPr>
                    <w:t>昼间</w:t>
                  </w:r>
                </w:p>
              </w:tc>
              <w:tc>
                <w:tcPr>
                  <w:tcW w:w="777" w:type="pct"/>
                  <w:shd w:val="clear" w:color="auto" w:fill="FFFFFF"/>
                  <w:vAlign w:val="center"/>
                </w:tcPr>
                <w:p>
                  <w:pPr>
                    <w:jc w:val="center"/>
                    <w:rPr>
                      <w:szCs w:val="21"/>
                    </w:rPr>
                  </w:pPr>
                  <w:r>
                    <w:rPr>
                      <w:rFonts w:hint="eastAsia"/>
                      <w:szCs w:val="21"/>
                    </w:rPr>
                    <w:t>64</w:t>
                  </w:r>
                </w:p>
              </w:tc>
              <w:tc>
                <w:tcPr>
                  <w:tcW w:w="777" w:type="pct"/>
                  <w:vMerge w:val="restart"/>
                  <w:shd w:val="clear" w:color="auto" w:fill="FFFFFF"/>
                  <w:vAlign w:val="center"/>
                </w:tcPr>
                <w:p>
                  <w:pPr>
                    <w:jc w:val="center"/>
                    <w:rPr>
                      <w:szCs w:val="21"/>
                    </w:rPr>
                  </w:pPr>
                  <w:r>
                    <w:rPr>
                      <w:szCs w:val="21"/>
                    </w:rPr>
                    <w:t>夜间</w:t>
                  </w:r>
                </w:p>
              </w:tc>
              <w:tc>
                <w:tcPr>
                  <w:tcW w:w="718" w:type="pct"/>
                  <w:shd w:val="clear" w:color="auto" w:fill="FFFFFF"/>
                  <w:vAlign w:val="center"/>
                </w:tcPr>
                <w:p>
                  <w:pPr>
                    <w:jc w:val="center"/>
                    <w:rPr>
                      <w:szCs w:val="21"/>
                    </w:rPr>
                  </w:pPr>
                  <w:r>
                    <w:rPr>
                      <w:rFonts w:hint="eastAsia"/>
                      <w:szCs w:val="21"/>
                    </w:rPr>
                    <w:t>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continue"/>
                  <w:shd w:val="clear" w:color="auto" w:fill="auto"/>
                  <w:vAlign w:val="center"/>
                </w:tcPr>
                <w:p>
                  <w:pPr>
                    <w:jc w:val="center"/>
                    <w:rPr>
                      <w:szCs w:val="21"/>
                    </w:rPr>
                  </w:pPr>
                </w:p>
              </w:tc>
              <w:tc>
                <w:tcPr>
                  <w:tcW w:w="1298" w:type="dxa"/>
                  <w:shd w:val="clear" w:color="auto" w:fill="FFFFFF"/>
                  <w:vAlign w:val="center"/>
                </w:tcPr>
                <w:p>
                  <w:pPr>
                    <w:jc w:val="center"/>
                    <w:rPr>
                      <w:szCs w:val="21"/>
                    </w:rPr>
                  </w:pPr>
                  <w:r>
                    <w:rPr>
                      <w:rFonts w:hint="eastAsia"/>
                      <w:szCs w:val="21"/>
                    </w:rPr>
                    <w:t>2021.11.16</w:t>
                  </w:r>
                </w:p>
              </w:tc>
              <w:tc>
                <w:tcPr>
                  <w:tcW w:w="1072" w:type="pct"/>
                  <w:vMerge w:val="continue"/>
                  <w:shd w:val="clear" w:color="auto" w:fill="FFFFFF"/>
                  <w:vAlign w:val="center"/>
                </w:tcPr>
                <w:p>
                  <w:pPr>
                    <w:jc w:val="center"/>
                    <w:rPr>
                      <w:szCs w:val="21"/>
                    </w:rPr>
                  </w:pPr>
                </w:p>
              </w:tc>
              <w:tc>
                <w:tcPr>
                  <w:tcW w:w="777" w:type="pct"/>
                  <w:shd w:val="clear" w:color="auto" w:fill="FFFFFF"/>
                  <w:vAlign w:val="center"/>
                </w:tcPr>
                <w:p>
                  <w:pPr>
                    <w:jc w:val="center"/>
                    <w:rPr>
                      <w:szCs w:val="21"/>
                    </w:rPr>
                  </w:pPr>
                  <w:r>
                    <w:rPr>
                      <w:rFonts w:hint="eastAsia"/>
                      <w:szCs w:val="21"/>
                    </w:rPr>
                    <w:t>61</w:t>
                  </w:r>
                </w:p>
              </w:tc>
              <w:tc>
                <w:tcPr>
                  <w:tcW w:w="777" w:type="pct"/>
                  <w:vMerge w:val="continue"/>
                  <w:shd w:val="clear" w:color="auto" w:fill="FFFFFF"/>
                  <w:vAlign w:val="center"/>
                </w:tcPr>
                <w:p>
                  <w:pPr>
                    <w:jc w:val="center"/>
                    <w:rPr>
                      <w:szCs w:val="21"/>
                    </w:rPr>
                  </w:pPr>
                </w:p>
              </w:tc>
              <w:tc>
                <w:tcPr>
                  <w:tcW w:w="718" w:type="pct"/>
                  <w:shd w:val="clear" w:color="auto" w:fill="FFFFFF"/>
                  <w:vAlign w:val="center"/>
                </w:tcPr>
                <w:p>
                  <w:pPr>
                    <w:jc w:val="center"/>
                    <w:rPr>
                      <w:szCs w:val="21"/>
                    </w:rPr>
                  </w:pPr>
                  <w:r>
                    <w:rPr>
                      <w:rFonts w:hint="eastAsia"/>
                      <w:szCs w:val="21"/>
                    </w:rPr>
                    <w:t>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875" w:type="pct"/>
                  <w:vMerge w:val="restart"/>
                  <w:shd w:val="clear" w:color="auto" w:fill="auto"/>
                  <w:vAlign w:val="center"/>
                </w:tcPr>
                <w:p>
                  <w:pPr>
                    <w:jc w:val="center"/>
                    <w:rPr>
                      <w:szCs w:val="21"/>
                    </w:rPr>
                  </w:pPr>
                  <w:r>
                    <w:rPr>
                      <w:rFonts w:hint="eastAsia"/>
                      <w:szCs w:val="21"/>
                    </w:rPr>
                    <w:t>东区N16</w:t>
                  </w:r>
                </w:p>
              </w:tc>
              <w:tc>
                <w:tcPr>
                  <w:tcW w:w="1298" w:type="dxa"/>
                  <w:shd w:val="clear" w:color="auto" w:fill="FFFFFF"/>
                  <w:vAlign w:val="center"/>
                </w:tcPr>
                <w:p>
                  <w:pPr>
                    <w:jc w:val="center"/>
                    <w:rPr>
                      <w:szCs w:val="21"/>
                    </w:rPr>
                  </w:pPr>
                  <w:r>
                    <w:rPr>
                      <w:rFonts w:hint="eastAsia"/>
                      <w:szCs w:val="21"/>
                    </w:rPr>
                    <w:t>2021.11.15</w:t>
                  </w:r>
                </w:p>
              </w:tc>
              <w:tc>
                <w:tcPr>
                  <w:tcW w:w="1072" w:type="pct"/>
                  <w:vMerge w:val="restart"/>
                  <w:shd w:val="clear" w:color="auto" w:fill="FFFFFF"/>
                  <w:vAlign w:val="center"/>
                </w:tcPr>
                <w:p>
                  <w:pPr>
                    <w:jc w:val="center"/>
                    <w:rPr>
                      <w:szCs w:val="21"/>
                    </w:rPr>
                  </w:pPr>
                  <w:r>
                    <w:rPr>
                      <w:szCs w:val="21"/>
                    </w:rPr>
                    <w:t>昼间</w:t>
                  </w:r>
                </w:p>
              </w:tc>
              <w:tc>
                <w:tcPr>
                  <w:tcW w:w="777" w:type="pct"/>
                  <w:shd w:val="clear" w:color="auto" w:fill="FFFFFF"/>
                  <w:vAlign w:val="center"/>
                </w:tcPr>
                <w:p>
                  <w:pPr>
                    <w:jc w:val="center"/>
                    <w:rPr>
                      <w:szCs w:val="21"/>
                    </w:rPr>
                  </w:pPr>
                  <w:r>
                    <w:rPr>
                      <w:rFonts w:hint="eastAsia"/>
                      <w:szCs w:val="21"/>
                    </w:rPr>
                    <w:t>63</w:t>
                  </w:r>
                </w:p>
              </w:tc>
              <w:tc>
                <w:tcPr>
                  <w:tcW w:w="777" w:type="pct"/>
                  <w:vMerge w:val="restart"/>
                  <w:shd w:val="clear" w:color="auto" w:fill="FFFFFF"/>
                  <w:vAlign w:val="center"/>
                </w:tcPr>
                <w:p>
                  <w:pPr>
                    <w:jc w:val="center"/>
                    <w:rPr>
                      <w:szCs w:val="21"/>
                    </w:rPr>
                  </w:pPr>
                  <w:r>
                    <w:rPr>
                      <w:szCs w:val="21"/>
                    </w:rPr>
                    <w:t>夜间</w:t>
                  </w:r>
                </w:p>
              </w:tc>
              <w:tc>
                <w:tcPr>
                  <w:tcW w:w="718" w:type="pct"/>
                  <w:shd w:val="clear" w:color="auto" w:fill="FFFFFF"/>
                  <w:vAlign w:val="center"/>
                </w:tcPr>
                <w:p>
                  <w:pPr>
                    <w:jc w:val="center"/>
                    <w:rPr>
                      <w:szCs w:val="21"/>
                    </w:rPr>
                  </w:pPr>
                  <w:r>
                    <w:rPr>
                      <w:rFonts w:hint="eastAsia"/>
                      <w:szCs w:val="21"/>
                    </w:rPr>
                    <w:t>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continue"/>
                  <w:shd w:val="clear" w:color="auto" w:fill="auto"/>
                  <w:vAlign w:val="center"/>
                </w:tcPr>
                <w:p>
                  <w:pPr>
                    <w:jc w:val="center"/>
                    <w:rPr>
                      <w:szCs w:val="21"/>
                    </w:rPr>
                  </w:pPr>
                </w:p>
              </w:tc>
              <w:tc>
                <w:tcPr>
                  <w:tcW w:w="1298" w:type="dxa"/>
                  <w:shd w:val="clear" w:color="auto" w:fill="FFFFFF"/>
                  <w:vAlign w:val="center"/>
                </w:tcPr>
                <w:p>
                  <w:pPr>
                    <w:jc w:val="center"/>
                    <w:rPr>
                      <w:szCs w:val="21"/>
                    </w:rPr>
                  </w:pPr>
                  <w:r>
                    <w:rPr>
                      <w:rFonts w:hint="eastAsia"/>
                      <w:szCs w:val="21"/>
                    </w:rPr>
                    <w:t>2021.11.16</w:t>
                  </w:r>
                </w:p>
              </w:tc>
              <w:tc>
                <w:tcPr>
                  <w:tcW w:w="1072" w:type="pct"/>
                  <w:vMerge w:val="continue"/>
                  <w:shd w:val="clear" w:color="auto" w:fill="FFFFFF"/>
                  <w:vAlign w:val="center"/>
                </w:tcPr>
                <w:p>
                  <w:pPr>
                    <w:jc w:val="center"/>
                    <w:rPr>
                      <w:szCs w:val="21"/>
                    </w:rPr>
                  </w:pPr>
                </w:p>
              </w:tc>
              <w:tc>
                <w:tcPr>
                  <w:tcW w:w="777" w:type="pct"/>
                  <w:shd w:val="clear" w:color="auto" w:fill="FFFFFF"/>
                  <w:vAlign w:val="center"/>
                </w:tcPr>
                <w:p>
                  <w:pPr>
                    <w:jc w:val="center"/>
                    <w:rPr>
                      <w:szCs w:val="21"/>
                    </w:rPr>
                  </w:pPr>
                  <w:r>
                    <w:rPr>
                      <w:rFonts w:hint="eastAsia"/>
                      <w:szCs w:val="21"/>
                    </w:rPr>
                    <w:t>62</w:t>
                  </w:r>
                </w:p>
              </w:tc>
              <w:tc>
                <w:tcPr>
                  <w:tcW w:w="777" w:type="pct"/>
                  <w:vMerge w:val="continue"/>
                  <w:shd w:val="clear" w:color="auto" w:fill="FFFFFF"/>
                  <w:vAlign w:val="center"/>
                </w:tcPr>
                <w:p>
                  <w:pPr>
                    <w:jc w:val="center"/>
                    <w:rPr>
                      <w:szCs w:val="21"/>
                    </w:rPr>
                  </w:pPr>
                </w:p>
              </w:tc>
              <w:tc>
                <w:tcPr>
                  <w:tcW w:w="718" w:type="pct"/>
                  <w:shd w:val="clear" w:color="auto" w:fill="FFFFFF"/>
                  <w:vAlign w:val="center"/>
                </w:tcPr>
                <w:p>
                  <w:pPr>
                    <w:jc w:val="center"/>
                    <w:rPr>
                      <w:szCs w:val="21"/>
                    </w:rPr>
                  </w:pPr>
                  <w:r>
                    <w:rPr>
                      <w:rFonts w:hint="eastAsia"/>
                      <w:szCs w:val="21"/>
                    </w:rPr>
                    <w:t>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0" w:hRule="atLeast"/>
                <w:jc w:val="center"/>
              </w:trPr>
              <w:tc>
                <w:tcPr>
                  <w:tcW w:w="875" w:type="pct"/>
                  <w:vMerge w:val="restart"/>
                  <w:shd w:val="clear" w:color="auto" w:fill="auto"/>
                  <w:vAlign w:val="center"/>
                </w:tcPr>
                <w:p>
                  <w:pPr>
                    <w:jc w:val="center"/>
                    <w:rPr>
                      <w:szCs w:val="21"/>
                    </w:rPr>
                  </w:pPr>
                  <w:r>
                    <w:rPr>
                      <w:rFonts w:hint="eastAsia"/>
                      <w:szCs w:val="21"/>
                    </w:rPr>
                    <w:t>东区N17</w:t>
                  </w:r>
                </w:p>
              </w:tc>
              <w:tc>
                <w:tcPr>
                  <w:tcW w:w="1298" w:type="dxa"/>
                  <w:shd w:val="clear" w:color="auto" w:fill="FFFFFF"/>
                  <w:vAlign w:val="center"/>
                </w:tcPr>
                <w:p>
                  <w:pPr>
                    <w:jc w:val="center"/>
                    <w:rPr>
                      <w:szCs w:val="21"/>
                    </w:rPr>
                  </w:pPr>
                  <w:r>
                    <w:rPr>
                      <w:rFonts w:hint="eastAsia"/>
                      <w:szCs w:val="21"/>
                    </w:rPr>
                    <w:t>2021.11.15</w:t>
                  </w:r>
                </w:p>
              </w:tc>
              <w:tc>
                <w:tcPr>
                  <w:tcW w:w="1072" w:type="pct"/>
                  <w:vMerge w:val="restart"/>
                  <w:shd w:val="clear" w:color="auto" w:fill="FFFFFF"/>
                  <w:vAlign w:val="center"/>
                </w:tcPr>
                <w:p>
                  <w:pPr>
                    <w:jc w:val="center"/>
                    <w:rPr>
                      <w:szCs w:val="21"/>
                    </w:rPr>
                  </w:pPr>
                  <w:r>
                    <w:rPr>
                      <w:szCs w:val="21"/>
                    </w:rPr>
                    <w:t>昼间</w:t>
                  </w:r>
                </w:p>
              </w:tc>
              <w:tc>
                <w:tcPr>
                  <w:tcW w:w="777" w:type="pct"/>
                  <w:shd w:val="clear" w:color="auto" w:fill="FFFFFF"/>
                  <w:vAlign w:val="center"/>
                </w:tcPr>
                <w:p>
                  <w:pPr>
                    <w:jc w:val="center"/>
                    <w:rPr>
                      <w:szCs w:val="21"/>
                    </w:rPr>
                  </w:pPr>
                  <w:r>
                    <w:rPr>
                      <w:rFonts w:hint="eastAsia"/>
                      <w:szCs w:val="21"/>
                    </w:rPr>
                    <w:t>62</w:t>
                  </w:r>
                </w:p>
              </w:tc>
              <w:tc>
                <w:tcPr>
                  <w:tcW w:w="777" w:type="pct"/>
                  <w:vMerge w:val="restart"/>
                  <w:shd w:val="clear" w:color="auto" w:fill="FFFFFF"/>
                  <w:vAlign w:val="center"/>
                </w:tcPr>
                <w:p>
                  <w:pPr>
                    <w:jc w:val="center"/>
                    <w:rPr>
                      <w:szCs w:val="21"/>
                    </w:rPr>
                  </w:pPr>
                  <w:r>
                    <w:rPr>
                      <w:szCs w:val="21"/>
                    </w:rPr>
                    <w:t>夜间</w:t>
                  </w:r>
                </w:p>
              </w:tc>
              <w:tc>
                <w:tcPr>
                  <w:tcW w:w="718" w:type="pct"/>
                  <w:shd w:val="clear" w:color="auto" w:fill="FFFFFF"/>
                  <w:vAlign w:val="center"/>
                </w:tcPr>
                <w:p>
                  <w:pPr>
                    <w:jc w:val="center"/>
                    <w:rPr>
                      <w:szCs w:val="21"/>
                    </w:rPr>
                  </w:pPr>
                  <w:r>
                    <w:rPr>
                      <w:rFonts w:hint="eastAsia"/>
                      <w:szCs w:val="21"/>
                    </w:rPr>
                    <w:t>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continue"/>
                  <w:shd w:val="clear" w:color="auto" w:fill="auto"/>
                  <w:vAlign w:val="center"/>
                </w:tcPr>
                <w:p>
                  <w:pPr>
                    <w:jc w:val="center"/>
                    <w:rPr>
                      <w:szCs w:val="21"/>
                    </w:rPr>
                  </w:pPr>
                </w:p>
              </w:tc>
              <w:tc>
                <w:tcPr>
                  <w:tcW w:w="1298" w:type="dxa"/>
                  <w:shd w:val="clear" w:color="auto" w:fill="FFFFFF"/>
                  <w:vAlign w:val="center"/>
                </w:tcPr>
                <w:p>
                  <w:pPr>
                    <w:jc w:val="center"/>
                    <w:rPr>
                      <w:szCs w:val="21"/>
                    </w:rPr>
                  </w:pPr>
                  <w:r>
                    <w:rPr>
                      <w:rFonts w:hint="eastAsia"/>
                      <w:szCs w:val="21"/>
                    </w:rPr>
                    <w:t>2021.11.16</w:t>
                  </w:r>
                </w:p>
              </w:tc>
              <w:tc>
                <w:tcPr>
                  <w:tcW w:w="1072" w:type="pct"/>
                  <w:vMerge w:val="continue"/>
                  <w:shd w:val="clear" w:color="auto" w:fill="FFFFFF"/>
                  <w:vAlign w:val="center"/>
                </w:tcPr>
                <w:p>
                  <w:pPr>
                    <w:jc w:val="center"/>
                    <w:rPr>
                      <w:szCs w:val="21"/>
                    </w:rPr>
                  </w:pPr>
                </w:p>
              </w:tc>
              <w:tc>
                <w:tcPr>
                  <w:tcW w:w="777" w:type="pct"/>
                  <w:shd w:val="clear" w:color="auto" w:fill="FFFFFF"/>
                  <w:vAlign w:val="center"/>
                </w:tcPr>
                <w:p>
                  <w:pPr>
                    <w:jc w:val="center"/>
                    <w:rPr>
                      <w:szCs w:val="21"/>
                    </w:rPr>
                  </w:pPr>
                  <w:r>
                    <w:rPr>
                      <w:rFonts w:hint="eastAsia"/>
                      <w:szCs w:val="21"/>
                    </w:rPr>
                    <w:t>62</w:t>
                  </w:r>
                </w:p>
              </w:tc>
              <w:tc>
                <w:tcPr>
                  <w:tcW w:w="777" w:type="pct"/>
                  <w:vMerge w:val="continue"/>
                  <w:shd w:val="clear" w:color="auto" w:fill="FFFFFF"/>
                  <w:vAlign w:val="center"/>
                </w:tcPr>
                <w:p>
                  <w:pPr>
                    <w:jc w:val="center"/>
                    <w:rPr>
                      <w:szCs w:val="21"/>
                    </w:rPr>
                  </w:pPr>
                </w:p>
              </w:tc>
              <w:tc>
                <w:tcPr>
                  <w:tcW w:w="718" w:type="pct"/>
                  <w:shd w:val="clear" w:color="auto" w:fill="FFFFFF"/>
                  <w:vAlign w:val="center"/>
                </w:tcPr>
                <w:p>
                  <w:pPr>
                    <w:jc w:val="center"/>
                    <w:rPr>
                      <w:szCs w:val="21"/>
                    </w:rPr>
                  </w:pPr>
                  <w:r>
                    <w:rPr>
                      <w:rFonts w:hint="eastAsia"/>
                      <w:szCs w:val="21"/>
                    </w:rPr>
                    <w:t>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restart"/>
                  <w:shd w:val="clear" w:color="auto" w:fill="auto"/>
                  <w:vAlign w:val="center"/>
                </w:tcPr>
                <w:p>
                  <w:pPr>
                    <w:jc w:val="center"/>
                    <w:rPr>
                      <w:szCs w:val="21"/>
                    </w:rPr>
                  </w:pPr>
                  <w:r>
                    <w:rPr>
                      <w:rFonts w:hint="eastAsia"/>
                      <w:szCs w:val="21"/>
                    </w:rPr>
                    <w:t>东区N18</w:t>
                  </w:r>
                </w:p>
              </w:tc>
              <w:tc>
                <w:tcPr>
                  <w:tcW w:w="1298" w:type="dxa"/>
                  <w:shd w:val="clear" w:color="auto" w:fill="FFFFFF"/>
                  <w:vAlign w:val="center"/>
                </w:tcPr>
                <w:p>
                  <w:pPr>
                    <w:jc w:val="center"/>
                    <w:rPr>
                      <w:szCs w:val="21"/>
                    </w:rPr>
                  </w:pPr>
                  <w:r>
                    <w:rPr>
                      <w:rFonts w:hint="eastAsia"/>
                      <w:szCs w:val="21"/>
                    </w:rPr>
                    <w:t>2021.11.15</w:t>
                  </w:r>
                </w:p>
              </w:tc>
              <w:tc>
                <w:tcPr>
                  <w:tcW w:w="1072" w:type="pct"/>
                  <w:vMerge w:val="restart"/>
                  <w:shd w:val="clear" w:color="auto" w:fill="FFFFFF"/>
                  <w:vAlign w:val="center"/>
                </w:tcPr>
                <w:p>
                  <w:pPr>
                    <w:jc w:val="center"/>
                    <w:rPr>
                      <w:szCs w:val="21"/>
                    </w:rPr>
                  </w:pPr>
                  <w:r>
                    <w:rPr>
                      <w:szCs w:val="21"/>
                    </w:rPr>
                    <w:t>昼间</w:t>
                  </w:r>
                </w:p>
              </w:tc>
              <w:tc>
                <w:tcPr>
                  <w:tcW w:w="777" w:type="pct"/>
                  <w:shd w:val="clear" w:color="auto" w:fill="FFFFFF"/>
                  <w:vAlign w:val="center"/>
                </w:tcPr>
                <w:p>
                  <w:pPr>
                    <w:jc w:val="center"/>
                    <w:rPr>
                      <w:szCs w:val="21"/>
                    </w:rPr>
                  </w:pPr>
                  <w:r>
                    <w:rPr>
                      <w:rFonts w:hint="eastAsia"/>
                      <w:szCs w:val="21"/>
                    </w:rPr>
                    <w:t>63</w:t>
                  </w:r>
                </w:p>
              </w:tc>
              <w:tc>
                <w:tcPr>
                  <w:tcW w:w="777" w:type="pct"/>
                  <w:vMerge w:val="restart"/>
                  <w:shd w:val="clear" w:color="auto" w:fill="FFFFFF"/>
                  <w:vAlign w:val="center"/>
                </w:tcPr>
                <w:p>
                  <w:pPr>
                    <w:jc w:val="center"/>
                    <w:rPr>
                      <w:szCs w:val="21"/>
                    </w:rPr>
                  </w:pPr>
                  <w:r>
                    <w:rPr>
                      <w:szCs w:val="21"/>
                    </w:rPr>
                    <w:t>夜间</w:t>
                  </w:r>
                </w:p>
              </w:tc>
              <w:tc>
                <w:tcPr>
                  <w:tcW w:w="718" w:type="pct"/>
                  <w:shd w:val="clear" w:color="auto" w:fill="FFFFFF"/>
                  <w:vAlign w:val="center"/>
                </w:tcPr>
                <w:p>
                  <w:pPr>
                    <w:jc w:val="center"/>
                    <w:rPr>
                      <w:szCs w:val="21"/>
                    </w:rPr>
                  </w:pPr>
                  <w:r>
                    <w:rPr>
                      <w:rFonts w:hint="eastAsia"/>
                      <w:szCs w:val="21"/>
                    </w:rPr>
                    <w:t>58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5" w:type="pct"/>
                  <w:vMerge w:val="continue"/>
                  <w:shd w:val="clear" w:color="auto" w:fill="auto"/>
                  <w:vAlign w:val="center"/>
                </w:tcPr>
                <w:p>
                  <w:pPr>
                    <w:jc w:val="center"/>
                    <w:rPr>
                      <w:szCs w:val="21"/>
                    </w:rPr>
                  </w:pPr>
                </w:p>
              </w:tc>
              <w:tc>
                <w:tcPr>
                  <w:tcW w:w="1298" w:type="dxa"/>
                  <w:shd w:val="clear" w:color="auto" w:fill="FFFFFF"/>
                  <w:vAlign w:val="center"/>
                </w:tcPr>
                <w:p>
                  <w:pPr>
                    <w:jc w:val="center"/>
                    <w:rPr>
                      <w:szCs w:val="21"/>
                    </w:rPr>
                  </w:pPr>
                  <w:r>
                    <w:rPr>
                      <w:rFonts w:hint="eastAsia"/>
                      <w:szCs w:val="21"/>
                    </w:rPr>
                    <w:t>2021.11.16</w:t>
                  </w:r>
                </w:p>
              </w:tc>
              <w:tc>
                <w:tcPr>
                  <w:tcW w:w="1072" w:type="pct"/>
                  <w:vMerge w:val="continue"/>
                  <w:shd w:val="clear" w:color="auto" w:fill="FFFFFF"/>
                  <w:vAlign w:val="center"/>
                </w:tcPr>
                <w:p>
                  <w:pPr>
                    <w:jc w:val="center"/>
                    <w:rPr>
                      <w:szCs w:val="21"/>
                    </w:rPr>
                  </w:pPr>
                </w:p>
              </w:tc>
              <w:tc>
                <w:tcPr>
                  <w:tcW w:w="777" w:type="pct"/>
                  <w:shd w:val="clear" w:color="auto" w:fill="FFFFFF"/>
                  <w:vAlign w:val="center"/>
                </w:tcPr>
                <w:p>
                  <w:pPr>
                    <w:jc w:val="center"/>
                    <w:rPr>
                      <w:szCs w:val="21"/>
                    </w:rPr>
                  </w:pPr>
                  <w:r>
                    <w:rPr>
                      <w:rFonts w:hint="eastAsia"/>
                      <w:szCs w:val="21"/>
                    </w:rPr>
                    <w:t>63</w:t>
                  </w:r>
                </w:p>
              </w:tc>
              <w:tc>
                <w:tcPr>
                  <w:tcW w:w="777" w:type="pct"/>
                  <w:vMerge w:val="continue"/>
                  <w:shd w:val="clear" w:color="auto" w:fill="FFFFFF"/>
                  <w:vAlign w:val="center"/>
                </w:tcPr>
                <w:p>
                  <w:pPr>
                    <w:jc w:val="center"/>
                    <w:rPr>
                      <w:szCs w:val="21"/>
                    </w:rPr>
                  </w:pPr>
                </w:p>
              </w:tc>
              <w:tc>
                <w:tcPr>
                  <w:tcW w:w="718" w:type="pct"/>
                  <w:shd w:val="clear" w:color="auto" w:fill="FFFFFF"/>
                  <w:vAlign w:val="center"/>
                </w:tcPr>
                <w:p>
                  <w:pPr>
                    <w:jc w:val="center"/>
                    <w:rPr>
                      <w:szCs w:val="21"/>
                    </w:rPr>
                  </w:pPr>
                  <w:r>
                    <w:rPr>
                      <w:rFonts w:hint="eastAsia"/>
                      <w:szCs w:val="21"/>
                    </w:rPr>
                    <w:t>58</w:t>
                  </w:r>
                </w:p>
              </w:tc>
            </w:tr>
          </w:tbl>
          <w:p>
            <w:pPr>
              <w:spacing w:before="120" w:beforeLines="50" w:line="360" w:lineRule="auto"/>
              <w:ind w:firstLine="480" w:firstLineChars="200"/>
              <w:rPr>
                <w:rFonts w:ascii="宋体" w:hAnsi="宋体"/>
                <w:bCs/>
                <w:sz w:val="24"/>
              </w:rPr>
            </w:pPr>
            <w:r>
              <w:rPr>
                <w:rFonts w:hint="eastAsia" w:ascii="宋体" w:hAnsi="宋体"/>
                <w:bCs/>
                <w:sz w:val="24"/>
              </w:rPr>
              <w:t>根据上表监测结果，各监测点昼﹑夜间噪声监测值分别满足相应功能区声环境质量标准要求。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503"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环境</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autoSpaceDE w:val="0"/>
              <w:autoSpaceDN w:val="0"/>
              <w:adjustRightInd w:val="0"/>
              <w:snapToGrid w:val="0"/>
              <w:jc w:val="center"/>
              <w:rPr>
                <w:rFonts w:cs="宋体"/>
                <w:color w:val="000000"/>
                <w:kern w:val="0"/>
                <w:sz w:val="24"/>
              </w:rPr>
            </w:pPr>
            <w:r>
              <w:rPr>
                <w:rFonts w:hint="eastAsia" w:cs="宋体"/>
                <w:color w:val="000000"/>
                <w:kern w:val="0"/>
                <w:sz w:val="24"/>
              </w:rPr>
              <w:t>目标</w:t>
            </w:r>
          </w:p>
        </w:tc>
        <w:tc>
          <w:tcPr>
            <w:tcW w:w="8558" w:type="dxa"/>
            <w:vAlign w:val="center"/>
          </w:tcPr>
          <w:p>
            <w:pPr>
              <w:widowControl/>
              <w:spacing w:line="480" w:lineRule="exact"/>
              <w:ind w:firstLine="472" w:firstLineChars="197"/>
              <w:jc w:val="left"/>
              <w:rPr>
                <w:snapToGrid w:val="0"/>
                <w:color w:val="000000"/>
                <w:kern w:val="0"/>
                <w:sz w:val="24"/>
              </w:rPr>
            </w:pPr>
            <w:r>
              <w:rPr>
                <w:rFonts w:hint="eastAsia"/>
                <w:color w:val="000000"/>
                <w:kern w:val="0"/>
                <w:sz w:val="24"/>
              </w:rPr>
              <w:t>项目</w:t>
            </w:r>
            <w:r>
              <w:rPr>
                <w:rFonts w:hint="eastAsia"/>
                <w:snapToGrid w:val="0"/>
                <w:color w:val="000000"/>
                <w:kern w:val="0"/>
                <w:sz w:val="24"/>
              </w:rPr>
              <w:t>位于</w:t>
            </w:r>
            <w:r>
              <w:rPr>
                <w:rFonts w:hint="eastAsia"/>
                <w:color w:val="000000"/>
                <w:sz w:val="24"/>
              </w:rPr>
              <w:t>安徽芜湖鸠江经济开发区</w:t>
            </w:r>
            <w:r>
              <w:rPr>
                <w:rFonts w:hint="eastAsia"/>
                <w:color w:val="000000"/>
                <w:kern w:val="0"/>
                <w:sz w:val="24"/>
              </w:rPr>
              <w:t>。</w:t>
            </w:r>
            <w:r>
              <w:rPr>
                <w:rFonts w:hint="eastAsia"/>
                <w:snapToGrid w:val="0"/>
                <w:color w:val="000000"/>
                <w:kern w:val="0"/>
                <w:sz w:val="24"/>
              </w:rPr>
              <w:t>通过对项目的实地勘查，评价范围内无自然保护区、风景名胜区、饮用水源保护区和文物古迹等需要特殊保护的环境敏感对象。根据本项目的污染特征及项目所在区域的环境质量现状，项目环境保护对象及其保护级别见表3-8。</w:t>
            </w:r>
          </w:p>
          <w:p>
            <w:pPr>
              <w:spacing w:line="460" w:lineRule="exact"/>
              <w:jc w:val="center"/>
              <w:rPr>
                <w:rFonts w:hAnsi="宋体"/>
                <w:b/>
                <w:color w:val="000000"/>
                <w:sz w:val="24"/>
              </w:rPr>
            </w:pPr>
            <w:r>
              <w:rPr>
                <w:rFonts w:hAnsi="宋体"/>
                <w:b/>
                <w:color w:val="000000"/>
                <w:sz w:val="24"/>
              </w:rPr>
              <w:t>表</w:t>
            </w:r>
            <w:r>
              <w:rPr>
                <w:rFonts w:hint="eastAsia" w:hAnsi="宋体"/>
                <w:b/>
                <w:color w:val="000000"/>
                <w:sz w:val="24"/>
              </w:rPr>
              <w:t xml:space="preserve">3-8 </w:t>
            </w:r>
            <w:r>
              <w:rPr>
                <w:rFonts w:hAnsi="宋体"/>
                <w:b/>
                <w:color w:val="000000"/>
                <w:sz w:val="24"/>
              </w:rPr>
              <w:t>主要环境保护目标</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179"/>
              <w:gridCol w:w="564"/>
              <w:gridCol w:w="598"/>
              <w:gridCol w:w="826"/>
              <w:gridCol w:w="1127"/>
              <w:gridCol w:w="1127"/>
              <w:gridCol w:w="21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54" w:type="dxa"/>
                  <w:vMerge w:val="restart"/>
                  <w:vAlign w:val="center"/>
                </w:tcPr>
                <w:p>
                  <w:pPr>
                    <w:jc w:val="center"/>
                    <w:rPr>
                      <w:b/>
                      <w:szCs w:val="21"/>
                    </w:rPr>
                  </w:pPr>
                  <w:r>
                    <w:rPr>
                      <w:b/>
                      <w:szCs w:val="21"/>
                    </w:rPr>
                    <w:t>环境</w:t>
                  </w:r>
                </w:p>
              </w:tc>
              <w:tc>
                <w:tcPr>
                  <w:tcW w:w="1179" w:type="dxa"/>
                  <w:vMerge w:val="restart"/>
                  <w:vAlign w:val="center"/>
                </w:tcPr>
                <w:p>
                  <w:pPr>
                    <w:jc w:val="center"/>
                    <w:rPr>
                      <w:b/>
                      <w:szCs w:val="21"/>
                    </w:rPr>
                  </w:pPr>
                  <w:r>
                    <w:rPr>
                      <w:b/>
                      <w:szCs w:val="21"/>
                    </w:rPr>
                    <w:t>环境保护</w:t>
                  </w:r>
                </w:p>
                <w:p>
                  <w:pPr>
                    <w:jc w:val="center"/>
                    <w:rPr>
                      <w:b/>
                      <w:szCs w:val="21"/>
                    </w:rPr>
                  </w:pPr>
                  <w:r>
                    <w:rPr>
                      <w:b/>
                      <w:szCs w:val="21"/>
                    </w:rPr>
                    <w:t>对象</w:t>
                  </w:r>
                </w:p>
              </w:tc>
              <w:tc>
                <w:tcPr>
                  <w:tcW w:w="1162" w:type="dxa"/>
                  <w:gridSpan w:val="2"/>
                  <w:vAlign w:val="center"/>
                </w:tcPr>
                <w:p>
                  <w:pPr>
                    <w:jc w:val="center"/>
                    <w:rPr>
                      <w:b/>
                      <w:szCs w:val="21"/>
                    </w:rPr>
                  </w:pPr>
                  <w:r>
                    <w:rPr>
                      <w:rFonts w:hint="eastAsia"/>
                      <w:b/>
                      <w:szCs w:val="21"/>
                    </w:rPr>
                    <w:t>UTM坐标</w:t>
                  </w:r>
                </w:p>
              </w:tc>
              <w:tc>
                <w:tcPr>
                  <w:tcW w:w="826" w:type="dxa"/>
                  <w:vMerge w:val="restart"/>
                  <w:vAlign w:val="center"/>
                </w:tcPr>
                <w:p>
                  <w:pPr>
                    <w:jc w:val="center"/>
                    <w:rPr>
                      <w:b/>
                      <w:szCs w:val="21"/>
                    </w:rPr>
                  </w:pPr>
                  <w:r>
                    <w:rPr>
                      <w:b/>
                      <w:szCs w:val="21"/>
                    </w:rPr>
                    <w:t>相对方位</w:t>
                  </w:r>
                </w:p>
              </w:tc>
              <w:tc>
                <w:tcPr>
                  <w:tcW w:w="1127" w:type="dxa"/>
                  <w:vMerge w:val="restart"/>
                  <w:vAlign w:val="center"/>
                </w:tcPr>
                <w:p>
                  <w:pPr>
                    <w:jc w:val="center"/>
                    <w:rPr>
                      <w:b/>
                      <w:szCs w:val="21"/>
                    </w:rPr>
                  </w:pPr>
                  <w:r>
                    <w:rPr>
                      <w:b/>
                      <w:szCs w:val="21"/>
                    </w:rPr>
                    <w:t>规模</w:t>
                  </w:r>
                </w:p>
              </w:tc>
              <w:tc>
                <w:tcPr>
                  <w:tcW w:w="1127" w:type="dxa"/>
                  <w:vMerge w:val="restart"/>
                  <w:vAlign w:val="center"/>
                </w:tcPr>
                <w:p>
                  <w:pPr>
                    <w:jc w:val="center"/>
                    <w:rPr>
                      <w:b/>
                      <w:szCs w:val="21"/>
                    </w:rPr>
                  </w:pPr>
                  <w:r>
                    <w:rPr>
                      <w:b/>
                      <w:szCs w:val="21"/>
                    </w:rPr>
                    <w:t>距离(m)</w:t>
                  </w:r>
                </w:p>
              </w:tc>
              <w:tc>
                <w:tcPr>
                  <w:tcW w:w="2167" w:type="dxa"/>
                  <w:vMerge w:val="restart"/>
                  <w:vAlign w:val="center"/>
                </w:tcPr>
                <w:p>
                  <w:pPr>
                    <w:jc w:val="center"/>
                    <w:rPr>
                      <w:b/>
                      <w:szCs w:val="21"/>
                    </w:rPr>
                  </w:pPr>
                  <w:r>
                    <w:rPr>
                      <w:b/>
                      <w:szCs w:val="21"/>
                    </w:rPr>
                    <w:t>环境保护级别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54" w:type="dxa"/>
                  <w:vMerge w:val="continue"/>
                  <w:vAlign w:val="center"/>
                </w:tcPr>
                <w:p>
                  <w:pPr>
                    <w:jc w:val="center"/>
                    <w:rPr>
                      <w:b/>
                      <w:szCs w:val="21"/>
                    </w:rPr>
                  </w:pPr>
                </w:p>
              </w:tc>
              <w:tc>
                <w:tcPr>
                  <w:tcW w:w="1179" w:type="dxa"/>
                  <w:vMerge w:val="continue"/>
                  <w:vAlign w:val="center"/>
                </w:tcPr>
                <w:p>
                  <w:pPr>
                    <w:jc w:val="center"/>
                    <w:rPr>
                      <w:b/>
                      <w:szCs w:val="21"/>
                    </w:rPr>
                  </w:pPr>
                </w:p>
              </w:tc>
              <w:tc>
                <w:tcPr>
                  <w:tcW w:w="564" w:type="dxa"/>
                  <w:vAlign w:val="center"/>
                </w:tcPr>
                <w:p>
                  <w:pPr>
                    <w:jc w:val="center"/>
                    <w:rPr>
                      <w:b/>
                      <w:szCs w:val="21"/>
                    </w:rPr>
                  </w:pPr>
                  <w:r>
                    <w:rPr>
                      <w:rFonts w:hint="eastAsia"/>
                      <w:b/>
                      <w:szCs w:val="21"/>
                    </w:rPr>
                    <w:t>X</w:t>
                  </w:r>
                </w:p>
              </w:tc>
              <w:tc>
                <w:tcPr>
                  <w:tcW w:w="598" w:type="dxa"/>
                  <w:vAlign w:val="center"/>
                </w:tcPr>
                <w:p>
                  <w:pPr>
                    <w:jc w:val="center"/>
                    <w:rPr>
                      <w:b/>
                      <w:szCs w:val="21"/>
                    </w:rPr>
                  </w:pPr>
                  <w:r>
                    <w:rPr>
                      <w:rFonts w:hint="eastAsia"/>
                      <w:b/>
                      <w:szCs w:val="21"/>
                    </w:rPr>
                    <w:t>Y</w:t>
                  </w:r>
                </w:p>
              </w:tc>
              <w:tc>
                <w:tcPr>
                  <w:tcW w:w="826" w:type="dxa"/>
                  <w:vMerge w:val="continue"/>
                  <w:vAlign w:val="center"/>
                </w:tcPr>
                <w:p>
                  <w:pPr>
                    <w:jc w:val="center"/>
                    <w:rPr>
                      <w:b/>
                      <w:szCs w:val="21"/>
                    </w:rPr>
                  </w:pPr>
                </w:p>
              </w:tc>
              <w:tc>
                <w:tcPr>
                  <w:tcW w:w="1127" w:type="dxa"/>
                  <w:vMerge w:val="continue"/>
                  <w:vAlign w:val="center"/>
                </w:tcPr>
                <w:p>
                  <w:pPr>
                    <w:jc w:val="center"/>
                    <w:rPr>
                      <w:b/>
                      <w:szCs w:val="21"/>
                    </w:rPr>
                  </w:pPr>
                </w:p>
              </w:tc>
              <w:tc>
                <w:tcPr>
                  <w:tcW w:w="1127" w:type="dxa"/>
                  <w:vMerge w:val="continue"/>
                  <w:vAlign w:val="center"/>
                </w:tcPr>
                <w:p>
                  <w:pPr>
                    <w:jc w:val="center"/>
                    <w:rPr>
                      <w:b/>
                      <w:szCs w:val="21"/>
                    </w:rPr>
                  </w:pPr>
                </w:p>
              </w:tc>
              <w:tc>
                <w:tcPr>
                  <w:tcW w:w="2167" w:type="dxa"/>
                  <w:vMerge w:val="continue"/>
                  <w:vAlign w:val="center"/>
                </w:tcPr>
                <w:p>
                  <w:pPr>
                    <w:jc w:val="center"/>
                    <w:rPr>
                      <w:b/>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754" w:type="dxa"/>
                  <w:vMerge w:val="restart"/>
                  <w:vAlign w:val="center"/>
                </w:tcPr>
                <w:p>
                  <w:pPr>
                    <w:jc w:val="center"/>
                    <w:rPr>
                      <w:szCs w:val="21"/>
                    </w:rPr>
                  </w:pPr>
                  <w:r>
                    <w:rPr>
                      <w:rFonts w:hint="eastAsia"/>
                      <w:szCs w:val="21"/>
                    </w:rPr>
                    <w:t>地表</w:t>
                  </w:r>
                  <w:r>
                    <w:rPr>
                      <w:szCs w:val="21"/>
                    </w:rPr>
                    <w:t>水环境</w:t>
                  </w:r>
                </w:p>
              </w:tc>
              <w:tc>
                <w:tcPr>
                  <w:tcW w:w="1179" w:type="dxa"/>
                  <w:vAlign w:val="center"/>
                </w:tcPr>
                <w:p>
                  <w:pPr>
                    <w:jc w:val="center"/>
                    <w:rPr>
                      <w:szCs w:val="21"/>
                    </w:rPr>
                  </w:pPr>
                  <w:r>
                    <w:rPr>
                      <w:rFonts w:hint="eastAsia" w:ascii="宋体" w:cs="宋体"/>
                      <w:kern w:val="0"/>
                      <w:szCs w:val="21"/>
                    </w:rPr>
                    <w:t>青弋江</w:t>
                  </w:r>
                </w:p>
              </w:tc>
              <w:tc>
                <w:tcPr>
                  <w:tcW w:w="564" w:type="dxa"/>
                  <w:vAlign w:val="center"/>
                </w:tcPr>
                <w:p>
                  <w:pPr>
                    <w:jc w:val="center"/>
                    <w:rPr>
                      <w:szCs w:val="21"/>
                    </w:rPr>
                  </w:pPr>
                  <w:r>
                    <w:rPr>
                      <w:rFonts w:hint="eastAsia"/>
                      <w:szCs w:val="21"/>
                    </w:rPr>
                    <w:t>/</w:t>
                  </w:r>
                </w:p>
              </w:tc>
              <w:tc>
                <w:tcPr>
                  <w:tcW w:w="598" w:type="dxa"/>
                  <w:vAlign w:val="center"/>
                </w:tcPr>
                <w:p>
                  <w:pPr>
                    <w:jc w:val="center"/>
                    <w:rPr>
                      <w:szCs w:val="21"/>
                    </w:rPr>
                  </w:pPr>
                  <w:r>
                    <w:rPr>
                      <w:rFonts w:hint="eastAsia"/>
                      <w:szCs w:val="21"/>
                    </w:rPr>
                    <w:t>/</w:t>
                  </w:r>
                </w:p>
              </w:tc>
              <w:tc>
                <w:tcPr>
                  <w:tcW w:w="826" w:type="dxa"/>
                  <w:vAlign w:val="center"/>
                </w:tcPr>
                <w:p>
                  <w:pPr>
                    <w:jc w:val="center"/>
                    <w:rPr>
                      <w:szCs w:val="21"/>
                    </w:rPr>
                  </w:pPr>
                  <w:r>
                    <w:rPr>
                      <w:rFonts w:hint="eastAsia"/>
                      <w:szCs w:val="21"/>
                    </w:rPr>
                    <w:t>S</w:t>
                  </w:r>
                </w:p>
              </w:tc>
              <w:tc>
                <w:tcPr>
                  <w:tcW w:w="1127" w:type="dxa"/>
                  <w:vAlign w:val="center"/>
                </w:tcPr>
                <w:p>
                  <w:pPr>
                    <w:jc w:val="center"/>
                    <w:rPr>
                      <w:szCs w:val="21"/>
                    </w:rPr>
                  </w:pPr>
                  <w:r>
                    <w:rPr>
                      <w:rFonts w:hint="eastAsia" w:ascii="宋体" w:cs="宋体"/>
                      <w:kern w:val="0"/>
                      <w:szCs w:val="21"/>
                    </w:rPr>
                    <w:t>大型</w:t>
                  </w:r>
                </w:p>
              </w:tc>
              <w:tc>
                <w:tcPr>
                  <w:tcW w:w="1127" w:type="dxa"/>
                  <w:vAlign w:val="center"/>
                </w:tcPr>
                <w:p>
                  <w:pPr>
                    <w:jc w:val="center"/>
                    <w:rPr>
                      <w:color w:val="262626" w:themeColor="text1" w:themeTint="D9"/>
                      <w:szCs w:val="21"/>
                      <w14:textFill>
                        <w14:solidFill>
                          <w14:schemeClr w14:val="tx1">
                            <w14:lumMod w14:val="85000"/>
                            <w14:lumOff w14:val="15000"/>
                          </w14:schemeClr>
                        </w14:solidFill>
                      </w14:textFill>
                    </w:rPr>
                  </w:pPr>
                  <w:r>
                    <w:rPr>
                      <w:rFonts w:hint="eastAsia"/>
                      <w:color w:val="262626" w:themeColor="text1" w:themeTint="D9"/>
                      <w:szCs w:val="21"/>
                      <w14:textFill>
                        <w14:solidFill>
                          <w14:schemeClr w14:val="tx1">
                            <w14:lumMod w14:val="85000"/>
                            <w14:lumOff w14:val="15000"/>
                          </w14:schemeClr>
                        </w14:solidFill>
                      </w14:textFill>
                    </w:rPr>
                    <w:t>7899</w:t>
                  </w:r>
                </w:p>
              </w:tc>
              <w:tc>
                <w:tcPr>
                  <w:tcW w:w="2167" w:type="dxa"/>
                  <w:vMerge w:val="restart"/>
                  <w:vAlign w:val="center"/>
                </w:tcPr>
                <w:p>
                  <w:pPr>
                    <w:jc w:val="center"/>
                    <w:rPr>
                      <w:bCs/>
                      <w:szCs w:val="21"/>
                    </w:rPr>
                  </w:pPr>
                  <w:r>
                    <w:rPr>
                      <w:bCs/>
                      <w:szCs w:val="21"/>
                    </w:rPr>
                    <w:t>GB3838-2002《地表水环境质量标准》中的</w:t>
                  </w:r>
                  <w:r>
                    <w:rPr>
                      <w:szCs w:val="21"/>
                    </w:rPr>
                    <w:t>Ⅲ</w:t>
                  </w:r>
                  <w:r>
                    <w:rPr>
                      <w:bCs/>
                      <w:szCs w:val="21"/>
                    </w:rPr>
                    <w:t>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754" w:type="dxa"/>
                  <w:vMerge w:val="continue"/>
                  <w:vAlign w:val="center"/>
                </w:tcPr>
                <w:p>
                  <w:pPr>
                    <w:jc w:val="center"/>
                    <w:rPr>
                      <w:szCs w:val="21"/>
                    </w:rPr>
                  </w:pPr>
                </w:p>
              </w:tc>
              <w:tc>
                <w:tcPr>
                  <w:tcW w:w="1179" w:type="dxa"/>
                  <w:vAlign w:val="center"/>
                </w:tcPr>
                <w:p>
                  <w:pPr>
                    <w:jc w:val="center"/>
                    <w:rPr>
                      <w:rFonts w:ascii="宋体" w:cs="宋体"/>
                      <w:kern w:val="0"/>
                      <w:szCs w:val="21"/>
                    </w:rPr>
                  </w:pPr>
                  <w:r>
                    <w:rPr>
                      <w:rFonts w:hint="eastAsia" w:ascii="宋体" w:cs="宋体"/>
                      <w:kern w:val="0"/>
                      <w:szCs w:val="21"/>
                    </w:rPr>
                    <w:t>青山河</w:t>
                  </w:r>
                </w:p>
              </w:tc>
              <w:tc>
                <w:tcPr>
                  <w:tcW w:w="564" w:type="dxa"/>
                  <w:vAlign w:val="center"/>
                </w:tcPr>
                <w:p>
                  <w:pPr>
                    <w:jc w:val="center"/>
                    <w:rPr>
                      <w:szCs w:val="21"/>
                    </w:rPr>
                  </w:pPr>
                  <w:r>
                    <w:rPr>
                      <w:rFonts w:hint="eastAsia"/>
                      <w:szCs w:val="21"/>
                    </w:rPr>
                    <w:t>/</w:t>
                  </w:r>
                </w:p>
              </w:tc>
              <w:tc>
                <w:tcPr>
                  <w:tcW w:w="598" w:type="dxa"/>
                  <w:vAlign w:val="center"/>
                </w:tcPr>
                <w:p>
                  <w:pPr>
                    <w:jc w:val="center"/>
                    <w:rPr>
                      <w:szCs w:val="21"/>
                    </w:rPr>
                  </w:pPr>
                  <w:r>
                    <w:rPr>
                      <w:rFonts w:hint="eastAsia"/>
                      <w:szCs w:val="21"/>
                    </w:rPr>
                    <w:t>/</w:t>
                  </w:r>
                </w:p>
              </w:tc>
              <w:tc>
                <w:tcPr>
                  <w:tcW w:w="826" w:type="dxa"/>
                  <w:vAlign w:val="center"/>
                </w:tcPr>
                <w:p>
                  <w:pPr>
                    <w:jc w:val="center"/>
                    <w:rPr>
                      <w:szCs w:val="21"/>
                    </w:rPr>
                  </w:pPr>
                  <w:r>
                    <w:rPr>
                      <w:rFonts w:hint="eastAsia"/>
                      <w:szCs w:val="21"/>
                    </w:rPr>
                    <w:t>E</w:t>
                  </w:r>
                </w:p>
              </w:tc>
              <w:tc>
                <w:tcPr>
                  <w:tcW w:w="1127" w:type="dxa"/>
                  <w:vAlign w:val="center"/>
                </w:tcPr>
                <w:p>
                  <w:pPr>
                    <w:jc w:val="center"/>
                    <w:rPr>
                      <w:rFonts w:ascii="宋体" w:cs="宋体"/>
                      <w:kern w:val="0"/>
                      <w:szCs w:val="21"/>
                    </w:rPr>
                  </w:pPr>
                  <w:r>
                    <w:rPr>
                      <w:rFonts w:hint="eastAsia" w:ascii="宋体" w:cs="宋体"/>
                      <w:kern w:val="0"/>
                      <w:szCs w:val="21"/>
                    </w:rPr>
                    <w:t>小型</w:t>
                  </w:r>
                </w:p>
              </w:tc>
              <w:tc>
                <w:tcPr>
                  <w:tcW w:w="1127" w:type="dxa"/>
                  <w:vAlign w:val="center"/>
                </w:tcPr>
                <w:p>
                  <w:pPr>
                    <w:jc w:val="center"/>
                    <w:rPr>
                      <w:color w:val="262626" w:themeColor="text1" w:themeTint="D9"/>
                      <w:szCs w:val="21"/>
                      <w14:textFill>
                        <w14:solidFill>
                          <w14:schemeClr w14:val="tx1">
                            <w14:lumMod w14:val="85000"/>
                            <w14:lumOff w14:val="15000"/>
                          </w14:schemeClr>
                        </w14:solidFill>
                      </w14:textFill>
                    </w:rPr>
                  </w:pPr>
                  <w:r>
                    <w:rPr>
                      <w:rFonts w:hint="eastAsia"/>
                      <w:color w:val="262626" w:themeColor="text1" w:themeTint="D9"/>
                      <w:szCs w:val="21"/>
                      <w14:textFill>
                        <w14:solidFill>
                          <w14:schemeClr w14:val="tx1">
                            <w14:lumMod w14:val="85000"/>
                            <w14:lumOff w14:val="15000"/>
                          </w14:schemeClr>
                        </w14:solidFill>
                      </w14:textFill>
                    </w:rPr>
                    <w:t>3966</w:t>
                  </w:r>
                </w:p>
              </w:tc>
              <w:tc>
                <w:tcPr>
                  <w:tcW w:w="2167" w:type="dxa"/>
                  <w:vMerge w:val="continue"/>
                  <w:vAlign w:val="center"/>
                </w:tcPr>
                <w:p>
                  <w:pPr>
                    <w:jc w:val="center"/>
                    <w:rPr>
                      <w:bCs/>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4" w:type="dxa"/>
                  <w:vAlign w:val="center"/>
                </w:tcPr>
                <w:p>
                  <w:pPr>
                    <w:jc w:val="center"/>
                    <w:rPr>
                      <w:szCs w:val="21"/>
                    </w:rPr>
                  </w:pPr>
                  <w:r>
                    <w:rPr>
                      <w:szCs w:val="21"/>
                    </w:rPr>
                    <w:t>声环境</w:t>
                  </w:r>
                </w:p>
              </w:tc>
              <w:tc>
                <w:tcPr>
                  <w:tcW w:w="1179" w:type="dxa"/>
                  <w:vAlign w:val="center"/>
                </w:tcPr>
                <w:p>
                  <w:pPr>
                    <w:jc w:val="center"/>
                    <w:rPr>
                      <w:szCs w:val="21"/>
                    </w:rPr>
                  </w:pPr>
                  <w:r>
                    <w:rPr>
                      <w:szCs w:val="21"/>
                    </w:rPr>
                    <w:t>项目厂界</w:t>
                  </w:r>
                </w:p>
              </w:tc>
              <w:tc>
                <w:tcPr>
                  <w:tcW w:w="564" w:type="dxa"/>
                  <w:vAlign w:val="center"/>
                </w:tcPr>
                <w:p>
                  <w:pPr>
                    <w:jc w:val="center"/>
                    <w:rPr>
                      <w:szCs w:val="21"/>
                    </w:rPr>
                  </w:pPr>
                  <w:r>
                    <w:rPr>
                      <w:rFonts w:hint="eastAsia"/>
                      <w:szCs w:val="21"/>
                    </w:rPr>
                    <w:t>/</w:t>
                  </w:r>
                </w:p>
              </w:tc>
              <w:tc>
                <w:tcPr>
                  <w:tcW w:w="598" w:type="dxa"/>
                  <w:vAlign w:val="center"/>
                </w:tcPr>
                <w:p>
                  <w:pPr>
                    <w:jc w:val="center"/>
                    <w:rPr>
                      <w:szCs w:val="21"/>
                    </w:rPr>
                  </w:pPr>
                  <w:r>
                    <w:rPr>
                      <w:rFonts w:hint="eastAsia"/>
                      <w:szCs w:val="21"/>
                    </w:rPr>
                    <w:t>/</w:t>
                  </w:r>
                </w:p>
              </w:tc>
              <w:tc>
                <w:tcPr>
                  <w:tcW w:w="826" w:type="dxa"/>
                  <w:vAlign w:val="center"/>
                </w:tcPr>
                <w:p>
                  <w:pPr>
                    <w:jc w:val="center"/>
                    <w:rPr>
                      <w:szCs w:val="21"/>
                    </w:rPr>
                  </w:pPr>
                  <w:r>
                    <w:rPr>
                      <w:szCs w:val="21"/>
                    </w:rPr>
                    <w:t>四周</w:t>
                  </w:r>
                </w:p>
              </w:tc>
              <w:tc>
                <w:tcPr>
                  <w:tcW w:w="1127" w:type="dxa"/>
                  <w:vAlign w:val="center"/>
                </w:tcPr>
                <w:p>
                  <w:pPr>
                    <w:jc w:val="center"/>
                    <w:rPr>
                      <w:szCs w:val="21"/>
                    </w:rPr>
                  </w:pPr>
                  <w:r>
                    <w:rPr>
                      <w:szCs w:val="21"/>
                    </w:rPr>
                    <w:t>-</w:t>
                  </w:r>
                  <w:r>
                    <w:rPr>
                      <w:rFonts w:hint="eastAsia"/>
                      <w:szCs w:val="21"/>
                    </w:rPr>
                    <w:t>-</w:t>
                  </w:r>
                </w:p>
              </w:tc>
              <w:tc>
                <w:tcPr>
                  <w:tcW w:w="1127" w:type="dxa"/>
                  <w:vAlign w:val="center"/>
                </w:tcPr>
                <w:p>
                  <w:pPr>
                    <w:adjustRightInd w:val="0"/>
                    <w:snapToGrid w:val="0"/>
                    <w:jc w:val="center"/>
                    <w:rPr>
                      <w:szCs w:val="21"/>
                    </w:rPr>
                  </w:pPr>
                  <w:r>
                    <w:rPr>
                      <w:rFonts w:hint="eastAsia"/>
                      <w:szCs w:val="21"/>
                    </w:rPr>
                    <w:t>1</w:t>
                  </w:r>
                </w:p>
              </w:tc>
              <w:tc>
                <w:tcPr>
                  <w:tcW w:w="2167" w:type="dxa"/>
                  <w:vAlign w:val="center"/>
                </w:tcPr>
                <w:p>
                  <w:pPr>
                    <w:jc w:val="center"/>
                    <w:rPr>
                      <w:bCs/>
                      <w:szCs w:val="21"/>
                    </w:rPr>
                  </w:pPr>
                  <w:r>
                    <w:rPr>
                      <w:rFonts w:hint="eastAsia"/>
                      <w:szCs w:val="21"/>
                    </w:rPr>
                    <w:t>厂界东侧、北侧噪声执行《工业企业厂界环境噪声排放标准》（</w:t>
                  </w:r>
                  <w:r>
                    <w:rPr>
                      <w:szCs w:val="21"/>
                    </w:rPr>
                    <w:t>GB12348-2008</w:t>
                  </w:r>
                  <w:r>
                    <w:rPr>
                      <w:rFonts w:hint="eastAsia"/>
                      <w:szCs w:val="21"/>
                    </w:rPr>
                    <w:t>）中的3类标准；厂区南侧、西侧噪声执行《工业企业厂界环境噪声排放标准》（GB12348-2008）中的4类标准</w:t>
                  </w:r>
                </w:p>
              </w:tc>
            </w:tr>
          </w:tbl>
          <w:p>
            <w:pPr>
              <w:spacing w:line="360" w:lineRule="auto"/>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503" w:type="dxa"/>
            <w:tcMar>
              <w:left w:w="28" w:type="dxa"/>
              <w:right w:w="28" w:type="dxa"/>
            </w:tcMar>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污染</w:t>
            </w:r>
          </w:p>
          <w:p>
            <w:pPr>
              <w:autoSpaceDE w:val="0"/>
              <w:autoSpaceDN w:val="0"/>
              <w:adjustRightInd w:val="0"/>
              <w:snapToGrid w:val="0"/>
              <w:jc w:val="center"/>
              <w:rPr>
                <w:rFonts w:cs="宋体"/>
                <w:color w:val="000000"/>
                <w:kern w:val="0"/>
                <w:sz w:val="24"/>
              </w:rPr>
            </w:pPr>
            <w:r>
              <w:rPr>
                <w:rFonts w:hint="eastAsia" w:cs="宋体"/>
                <w:color w:val="000000"/>
                <w:kern w:val="0"/>
                <w:sz w:val="24"/>
              </w:rPr>
              <w:t>物排</w:t>
            </w:r>
          </w:p>
          <w:p>
            <w:pPr>
              <w:autoSpaceDE w:val="0"/>
              <w:autoSpaceDN w:val="0"/>
              <w:adjustRightInd w:val="0"/>
              <w:snapToGrid w:val="0"/>
              <w:jc w:val="center"/>
              <w:rPr>
                <w:rFonts w:cs="宋体"/>
                <w:color w:val="000000"/>
                <w:kern w:val="0"/>
                <w:sz w:val="24"/>
              </w:rPr>
            </w:pPr>
            <w:r>
              <w:rPr>
                <w:rFonts w:hint="eastAsia" w:cs="宋体"/>
                <w:color w:val="000000"/>
                <w:kern w:val="0"/>
                <w:sz w:val="24"/>
              </w:rPr>
              <w:t>放控</w:t>
            </w:r>
          </w:p>
          <w:p>
            <w:pPr>
              <w:autoSpaceDE w:val="0"/>
              <w:autoSpaceDN w:val="0"/>
              <w:adjustRightInd w:val="0"/>
              <w:snapToGrid w:val="0"/>
              <w:jc w:val="center"/>
              <w:rPr>
                <w:rFonts w:cs="宋体"/>
                <w:color w:val="000000"/>
                <w:kern w:val="0"/>
                <w:sz w:val="24"/>
              </w:rPr>
            </w:pPr>
            <w:r>
              <w:rPr>
                <w:rFonts w:hint="eastAsia" w:cs="宋体"/>
                <w:color w:val="000000"/>
                <w:kern w:val="0"/>
                <w:sz w:val="24"/>
              </w:rPr>
              <w:t>制标</w:t>
            </w:r>
          </w:p>
          <w:p>
            <w:pPr>
              <w:autoSpaceDE w:val="0"/>
              <w:autoSpaceDN w:val="0"/>
              <w:adjustRightInd w:val="0"/>
              <w:snapToGrid w:val="0"/>
              <w:jc w:val="center"/>
              <w:rPr>
                <w:rFonts w:cs="宋体"/>
                <w:color w:val="000000"/>
                <w:kern w:val="0"/>
                <w:sz w:val="24"/>
              </w:rPr>
            </w:pPr>
            <w:r>
              <w:rPr>
                <w:rFonts w:hint="eastAsia" w:cs="宋体"/>
                <w:color w:val="000000"/>
                <w:kern w:val="0"/>
                <w:sz w:val="24"/>
              </w:rPr>
              <w:t>准</w:t>
            </w:r>
          </w:p>
        </w:tc>
        <w:tc>
          <w:tcPr>
            <w:tcW w:w="8558" w:type="dxa"/>
            <w:vAlign w:val="center"/>
          </w:tcPr>
          <w:p>
            <w:pPr>
              <w:widowControl/>
              <w:spacing w:before="240" w:beforeLines="100" w:line="360" w:lineRule="auto"/>
              <w:ind w:firstLine="482" w:firstLineChars="200"/>
              <w:jc w:val="left"/>
              <w:rPr>
                <w:b/>
                <w:color w:val="000000"/>
                <w:kern w:val="0"/>
                <w:sz w:val="24"/>
                <w:szCs w:val="20"/>
              </w:rPr>
            </w:pPr>
            <w:r>
              <w:rPr>
                <w:b/>
                <w:color w:val="000000"/>
                <w:kern w:val="0"/>
                <w:sz w:val="24"/>
                <w:szCs w:val="20"/>
              </w:rPr>
              <w:t>1.</w:t>
            </w:r>
            <w:r>
              <w:rPr>
                <w:rFonts w:hint="eastAsia"/>
                <w:b/>
                <w:color w:val="000000"/>
                <w:kern w:val="0"/>
                <w:sz w:val="24"/>
                <w:szCs w:val="20"/>
              </w:rPr>
              <w:t>废水</w:t>
            </w:r>
          </w:p>
          <w:p>
            <w:pPr>
              <w:widowControl/>
              <w:tabs>
                <w:tab w:val="left" w:pos="1425"/>
              </w:tabs>
              <w:adjustRightInd w:val="0"/>
              <w:snapToGrid w:val="0"/>
              <w:spacing w:line="480" w:lineRule="exact"/>
              <w:ind w:firstLine="480" w:firstLineChars="200"/>
              <w:jc w:val="left"/>
              <w:rPr>
                <w:color w:val="000000"/>
                <w:kern w:val="0"/>
                <w:sz w:val="24"/>
                <w:szCs w:val="20"/>
              </w:rPr>
            </w:pPr>
            <w:r>
              <w:rPr>
                <w:rFonts w:hint="eastAsia"/>
                <w:color w:val="000000"/>
                <w:kern w:val="0"/>
                <w:sz w:val="24"/>
                <w:szCs w:val="20"/>
              </w:rPr>
              <w:t>本项目没有</w:t>
            </w:r>
            <w:r>
              <w:rPr>
                <w:color w:val="000000"/>
                <w:kern w:val="0"/>
                <w:sz w:val="24"/>
                <w:szCs w:val="20"/>
              </w:rPr>
              <w:t>生活污水</w:t>
            </w:r>
            <w:r>
              <w:rPr>
                <w:rFonts w:hint="eastAsia"/>
                <w:color w:val="000000"/>
                <w:kern w:val="0"/>
                <w:sz w:val="24"/>
                <w:szCs w:val="20"/>
              </w:rPr>
              <w:t>产生，厂区内生活污水</w:t>
            </w:r>
            <w:r>
              <w:rPr>
                <w:color w:val="000000"/>
                <w:kern w:val="0"/>
                <w:sz w:val="24"/>
                <w:szCs w:val="20"/>
              </w:rPr>
              <w:t>经</w:t>
            </w:r>
            <w:r>
              <w:rPr>
                <w:rFonts w:hint="eastAsia"/>
                <w:color w:val="000000"/>
                <w:kern w:val="0"/>
                <w:sz w:val="24"/>
                <w:szCs w:val="20"/>
              </w:rPr>
              <w:t>化隔油池及粪池</w:t>
            </w:r>
            <w:r>
              <w:rPr>
                <w:color w:val="000000"/>
                <w:kern w:val="0"/>
                <w:sz w:val="24"/>
                <w:szCs w:val="20"/>
              </w:rPr>
              <w:t>处理后，排放标准执行《城镇污水处理厂污染物排放标准》（GB18918-2002）一级</w:t>
            </w:r>
            <w:r>
              <w:rPr>
                <w:rFonts w:hint="eastAsia"/>
                <w:color w:val="000000"/>
                <w:kern w:val="0"/>
                <w:sz w:val="24"/>
                <w:szCs w:val="20"/>
              </w:rPr>
              <w:t>A</w:t>
            </w:r>
            <w:r>
              <w:rPr>
                <w:color w:val="000000"/>
                <w:kern w:val="0"/>
                <w:sz w:val="24"/>
                <w:szCs w:val="20"/>
              </w:rPr>
              <w:t>标准值</w:t>
            </w:r>
            <w:r>
              <w:rPr>
                <w:rFonts w:hint="eastAsia"/>
                <w:color w:val="000000"/>
                <w:kern w:val="0"/>
                <w:sz w:val="24"/>
                <w:szCs w:val="20"/>
              </w:rPr>
              <w:t>，</w:t>
            </w:r>
            <w:r>
              <w:rPr>
                <w:color w:val="000000"/>
                <w:kern w:val="0"/>
                <w:sz w:val="24"/>
                <w:szCs w:val="20"/>
              </w:rPr>
              <w:t>详见下表</w:t>
            </w:r>
            <w:r>
              <w:rPr>
                <w:rFonts w:hint="eastAsia"/>
                <w:color w:val="000000"/>
                <w:kern w:val="0"/>
                <w:sz w:val="24"/>
                <w:szCs w:val="20"/>
              </w:rPr>
              <w:t>3-9</w:t>
            </w:r>
            <w:r>
              <w:rPr>
                <w:color w:val="000000"/>
                <w:kern w:val="0"/>
                <w:sz w:val="24"/>
                <w:szCs w:val="20"/>
              </w:rPr>
              <w:t>。</w:t>
            </w:r>
          </w:p>
          <w:p>
            <w:pPr>
              <w:widowControl/>
              <w:spacing w:before="120" w:beforeLines="50"/>
              <w:jc w:val="center"/>
              <w:rPr>
                <w:rFonts w:eastAsia="黑体"/>
                <w:color w:val="000000"/>
                <w:kern w:val="0"/>
                <w:sz w:val="24"/>
                <w:szCs w:val="20"/>
              </w:rPr>
            </w:pPr>
            <w:r>
              <w:rPr>
                <w:b/>
                <w:color w:val="000000"/>
                <w:kern w:val="0"/>
                <w:sz w:val="24"/>
              </w:rPr>
              <w:t>表</w:t>
            </w:r>
            <w:r>
              <w:rPr>
                <w:rFonts w:hint="eastAsia"/>
                <w:b/>
                <w:color w:val="000000"/>
                <w:kern w:val="0"/>
                <w:sz w:val="24"/>
              </w:rPr>
              <w:t>3-9</w:t>
            </w:r>
            <w:r>
              <w:rPr>
                <w:b/>
                <w:color w:val="000000"/>
                <w:kern w:val="0"/>
                <w:sz w:val="24"/>
              </w:rPr>
              <w:t xml:space="preserve">  城镇污水处理厂污染物排放标准   单位：mg/L（pH除外）</w:t>
            </w:r>
          </w:p>
          <w:tbl>
            <w:tblPr>
              <w:tblStyle w:val="58"/>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286"/>
              <w:gridCol w:w="880"/>
              <w:gridCol w:w="1214"/>
              <w:gridCol w:w="1316"/>
              <w:gridCol w:w="1184"/>
              <w:gridCol w:w="145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459" w:hRule="exact"/>
                <w:jc w:val="center"/>
              </w:trPr>
              <w:tc>
                <w:tcPr>
                  <w:tcW w:w="1371" w:type="pct"/>
                  <w:tcBorders>
                    <w:top w:val="single" w:color="auto" w:sz="12" w:space="0"/>
                    <w:left w:val="nil"/>
                    <w:bottom w:val="single" w:color="auto" w:sz="4" w:space="0"/>
                  </w:tcBorders>
                  <w:vAlign w:val="center"/>
                </w:tcPr>
                <w:p>
                  <w:pPr>
                    <w:widowControl/>
                    <w:jc w:val="center"/>
                    <w:rPr>
                      <w:b/>
                      <w:color w:val="000000"/>
                      <w:kern w:val="0"/>
                      <w:szCs w:val="21"/>
                    </w:rPr>
                  </w:pPr>
                  <w:r>
                    <w:rPr>
                      <w:b/>
                      <w:color w:val="000000"/>
                      <w:kern w:val="0"/>
                      <w:szCs w:val="21"/>
                    </w:rPr>
                    <w:t>污染因</w:t>
                  </w:r>
                  <w:r>
                    <w:rPr>
                      <w:rFonts w:hint="eastAsia"/>
                      <w:b/>
                      <w:color w:val="000000"/>
                      <w:kern w:val="0"/>
                      <w:szCs w:val="21"/>
                    </w:rPr>
                    <w:t>子</w:t>
                  </w:r>
                </w:p>
              </w:tc>
              <w:tc>
                <w:tcPr>
                  <w:tcW w:w="528" w:type="pct"/>
                  <w:tcBorders>
                    <w:top w:val="single" w:color="auto" w:sz="12" w:space="0"/>
                    <w:bottom w:val="single" w:color="auto" w:sz="4" w:space="0"/>
                  </w:tcBorders>
                  <w:vAlign w:val="center"/>
                </w:tcPr>
                <w:p>
                  <w:pPr>
                    <w:widowControl/>
                    <w:jc w:val="center"/>
                    <w:rPr>
                      <w:b/>
                      <w:color w:val="000000"/>
                      <w:kern w:val="0"/>
                      <w:szCs w:val="21"/>
                    </w:rPr>
                  </w:pPr>
                  <w:r>
                    <w:rPr>
                      <w:b/>
                      <w:color w:val="000000"/>
                      <w:kern w:val="0"/>
                      <w:szCs w:val="21"/>
                    </w:rPr>
                    <w:t>pH</w:t>
                  </w:r>
                </w:p>
              </w:tc>
              <w:tc>
                <w:tcPr>
                  <w:tcW w:w="728" w:type="pct"/>
                  <w:tcBorders>
                    <w:top w:val="single" w:color="auto" w:sz="12" w:space="0"/>
                    <w:bottom w:val="single" w:color="auto" w:sz="4" w:space="0"/>
                    <w:right w:val="single" w:color="auto" w:sz="4" w:space="0"/>
                  </w:tcBorders>
                  <w:vAlign w:val="center"/>
                </w:tcPr>
                <w:p>
                  <w:pPr>
                    <w:widowControl/>
                    <w:jc w:val="center"/>
                    <w:rPr>
                      <w:b/>
                      <w:color w:val="000000"/>
                      <w:kern w:val="0"/>
                      <w:szCs w:val="21"/>
                    </w:rPr>
                  </w:pPr>
                  <w:r>
                    <w:rPr>
                      <w:b/>
                      <w:color w:val="000000"/>
                      <w:kern w:val="0"/>
                      <w:szCs w:val="21"/>
                    </w:rPr>
                    <w:t>COD</w:t>
                  </w:r>
                </w:p>
              </w:tc>
              <w:tc>
                <w:tcPr>
                  <w:tcW w:w="789" w:type="pct"/>
                  <w:tcBorders>
                    <w:top w:val="single" w:color="auto" w:sz="12" w:space="0"/>
                    <w:left w:val="single" w:color="auto" w:sz="4" w:space="0"/>
                    <w:bottom w:val="single" w:color="auto" w:sz="4" w:space="0"/>
                  </w:tcBorders>
                  <w:vAlign w:val="center"/>
                </w:tcPr>
                <w:p>
                  <w:pPr>
                    <w:widowControl/>
                    <w:jc w:val="center"/>
                    <w:rPr>
                      <w:b/>
                      <w:color w:val="000000"/>
                      <w:kern w:val="0"/>
                      <w:szCs w:val="21"/>
                    </w:rPr>
                  </w:pPr>
                  <w:r>
                    <w:rPr>
                      <w:b/>
                      <w:color w:val="000000"/>
                      <w:kern w:val="0"/>
                      <w:szCs w:val="21"/>
                    </w:rPr>
                    <w:t>BOD</w:t>
                  </w:r>
                  <w:r>
                    <w:rPr>
                      <w:b/>
                      <w:color w:val="000000"/>
                      <w:kern w:val="0"/>
                      <w:szCs w:val="21"/>
                      <w:vertAlign w:val="subscript"/>
                    </w:rPr>
                    <w:t>5</w:t>
                  </w:r>
                </w:p>
              </w:tc>
              <w:tc>
                <w:tcPr>
                  <w:tcW w:w="710" w:type="pct"/>
                  <w:tcBorders>
                    <w:top w:val="single" w:color="auto" w:sz="12" w:space="0"/>
                    <w:bottom w:val="single" w:color="auto" w:sz="4" w:space="0"/>
                    <w:right w:val="single" w:color="auto" w:sz="4" w:space="0"/>
                  </w:tcBorders>
                  <w:vAlign w:val="center"/>
                </w:tcPr>
                <w:p>
                  <w:pPr>
                    <w:widowControl/>
                    <w:jc w:val="center"/>
                    <w:rPr>
                      <w:b/>
                      <w:color w:val="000000"/>
                      <w:kern w:val="0"/>
                      <w:szCs w:val="21"/>
                    </w:rPr>
                  </w:pPr>
                  <w:r>
                    <w:rPr>
                      <w:b/>
                      <w:color w:val="000000"/>
                      <w:kern w:val="0"/>
                      <w:szCs w:val="21"/>
                    </w:rPr>
                    <w:t>SS</w:t>
                  </w:r>
                </w:p>
              </w:tc>
              <w:tc>
                <w:tcPr>
                  <w:tcW w:w="875" w:type="pct"/>
                  <w:tcBorders>
                    <w:top w:val="single" w:color="auto" w:sz="12" w:space="0"/>
                    <w:left w:val="single" w:color="auto" w:sz="4" w:space="0"/>
                    <w:bottom w:val="single" w:color="auto" w:sz="4" w:space="0"/>
                    <w:right w:val="nil"/>
                  </w:tcBorders>
                  <w:vAlign w:val="center"/>
                </w:tcPr>
                <w:p>
                  <w:pPr>
                    <w:widowControl/>
                    <w:jc w:val="center"/>
                    <w:rPr>
                      <w:b/>
                      <w:color w:val="000000"/>
                      <w:kern w:val="0"/>
                      <w:szCs w:val="21"/>
                    </w:rPr>
                  </w:pPr>
                  <w:r>
                    <w:rPr>
                      <w:b/>
                      <w:color w:val="000000"/>
                      <w:kern w:val="0"/>
                      <w:szCs w:val="21"/>
                    </w:rPr>
                    <w:t>NH</w:t>
                  </w:r>
                  <w:r>
                    <w:rPr>
                      <w:b/>
                      <w:color w:val="000000"/>
                      <w:kern w:val="0"/>
                      <w:szCs w:val="21"/>
                      <w:vertAlign w:val="subscript"/>
                    </w:rPr>
                    <w:t>3</w:t>
                  </w:r>
                  <w:r>
                    <w:rPr>
                      <w:b/>
                      <w:color w:val="000000"/>
                      <w:kern w:val="0"/>
                      <w:szCs w:val="21"/>
                    </w:rPr>
                    <w:t>-N</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cantSplit/>
                <w:trHeight w:val="340" w:hRule="exact"/>
                <w:jc w:val="center"/>
              </w:trPr>
              <w:tc>
                <w:tcPr>
                  <w:tcW w:w="1371" w:type="pct"/>
                  <w:tcBorders>
                    <w:top w:val="single" w:color="auto" w:sz="4" w:space="0"/>
                    <w:left w:val="nil"/>
                    <w:bottom w:val="single" w:color="auto" w:sz="12" w:space="0"/>
                  </w:tcBorders>
                  <w:vAlign w:val="center"/>
                </w:tcPr>
                <w:p>
                  <w:pPr>
                    <w:widowControl/>
                    <w:jc w:val="center"/>
                    <w:rPr>
                      <w:color w:val="000000"/>
                      <w:kern w:val="0"/>
                      <w:szCs w:val="21"/>
                    </w:rPr>
                  </w:pPr>
                  <w:r>
                    <w:rPr>
                      <w:color w:val="000000"/>
                      <w:kern w:val="0"/>
                      <w:szCs w:val="21"/>
                    </w:rPr>
                    <w:t>一级</w:t>
                  </w:r>
                  <w:r>
                    <w:rPr>
                      <w:rFonts w:hint="eastAsia"/>
                      <w:color w:val="000000"/>
                      <w:kern w:val="0"/>
                      <w:szCs w:val="21"/>
                    </w:rPr>
                    <w:t>A</w:t>
                  </w:r>
                  <w:r>
                    <w:rPr>
                      <w:color w:val="000000"/>
                      <w:kern w:val="0"/>
                      <w:szCs w:val="21"/>
                    </w:rPr>
                    <w:t>标准</w:t>
                  </w:r>
                </w:p>
              </w:tc>
              <w:tc>
                <w:tcPr>
                  <w:tcW w:w="528" w:type="pct"/>
                  <w:tcBorders>
                    <w:top w:val="single" w:color="auto" w:sz="4" w:space="0"/>
                    <w:bottom w:val="single" w:color="auto" w:sz="12" w:space="0"/>
                  </w:tcBorders>
                  <w:vAlign w:val="center"/>
                </w:tcPr>
                <w:p>
                  <w:pPr>
                    <w:widowControl/>
                    <w:jc w:val="center"/>
                    <w:rPr>
                      <w:color w:val="000000"/>
                      <w:kern w:val="0"/>
                      <w:szCs w:val="21"/>
                    </w:rPr>
                  </w:pPr>
                  <w:r>
                    <w:rPr>
                      <w:color w:val="000000"/>
                      <w:kern w:val="0"/>
                      <w:szCs w:val="21"/>
                    </w:rPr>
                    <w:t>6-9</w:t>
                  </w:r>
                </w:p>
              </w:tc>
              <w:tc>
                <w:tcPr>
                  <w:tcW w:w="728" w:type="pct"/>
                  <w:tcBorders>
                    <w:top w:val="single" w:color="auto" w:sz="4" w:space="0"/>
                    <w:bottom w:val="single" w:color="auto" w:sz="12" w:space="0"/>
                    <w:right w:val="single" w:color="auto" w:sz="4" w:space="0"/>
                  </w:tcBorders>
                  <w:vAlign w:val="center"/>
                </w:tcPr>
                <w:p>
                  <w:pPr>
                    <w:widowControl/>
                    <w:jc w:val="center"/>
                    <w:rPr>
                      <w:color w:val="000000"/>
                      <w:kern w:val="0"/>
                      <w:szCs w:val="21"/>
                    </w:rPr>
                  </w:pPr>
                  <w:r>
                    <w:rPr>
                      <w:rFonts w:hint="eastAsia"/>
                      <w:color w:val="000000"/>
                      <w:kern w:val="0"/>
                      <w:szCs w:val="21"/>
                    </w:rPr>
                    <w:t>50</w:t>
                  </w:r>
                </w:p>
              </w:tc>
              <w:tc>
                <w:tcPr>
                  <w:tcW w:w="789" w:type="pct"/>
                  <w:tcBorders>
                    <w:top w:val="single" w:color="auto" w:sz="4" w:space="0"/>
                    <w:left w:val="single" w:color="auto" w:sz="4" w:space="0"/>
                    <w:bottom w:val="single" w:color="auto" w:sz="12" w:space="0"/>
                  </w:tcBorders>
                  <w:vAlign w:val="center"/>
                </w:tcPr>
                <w:p>
                  <w:pPr>
                    <w:widowControl/>
                    <w:jc w:val="center"/>
                    <w:rPr>
                      <w:color w:val="000000"/>
                      <w:kern w:val="0"/>
                      <w:szCs w:val="21"/>
                    </w:rPr>
                  </w:pPr>
                  <w:r>
                    <w:rPr>
                      <w:rFonts w:hint="eastAsia"/>
                      <w:color w:val="000000"/>
                      <w:kern w:val="0"/>
                      <w:szCs w:val="21"/>
                    </w:rPr>
                    <w:t>10</w:t>
                  </w:r>
                </w:p>
              </w:tc>
              <w:tc>
                <w:tcPr>
                  <w:tcW w:w="710" w:type="pct"/>
                  <w:tcBorders>
                    <w:top w:val="single" w:color="auto" w:sz="4" w:space="0"/>
                    <w:bottom w:val="single" w:color="auto" w:sz="12" w:space="0"/>
                    <w:right w:val="single" w:color="auto" w:sz="4" w:space="0"/>
                  </w:tcBorders>
                  <w:vAlign w:val="center"/>
                </w:tcPr>
                <w:p>
                  <w:pPr>
                    <w:widowControl/>
                    <w:jc w:val="center"/>
                    <w:rPr>
                      <w:color w:val="000000"/>
                      <w:kern w:val="0"/>
                      <w:szCs w:val="21"/>
                    </w:rPr>
                  </w:pPr>
                  <w:r>
                    <w:rPr>
                      <w:rFonts w:hint="eastAsia"/>
                      <w:color w:val="000000"/>
                      <w:kern w:val="0"/>
                      <w:szCs w:val="21"/>
                    </w:rPr>
                    <w:t>10</w:t>
                  </w:r>
                </w:p>
              </w:tc>
              <w:tc>
                <w:tcPr>
                  <w:tcW w:w="875" w:type="pct"/>
                  <w:tcBorders>
                    <w:top w:val="single" w:color="auto" w:sz="4" w:space="0"/>
                    <w:left w:val="single" w:color="auto" w:sz="4" w:space="0"/>
                    <w:bottom w:val="single" w:color="auto" w:sz="12" w:space="0"/>
                    <w:right w:val="nil"/>
                  </w:tcBorders>
                  <w:vAlign w:val="center"/>
                </w:tcPr>
                <w:p>
                  <w:pPr>
                    <w:widowControl/>
                    <w:jc w:val="center"/>
                    <w:rPr>
                      <w:color w:val="000000"/>
                      <w:kern w:val="0"/>
                      <w:szCs w:val="21"/>
                    </w:rPr>
                  </w:pPr>
                  <w:r>
                    <w:rPr>
                      <w:rFonts w:hint="eastAsia"/>
                      <w:color w:val="000000"/>
                      <w:kern w:val="0"/>
                      <w:szCs w:val="21"/>
                    </w:rPr>
                    <w:t>5（</w:t>
                  </w:r>
                  <w:r>
                    <w:rPr>
                      <w:color w:val="000000"/>
                      <w:kern w:val="0"/>
                      <w:szCs w:val="21"/>
                    </w:rPr>
                    <w:t>8</w:t>
                  </w:r>
                  <w:r>
                    <w:rPr>
                      <w:rFonts w:hint="eastAsia"/>
                      <w:color w:val="000000"/>
                      <w:kern w:val="0"/>
                      <w:szCs w:val="21"/>
                    </w:rPr>
                    <w:t>）</w:t>
                  </w:r>
                </w:p>
              </w:tc>
            </w:tr>
          </w:tbl>
          <w:p>
            <w:pPr>
              <w:widowControl/>
              <w:spacing w:before="240" w:beforeLines="100" w:line="360" w:lineRule="auto"/>
              <w:ind w:firstLine="482" w:firstLineChars="200"/>
              <w:jc w:val="left"/>
              <w:rPr>
                <w:b/>
                <w:color w:val="000000"/>
                <w:kern w:val="0"/>
                <w:sz w:val="24"/>
                <w:szCs w:val="20"/>
              </w:rPr>
            </w:pPr>
            <w:r>
              <w:rPr>
                <w:b/>
                <w:color w:val="000000"/>
                <w:kern w:val="0"/>
                <w:sz w:val="24"/>
                <w:szCs w:val="20"/>
              </w:rPr>
              <w:t>2.</w:t>
            </w:r>
            <w:r>
              <w:rPr>
                <w:rFonts w:hint="eastAsia"/>
                <w:b/>
                <w:color w:val="000000"/>
                <w:kern w:val="0"/>
                <w:sz w:val="24"/>
                <w:szCs w:val="20"/>
              </w:rPr>
              <w:t>废气</w:t>
            </w:r>
          </w:p>
          <w:p>
            <w:pPr>
              <w:spacing w:line="360" w:lineRule="auto"/>
              <w:ind w:firstLine="480" w:firstLineChars="200"/>
              <w:rPr>
                <w:color w:val="0D0D0D"/>
                <w:sz w:val="24"/>
              </w:rPr>
            </w:pPr>
            <w:r>
              <w:rPr>
                <w:rFonts w:hint="eastAsia"/>
                <w:color w:val="000000"/>
                <w:sz w:val="24"/>
              </w:rPr>
              <w:t>项目生产过程</w:t>
            </w:r>
            <w:r>
              <w:rPr>
                <w:rFonts w:hint="eastAsia"/>
                <w:color w:val="0D0D0D"/>
                <w:sz w:val="24"/>
              </w:rPr>
              <w:t>中喷砂工序产生的粉尘、喷漆工序产生的漆雾、非甲烷总烃、甲苯及二甲苯有组织排放执行上海市地方标准《大气污染物综合排放标准》（DB31/933-2015）表1排放监控浓度限值；喷砂工序产生的粉尘、喷漆工序产生的漆雾、非甲烷总烃、甲苯及二甲苯无组织排放厂界执行上海市地方标准《大气污染物综合排放标准》（DB31/933-2015）表3排放监控浓度限值；</w:t>
            </w:r>
            <w:r>
              <w:rPr>
                <w:rFonts w:hint="eastAsia"/>
                <w:sz w:val="24"/>
              </w:rPr>
              <w:t>另外非甲烷总烃在厂内设监控点，执行《挥发性有机物无组织排放控制标准》（GB37822-2019）附录A中VOCs无组织特别排放限值要求，具体标准</w:t>
            </w:r>
            <w:r>
              <w:rPr>
                <w:sz w:val="24"/>
              </w:rPr>
              <w:t>限值见</w:t>
            </w:r>
            <w:r>
              <w:rPr>
                <w:rFonts w:hint="eastAsia"/>
                <w:sz w:val="24"/>
              </w:rPr>
              <w:t>下</w:t>
            </w:r>
            <w:r>
              <w:rPr>
                <w:sz w:val="24"/>
              </w:rPr>
              <w:t>表</w:t>
            </w:r>
            <w:r>
              <w:rPr>
                <w:rFonts w:hint="eastAsia"/>
                <w:color w:val="000000"/>
                <w:sz w:val="24"/>
              </w:rPr>
              <w:t>。</w:t>
            </w:r>
            <w:r>
              <w:rPr>
                <w:rFonts w:hint="eastAsia"/>
                <w:color w:val="0D0D0D"/>
                <w:sz w:val="24"/>
              </w:rPr>
              <w:t xml:space="preserve">  </w:t>
            </w:r>
          </w:p>
          <w:p>
            <w:pPr>
              <w:adjustRightInd w:val="0"/>
              <w:jc w:val="center"/>
              <w:rPr>
                <w:b/>
                <w:sz w:val="24"/>
                <w:szCs w:val="28"/>
              </w:rPr>
            </w:pPr>
            <w:r>
              <w:rPr>
                <w:b/>
                <w:sz w:val="24"/>
                <w:szCs w:val="28"/>
              </w:rPr>
              <w:t>表</w:t>
            </w:r>
            <w:r>
              <w:rPr>
                <w:rFonts w:hint="eastAsia"/>
                <w:b/>
                <w:sz w:val="24"/>
                <w:szCs w:val="28"/>
              </w:rPr>
              <w:t xml:space="preserve">3-10 </w:t>
            </w:r>
            <w:r>
              <w:rPr>
                <w:b/>
                <w:sz w:val="24"/>
                <w:szCs w:val="28"/>
              </w:rPr>
              <w:t xml:space="preserve"> </w:t>
            </w:r>
            <w:r>
              <w:rPr>
                <w:rFonts w:hint="eastAsia" w:hAnsi="宋体"/>
                <w:b/>
                <w:sz w:val="24"/>
              </w:rPr>
              <w:t>大气</w:t>
            </w:r>
            <w:r>
              <w:rPr>
                <w:rFonts w:hAnsi="宋体"/>
                <w:b/>
                <w:sz w:val="24"/>
              </w:rPr>
              <w:t>污染物排放标准</w:t>
            </w:r>
            <w:r>
              <w:rPr>
                <w:rFonts w:hint="eastAsia" w:hAnsi="宋体"/>
                <w:b/>
                <w:sz w:val="24"/>
              </w:rPr>
              <w:t>限值一览</w:t>
            </w:r>
            <w:r>
              <w:rPr>
                <w:rFonts w:hAnsi="宋体"/>
                <w:b/>
                <w:sz w:val="24"/>
              </w:rPr>
              <w:t>表</w:t>
            </w:r>
          </w:p>
          <w:tbl>
            <w:tblPr>
              <w:tblStyle w:val="5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86"/>
              <w:gridCol w:w="1114"/>
              <w:gridCol w:w="1002"/>
              <w:gridCol w:w="550"/>
              <w:gridCol w:w="1931"/>
              <w:gridCol w:w="22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893" w:type="pct"/>
                  <w:vMerge w:val="restart"/>
                  <w:vAlign w:val="center"/>
                </w:tcPr>
                <w:p>
                  <w:pPr>
                    <w:adjustRightInd w:val="0"/>
                    <w:snapToGrid w:val="0"/>
                    <w:ind w:right="-105" w:rightChars="-50"/>
                    <w:jc w:val="center"/>
                    <w:rPr>
                      <w:b/>
                      <w:bCs/>
                      <w:szCs w:val="21"/>
                    </w:rPr>
                  </w:pPr>
                  <w:r>
                    <w:rPr>
                      <w:b/>
                      <w:bCs/>
                      <w:szCs w:val="21"/>
                    </w:rPr>
                    <w:t>污染物</w:t>
                  </w:r>
                </w:p>
              </w:tc>
              <w:tc>
                <w:tcPr>
                  <w:tcW w:w="1259" w:type="pct"/>
                  <w:gridSpan w:val="2"/>
                  <w:vAlign w:val="center"/>
                </w:tcPr>
                <w:p>
                  <w:pPr>
                    <w:adjustRightInd w:val="0"/>
                    <w:snapToGrid w:val="0"/>
                    <w:ind w:right="-105" w:rightChars="-50"/>
                    <w:jc w:val="center"/>
                    <w:rPr>
                      <w:b/>
                      <w:bCs/>
                      <w:szCs w:val="21"/>
                    </w:rPr>
                  </w:pPr>
                  <w:r>
                    <w:rPr>
                      <w:b/>
                      <w:bCs/>
                      <w:szCs w:val="21"/>
                    </w:rPr>
                    <w:t>有组织</w:t>
                  </w:r>
                </w:p>
              </w:tc>
              <w:tc>
                <w:tcPr>
                  <w:tcW w:w="1492" w:type="pct"/>
                  <w:gridSpan w:val="2"/>
                  <w:vMerge w:val="restart"/>
                  <w:vAlign w:val="center"/>
                </w:tcPr>
                <w:p>
                  <w:pPr>
                    <w:adjustRightInd w:val="0"/>
                    <w:snapToGrid w:val="0"/>
                    <w:ind w:right="-105" w:rightChars="-50"/>
                    <w:jc w:val="center"/>
                    <w:rPr>
                      <w:b/>
                      <w:bCs/>
                      <w:szCs w:val="21"/>
                    </w:rPr>
                  </w:pPr>
                  <w:r>
                    <w:rPr>
                      <w:b/>
                      <w:bCs/>
                      <w:szCs w:val="21"/>
                    </w:rPr>
                    <w:t>无组织排放浓度限值</w:t>
                  </w:r>
                </w:p>
                <w:p>
                  <w:pPr>
                    <w:adjustRightInd w:val="0"/>
                    <w:snapToGrid w:val="0"/>
                    <w:ind w:left="-105" w:leftChars="-50" w:right="-105" w:rightChars="-50"/>
                    <w:jc w:val="center"/>
                    <w:rPr>
                      <w:b/>
                      <w:bCs/>
                      <w:szCs w:val="21"/>
                    </w:rPr>
                  </w:pPr>
                  <w:r>
                    <w:rPr>
                      <w:b/>
                      <w:bCs/>
                      <w:szCs w:val="21"/>
                    </w:rPr>
                    <w:t>（mg/m</w:t>
                  </w:r>
                  <w:r>
                    <w:rPr>
                      <w:b/>
                      <w:bCs/>
                      <w:szCs w:val="21"/>
                      <w:vertAlign w:val="superscript"/>
                    </w:rPr>
                    <w:t>3</w:t>
                  </w:r>
                  <w:r>
                    <w:rPr>
                      <w:b/>
                      <w:bCs/>
                      <w:szCs w:val="21"/>
                    </w:rPr>
                    <w:t>）</w:t>
                  </w:r>
                </w:p>
              </w:tc>
              <w:tc>
                <w:tcPr>
                  <w:tcW w:w="1354" w:type="pct"/>
                  <w:vMerge w:val="restart"/>
                  <w:vAlign w:val="center"/>
                </w:tcPr>
                <w:p>
                  <w:pPr>
                    <w:adjustRightInd w:val="0"/>
                    <w:snapToGrid w:val="0"/>
                    <w:ind w:right="-105" w:rightChars="-50"/>
                    <w:jc w:val="center"/>
                    <w:rPr>
                      <w:b/>
                      <w:bCs/>
                      <w:szCs w:val="21"/>
                    </w:rPr>
                  </w:pPr>
                  <w:r>
                    <w:rPr>
                      <w:b/>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893" w:type="pct"/>
                  <w:vMerge w:val="continue"/>
                  <w:vAlign w:val="center"/>
                </w:tcPr>
                <w:p>
                  <w:pPr>
                    <w:adjustRightInd w:val="0"/>
                    <w:snapToGrid w:val="0"/>
                    <w:ind w:right="-105" w:rightChars="-50"/>
                    <w:jc w:val="center"/>
                    <w:rPr>
                      <w:b/>
                      <w:bCs/>
                      <w:szCs w:val="21"/>
                    </w:rPr>
                  </w:pPr>
                </w:p>
              </w:tc>
              <w:tc>
                <w:tcPr>
                  <w:tcW w:w="656" w:type="pct"/>
                  <w:vAlign w:val="center"/>
                </w:tcPr>
                <w:p>
                  <w:pPr>
                    <w:adjustRightInd w:val="0"/>
                    <w:snapToGrid w:val="0"/>
                    <w:ind w:right="-105" w:rightChars="-50"/>
                    <w:jc w:val="center"/>
                    <w:rPr>
                      <w:b/>
                      <w:bCs/>
                      <w:szCs w:val="21"/>
                    </w:rPr>
                  </w:pPr>
                  <w:r>
                    <w:rPr>
                      <w:b/>
                      <w:bCs/>
                      <w:szCs w:val="21"/>
                    </w:rPr>
                    <w:t>浓度限值（mg/m</w:t>
                  </w:r>
                  <w:r>
                    <w:rPr>
                      <w:b/>
                      <w:bCs/>
                      <w:szCs w:val="21"/>
                      <w:vertAlign w:val="superscript"/>
                    </w:rPr>
                    <w:t>3</w:t>
                  </w:r>
                  <w:r>
                    <w:rPr>
                      <w:b/>
                      <w:bCs/>
                      <w:szCs w:val="21"/>
                    </w:rPr>
                    <w:t>）</w:t>
                  </w:r>
                </w:p>
              </w:tc>
              <w:tc>
                <w:tcPr>
                  <w:tcW w:w="602" w:type="pct"/>
                  <w:vAlign w:val="center"/>
                </w:tcPr>
                <w:p>
                  <w:pPr>
                    <w:adjustRightInd w:val="0"/>
                    <w:snapToGrid w:val="0"/>
                    <w:ind w:right="-105" w:rightChars="-50"/>
                    <w:jc w:val="center"/>
                    <w:rPr>
                      <w:b/>
                      <w:bCs/>
                      <w:szCs w:val="21"/>
                    </w:rPr>
                  </w:pPr>
                  <w:r>
                    <w:rPr>
                      <w:b/>
                      <w:bCs/>
                      <w:szCs w:val="21"/>
                    </w:rPr>
                    <w:t>排放速率（kg/h）</w:t>
                  </w:r>
                </w:p>
              </w:tc>
              <w:tc>
                <w:tcPr>
                  <w:tcW w:w="1492" w:type="pct"/>
                  <w:gridSpan w:val="2"/>
                  <w:vMerge w:val="continue"/>
                  <w:vAlign w:val="center"/>
                </w:tcPr>
                <w:p>
                  <w:pPr>
                    <w:adjustRightInd w:val="0"/>
                    <w:snapToGrid w:val="0"/>
                    <w:ind w:right="-105" w:rightChars="-50"/>
                    <w:jc w:val="center"/>
                    <w:rPr>
                      <w:b/>
                      <w:bCs/>
                      <w:szCs w:val="21"/>
                    </w:rPr>
                  </w:pPr>
                </w:p>
              </w:tc>
              <w:tc>
                <w:tcPr>
                  <w:tcW w:w="1354" w:type="pct"/>
                  <w:vMerge w:val="continue"/>
                  <w:vAlign w:val="center"/>
                </w:tcPr>
                <w:p>
                  <w:pPr>
                    <w:adjustRightInd w:val="0"/>
                    <w:snapToGrid w:val="0"/>
                    <w:ind w:right="-105" w:rightChars="-50"/>
                    <w:jc w:val="center"/>
                    <w:rPr>
                      <w:b/>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893" w:type="pct"/>
                  <w:vMerge w:val="restart"/>
                  <w:vAlign w:val="center"/>
                </w:tcPr>
                <w:p>
                  <w:pPr>
                    <w:spacing w:line="320" w:lineRule="exact"/>
                    <w:jc w:val="center"/>
                    <w:rPr>
                      <w:szCs w:val="21"/>
                    </w:rPr>
                  </w:pPr>
                  <w:r>
                    <w:rPr>
                      <w:bCs/>
                      <w:szCs w:val="21"/>
                    </w:rPr>
                    <w:t>非甲烷总烃</w:t>
                  </w:r>
                </w:p>
              </w:tc>
              <w:tc>
                <w:tcPr>
                  <w:tcW w:w="656" w:type="pct"/>
                  <w:vMerge w:val="restart"/>
                  <w:vAlign w:val="center"/>
                </w:tcPr>
                <w:p>
                  <w:pPr>
                    <w:adjustRightInd w:val="0"/>
                    <w:snapToGrid w:val="0"/>
                    <w:ind w:left="-105" w:leftChars="-50" w:right="-105" w:rightChars="-50"/>
                    <w:jc w:val="center"/>
                    <w:rPr>
                      <w:bCs/>
                      <w:color w:val="0D0D0D"/>
                      <w:szCs w:val="21"/>
                    </w:rPr>
                  </w:pPr>
                  <w:r>
                    <w:rPr>
                      <w:bCs/>
                      <w:color w:val="0D0D0D"/>
                      <w:szCs w:val="21"/>
                    </w:rPr>
                    <w:t>/</w:t>
                  </w:r>
                </w:p>
              </w:tc>
              <w:tc>
                <w:tcPr>
                  <w:tcW w:w="602" w:type="pct"/>
                  <w:vMerge w:val="restart"/>
                  <w:vAlign w:val="center"/>
                </w:tcPr>
                <w:p>
                  <w:pPr>
                    <w:adjustRightInd w:val="0"/>
                    <w:snapToGrid w:val="0"/>
                    <w:ind w:left="-105" w:leftChars="-50" w:right="-105" w:rightChars="-50"/>
                    <w:jc w:val="center"/>
                    <w:rPr>
                      <w:bCs/>
                      <w:color w:val="0D0D0D"/>
                      <w:szCs w:val="21"/>
                    </w:rPr>
                  </w:pPr>
                  <w:r>
                    <w:rPr>
                      <w:bCs/>
                      <w:color w:val="0D0D0D"/>
                      <w:szCs w:val="21"/>
                    </w:rPr>
                    <w:t>/</w:t>
                  </w:r>
                </w:p>
              </w:tc>
              <w:tc>
                <w:tcPr>
                  <w:tcW w:w="332" w:type="pct"/>
                  <w:vAlign w:val="center"/>
                </w:tcPr>
                <w:p>
                  <w:pPr>
                    <w:adjustRightInd w:val="0"/>
                    <w:snapToGrid w:val="0"/>
                    <w:ind w:right="-105" w:rightChars="-50"/>
                    <w:jc w:val="center"/>
                    <w:rPr>
                      <w:bCs/>
                      <w:color w:val="0D0D0D"/>
                      <w:szCs w:val="21"/>
                    </w:rPr>
                  </w:pPr>
                  <w:r>
                    <w:rPr>
                      <w:bCs/>
                      <w:color w:val="0D0D0D"/>
                      <w:szCs w:val="21"/>
                    </w:rPr>
                    <w:t>6.0</w:t>
                  </w:r>
                </w:p>
              </w:tc>
              <w:tc>
                <w:tcPr>
                  <w:tcW w:w="1160" w:type="pct"/>
                  <w:vAlign w:val="center"/>
                </w:tcPr>
                <w:p>
                  <w:pPr>
                    <w:adjustRightInd w:val="0"/>
                    <w:snapToGrid w:val="0"/>
                    <w:ind w:right="-105" w:rightChars="-50"/>
                    <w:jc w:val="center"/>
                    <w:rPr>
                      <w:bCs/>
                      <w:color w:val="0D0D0D"/>
                      <w:szCs w:val="21"/>
                    </w:rPr>
                  </w:pPr>
                  <w:r>
                    <w:rPr>
                      <w:bCs/>
                      <w:color w:val="0D0D0D"/>
                      <w:szCs w:val="21"/>
                    </w:rPr>
                    <w:t>厂房</w:t>
                  </w:r>
                  <w:r>
                    <w:rPr>
                      <w:rFonts w:hint="eastAsia"/>
                      <w:bCs/>
                      <w:color w:val="0D0D0D"/>
                      <w:szCs w:val="21"/>
                    </w:rPr>
                    <w:t>内</w:t>
                  </w:r>
                  <w:r>
                    <w:rPr>
                      <w:bCs/>
                      <w:color w:val="0D0D0D"/>
                      <w:szCs w:val="21"/>
                    </w:rPr>
                    <w:t>设置监控点处1h平均浓度值</w:t>
                  </w:r>
                </w:p>
              </w:tc>
              <w:tc>
                <w:tcPr>
                  <w:tcW w:w="1354" w:type="pct"/>
                  <w:vMerge w:val="restart"/>
                  <w:vAlign w:val="center"/>
                </w:tcPr>
                <w:p>
                  <w:pPr>
                    <w:adjustRightInd w:val="0"/>
                    <w:snapToGrid w:val="0"/>
                    <w:ind w:right="-105" w:rightChars="-50"/>
                    <w:jc w:val="center"/>
                    <w:rPr>
                      <w:bCs/>
                      <w:color w:val="0D0D0D"/>
                      <w:szCs w:val="21"/>
                    </w:rPr>
                  </w:pPr>
                  <w:r>
                    <w:rPr>
                      <w:color w:val="000000"/>
                      <w:szCs w:val="21"/>
                    </w:rPr>
                    <w:t>《挥发性有机物无组织排放控制标准》（GB37822-2019）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893" w:type="pct"/>
                  <w:vMerge w:val="continue"/>
                  <w:vAlign w:val="center"/>
                </w:tcPr>
                <w:p>
                  <w:pPr>
                    <w:spacing w:line="320" w:lineRule="exact"/>
                    <w:jc w:val="center"/>
                    <w:rPr>
                      <w:bCs/>
                      <w:szCs w:val="21"/>
                    </w:rPr>
                  </w:pPr>
                </w:p>
              </w:tc>
              <w:tc>
                <w:tcPr>
                  <w:tcW w:w="656" w:type="pct"/>
                  <w:vMerge w:val="continue"/>
                  <w:vAlign w:val="center"/>
                </w:tcPr>
                <w:p>
                  <w:pPr>
                    <w:adjustRightInd w:val="0"/>
                    <w:snapToGrid w:val="0"/>
                    <w:ind w:left="-105" w:leftChars="-50" w:right="-105" w:rightChars="-50"/>
                    <w:jc w:val="center"/>
                    <w:rPr>
                      <w:bCs/>
                      <w:color w:val="0D0D0D"/>
                      <w:szCs w:val="21"/>
                    </w:rPr>
                  </w:pPr>
                </w:p>
              </w:tc>
              <w:tc>
                <w:tcPr>
                  <w:tcW w:w="602" w:type="pct"/>
                  <w:vMerge w:val="continue"/>
                  <w:vAlign w:val="center"/>
                </w:tcPr>
                <w:p>
                  <w:pPr>
                    <w:adjustRightInd w:val="0"/>
                    <w:snapToGrid w:val="0"/>
                    <w:ind w:left="-105" w:leftChars="-50" w:right="-105" w:rightChars="-50"/>
                    <w:jc w:val="center"/>
                    <w:rPr>
                      <w:bCs/>
                      <w:color w:val="0D0D0D"/>
                      <w:szCs w:val="21"/>
                    </w:rPr>
                  </w:pPr>
                </w:p>
              </w:tc>
              <w:tc>
                <w:tcPr>
                  <w:tcW w:w="332" w:type="pct"/>
                  <w:vAlign w:val="center"/>
                </w:tcPr>
                <w:p>
                  <w:pPr>
                    <w:adjustRightInd w:val="0"/>
                    <w:snapToGrid w:val="0"/>
                    <w:ind w:right="-105" w:rightChars="-50"/>
                    <w:jc w:val="center"/>
                    <w:rPr>
                      <w:bCs/>
                      <w:color w:val="0D0D0D"/>
                      <w:szCs w:val="21"/>
                    </w:rPr>
                  </w:pPr>
                  <w:r>
                    <w:rPr>
                      <w:bCs/>
                      <w:color w:val="0D0D0D"/>
                      <w:szCs w:val="21"/>
                    </w:rPr>
                    <w:t>20.0</w:t>
                  </w:r>
                </w:p>
              </w:tc>
              <w:tc>
                <w:tcPr>
                  <w:tcW w:w="1160" w:type="pct"/>
                  <w:vAlign w:val="center"/>
                </w:tcPr>
                <w:p>
                  <w:pPr>
                    <w:adjustRightInd w:val="0"/>
                    <w:snapToGrid w:val="0"/>
                    <w:ind w:right="-105" w:rightChars="-50"/>
                    <w:jc w:val="center"/>
                    <w:rPr>
                      <w:bCs/>
                      <w:color w:val="0D0D0D"/>
                      <w:szCs w:val="21"/>
                    </w:rPr>
                  </w:pPr>
                  <w:r>
                    <w:rPr>
                      <w:bCs/>
                      <w:color w:val="0D0D0D"/>
                      <w:szCs w:val="21"/>
                    </w:rPr>
                    <w:t>厂房外设置监控点处任意一次浓度值</w:t>
                  </w:r>
                </w:p>
              </w:tc>
              <w:tc>
                <w:tcPr>
                  <w:tcW w:w="1354" w:type="pct"/>
                  <w:vMerge w:val="continue"/>
                  <w:vAlign w:val="center"/>
                </w:tcPr>
                <w:p>
                  <w:pPr>
                    <w:adjustRightInd w:val="0"/>
                    <w:snapToGrid w:val="0"/>
                    <w:ind w:right="-105" w:rightChars="-5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893" w:type="pct"/>
                  <w:vMerge w:val="continue"/>
                  <w:vAlign w:val="center"/>
                </w:tcPr>
                <w:p>
                  <w:pPr>
                    <w:spacing w:line="320" w:lineRule="exact"/>
                    <w:jc w:val="center"/>
                    <w:rPr>
                      <w:bCs/>
                      <w:szCs w:val="21"/>
                    </w:rPr>
                  </w:pPr>
                </w:p>
              </w:tc>
              <w:tc>
                <w:tcPr>
                  <w:tcW w:w="656" w:type="pct"/>
                  <w:vAlign w:val="center"/>
                </w:tcPr>
                <w:p>
                  <w:pPr>
                    <w:adjustRightInd w:val="0"/>
                    <w:snapToGrid w:val="0"/>
                    <w:ind w:left="-105" w:leftChars="-50" w:right="-105" w:rightChars="-50"/>
                    <w:jc w:val="center"/>
                    <w:rPr>
                      <w:bCs/>
                      <w:color w:val="0D0D0D"/>
                      <w:szCs w:val="21"/>
                    </w:rPr>
                  </w:pPr>
                  <w:r>
                    <w:rPr>
                      <w:rFonts w:hint="eastAsia"/>
                      <w:bCs/>
                      <w:color w:val="0D0D0D"/>
                      <w:szCs w:val="21"/>
                    </w:rPr>
                    <w:t>70</w:t>
                  </w:r>
                </w:p>
              </w:tc>
              <w:tc>
                <w:tcPr>
                  <w:tcW w:w="602" w:type="pct"/>
                  <w:vAlign w:val="center"/>
                </w:tcPr>
                <w:p>
                  <w:pPr>
                    <w:adjustRightInd w:val="0"/>
                    <w:snapToGrid w:val="0"/>
                    <w:ind w:left="-105" w:leftChars="-50" w:right="-105" w:rightChars="-50"/>
                    <w:jc w:val="center"/>
                    <w:rPr>
                      <w:bCs/>
                      <w:color w:val="0D0D0D"/>
                      <w:szCs w:val="21"/>
                    </w:rPr>
                  </w:pPr>
                  <w:r>
                    <w:rPr>
                      <w:rFonts w:hint="eastAsia"/>
                      <w:bCs/>
                      <w:color w:val="0D0D0D"/>
                      <w:szCs w:val="21"/>
                    </w:rPr>
                    <w:t>3.0</w:t>
                  </w:r>
                </w:p>
              </w:tc>
              <w:tc>
                <w:tcPr>
                  <w:tcW w:w="332" w:type="pct"/>
                  <w:vAlign w:val="center"/>
                </w:tcPr>
                <w:p>
                  <w:pPr>
                    <w:adjustRightInd w:val="0"/>
                    <w:snapToGrid w:val="0"/>
                    <w:ind w:right="-105" w:rightChars="-50"/>
                    <w:jc w:val="center"/>
                    <w:rPr>
                      <w:bCs/>
                      <w:color w:val="0D0D0D"/>
                      <w:szCs w:val="21"/>
                    </w:rPr>
                  </w:pPr>
                  <w:r>
                    <w:rPr>
                      <w:rFonts w:hint="eastAsia"/>
                      <w:bCs/>
                      <w:color w:val="0D0D0D"/>
                      <w:szCs w:val="21"/>
                    </w:rPr>
                    <w:t>4.0</w:t>
                  </w:r>
                </w:p>
              </w:tc>
              <w:tc>
                <w:tcPr>
                  <w:tcW w:w="1160" w:type="pct"/>
                  <w:vAlign w:val="center"/>
                </w:tcPr>
                <w:p>
                  <w:pPr>
                    <w:adjustRightInd w:val="0"/>
                    <w:snapToGrid w:val="0"/>
                    <w:ind w:right="-105" w:rightChars="-50"/>
                    <w:jc w:val="center"/>
                    <w:rPr>
                      <w:bCs/>
                      <w:color w:val="0D0D0D"/>
                      <w:szCs w:val="21"/>
                    </w:rPr>
                  </w:pPr>
                  <w:r>
                    <w:rPr>
                      <w:bCs/>
                      <w:color w:val="0D0D0D"/>
                      <w:szCs w:val="21"/>
                    </w:rPr>
                    <w:t>企业边界</w:t>
                  </w:r>
                </w:p>
              </w:tc>
              <w:tc>
                <w:tcPr>
                  <w:tcW w:w="1354" w:type="pct"/>
                  <w:vAlign w:val="center"/>
                </w:tcPr>
                <w:p>
                  <w:pPr>
                    <w:rPr>
                      <w:color w:val="0D0D0D"/>
                      <w:szCs w:val="21"/>
                    </w:rPr>
                  </w:pPr>
                  <w:r>
                    <w:rPr>
                      <w:rFonts w:hint="eastAsia"/>
                      <w:color w:val="0D0D0D"/>
                      <w:szCs w:val="21"/>
                    </w:rPr>
                    <w:t>上海市地方标准《大气污染物综合排放标准》（DB31/933-2015）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893" w:type="pct"/>
                  <w:vAlign w:val="center"/>
                </w:tcPr>
                <w:p>
                  <w:pPr>
                    <w:adjustRightInd w:val="0"/>
                    <w:snapToGrid w:val="0"/>
                    <w:ind w:left="-105" w:leftChars="-50" w:right="-105" w:rightChars="-50"/>
                    <w:jc w:val="center"/>
                    <w:rPr>
                      <w:bCs/>
                      <w:color w:val="0D0D0D"/>
                      <w:szCs w:val="21"/>
                    </w:rPr>
                  </w:pPr>
                  <w:r>
                    <w:rPr>
                      <w:rFonts w:hint="eastAsia"/>
                      <w:bCs/>
                      <w:color w:val="0D0D0D"/>
                      <w:szCs w:val="21"/>
                    </w:rPr>
                    <w:t>二甲苯</w:t>
                  </w:r>
                </w:p>
              </w:tc>
              <w:tc>
                <w:tcPr>
                  <w:tcW w:w="656" w:type="pct"/>
                  <w:vAlign w:val="center"/>
                </w:tcPr>
                <w:p>
                  <w:pPr>
                    <w:jc w:val="center"/>
                    <w:rPr>
                      <w:color w:val="000000"/>
                      <w:szCs w:val="21"/>
                    </w:rPr>
                  </w:pPr>
                  <w:r>
                    <w:rPr>
                      <w:rFonts w:hint="eastAsia"/>
                      <w:color w:val="000000"/>
                      <w:szCs w:val="21"/>
                    </w:rPr>
                    <w:t>20</w:t>
                  </w:r>
                </w:p>
              </w:tc>
              <w:tc>
                <w:tcPr>
                  <w:tcW w:w="602" w:type="pct"/>
                  <w:vAlign w:val="center"/>
                </w:tcPr>
                <w:p>
                  <w:pPr>
                    <w:jc w:val="center"/>
                    <w:rPr>
                      <w:color w:val="000000"/>
                      <w:szCs w:val="21"/>
                    </w:rPr>
                  </w:pPr>
                  <w:r>
                    <w:rPr>
                      <w:rFonts w:hint="eastAsia"/>
                      <w:color w:val="000000"/>
                      <w:szCs w:val="21"/>
                    </w:rPr>
                    <w:t>0.8</w:t>
                  </w:r>
                </w:p>
              </w:tc>
              <w:tc>
                <w:tcPr>
                  <w:tcW w:w="1492" w:type="pct"/>
                  <w:gridSpan w:val="2"/>
                  <w:vAlign w:val="center"/>
                </w:tcPr>
                <w:p>
                  <w:pPr>
                    <w:adjustRightInd w:val="0"/>
                    <w:snapToGrid w:val="0"/>
                    <w:ind w:right="-105" w:rightChars="-50"/>
                    <w:jc w:val="center"/>
                    <w:rPr>
                      <w:bCs/>
                      <w:color w:val="0D0D0D"/>
                      <w:szCs w:val="21"/>
                    </w:rPr>
                  </w:pPr>
                  <w:r>
                    <w:rPr>
                      <w:rFonts w:hint="eastAsia"/>
                      <w:bCs/>
                      <w:color w:val="0D0D0D"/>
                      <w:szCs w:val="21"/>
                    </w:rPr>
                    <w:t>0.2</w:t>
                  </w:r>
                </w:p>
              </w:tc>
              <w:tc>
                <w:tcPr>
                  <w:tcW w:w="1354" w:type="pct"/>
                  <w:vMerge w:val="restart"/>
                  <w:vAlign w:val="center"/>
                </w:tcPr>
                <w:p>
                  <w:pPr>
                    <w:adjustRightInd w:val="0"/>
                    <w:snapToGrid w:val="0"/>
                    <w:ind w:right="-105" w:rightChars="-50"/>
                    <w:jc w:val="center"/>
                    <w:rPr>
                      <w:color w:val="0D0D0D"/>
                      <w:szCs w:val="21"/>
                    </w:rPr>
                  </w:pPr>
                  <w:r>
                    <w:rPr>
                      <w:rFonts w:hint="eastAsia"/>
                      <w:color w:val="0D0D0D"/>
                      <w:szCs w:val="21"/>
                    </w:rPr>
                    <w:t>上海市地方标准《大气污染物综合排放标准》（DB31/933-2015）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893" w:type="pct"/>
                  <w:vAlign w:val="center"/>
                </w:tcPr>
                <w:p>
                  <w:pPr>
                    <w:adjustRightInd w:val="0"/>
                    <w:snapToGrid w:val="0"/>
                    <w:ind w:left="-105" w:leftChars="-50" w:right="-105" w:rightChars="-50"/>
                    <w:jc w:val="center"/>
                    <w:rPr>
                      <w:bCs/>
                      <w:color w:val="0D0D0D"/>
                      <w:szCs w:val="21"/>
                    </w:rPr>
                  </w:pPr>
                  <w:r>
                    <w:rPr>
                      <w:rFonts w:hint="eastAsia"/>
                      <w:bCs/>
                      <w:color w:val="0D0D0D"/>
                      <w:szCs w:val="21"/>
                    </w:rPr>
                    <w:t>甲苯</w:t>
                  </w:r>
                </w:p>
              </w:tc>
              <w:tc>
                <w:tcPr>
                  <w:tcW w:w="656" w:type="pct"/>
                  <w:vAlign w:val="center"/>
                </w:tcPr>
                <w:p>
                  <w:pPr>
                    <w:jc w:val="center"/>
                    <w:rPr>
                      <w:color w:val="000000"/>
                      <w:szCs w:val="21"/>
                    </w:rPr>
                  </w:pPr>
                  <w:r>
                    <w:rPr>
                      <w:rFonts w:hint="eastAsia"/>
                      <w:color w:val="000000"/>
                      <w:szCs w:val="21"/>
                    </w:rPr>
                    <w:t>20</w:t>
                  </w:r>
                </w:p>
              </w:tc>
              <w:tc>
                <w:tcPr>
                  <w:tcW w:w="602" w:type="pct"/>
                  <w:vAlign w:val="center"/>
                </w:tcPr>
                <w:p>
                  <w:pPr>
                    <w:jc w:val="center"/>
                    <w:rPr>
                      <w:color w:val="000000"/>
                      <w:szCs w:val="21"/>
                    </w:rPr>
                  </w:pPr>
                  <w:r>
                    <w:rPr>
                      <w:rFonts w:hint="eastAsia"/>
                      <w:color w:val="000000"/>
                      <w:szCs w:val="21"/>
                    </w:rPr>
                    <w:t>0.8</w:t>
                  </w:r>
                </w:p>
              </w:tc>
              <w:tc>
                <w:tcPr>
                  <w:tcW w:w="1492" w:type="pct"/>
                  <w:gridSpan w:val="2"/>
                  <w:vAlign w:val="center"/>
                </w:tcPr>
                <w:p>
                  <w:pPr>
                    <w:adjustRightInd w:val="0"/>
                    <w:snapToGrid w:val="0"/>
                    <w:ind w:right="-105" w:rightChars="-50"/>
                    <w:jc w:val="center"/>
                    <w:rPr>
                      <w:bCs/>
                      <w:color w:val="0D0D0D"/>
                      <w:szCs w:val="21"/>
                    </w:rPr>
                  </w:pPr>
                  <w:r>
                    <w:rPr>
                      <w:rFonts w:hint="eastAsia"/>
                      <w:bCs/>
                      <w:color w:val="0D0D0D"/>
                      <w:szCs w:val="21"/>
                    </w:rPr>
                    <w:t>0.2</w:t>
                  </w:r>
                </w:p>
              </w:tc>
              <w:tc>
                <w:tcPr>
                  <w:tcW w:w="1354" w:type="pct"/>
                  <w:vMerge w:val="continue"/>
                  <w:vAlign w:val="center"/>
                </w:tcPr>
                <w:p>
                  <w:pPr>
                    <w:adjustRightInd w:val="0"/>
                    <w:snapToGrid w:val="0"/>
                    <w:ind w:right="-105" w:rightChars="-50"/>
                    <w:jc w:val="center"/>
                    <w:rPr>
                      <w:color w:val="0D0D0D"/>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3" w:type="pct"/>
                  <w:vAlign w:val="center"/>
                </w:tcPr>
                <w:p>
                  <w:pPr>
                    <w:spacing w:line="320" w:lineRule="exact"/>
                    <w:jc w:val="center"/>
                    <w:rPr>
                      <w:bCs/>
                      <w:szCs w:val="21"/>
                    </w:rPr>
                  </w:pPr>
                  <w:r>
                    <w:rPr>
                      <w:rFonts w:hint="eastAsia"/>
                      <w:bCs/>
                      <w:szCs w:val="21"/>
                    </w:rPr>
                    <w:t>颗粒物（漆雾）</w:t>
                  </w:r>
                </w:p>
              </w:tc>
              <w:tc>
                <w:tcPr>
                  <w:tcW w:w="656" w:type="pct"/>
                  <w:vAlign w:val="center"/>
                </w:tcPr>
                <w:p>
                  <w:pPr>
                    <w:jc w:val="center"/>
                    <w:rPr>
                      <w:color w:val="000000"/>
                      <w:szCs w:val="21"/>
                    </w:rPr>
                  </w:pPr>
                  <w:r>
                    <w:rPr>
                      <w:rFonts w:hint="eastAsia"/>
                      <w:color w:val="000000"/>
                      <w:szCs w:val="21"/>
                    </w:rPr>
                    <w:t>20</w:t>
                  </w:r>
                </w:p>
              </w:tc>
              <w:tc>
                <w:tcPr>
                  <w:tcW w:w="602" w:type="pct"/>
                  <w:vAlign w:val="center"/>
                </w:tcPr>
                <w:p>
                  <w:pPr>
                    <w:jc w:val="center"/>
                    <w:rPr>
                      <w:color w:val="000000"/>
                      <w:szCs w:val="21"/>
                    </w:rPr>
                  </w:pPr>
                  <w:r>
                    <w:rPr>
                      <w:rFonts w:hint="eastAsia"/>
                      <w:color w:val="000000"/>
                      <w:szCs w:val="21"/>
                    </w:rPr>
                    <w:t>1.5</w:t>
                  </w:r>
                </w:p>
              </w:tc>
              <w:tc>
                <w:tcPr>
                  <w:tcW w:w="1492" w:type="pct"/>
                  <w:gridSpan w:val="2"/>
                  <w:vMerge w:val="restart"/>
                  <w:vAlign w:val="center"/>
                </w:tcPr>
                <w:p>
                  <w:pPr>
                    <w:adjustRightInd w:val="0"/>
                    <w:snapToGrid w:val="0"/>
                    <w:ind w:right="-105" w:rightChars="-50"/>
                    <w:jc w:val="center"/>
                    <w:rPr>
                      <w:bCs/>
                      <w:szCs w:val="21"/>
                    </w:rPr>
                  </w:pPr>
                  <w:r>
                    <w:rPr>
                      <w:rFonts w:hint="eastAsia"/>
                      <w:bCs/>
                      <w:szCs w:val="21"/>
                    </w:rPr>
                    <w:t>0.5</w:t>
                  </w:r>
                </w:p>
              </w:tc>
              <w:tc>
                <w:tcPr>
                  <w:tcW w:w="1354" w:type="pct"/>
                  <w:vMerge w:val="continue"/>
                  <w:vAlign w:val="center"/>
                </w:tcPr>
                <w:p>
                  <w:pPr>
                    <w:adjustRightInd w:val="0"/>
                    <w:snapToGrid w:val="0"/>
                    <w:ind w:right="-105" w:rightChars="-50"/>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3" w:type="pct"/>
                  <w:vAlign w:val="center"/>
                </w:tcPr>
                <w:p>
                  <w:pPr>
                    <w:spacing w:line="320" w:lineRule="exact"/>
                    <w:jc w:val="center"/>
                    <w:rPr>
                      <w:bCs/>
                      <w:szCs w:val="21"/>
                    </w:rPr>
                  </w:pPr>
                  <w:r>
                    <w:rPr>
                      <w:rFonts w:hint="eastAsia"/>
                      <w:bCs/>
                      <w:szCs w:val="21"/>
                    </w:rPr>
                    <w:t>其他颗粒物</w:t>
                  </w:r>
                </w:p>
              </w:tc>
              <w:tc>
                <w:tcPr>
                  <w:tcW w:w="656" w:type="pct"/>
                  <w:vAlign w:val="center"/>
                </w:tcPr>
                <w:p>
                  <w:pPr>
                    <w:jc w:val="center"/>
                    <w:rPr>
                      <w:color w:val="000000"/>
                      <w:szCs w:val="21"/>
                    </w:rPr>
                  </w:pPr>
                  <w:r>
                    <w:rPr>
                      <w:rFonts w:hint="eastAsia"/>
                      <w:color w:val="000000"/>
                      <w:szCs w:val="21"/>
                    </w:rPr>
                    <w:t>30</w:t>
                  </w:r>
                </w:p>
              </w:tc>
              <w:tc>
                <w:tcPr>
                  <w:tcW w:w="602" w:type="pct"/>
                  <w:vAlign w:val="center"/>
                </w:tcPr>
                <w:p>
                  <w:pPr>
                    <w:jc w:val="center"/>
                    <w:rPr>
                      <w:color w:val="000000"/>
                      <w:szCs w:val="21"/>
                    </w:rPr>
                  </w:pPr>
                  <w:r>
                    <w:rPr>
                      <w:rFonts w:hint="eastAsia"/>
                      <w:color w:val="000000"/>
                      <w:szCs w:val="21"/>
                    </w:rPr>
                    <w:t>1.5</w:t>
                  </w:r>
                </w:p>
              </w:tc>
              <w:tc>
                <w:tcPr>
                  <w:tcW w:w="1492" w:type="pct"/>
                  <w:gridSpan w:val="2"/>
                  <w:vMerge w:val="continue"/>
                  <w:vAlign w:val="center"/>
                </w:tcPr>
                <w:p>
                  <w:pPr>
                    <w:adjustRightInd w:val="0"/>
                    <w:snapToGrid w:val="0"/>
                    <w:ind w:right="-105" w:rightChars="-50"/>
                    <w:jc w:val="center"/>
                    <w:rPr>
                      <w:bCs/>
                      <w:szCs w:val="21"/>
                    </w:rPr>
                  </w:pPr>
                </w:p>
              </w:tc>
              <w:tc>
                <w:tcPr>
                  <w:tcW w:w="1354" w:type="pct"/>
                  <w:vMerge w:val="continue"/>
                  <w:vAlign w:val="center"/>
                </w:tcPr>
                <w:p>
                  <w:pPr>
                    <w:adjustRightInd w:val="0"/>
                    <w:snapToGrid w:val="0"/>
                    <w:ind w:right="-105" w:rightChars="-50"/>
                    <w:jc w:val="center"/>
                    <w:rPr>
                      <w:color w:val="000000"/>
                      <w:szCs w:val="21"/>
                    </w:rPr>
                  </w:pPr>
                </w:p>
              </w:tc>
            </w:tr>
          </w:tbl>
          <w:p>
            <w:pPr>
              <w:widowControl/>
              <w:spacing w:before="120" w:beforeLines="50" w:line="360" w:lineRule="auto"/>
              <w:ind w:firstLine="472" w:firstLineChars="196"/>
              <w:jc w:val="left"/>
              <w:rPr>
                <w:b/>
                <w:color w:val="000000"/>
                <w:kern w:val="0"/>
                <w:sz w:val="24"/>
                <w:szCs w:val="20"/>
              </w:rPr>
            </w:pPr>
            <w:r>
              <w:rPr>
                <w:b/>
                <w:color w:val="000000"/>
                <w:kern w:val="0"/>
                <w:sz w:val="24"/>
                <w:szCs w:val="20"/>
              </w:rPr>
              <w:t>3.</w:t>
            </w:r>
            <w:r>
              <w:rPr>
                <w:rFonts w:hint="eastAsia"/>
                <w:b/>
                <w:color w:val="000000"/>
                <w:kern w:val="0"/>
                <w:sz w:val="24"/>
                <w:szCs w:val="20"/>
              </w:rPr>
              <w:t>噪声</w:t>
            </w:r>
          </w:p>
          <w:p>
            <w:pPr>
              <w:widowControl/>
              <w:spacing w:line="360" w:lineRule="auto"/>
              <w:ind w:left="-2" w:leftChars="-1" w:firstLine="480" w:firstLineChars="200"/>
              <w:jc w:val="left"/>
              <w:rPr>
                <w:color w:val="000000"/>
                <w:kern w:val="0"/>
                <w:sz w:val="24"/>
                <w:szCs w:val="20"/>
              </w:rPr>
            </w:pPr>
            <w:r>
              <w:rPr>
                <w:rFonts w:hint="eastAsia"/>
                <w:color w:val="000000"/>
                <w:kern w:val="0"/>
                <w:sz w:val="24"/>
                <w:szCs w:val="20"/>
              </w:rPr>
              <w:t>运营期厂界东侧、北侧噪声执行《工业企业厂界环境噪声排放标准》（</w:t>
            </w:r>
            <w:r>
              <w:rPr>
                <w:bCs/>
                <w:color w:val="000000"/>
                <w:kern w:val="0"/>
                <w:sz w:val="24"/>
                <w:szCs w:val="20"/>
              </w:rPr>
              <w:t>GB12348-2008</w:t>
            </w:r>
            <w:r>
              <w:rPr>
                <w:rFonts w:hint="eastAsia"/>
                <w:bCs/>
                <w:color w:val="000000"/>
                <w:kern w:val="0"/>
                <w:sz w:val="24"/>
                <w:szCs w:val="20"/>
              </w:rPr>
              <w:t>）</w:t>
            </w:r>
            <w:r>
              <w:rPr>
                <w:rFonts w:hint="eastAsia"/>
                <w:color w:val="000000"/>
                <w:kern w:val="0"/>
                <w:sz w:val="24"/>
                <w:szCs w:val="20"/>
              </w:rPr>
              <w:t>中的3类标准；厂区南侧、西侧噪声执行《工业企业厂界环境噪声排放标准》（GB12348-2008）中的4类标准。</w:t>
            </w:r>
          </w:p>
          <w:p>
            <w:pPr>
              <w:widowControl/>
              <w:jc w:val="center"/>
              <w:rPr>
                <w:b/>
                <w:color w:val="000000"/>
                <w:kern w:val="0"/>
                <w:sz w:val="24"/>
                <w:szCs w:val="20"/>
              </w:rPr>
            </w:pPr>
            <w:r>
              <w:rPr>
                <w:rFonts w:hint="eastAsia"/>
                <w:b/>
                <w:color w:val="000000"/>
                <w:kern w:val="0"/>
                <w:sz w:val="24"/>
                <w:szCs w:val="20"/>
              </w:rPr>
              <w:t>表3-11</w:t>
            </w:r>
            <w:r>
              <w:rPr>
                <w:b/>
                <w:color w:val="000000"/>
                <w:kern w:val="0"/>
                <w:sz w:val="24"/>
                <w:szCs w:val="20"/>
              </w:rPr>
              <w:t xml:space="preserve">  </w:t>
            </w:r>
            <w:r>
              <w:rPr>
                <w:rFonts w:hint="eastAsia"/>
                <w:b/>
                <w:color w:val="000000"/>
                <w:kern w:val="0"/>
                <w:sz w:val="24"/>
                <w:szCs w:val="20"/>
              </w:rPr>
              <w:t>项目环境噪声排放标准</w:t>
            </w:r>
            <w:r>
              <w:rPr>
                <w:b/>
                <w:color w:val="000000"/>
                <w:kern w:val="0"/>
                <w:sz w:val="24"/>
                <w:szCs w:val="20"/>
              </w:rPr>
              <w:t xml:space="preserve">     </w:t>
            </w:r>
            <w:r>
              <w:rPr>
                <w:rFonts w:hint="eastAsia"/>
                <w:b/>
                <w:color w:val="000000"/>
                <w:kern w:val="0"/>
                <w:sz w:val="24"/>
                <w:szCs w:val="20"/>
              </w:rPr>
              <w:t>单位：</w:t>
            </w:r>
            <w:r>
              <w:rPr>
                <w:b/>
                <w:color w:val="000000"/>
                <w:kern w:val="0"/>
                <w:sz w:val="24"/>
                <w:szCs w:val="20"/>
              </w:rPr>
              <w:t>dB(A)</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57"/>
              <w:gridCol w:w="1722"/>
              <w:gridCol w:w="1724"/>
              <w:gridCol w:w="31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3" w:type="pct"/>
                  <w:vMerge w:val="restart"/>
                  <w:vAlign w:val="center"/>
                </w:tcPr>
                <w:p>
                  <w:pPr>
                    <w:widowControl/>
                    <w:jc w:val="center"/>
                    <w:rPr>
                      <w:b/>
                      <w:color w:val="000000"/>
                      <w:kern w:val="0"/>
                      <w:szCs w:val="21"/>
                    </w:rPr>
                  </w:pPr>
                  <w:r>
                    <w:rPr>
                      <w:rFonts w:hint="eastAsia"/>
                      <w:b/>
                      <w:color w:val="000000"/>
                      <w:kern w:val="0"/>
                      <w:szCs w:val="21"/>
                    </w:rPr>
                    <w:t>类别</w:t>
                  </w:r>
                </w:p>
              </w:tc>
              <w:tc>
                <w:tcPr>
                  <w:tcW w:w="2065" w:type="pct"/>
                  <w:gridSpan w:val="2"/>
                  <w:vAlign w:val="center"/>
                </w:tcPr>
                <w:p>
                  <w:pPr>
                    <w:widowControl/>
                    <w:jc w:val="center"/>
                    <w:rPr>
                      <w:b/>
                      <w:color w:val="000000"/>
                      <w:kern w:val="0"/>
                      <w:szCs w:val="21"/>
                    </w:rPr>
                  </w:pPr>
                  <w:r>
                    <w:rPr>
                      <w:rFonts w:hint="eastAsia"/>
                      <w:b/>
                      <w:color w:val="000000"/>
                      <w:kern w:val="0"/>
                      <w:szCs w:val="21"/>
                    </w:rPr>
                    <w:t>标准值</w:t>
                  </w:r>
                  <w:r>
                    <w:rPr>
                      <w:b/>
                      <w:color w:val="000000"/>
                      <w:kern w:val="0"/>
                      <w:szCs w:val="21"/>
                    </w:rPr>
                    <w:t>dB(A</w:t>
                  </w:r>
                  <w:r>
                    <w:rPr>
                      <w:rFonts w:hint="eastAsia"/>
                      <w:b/>
                      <w:color w:val="000000"/>
                      <w:kern w:val="0"/>
                      <w:szCs w:val="21"/>
                    </w:rPr>
                    <w:t>)</w:t>
                  </w:r>
                </w:p>
              </w:tc>
              <w:tc>
                <w:tcPr>
                  <w:tcW w:w="1880" w:type="pct"/>
                  <w:vMerge w:val="restart"/>
                  <w:vAlign w:val="center"/>
                </w:tcPr>
                <w:p>
                  <w:pPr>
                    <w:widowControl/>
                    <w:jc w:val="center"/>
                    <w:rPr>
                      <w:b/>
                      <w:color w:val="000000"/>
                      <w:kern w:val="0"/>
                      <w:szCs w:val="21"/>
                    </w:rPr>
                  </w:pPr>
                  <w:r>
                    <w:rPr>
                      <w:rFonts w:hint="eastAsia"/>
                      <w:b/>
                      <w:color w:val="000000"/>
                      <w:kern w:val="0"/>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053" w:type="pct"/>
                  <w:vMerge w:val="continue"/>
                  <w:vAlign w:val="center"/>
                </w:tcPr>
                <w:p>
                  <w:pPr>
                    <w:widowControl/>
                    <w:jc w:val="center"/>
                    <w:rPr>
                      <w:b/>
                      <w:color w:val="000000"/>
                      <w:kern w:val="0"/>
                      <w:szCs w:val="21"/>
                    </w:rPr>
                  </w:pPr>
                </w:p>
              </w:tc>
              <w:tc>
                <w:tcPr>
                  <w:tcW w:w="1032" w:type="pct"/>
                  <w:vAlign w:val="center"/>
                </w:tcPr>
                <w:p>
                  <w:pPr>
                    <w:widowControl/>
                    <w:jc w:val="center"/>
                    <w:rPr>
                      <w:b/>
                      <w:color w:val="000000"/>
                      <w:kern w:val="0"/>
                      <w:szCs w:val="21"/>
                    </w:rPr>
                  </w:pPr>
                  <w:r>
                    <w:rPr>
                      <w:rFonts w:hint="eastAsia"/>
                      <w:b/>
                      <w:color w:val="000000"/>
                      <w:kern w:val="0"/>
                      <w:szCs w:val="21"/>
                    </w:rPr>
                    <w:t>昼间</w:t>
                  </w:r>
                </w:p>
              </w:tc>
              <w:tc>
                <w:tcPr>
                  <w:tcW w:w="1032" w:type="pct"/>
                  <w:vAlign w:val="center"/>
                </w:tcPr>
                <w:p>
                  <w:pPr>
                    <w:widowControl/>
                    <w:jc w:val="center"/>
                    <w:rPr>
                      <w:b/>
                      <w:color w:val="000000"/>
                      <w:kern w:val="0"/>
                      <w:szCs w:val="21"/>
                    </w:rPr>
                  </w:pPr>
                  <w:r>
                    <w:rPr>
                      <w:rFonts w:hint="eastAsia"/>
                      <w:b/>
                      <w:color w:val="000000"/>
                      <w:kern w:val="0"/>
                      <w:szCs w:val="21"/>
                    </w:rPr>
                    <w:t>夜间</w:t>
                  </w:r>
                </w:p>
              </w:tc>
              <w:tc>
                <w:tcPr>
                  <w:tcW w:w="1880" w:type="pct"/>
                  <w:vMerge w:val="continue"/>
                  <w:vAlign w:val="center"/>
                </w:tcPr>
                <w:p>
                  <w:pPr>
                    <w:widowControl/>
                    <w:jc w:val="center"/>
                    <w:rPr>
                      <w:b/>
                      <w:color w:val="000000"/>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053" w:type="pct"/>
                  <w:vAlign w:val="center"/>
                </w:tcPr>
                <w:p>
                  <w:pPr>
                    <w:widowControl/>
                    <w:jc w:val="center"/>
                    <w:rPr>
                      <w:color w:val="000000"/>
                      <w:kern w:val="0"/>
                      <w:szCs w:val="21"/>
                    </w:rPr>
                  </w:pPr>
                  <w:r>
                    <w:rPr>
                      <w:rFonts w:hint="eastAsia"/>
                      <w:color w:val="000000"/>
                      <w:kern w:val="0"/>
                      <w:szCs w:val="21"/>
                    </w:rPr>
                    <w:t>3类</w:t>
                  </w:r>
                </w:p>
              </w:tc>
              <w:tc>
                <w:tcPr>
                  <w:tcW w:w="1032" w:type="pct"/>
                  <w:vAlign w:val="center"/>
                </w:tcPr>
                <w:p>
                  <w:pPr>
                    <w:widowControl/>
                    <w:jc w:val="center"/>
                    <w:rPr>
                      <w:color w:val="000000"/>
                      <w:kern w:val="0"/>
                      <w:szCs w:val="21"/>
                    </w:rPr>
                  </w:pPr>
                  <w:r>
                    <w:rPr>
                      <w:color w:val="000000"/>
                      <w:kern w:val="0"/>
                      <w:szCs w:val="21"/>
                    </w:rPr>
                    <w:t>6</w:t>
                  </w:r>
                  <w:r>
                    <w:rPr>
                      <w:rFonts w:hint="eastAsia"/>
                      <w:color w:val="000000"/>
                      <w:kern w:val="0"/>
                      <w:szCs w:val="21"/>
                    </w:rPr>
                    <w:t>5</w:t>
                  </w:r>
                </w:p>
              </w:tc>
              <w:tc>
                <w:tcPr>
                  <w:tcW w:w="1032" w:type="pct"/>
                  <w:vAlign w:val="center"/>
                </w:tcPr>
                <w:p>
                  <w:pPr>
                    <w:widowControl/>
                    <w:jc w:val="center"/>
                    <w:rPr>
                      <w:color w:val="000000"/>
                      <w:kern w:val="0"/>
                      <w:szCs w:val="21"/>
                    </w:rPr>
                  </w:pPr>
                  <w:r>
                    <w:rPr>
                      <w:color w:val="000000"/>
                      <w:kern w:val="0"/>
                      <w:szCs w:val="21"/>
                    </w:rPr>
                    <w:t>5</w:t>
                  </w:r>
                  <w:r>
                    <w:rPr>
                      <w:rFonts w:hint="eastAsia"/>
                      <w:color w:val="000000"/>
                      <w:kern w:val="0"/>
                      <w:szCs w:val="21"/>
                    </w:rPr>
                    <w:t>5</w:t>
                  </w:r>
                </w:p>
              </w:tc>
              <w:tc>
                <w:tcPr>
                  <w:tcW w:w="1880" w:type="pct"/>
                  <w:vMerge w:val="restart"/>
                  <w:vAlign w:val="center"/>
                </w:tcPr>
                <w:p>
                  <w:pPr>
                    <w:widowControl/>
                    <w:jc w:val="center"/>
                    <w:rPr>
                      <w:color w:val="000000"/>
                      <w:kern w:val="0"/>
                      <w:szCs w:val="21"/>
                    </w:rPr>
                  </w:pPr>
                  <w:r>
                    <w:rPr>
                      <w:rFonts w:hint="eastAsia"/>
                      <w:color w:val="000000"/>
                      <w:kern w:val="0"/>
                      <w:szCs w:val="21"/>
                    </w:rPr>
                    <w:t>《工业企业厂界环境噪声排放标准》（</w:t>
                  </w:r>
                  <w:r>
                    <w:rPr>
                      <w:bCs/>
                      <w:color w:val="000000"/>
                      <w:kern w:val="0"/>
                      <w:szCs w:val="21"/>
                    </w:rPr>
                    <w:t>GB12348-2008</w:t>
                  </w:r>
                  <w:r>
                    <w:rPr>
                      <w:rFonts w:hint="eastAsia"/>
                      <w:bCs/>
                      <w:color w:val="000000"/>
                      <w:kern w:val="0"/>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1053" w:type="pct"/>
                  <w:vAlign w:val="center"/>
                </w:tcPr>
                <w:p>
                  <w:pPr>
                    <w:widowControl/>
                    <w:jc w:val="center"/>
                    <w:rPr>
                      <w:color w:val="000000"/>
                      <w:kern w:val="0"/>
                      <w:szCs w:val="21"/>
                    </w:rPr>
                  </w:pPr>
                  <w:r>
                    <w:rPr>
                      <w:rFonts w:hint="eastAsia"/>
                      <w:color w:val="000000"/>
                      <w:kern w:val="0"/>
                      <w:szCs w:val="21"/>
                    </w:rPr>
                    <w:t>4类</w:t>
                  </w:r>
                </w:p>
              </w:tc>
              <w:tc>
                <w:tcPr>
                  <w:tcW w:w="1032" w:type="pct"/>
                  <w:vAlign w:val="center"/>
                </w:tcPr>
                <w:p>
                  <w:pPr>
                    <w:widowControl/>
                    <w:snapToGrid w:val="0"/>
                    <w:jc w:val="center"/>
                    <w:rPr>
                      <w:color w:val="000000"/>
                      <w:kern w:val="0"/>
                      <w:szCs w:val="21"/>
                    </w:rPr>
                  </w:pPr>
                  <w:r>
                    <w:rPr>
                      <w:color w:val="000000"/>
                      <w:kern w:val="0"/>
                      <w:szCs w:val="21"/>
                    </w:rPr>
                    <w:t>70</w:t>
                  </w:r>
                </w:p>
              </w:tc>
              <w:tc>
                <w:tcPr>
                  <w:tcW w:w="1032" w:type="pct"/>
                  <w:vAlign w:val="center"/>
                </w:tcPr>
                <w:p>
                  <w:pPr>
                    <w:widowControl/>
                    <w:snapToGrid w:val="0"/>
                    <w:jc w:val="center"/>
                    <w:rPr>
                      <w:color w:val="000000"/>
                      <w:kern w:val="0"/>
                      <w:szCs w:val="21"/>
                    </w:rPr>
                  </w:pPr>
                  <w:r>
                    <w:rPr>
                      <w:color w:val="000000"/>
                      <w:kern w:val="0"/>
                      <w:szCs w:val="21"/>
                    </w:rPr>
                    <w:t>55</w:t>
                  </w:r>
                </w:p>
              </w:tc>
              <w:tc>
                <w:tcPr>
                  <w:tcW w:w="1880" w:type="pct"/>
                  <w:vMerge w:val="continue"/>
                  <w:vAlign w:val="center"/>
                </w:tcPr>
                <w:p>
                  <w:pPr>
                    <w:widowControl/>
                    <w:jc w:val="center"/>
                    <w:rPr>
                      <w:color w:val="000000"/>
                      <w:kern w:val="0"/>
                      <w:szCs w:val="21"/>
                    </w:rPr>
                  </w:pPr>
                </w:p>
              </w:tc>
            </w:tr>
          </w:tbl>
          <w:p>
            <w:pPr>
              <w:widowControl/>
              <w:spacing w:before="120" w:beforeLines="50" w:line="360" w:lineRule="auto"/>
              <w:ind w:firstLine="482" w:firstLineChars="200"/>
              <w:jc w:val="left"/>
              <w:rPr>
                <w:b/>
                <w:color w:val="000000"/>
                <w:kern w:val="0"/>
                <w:sz w:val="24"/>
                <w:szCs w:val="20"/>
              </w:rPr>
            </w:pPr>
            <w:r>
              <w:rPr>
                <w:b/>
                <w:color w:val="000000"/>
                <w:kern w:val="0"/>
                <w:sz w:val="24"/>
                <w:szCs w:val="20"/>
              </w:rPr>
              <w:t>4.</w:t>
            </w:r>
            <w:r>
              <w:rPr>
                <w:rFonts w:hint="eastAsia"/>
                <w:b/>
                <w:color w:val="000000"/>
                <w:kern w:val="0"/>
                <w:sz w:val="24"/>
                <w:szCs w:val="20"/>
              </w:rPr>
              <w:t>固废</w:t>
            </w:r>
          </w:p>
          <w:p>
            <w:pPr>
              <w:spacing w:line="420" w:lineRule="exact"/>
              <w:ind w:firstLine="480" w:firstLineChars="200"/>
              <w:rPr>
                <w:sz w:val="24"/>
              </w:rPr>
            </w:pPr>
            <w:r>
              <w:rPr>
                <w:rFonts w:hint="eastAsia"/>
                <w:sz w:val="24"/>
              </w:rPr>
              <w:t>一般固废执行《一般工业固体废物贮存和填埋污染控制标准》（</w:t>
            </w:r>
            <w:r>
              <w:rPr>
                <w:sz w:val="24"/>
              </w:rPr>
              <w:t>GB18599-20</w:t>
            </w:r>
            <w:r>
              <w:rPr>
                <w:rFonts w:hint="eastAsia"/>
                <w:sz w:val="24"/>
              </w:rPr>
              <w:t>20）；危险固废执行《危险废物贮存污染控制标准》（</w:t>
            </w:r>
            <w:r>
              <w:rPr>
                <w:sz w:val="24"/>
              </w:rPr>
              <w:t>GB18592-2001</w:t>
            </w:r>
            <w:r>
              <w:rPr>
                <w:rFonts w:hint="eastAsia"/>
                <w:sz w:val="24"/>
              </w:rPr>
              <w:t>）（</w:t>
            </w:r>
            <w:r>
              <w:rPr>
                <w:sz w:val="24"/>
              </w:rPr>
              <w:t>2013</w:t>
            </w:r>
            <w:r>
              <w:rPr>
                <w:rFonts w:hint="eastAsia"/>
                <w:sz w:val="24"/>
              </w:rPr>
              <w:t>年修正）</w:t>
            </w:r>
            <w:r>
              <w:rPr>
                <w:rFonts w:hint="eastAsia" w:ascii="宋体" w:cs="宋体"/>
                <w:kern w:val="0"/>
                <w:sz w:val="24"/>
              </w:rPr>
              <w:t>中的有关规定</w:t>
            </w:r>
            <w:r>
              <w:rPr>
                <w:rFonts w:hint="eastAsia"/>
                <w:sz w:val="24"/>
              </w:rPr>
              <w:t>。</w:t>
            </w:r>
          </w:p>
          <w:p>
            <w:pPr>
              <w:spacing w:line="420" w:lineRule="exact"/>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68" w:hRule="atLeast"/>
          <w:jc w:val="center"/>
        </w:trPr>
        <w:tc>
          <w:tcPr>
            <w:tcW w:w="503" w:type="dxa"/>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总量</w:t>
            </w:r>
          </w:p>
          <w:p>
            <w:pPr>
              <w:autoSpaceDE w:val="0"/>
              <w:autoSpaceDN w:val="0"/>
              <w:adjustRightInd w:val="0"/>
              <w:snapToGrid w:val="0"/>
              <w:jc w:val="center"/>
              <w:rPr>
                <w:rFonts w:cs="宋体"/>
                <w:color w:val="000000"/>
                <w:kern w:val="0"/>
                <w:sz w:val="24"/>
              </w:rPr>
            </w:pPr>
            <w:r>
              <w:rPr>
                <w:rFonts w:hint="eastAsia" w:cs="宋体"/>
                <w:color w:val="000000"/>
                <w:kern w:val="0"/>
                <w:sz w:val="24"/>
              </w:rPr>
              <w:t>控制</w:t>
            </w:r>
          </w:p>
          <w:p>
            <w:pPr>
              <w:autoSpaceDE w:val="0"/>
              <w:autoSpaceDN w:val="0"/>
              <w:adjustRightInd w:val="0"/>
              <w:snapToGrid w:val="0"/>
              <w:jc w:val="center"/>
              <w:rPr>
                <w:rFonts w:cs="宋体"/>
                <w:color w:val="000000"/>
                <w:kern w:val="0"/>
                <w:sz w:val="24"/>
              </w:rPr>
            </w:pPr>
            <w:r>
              <w:rPr>
                <w:rFonts w:hint="eastAsia" w:cs="宋体"/>
                <w:color w:val="000000"/>
                <w:kern w:val="0"/>
                <w:sz w:val="24"/>
              </w:rPr>
              <w:t>指标</w:t>
            </w:r>
          </w:p>
        </w:tc>
        <w:tc>
          <w:tcPr>
            <w:tcW w:w="8558" w:type="dxa"/>
            <w:vAlign w:val="center"/>
          </w:tcPr>
          <w:p>
            <w:pPr>
              <w:spacing w:line="360" w:lineRule="auto"/>
              <w:ind w:firstLine="482" w:firstLineChars="200"/>
              <w:jc w:val="left"/>
              <w:rPr>
                <w:b/>
                <w:color w:val="0D0D0D"/>
                <w:sz w:val="24"/>
              </w:rPr>
            </w:pPr>
            <w:r>
              <w:rPr>
                <w:b/>
                <w:color w:val="0D0D0D"/>
                <w:sz w:val="24"/>
              </w:rPr>
              <w:t>1</w:t>
            </w:r>
            <w:r>
              <w:rPr>
                <w:rFonts w:hint="eastAsia"/>
                <w:b/>
                <w:color w:val="0D0D0D"/>
                <w:sz w:val="24"/>
              </w:rPr>
              <w:t>、总量控制因子</w:t>
            </w:r>
          </w:p>
          <w:p>
            <w:pPr>
              <w:spacing w:line="360" w:lineRule="auto"/>
              <w:ind w:firstLine="480" w:firstLineChars="200"/>
              <w:jc w:val="left"/>
              <w:rPr>
                <w:color w:val="0D0D0D"/>
                <w:sz w:val="24"/>
              </w:rPr>
            </w:pPr>
            <w:r>
              <w:rPr>
                <w:rFonts w:hint="eastAsia"/>
                <w:color w:val="0D0D0D"/>
                <w:sz w:val="24"/>
              </w:rPr>
              <w:t>大气污染物总量控制因子：</w:t>
            </w:r>
            <w:r>
              <w:rPr>
                <w:rFonts w:hint="eastAsia"/>
                <w:color w:val="0D0D0D"/>
                <w:sz w:val="24"/>
                <w:lang w:val="zh-CN"/>
              </w:rPr>
              <w:t>VOCs</w:t>
            </w:r>
            <w:r>
              <w:rPr>
                <w:rFonts w:hint="eastAsia"/>
                <w:color w:val="0D0D0D"/>
                <w:sz w:val="24"/>
              </w:rPr>
              <w:t>、烟/粉尘</w:t>
            </w:r>
          </w:p>
          <w:p>
            <w:pPr>
              <w:spacing w:line="360" w:lineRule="auto"/>
              <w:ind w:firstLine="482" w:firstLineChars="200"/>
              <w:jc w:val="left"/>
              <w:rPr>
                <w:b/>
                <w:color w:val="0D0D0D"/>
                <w:sz w:val="24"/>
              </w:rPr>
            </w:pPr>
            <w:r>
              <w:rPr>
                <w:b/>
                <w:color w:val="0D0D0D"/>
                <w:sz w:val="24"/>
              </w:rPr>
              <w:t>2</w:t>
            </w:r>
            <w:r>
              <w:rPr>
                <w:rFonts w:hint="eastAsia"/>
                <w:b/>
                <w:color w:val="0D0D0D"/>
                <w:sz w:val="24"/>
              </w:rPr>
              <w:t>、总量控制指标</w:t>
            </w:r>
          </w:p>
          <w:p>
            <w:pPr>
              <w:jc w:val="center"/>
              <w:rPr>
                <w:b/>
                <w:color w:val="262626" w:themeColor="text1" w:themeTint="D9"/>
                <w:sz w:val="24"/>
                <w14:textFill>
                  <w14:solidFill>
                    <w14:schemeClr w14:val="tx1">
                      <w14:lumMod w14:val="85000"/>
                      <w14:lumOff w14:val="15000"/>
                    </w14:schemeClr>
                  </w14:solidFill>
                </w14:textFill>
              </w:rPr>
            </w:pPr>
            <w:r>
              <w:rPr>
                <w:rFonts w:hint="eastAsia"/>
                <w:b/>
                <w:color w:val="262626" w:themeColor="text1" w:themeTint="D9"/>
                <w:sz w:val="24"/>
                <w14:textFill>
                  <w14:solidFill>
                    <w14:schemeClr w14:val="tx1">
                      <w14:lumMod w14:val="85000"/>
                      <w14:lumOff w14:val="15000"/>
                    </w14:schemeClr>
                  </w14:solidFill>
                </w14:textFill>
              </w:rPr>
              <w:t>表3-12</w:t>
            </w:r>
            <w:r>
              <w:rPr>
                <w:b/>
                <w:color w:val="262626" w:themeColor="text1" w:themeTint="D9"/>
                <w:sz w:val="24"/>
                <w14:textFill>
                  <w14:solidFill>
                    <w14:schemeClr w14:val="tx1">
                      <w14:lumMod w14:val="85000"/>
                      <w14:lumOff w14:val="15000"/>
                    </w14:schemeClr>
                  </w14:solidFill>
                </w14:textFill>
              </w:rPr>
              <w:t xml:space="preserve">  </w:t>
            </w:r>
            <w:r>
              <w:rPr>
                <w:rFonts w:hint="eastAsia"/>
                <w:b/>
                <w:color w:val="262626" w:themeColor="text1" w:themeTint="D9"/>
                <w:sz w:val="24"/>
                <w14:textFill>
                  <w14:solidFill>
                    <w14:schemeClr w14:val="tx1">
                      <w14:lumMod w14:val="85000"/>
                      <w14:lumOff w14:val="15000"/>
                    </w14:schemeClr>
                  </w14:solidFill>
                </w14:textFill>
              </w:rPr>
              <w:t>拟建</w:t>
            </w:r>
            <w:r>
              <w:rPr>
                <w:b/>
                <w:color w:val="262626" w:themeColor="text1" w:themeTint="D9"/>
                <w:sz w:val="24"/>
                <w14:textFill>
                  <w14:solidFill>
                    <w14:schemeClr w14:val="tx1">
                      <w14:lumMod w14:val="85000"/>
                      <w14:lumOff w14:val="15000"/>
                    </w14:schemeClr>
                  </w14:solidFill>
                </w14:textFill>
              </w:rPr>
              <w:t>项目</w:t>
            </w:r>
            <w:r>
              <w:rPr>
                <w:rFonts w:hint="eastAsia"/>
                <w:b/>
                <w:color w:val="262626" w:themeColor="text1" w:themeTint="D9"/>
                <w:sz w:val="24"/>
                <w14:textFill>
                  <w14:solidFill>
                    <w14:schemeClr w14:val="tx1">
                      <w14:lumMod w14:val="85000"/>
                      <w14:lumOff w14:val="15000"/>
                    </w14:schemeClr>
                  </w14:solidFill>
                </w14:textFill>
              </w:rPr>
              <w:t>各种污染物排放总量控制指标表</w:t>
            </w:r>
            <w:r>
              <w:rPr>
                <w:b/>
                <w:color w:val="262626" w:themeColor="text1" w:themeTint="D9"/>
                <w:sz w:val="24"/>
                <w14:textFill>
                  <w14:solidFill>
                    <w14:schemeClr w14:val="tx1">
                      <w14:lumMod w14:val="85000"/>
                      <w14:lumOff w14:val="15000"/>
                    </w14:schemeClr>
                  </w14:solidFill>
                </w14:textFill>
              </w:rPr>
              <w:t xml:space="preserve">    t/a</w:t>
            </w:r>
          </w:p>
          <w:tbl>
            <w:tblPr>
              <w:tblStyle w:val="58"/>
              <w:tblW w:w="77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40" w:type="dxa"/>
                <w:bottom w:w="0" w:type="dxa"/>
                <w:right w:w="40" w:type="dxa"/>
              </w:tblCellMar>
            </w:tblPr>
            <w:tblGrid>
              <w:gridCol w:w="1211"/>
              <w:gridCol w:w="1701"/>
              <w:gridCol w:w="2126"/>
              <w:gridCol w:w="27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84" w:hRule="atLeast"/>
                <w:jc w:val="center"/>
              </w:trPr>
              <w:tc>
                <w:tcPr>
                  <w:tcW w:w="1211" w:type="dxa"/>
                  <w:vAlign w:val="center"/>
                </w:tcPr>
                <w:p>
                  <w:pPr>
                    <w:adjustRightInd w:val="0"/>
                    <w:jc w:val="center"/>
                    <w:rPr>
                      <w:b/>
                      <w:color w:val="262626" w:themeColor="text1" w:themeTint="D9"/>
                      <w:szCs w:val="21"/>
                      <w14:textFill>
                        <w14:solidFill>
                          <w14:schemeClr w14:val="tx1">
                            <w14:lumMod w14:val="85000"/>
                            <w14:lumOff w14:val="15000"/>
                          </w14:schemeClr>
                        </w14:solidFill>
                      </w14:textFill>
                    </w:rPr>
                  </w:pPr>
                  <w:r>
                    <w:rPr>
                      <w:rFonts w:hint="eastAsia"/>
                      <w:b/>
                      <w:color w:val="262626" w:themeColor="text1" w:themeTint="D9"/>
                      <w:szCs w:val="21"/>
                      <w14:textFill>
                        <w14:solidFill>
                          <w14:schemeClr w14:val="tx1">
                            <w14:lumMod w14:val="85000"/>
                            <w14:lumOff w14:val="15000"/>
                          </w14:schemeClr>
                        </w14:solidFill>
                      </w14:textFill>
                    </w:rPr>
                    <w:t>类别</w:t>
                  </w:r>
                </w:p>
              </w:tc>
              <w:tc>
                <w:tcPr>
                  <w:tcW w:w="1701" w:type="dxa"/>
                  <w:vAlign w:val="center"/>
                </w:tcPr>
                <w:p>
                  <w:pPr>
                    <w:adjustRightInd w:val="0"/>
                    <w:jc w:val="center"/>
                    <w:rPr>
                      <w:b/>
                      <w:color w:val="262626" w:themeColor="text1" w:themeTint="D9"/>
                      <w:szCs w:val="21"/>
                      <w14:textFill>
                        <w14:solidFill>
                          <w14:schemeClr w14:val="tx1">
                            <w14:lumMod w14:val="85000"/>
                            <w14:lumOff w14:val="15000"/>
                          </w14:schemeClr>
                        </w14:solidFill>
                      </w14:textFill>
                    </w:rPr>
                  </w:pPr>
                  <w:r>
                    <w:rPr>
                      <w:rFonts w:hint="eastAsia"/>
                      <w:b/>
                      <w:color w:val="262626" w:themeColor="text1" w:themeTint="D9"/>
                      <w:szCs w:val="21"/>
                      <w14:textFill>
                        <w14:solidFill>
                          <w14:schemeClr w14:val="tx1">
                            <w14:lumMod w14:val="85000"/>
                            <w14:lumOff w14:val="15000"/>
                          </w14:schemeClr>
                        </w14:solidFill>
                      </w14:textFill>
                    </w:rPr>
                    <w:t>污染物名称</w:t>
                  </w:r>
                </w:p>
              </w:tc>
              <w:tc>
                <w:tcPr>
                  <w:tcW w:w="2126" w:type="dxa"/>
                  <w:vAlign w:val="center"/>
                </w:tcPr>
                <w:p>
                  <w:pPr>
                    <w:adjustRightInd w:val="0"/>
                    <w:jc w:val="center"/>
                    <w:rPr>
                      <w:b/>
                      <w:color w:val="262626" w:themeColor="text1" w:themeTint="D9"/>
                      <w:szCs w:val="21"/>
                      <w14:textFill>
                        <w14:solidFill>
                          <w14:schemeClr w14:val="tx1">
                            <w14:lumMod w14:val="85000"/>
                            <w14:lumOff w14:val="15000"/>
                          </w14:schemeClr>
                        </w14:solidFill>
                      </w14:textFill>
                    </w:rPr>
                  </w:pPr>
                  <w:r>
                    <w:rPr>
                      <w:rFonts w:hint="eastAsia"/>
                      <w:b/>
                      <w:color w:val="262626" w:themeColor="text1" w:themeTint="D9"/>
                      <w:szCs w:val="21"/>
                      <w14:textFill>
                        <w14:solidFill>
                          <w14:schemeClr w14:val="tx1">
                            <w14:lumMod w14:val="85000"/>
                            <w14:lumOff w14:val="15000"/>
                          </w14:schemeClr>
                        </w14:solidFill>
                      </w14:textFill>
                    </w:rPr>
                    <w:t>有组织/接管量</w:t>
                  </w:r>
                </w:p>
              </w:tc>
              <w:tc>
                <w:tcPr>
                  <w:tcW w:w="2733" w:type="dxa"/>
                  <w:vAlign w:val="center"/>
                </w:tcPr>
                <w:p>
                  <w:pPr>
                    <w:adjustRightInd w:val="0"/>
                    <w:jc w:val="center"/>
                    <w:rPr>
                      <w:b/>
                      <w:color w:val="262626" w:themeColor="text1" w:themeTint="D9"/>
                      <w:szCs w:val="21"/>
                      <w14:textFill>
                        <w14:solidFill>
                          <w14:schemeClr w14:val="tx1">
                            <w14:lumMod w14:val="85000"/>
                            <w14:lumOff w14:val="15000"/>
                          </w14:schemeClr>
                        </w14:solidFill>
                      </w14:textFill>
                    </w:rPr>
                  </w:pPr>
                  <w:r>
                    <w:rPr>
                      <w:rFonts w:hint="eastAsia"/>
                      <w:b/>
                      <w:color w:val="262626" w:themeColor="text1" w:themeTint="D9"/>
                      <w:szCs w:val="21"/>
                      <w14:textFill>
                        <w14:solidFill>
                          <w14:schemeClr w14:val="tx1">
                            <w14:lumMod w14:val="85000"/>
                            <w14:lumOff w14:val="15000"/>
                          </w14:schemeClr>
                        </w14:solidFill>
                      </w14:textFill>
                    </w:rPr>
                    <w:t>无组织/外环境排放量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380" w:hRule="atLeast"/>
                <w:jc w:val="center"/>
              </w:trPr>
              <w:tc>
                <w:tcPr>
                  <w:tcW w:w="1211" w:type="dxa"/>
                  <w:vMerge w:val="restart"/>
                  <w:vAlign w:val="center"/>
                </w:tcPr>
                <w:p>
                  <w:pPr>
                    <w:jc w:val="center"/>
                    <w:rPr>
                      <w:color w:val="262626" w:themeColor="text1" w:themeTint="D9"/>
                      <w:szCs w:val="21"/>
                      <w14:textFill>
                        <w14:solidFill>
                          <w14:schemeClr w14:val="tx1">
                            <w14:lumMod w14:val="85000"/>
                            <w14:lumOff w14:val="15000"/>
                          </w14:schemeClr>
                        </w14:solidFill>
                      </w14:textFill>
                    </w:rPr>
                  </w:pPr>
                  <w:r>
                    <w:rPr>
                      <w:color w:val="262626" w:themeColor="text1" w:themeTint="D9"/>
                      <w:szCs w:val="21"/>
                      <w14:textFill>
                        <w14:solidFill>
                          <w14:schemeClr w14:val="tx1">
                            <w14:lumMod w14:val="85000"/>
                            <w14:lumOff w14:val="15000"/>
                          </w14:schemeClr>
                        </w14:solidFill>
                      </w14:textFill>
                    </w:rPr>
                    <w:t>废气</w:t>
                  </w:r>
                </w:p>
              </w:tc>
              <w:tc>
                <w:tcPr>
                  <w:tcW w:w="1701" w:type="dxa"/>
                  <w:vAlign w:val="center"/>
                </w:tcPr>
                <w:p>
                  <w:pPr>
                    <w:adjustRightInd w:val="0"/>
                    <w:jc w:val="center"/>
                    <w:rPr>
                      <w:color w:val="262626" w:themeColor="text1" w:themeTint="D9"/>
                      <w:szCs w:val="21"/>
                      <w14:textFill>
                        <w14:solidFill>
                          <w14:schemeClr w14:val="tx1">
                            <w14:lumMod w14:val="85000"/>
                            <w14:lumOff w14:val="15000"/>
                          </w14:schemeClr>
                        </w14:solidFill>
                      </w14:textFill>
                    </w:rPr>
                  </w:pPr>
                  <w:r>
                    <w:rPr>
                      <w:rFonts w:hint="eastAsia"/>
                      <w:color w:val="262626" w:themeColor="text1" w:themeTint="D9"/>
                      <w:szCs w:val="21"/>
                      <w:lang w:val="zh-CN"/>
                      <w14:textFill>
                        <w14:solidFill>
                          <w14:schemeClr w14:val="tx1">
                            <w14:lumMod w14:val="85000"/>
                            <w14:lumOff w14:val="15000"/>
                          </w14:schemeClr>
                        </w14:solidFill>
                      </w14:textFill>
                    </w:rPr>
                    <w:t>VOCs</w:t>
                  </w:r>
                </w:p>
              </w:tc>
              <w:tc>
                <w:tcPr>
                  <w:tcW w:w="2126" w:type="dxa"/>
                  <w:vAlign w:val="center"/>
                </w:tcPr>
                <w:p>
                  <w:pPr>
                    <w:adjustRightInd w:val="0"/>
                    <w:jc w:val="center"/>
                    <w:rPr>
                      <w:color w:val="262626" w:themeColor="text1" w:themeTint="D9"/>
                      <w:szCs w:val="21"/>
                      <w14:textFill>
                        <w14:solidFill>
                          <w14:schemeClr w14:val="tx1">
                            <w14:lumMod w14:val="85000"/>
                            <w14:lumOff w14:val="15000"/>
                          </w14:schemeClr>
                        </w14:solidFill>
                      </w14:textFill>
                    </w:rPr>
                  </w:pPr>
                  <w:r>
                    <w:rPr>
                      <w:rFonts w:hint="eastAsia"/>
                      <w:szCs w:val="21"/>
                    </w:rPr>
                    <w:t>0.2108</w:t>
                  </w:r>
                </w:p>
              </w:tc>
              <w:tc>
                <w:tcPr>
                  <w:tcW w:w="2733" w:type="dxa"/>
                  <w:vAlign w:val="center"/>
                </w:tcPr>
                <w:p>
                  <w:pPr>
                    <w:adjustRightInd w:val="0"/>
                    <w:jc w:val="center"/>
                    <w:rPr>
                      <w:color w:val="262626" w:themeColor="text1" w:themeTint="D9"/>
                      <w:spacing w:val="-14"/>
                      <w:szCs w:val="21"/>
                      <w14:textFill>
                        <w14:solidFill>
                          <w14:schemeClr w14:val="tx1">
                            <w14:lumMod w14:val="85000"/>
                            <w14:lumOff w14:val="15000"/>
                          </w14:schemeClr>
                        </w14:solidFill>
                      </w14:textFill>
                    </w:rPr>
                  </w:pPr>
                  <w:r>
                    <w:rPr>
                      <w:rFonts w:hint="eastAsia"/>
                      <w:color w:val="262626" w:themeColor="text1" w:themeTint="D9"/>
                      <w:spacing w:val="-14"/>
                      <w:szCs w:val="21"/>
                      <w14:textFill>
                        <w14:solidFill>
                          <w14:schemeClr w14:val="tx1">
                            <w14:lumMod w14:val="85000"/>
                            <w14:lumOff w14:val="15000"/>
                          </w14:schemeClr>
                        </w14:solidFill>
                      </w14:textFill>
                    </w:rPr>
                    <w:t>0.0854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380" w:hRule="atLeast"/>
                <w:jc w:val="center"/>
              </w:trPr>
              <w:tc>
                <w:tcPr>
                  <w:tcW w:w="1211" w:type="dxa"/>
                  <w:vMerge w:val="continue"/>
                  <w:vAlign w:val="center"/>
                </w:tcPr>
                <w:p>
                  <w:pPr>
                    <w:jc w:val="center"/>
                    <w:rPr>
                      <w:color w:val="262626" w:themeColor="text1" w:themeTint="D9"/>
                      <w:szCs w:val="21"/>
                      <w14:textFill>
                        <w14:solidFill>
                          <w14:schemeClr w14:val="tx1">
                            <w14:lumMod w14:val="85000"/>
                            <w14:lumOff w14:val="15000"/>
                          </w14:schemeClr>
                        </w14:solidFill>
                      </w14:textFill>
                    </w:rPr>
                  </w:pPr>
                </w:p>
              </w:tc>
              <w:tc>
                <w:tcPr>
                  <w:tcW w:w="1701" w:type="dxa"/>
                  <w:vAlign w:val="center"/>
                </w:tcPr>
                <w:p>
                  <w:pPr>
                    <w:adjustRightInd w:val="0"/>
                    <w:jc w:val="center"/>
                    <w:rPr>
                      <w:color w:val="262626" w:themeColor="text1" w:themeTint="D9"/>
                      <w:szCs w:val="21"/>
                      <w:lang w:val="zh-CN"/>
                      <w14:textFill>
                        <w14:solidFill>
                          <w14:schemeClr w14:val="tx1">
                            <w14:lumMod w14:val="85000"/>
                            <w14:lumOff w14:val="15000"/>
                          </w14:schemeClr>
                        </w14:solidFill>
                      </w14:textFill>
                    </w:rPr>
                  </w:pPr>
                  <w:r>
                    <w:rPr>
                      <w:rFonts w:hint="eastAsia"/>
                      <w:color w:val="262626" w:themeColor="text1" w:themeTint="D9"/>
                      <w:szCs w:val="21"/>
                      <w:lang w:val="zh-CN"/>
                      <w14:textFill>
                        <w14:solidFill>
                          <w14:schemeClr w14:val="tx1">
                            <w14:lumMod w14:val="85000"/>
                            <w14:lumOff w14:val="15000"/>
                          </w14:schemeClr>
                        </w14:solidFill>
                      </w14:textFill>
                    </w:rPr>
                    <w:t>烟/粉尘</w:t>
                  </w:r>
                </w:p>
              </w:tc>
              <w:tc>
                <w:tcPr>
                  <w:tcW w:w="2126" w:type="dxa"/>
                  <w:vAlign w:val="center"/>
                </w:tcPr>
                <w:p>
                  <w:pPr>
                    <w:adjustRightInd w:val="0"/>
                    <w:jc w:val="center"/>
                    <w:rPr>
                      <w:color w:val="262626" w:themeColor="text1" w:themeTint="D9"/>
                      <w:szCs w:val="21"/>
                      <w14:textFill>
                        <w14:solidFill>
                          <w14:schemeClr w14:val="tx1">
                            <w14:lumMod w14:val="85000"/>
                            <w14:lumOff w14:val="15000"/>
                          </w14:schemeClr>
                        </w14:solidFill>
                      </w14:textFill>
                    </w:rPr>
                  </w:pPr>
                  <w:r>
                    <w:rPr>
                      <w:rFonts w:hint="eastAsia"/>
                      <w:szCs w:val="21"/>
                    </w:rPr>
                    <w:t>0.1992</w:t>
                  </w:r>
                </w:p>
              </w:tc>
              <w:tc>
                <w:tcPr>
                  <w:tcW w:w="2733" w:type="dxa"/>
                  <w:vAlign w:val="center"/>
                </w:tcPr>
                <w:p>
                  <w:pPr>
                    <w:adjustRightInd w:val="0"/>
                    <w:jc w:val="center"/>
                    <w:rPr>
                      <w:color w:val="262626" w:themeColor="text1" w:themeTint="D9"/>
                      <w:spacing w:val="-14"/>
                      <w:szCs w:val="21"/>
                      <w14:textFill>
                        <w14:solidFill>
                          <w14:schemeClr w14:val="tx1">
                            <w14:lumMod w14:val="85000"/>
                            <w14:lumOff w14:val="15000"/>
                          </w14:schemeClr>
                        </w14:solidFill>
                      </w14:textFill>
                    </w:rPr>
                  </w:pPr>
                  <w:r>
                    <w:rPr>
                      <w:rFonts w:hint="eastAsia"/>
                      <w:color w:val="262626" w:themeColor="text1" w:themeTint="D9"/>
                      <w:spacing w:val="-14"/>
                      <w:szCs w:val="21"/>
                      <w14:textFill>
                        <w14:solidFill>
                          <w14:schemeClr w14:val="tx1">
                            <w14:lumMod w14:val="85000"/>
                            <w14:lumOff w14:val="15000"/>
                          </w14:schemeClr>
                        </w14:solidFill>
                      </w14:textFill>
                    </w:rPr>
                    <w:t>0.094</w:t>
                  </w:r>
                </w:p>
              </w:tc>
            </w:tr>
          </w:tbl>
          <w:p>
            <w:pPr>
              <w:rPr>
                <w:rFonts w:cs="宋体"/>
                <w:color w:val="000000"/>
                <w:szCs w:val="21"/>
              </w:rPr>
            </w:pPr>
          </w:p>
          <w:p>
            <w:pPr>
              <w:rPr>
                <w:rFonts w:cs="宋体"/>
                <w:color w:val="000000"/>
                <w:szCs w:val="21"/>
              </w:rPr>
            </w:pPr>
          </w:p>
          <w:p>
            <w:pPr>
              <w:rPr>
                <w:rFonts w:cs="宋体"/>
                <w:color w:val="000000"/>
                <w:szCs w:val="21"/>
              </w:rPr>
            </w:pPr>
          </w:p>
          <w:p>
            <w:pPr>
              <w:rPr>
                <w:rFonts w:cs="宋体"/>
                <w:color w:val="000000"/>
                <w:szCs w:val="21"/>
              </w:rPr>
            </w:pPr>
          </w:p>
          <w:p>
            <w:pPr>
              <w:rPr>
                <w:rFonts w:cs="宋体"/>
                <w:color w:val="000000"/>
                <w:szCs w:val="21"/>
              </w:rPr>
            </w:pPr>
          </w:p>
          <w:p>
            <w:pPr>
              <w:rPr>
                <w:rFonts w:cs="宋体"/>
                <w:color w:val="000000"/>
                <w:szCs w:val="21"/>
              </w:rPr>
            </w:pPr>
          </w:p>
        </w:tc>
      </w:tr>
    </w:tbl>
    <w:p>
      <w:pPr>
        <w:pStyle w:val="53"/>
        <w:jc w:val="center"/>
        <w:outlineLvl w:val="0"/>
        <w:rPr>
          <w:rFonts w:ascii="Times New Roman" w:hAnsi="Times New Roman"/>
          <w:b/>
          <w:snapToGrid w:val="0"/>
          <w:color w:val="000000"/>
          <w:sz w:val="30"/>
          <w:szCs w:val="30"/>
        </w:rPr>
      </w:pPr>
      <w:r>
        <w:rPr>
          <w:rFonts w:hint="eastAsia" w:ascii="Times New Roman" w:hAnsi="Times New Roman"/>
          <w:b/>
          <w:snapToGrid w:val="0"/>
          <w:color w:val="000000"/>
          <w:sz w:val="30"/>
          <w:szCs w:val="30"/>
        </w:rPr>
        <w:t>四、主要环境影响和保护措施</w:t>
      </w: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49" w:hRule="atLeast"/>
          <w:jc w:val="center"/>
        </w:trPr>
        <w:tc>
          <w:tcPr>
            <w:tcW w:w="746" w:type="dxa"/>
            <w:tcMar>
              <w:left w:w="28" w:type="dxa"/>
              <w:right w:w="28" w:type="dxa"/>
            </w:tcMar>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施工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境保</w:t>
            </w:r>
          </w:p>
          <w:p>
            <w:pPr>
              <w:autoSpaceDE w:val="0"/>
              <w:autoSpaceDN w:val="0"/>
              <w:adjustRightInd w:val="0"/>
              <w:snapToGrid w:val="0"/>
              <w:jc w:val="center"/>
              <w:rPr>
                <w:rFonts w:cs="宋体"/>
                <w:color w:val="000000"/>
                <w:kern w:val="0"/>
                <w:sz w:val="24"/>
              </w:rPr>
            </w:pPr>
            <w:r>
              <w:rPr>
                <w:rFonts w:hint="eastAsia" w:cs="宋体"/>
                <w:color w:val="000000"/>
                <w:kern w:val="0"/>
                <w:sz w:val="24"/>
              </w:rPr>
              <w:t>护措</w:t>
            </w:r>
          </w:p>
          <w:p>
            <w:pPr>
              <w:autoSpaceDE w:val="0"/>
              <w:autoSpaceDN w:val="0"/>
              <w:adjustRightInd w:val="0"/>
              <w:snapToGrid w:val="0"/>
              <w:jc w:val="center"/>
              <w:rPr>
                <w:rFonts w:cs="宋体"/>
                <w:color w:val="000000"/>
                <w:kern w:val="0"/>
                <w:sz w:val="24"/>
              </w:rPr>
            </w:pPr>
            <w:r>
              <w:rPr>
                <w:rFonts w:hint="eastAsia" w:cs="宋体"/>
                <w:color w:val="000000"/>
                <w:kern w:val="0"/>
                <w:sz w:val="24"/>
              </w:rPr>
              <w:t>施</w:t>
            </w:r>
          </w:p>
        </w:tc>
        <w:tc>
          <w:tcPr>
            <w:tcW w:w="8162" w:type="dxa"/>
            <w:vAlign w:val="center"/>
          </w:tcPr>
          <w:p>
            <w:pPr>
              <w:spacing w:line="360" w:lineRule="auto"/>
              <w:ind w:firstLine="480" w:firstLineChars="200"/>
              <w:rPr>
                <w:color w:val="000000"/>
                <w:kern w:val="0"/>
                <w:sz w:val="24"/>
              </w:rPr>
            </w:pPr>
            <w:r>
              <w:rPr>
                <w:rFonts w:hint="eastAsia"/>
                <w:color w:val="000000"/>
                <w:kern w:val="0"/>
                <w:sz w:val="24"/>
              </w:rPr>
              <w:t>本项目为改扩建项目，利用原有的、对已经建造完成的二期厂房的平面布局进行调整，主要为设备安装，故不再对施工期环境影响进行分析。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746" w:type="dxa"/>
            <w:tcMar>
              <w:left w:w="28" w:type="dxa"/>
              <w:right w:w="28" w:type="dxa"/>
            </w:tcMar>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运营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境影</w:t>
            </w:r>
          </w:p>
          <w:p>
            <w:pPr>
              <w:autoSpaceDE w:val="0"/>
              <w:autoSpaceDN w:val="0"/>
              <w:adjustRightInd w:val="0"/>
              <w:snapToGrid w:val="0"/>
              <w:jc w:val="center"/>
              <w:rPr>
                <w:rFonts w:cs="宋体"/>
                <w:color w:val="000000"/>
                <w:kern w:val="0"/>
                <w:sz w:val="24"/>
              </w:rPr>
            </w:pPr>
            <w:r>
              <w:rPr>
                <w:rFonts w:hint="eastAsia" w:cs="宋体"/>
                <w:color w:val="000000"/>
                <w:kern w:val="0"/>
                <w:sz w:val="24"/>
              </w:rPr>
              <w:t>响和</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autoSpaceDE w:val="0"/>
              <w:autoSpaceDN w:val="0"/>
              <w:adjustRightInd w:val="0"/>
              <w:snapToGrid w:val="0"/>
              <w:jc w:val="center"/>
              <w:rPr>
                <w:rFonts w:cs="宋体"/>
                <w:color w:val="000000"/>
                <w:kern w:val="0"/>
                <w:sz w:val="24"/>
              </w:rPr>
            </w:pPr>
            <w:r>
              <w:rPr>
                <w:rFonts w:hint="eastAsia" w:cs="宋体"/>
                <w:color w:val="000000"/>
                <w:kern w:val="0"/>
                <w:sz w:val="24"/>
              </w:rPr>
              <w:t>措施</w:t>
            </w:r>
          </w:p>
        </w:tc>
        <w:tc>
          <w:tcPr>
            <w:tcW w:w="8162" w:type="dxa"/>
            <w:vAlign w:val="center"/>
          </w:tcPr>
          <w:p>
            <w:pPr>
              <w:keepNext/>
              <w:keepLines/>
              <w:spacing w:before="120" w:beforeLines="50" w:line="360" w:lineRule="auto"/>
              <w:ind w:firstLine="354" w:firstLineChars="147"/>
              <w:outlineLvl w:val="2"/>
              <w:rPr>
                <w:b/>
                <w:bCs/>
                <w:color w:val="000000"/>
                <w:sz w:val="24"/>
                <w:szCs w:val="32"/>
              </w:rPr>
            </w:pPr>
            <w:r>
              <w:rPr>
                <w:rFonts w:hint="eastAsia"/>
                <w:b/>
                <w:bCs/>
                <w:color w:val="000000"/>
                <w:sz w:val="24"/>
                <w:szCs w:val="32"/>
              </w:rPr>
              <w:t>一、废气环境影响和保护措施</w:t>
            </w:r>
          </w:p>
          <w:p>
            <w:pPr>
              <w:keepNext/>
              <w:keepLines/>
              <w:spacing w:line="360" w:lineRule="auto"/>
              <w:ind w:firstLine="472" w:firstLineChars="196"/>
              <w:outlineLvl w:val="2"/>
              <w:rPr>
                <w:b/>
                <w:bCs/>
                <w:color w:val="000000"/>
                <w:sz w:val="24"/>
                <w:szCs w:val="32"/>
              </w:rPr>
            </w:pPr>
            <w:r>
              <w:rPr>
                <w:rFonts w:hint="eastAsia"/>
                <w:b/>
                <w:bCs/>
                <w:color w:val="000000"/>
                <w:sz w:val="24"/>
                <w:szCs w:val="32"/>
              </w:rPr>
              <w:t>1、</w:t>
            </w:r>
            <w:r>
              <w:rPr>
                <w:b/>
                <w:bCs/>
                <w:color w:val="000000"/>
                <w:sz w:val="24"/>
                <w:szCs w:val="32"/>
              </w:rPr>
              <w:t>废气污染源</w:t>
            </w:r>
            <w:r>
              <w:rPr>
                <w:rFonts w:hint="eastAsia"/>
                <w:b/>
                <w:bCs/>
                <w:color w:val="000000"/>
                <w:sz w:val="24"/>
                <w:szCs w:val="32"/>
              </w:rPr>
              <w:t>分析</w:t>
            </w:r>
          </w:p>
          <w:p>
            <w:pPr>
              <w:widowControl/>
              <w:spacing w:line="360" w:lineRule="auto"/>
              <w:ind w:firstLine="480" w:firstLineChars="200"/>
              <w:jc w:val="left"/>
              <w:rPr>
                <w:color w:val="000000"/>
                <w:kern w:val="0"/>
                <w:sz w:val="24"/>
              </w:rPr>
            </w:pPr>
            <w:r>
              <w:rPr>
                <w:color w:val="000000"/>
                <w:kern w:val="0"/>
                <w:sz w:val="24"/>
              </w:rPr>
              <w:t>项目营运期废气污染源主要有：</w:t>
            </w:r>
            <w:r>
              <w:rPr>
                <w:rFonts w:hint="eastAsia"/>
                <w:color w:val="000000"/>
                <w:kern w:val="0"/>
                <w:sz w:val="24"/>
              </w:rPr>
              <w:t>喷砂粉尘（G1）、喷漆及晾干废气（G2）</w:t>
            </w:r>
            <w:r>
              <w:rPr>
                <w:color w:val="000000"/>
                <w:kern w:val="0"/>
                <w:sz w:val="24"/>
              </w:rPr>
              <w:t>。</w:t>
            </w:r>
          </w:p>
          <w:p>
            <w:pPr>
              <w:widowControl/>
              <w:spacing w:line="360" w:lineRule="auto"/>
              <w:ind w:firstLine="480" w:firstLineChars="200"/>
              <w:jc w:val="left"/>
              <w:rPr>
                <w:color w:val="000000"/>
                <w:kern w:val="0"/>
                <w:sz w:val="24"/>
              </w:rPr>
            </w:pPr>
            <w:r>
              <w:rPr>
                <w:rFonts w:hint="eastAsia"/>
                <w:bCs/>
                <w:sz w:val="24"/>
              </w:rPr>
              <w:t>（1）喷砂粉尘（G1）</w:t>
            </w:r>
          </w:p>
          <w:p>
            <w:pPr>
              <w:snapToGrid w:val="0"/>
              <w:spacing w:line="360" w:lineRule="auto"/>
              <w:ind w:firstLine="480" w:firstLineChars="200"/>
              <w:rPr>
                <w:sz w:val="24"/>
              </w:rPr>
            </w:pPr>
            <w:r>
              <w:rPr>
                <w:rFonts w:hint="eastAsia"/>
                <w:color w:val="000000"/>
                <w:sz w:val="24"/>
              </w:rPr>
              <w:t>本项目喷砂工序在密闭室进行，根据企业提供的资料，需要进行喷砂处理的工件约5000t/a，</w:t>
            </w:r>
            <w:r>
              <w:rPr>
                <w:rFonts w:hint="eastAsia"/>
                <w:sz w:val="24"/>
              </w:rPr>
              <w:t>参照</w:t>
            </w:r>
            <w:r>
              <w:rPr>
                <w:rFonts w:hint="eastAsia"/>
                <w:bCs/>
                <w:iCs/>
                <w:color w:val="000000"/>
                <w:sz w:val="24"/>
              </w:rPr>
              <w:t>《排放源统计调查产排污核算方法和系数手册》</w:t>
            </w:r>
            <w:r>
              <w:rPr>
                <w:rFonts w:hint="eastAsia"/>
                <w:iCs/>
                <w:color w:val="000000"/>
                <w:sz w:val="24"/>
              </w:rPr>
              <w:t>（</w:t>
            </w:r>
            <w:r>
              <w:rPr>
                <w:rFonts w:hint="eastAsia"/>
                <w:sz w:val="24"/>
              </w:rPr>
              <w:t>33金属制品业 行业系数手册）</w:t>
            </w:r>
            <w:r>
              <w:rPr>
                <w:sz w:val="24"/>
              </w:rPr>
              <w:t>中</w:t>
            </w:r>
            <w:r>
              <w:rPr>
                <w:rFonts w:hint="eastAsia"/>
                <w:sz w:val="24"/>
              </w:rPr>
              <w:t>喷砂工序颗粒物产生系数为2.19 kg/t原料，</w:t>
            </w:r>
            <w:r>
              <w:rPr>
                <w:sz w:val="24"/>
              </w:rPr>
              <w:t>则</w:t>
            </w:r>
            <w:r>
              <w:rPr>
                <w:rFonts w:hint="eastAsia"/>
                <w:sz w:val="24"/>
              </w:rPr>
              <w:t>喷砂</w:t>
            </w:r>
            <w:r>
              <w:rPr>
                <w:sz w:val="24"/>
              </w:rPr>
              <w:t>工序</w:t>
            </w:r>
            <w:r>
              <w:rPr>
                <w:rFonts w:hint="eastAsia"/>
                <w:sz w:val="24"/>
              </w:rPr>
              <w:t>喷砂粉尘</w:t>
            </w:r>
            <w:r>
              <w:rPr>
                <w:sz w:val="24"/>
              </w:rPr>
              <w:t>产生量为</w:t>
            </w:r>
            <w:r>
              <w:rPr>
                <w:rFonts w:hint="eastAsia"/>
                <w:sz w:val="24"/>
              </w:rPr>
              <w:t>10.95</w:t>
            </w:r>
            <w:r>
              <w:rPr>
                <w:sz w:val="24"/>
              </w:rPr>
              <w:t xml:space="preserve"> t/a</w:t>
            </w:r>
            <w:r>
              <w:rPr>
                <w:rFonts w:hint="eastAsia"/>
                <w:sz w:val="24"/>
              </w:rPr>
              <w:t>。喷砂粉尘在密闭</w:t>
            </w:r>
            <w:r>
              <w:rPr>
                <w:rFonts w:hint="eastAsia"/>
                <w:color w:val="000000"/>
                <w:sz w:val="24"/>
              </w:rPr>
              <w:t>室内通过风机产生负压状态被收集（收集效率100%）</w:t>
            </w:r>
            <w:r>
              <w:rPr>
                <w:rFonts w:hint="eastAsia"/>
                <w:color w:val="000000"/>
                <w:sz w:val="24"/>
                <w:lang w:val="en-GB"/>
              </w:rPr>
              <w:t>，</w:t>
            </w:r>
            <w:r>
              <w:rPr>
                <w:rFonts w:hint="eastAsia"/>
                <w:sz w:val="24"/>
              </w:rPr>
              <w:t>收集</w:t>
            </w:r>
            <w:r>
              <w:rPr>
                <w:sz w:val="24"/>
              </w:rPr>
              <w:t>后的</w:t>
            </w:r>
            <w:r>
              <w:rPr>
                <w:rFonts w:hint="eastAsia"/>
                <w:sz w:val="24"/>
                <w:lang w:val="en-US" w:eastAsia="zh-CN"/>
              </w:rPr>
              <w:t>喷砂</w:t>
            </w:r>
            <w:r>
              <w:rPr>
                <w:rFonts w:hint="eastAsia"/>
                <w:sz w:val="24"/>
              </w:rPr>
              <w:t>粉尘</w:t>
            </w:r>
            <w:r>
              <w:rPr>
                <w:sz w:val="24"/>
              </w:rPr>
              <w:t>通过</w:t>
            </w:r>
            <w:r>
              <w:rPr>
                <w:rFonts w:hint="eastAsia"/>
                <w:sz w:val="24"/>
              </w:rPr>
              <w:t>布袋</w:t>
            </w:r>
            <w:r>
              <w:rPr>
                <w:sz w:val="24"/>
              </w:rPr>
              <w:t>除尘器处理</w:t>
            </w:r>
            <w:r>
              <w:rPr>
                <w:rFonts w:hint="eastAsia"/>
                <w:sz w:val="24"/>
              </w:rPr>
              <w:t>（处理效率99%）</w:t>
            </w:r>
            <w:r>
              <w:rPr>
                <w:sz w:val="24"/>
              </w:rPr>
              <w:t>，再通过1</w:t>
            </w:r>
            <w:r>
              <w:rPr>
                <w:rFonts w:hint="eastAsia"/>
                <w:sz w:val="24"/>
              </w:rPr>
              <w:t>5</w:t>
            </w:r>
            <w:r>
              <w:rPr>
                <w:sz w:val="24"/>
              </w:rPr>
              <w:t>m高排气筒</w:t>
            </w:r>
            <w:r>
              <w:rPr>
                <w:rFonts w:hint="eastAsia"/>
                <w:sz w:val="24"/>
              </w:rPr>
              <w:t>（DA003）</w:t>
            </w:r>
            <w:r>
              <w:rPr>
                <w:sz w:val="24"/>
              </w:rPr>
              <w:t>排放</w:t>
            </w:r>
            <w:r>
              <w:rPr>
                <w:rFonts w:hint="eastAsia"/>
                <w:sz w:val="24"/>
              </w:rPr>
              <w:t>。</w:t>
            </w:r>
            <w:r>
              <w:rPr>
                <w:rFonts w:hint="eastAsia"/>
                <w:sz w:val="24"/>
                <w:lang w:val="en-US" w:eastAsia="zh-CN"/>
              </w:rPr>
              <w:t>喷砂房体积为1694m</w:t>
            </w:r>
            <w:r>
              <w:rPr>
                <w:rFonts w:hint="eastAsia"/>
                <w:sz w:val="24"/>
                <w:vertAlign w:val="superscript"/>
                <w:lang w:val="en-US" w:eastAsia="zh-CN"/>
              </w:rPr>
              <w:t>3</w:t>
            </w:r>
            <w:r>
              <w:rPr>
                <w:rFonts w:hint="eastAsia"/>
                <w:sz w:val="24"/>
                <w:lang w:val="en-US" w:eastAsia="zh-CN"/>
              </w:rPr>
              <w:t>,设置换气次数11次/h，则喷漆房风量为18634m</w:t>
            </w:r>
            <w:r>
              <w:rPr>
                <w:rFonts w:hint="eastAsia"/>
                <w:sz w:val="24"/>
                <w:vertAlign w:val="superscript"/>
                <w:lang w:val="en-US" w:eastAsia="zh-CN"/>
              </w:rPr>
              <w:t>3</w:t>
            </w:r>
            <w:r>
              <w:rPr>
                <w:rFonts w:hint="eastAsia"/>
                <w:sz w:val="24"/>
                <w:lang w:val="en-US" w:eastAsia="zh-CN"/>
              </w:rPr>
              <w:t>,喷漆房设置总风量为20000</w:t>
            </w:r>
            <w:r>
              <w:rPr>
                <w:rFonts w:hint="eastAsia"/>
                <w:sz w:val="24"/>
              </w:rPr>
              <w:t xml:space="preserve"> m</w:t>
            </w:r>
            <w:r>
              <w:rPr>
                <w:rFonts w:hint="eastAsia"/>
                <w:sz w:val="24"/>
                <w:vertAlign w:val="superscript"/>
              </w:rPr>
              <w:t>3</w:t>
            </w:r>
            <w:r>
              <w:rPr>
                <w:rFonts w:hint="eastAsia"/>
                <w:sz w:val="24"/>
              </w:rPr>
              <w:t>/h</w:t>
            </w:r>
            <w:r>
              <w:rPr>
                <w:rFonts w:hint="eastAsia"/>
                <w:sz w:val="24"/>
                <w:lang w:eastAsia="zh-CN"/>
              </w:rPr>
              <w:t>。</w:t>
            </w:r>
          </w:p>
          <w:p>
            <w:pPr>
              <w:snapToGrid w:val="0"/>
              <w:spacing w:line="360" w:lineRule="auto"/>
              <w:ind w:firstLine="480" w:firstLineChars="200"/>
              <w:rPr>
                <w:sz w:val="24"/>
              </w:rPr>
            </w:pPr>
            <w:r>
              <w:rPr>
                <w:color w:val="000000"/>
                <w:sz w:val="24"/>
              </w:rPr>
              <w:t>该工序运行时间</w:t>
            </w:r>
            <w:r>
              <w:rPr>
                <w:rFonts w:hint="eastAsia"/>
                <w:color w:val="000000"/>
                <w:sz w:val="24"/>
                <w:lang w:val="en-US" w:eastAsia="zh-CN"/>
              </w:rPr>
              <w:t>18</w:t>
            </w:r>
            <w:r>
              <w:rPr>
                <w:color w:val="000000"/>
                <w:sz w:val="24"/>
              </w:rPr>
              <w:t>00 h/a，则颗粒物有组织排放量为</w:t>
            </w:r>
            <w:r>
              <w:rPr>
                <w:rFonts w:hint="eastAsia"/>
                <w:color w:val="000000"/>
                <w:sz w:val="24"/>
              </w:rPr>
              <w:t>0.1095</w:t>
            </w:r>
            <w:r>
              <w:rPr>
                <w:color w:val="000000"/>
                <w:sz w:val="24"/>
              </w:rPr>
              <w:t>t/a，排放速率</w:t>
            </w:r>
            <w:r>
              <w:rPr>
                <w:rFonts w:hint="eastAsia"/>
                <w:color w:val="000000"/>
                <w:sz w:val="24"/>
              </w:rPr>
              <w:t>0.0</w:t>
            </w:r>
            <w:r>
              <w:rPr>
                <w:rFonts w:hint="eastAsia"/>
                <w:color w:val="000000"/>
                <w:sz w:val="24"/>
                <w:lang w:val="en-US" w:eastAsia="zh-CN"/>
              </w:rPr>
              <w:t>61</w:t>
            </w:r>
            <w:r>
              <w:rPr>
                <w:color w:val="000000"/>
                <w:sz w:val="24"/>
              </w:rPr>
              <w:t>kg/h，排放浓度</w:t>
            </w:r>
            <w:r>
              <w:rPr>
                <w:rFonts w:hint="eastAsia"/>
                <w:color w:val="000000"/>
                <w:sz w:val="24"/>
                <w:lang w:val="en-US" w:eastAsia="zh-CN"/>
              </w:rPr>
              <w:t>3.042</w:t>
            </w:r>
            <w:r>
              <w:rPr>
                <w:color w:val="000000"/>
                <w:sz w:val="24"/>
              </w:rPr>
              <w:t>mg/m</w:t>
            </w:r>
            <w:r>
              <w:rPr>
                <w:color w:val="000000"/>
                <w:sz w:val="24"/>
                <w:vertAlign w:val="superscript"/>
              </w:rPr>
              <w:t>3</w:t>
            </w:r>
            <w:r>
              <w:rPr>
                <w:sz w:val="24"/>
              </w:rPr>
              <w:t>。</w:t>
            </w:r>
          </w:p>
          <w:p>
            <w:pPr>
              <w:snapToGrid w:val="0"/>
              <w:spacing w:line="360" w:lineRule="auto"/>
              <w:ind w:firstLine="480" w:firstLineChars="200"/>
              <w:rPr>
                <w:color w:val="000000"/>
                <w:kern w:val="0"/>
                <w:sz w:val="24"/>
              </w:rPr>
            </w:pPr>
            <w:r>
              <w:rPr>
                <w:rFonts w:hint="eastAsia"/>
                <w:sz w:val="24"/>
              </w:rPr>
              <w:t>（2）调漆、</w:t>
            </w:r>
            <w:r>
              <w:rPr>
                <w:rFonts w:hint="eastAsia"/>
                <w:color w:val="000000"/>
                <w:kern w:val="0"/>
                <w:sz w:val="24"/>
              </w:rPr>
              <w:t>喷漆及晾干废气（G2）</w:t>
            </w:r>
          </w:p>
          <w:p>
            <w:pPr>
              <w:snapToGrid w:val="0"/>
              <w:spacing w:line="360" w:lineRule="auto"/>
              <w:ind w:firstLine="480" w:firstLineChars="200"/>
              <w:rPr>
                <w:kern w:val="0"/>
                <w:sz w:val="24"/>
              </w:rPr>
            </w:pPr>
            <w:r>
              <w:rPr>
                <w:sz w:val="24"/>
              </w:rPr>
              <w:t>本项目</w:t>
            </w:r>
            <w:r>
              <w:rPr>
                <w:rFonts w:hint="eastAsia"/>
                <w:sz w:val="24"/>
              </w:rPr>
              <w:t>调漆、</w:t>
            </w:r>
            <w:r>
              <w:rPr>
                <w:rFonts w:hint="eastAsia"/>
                <w:color w:val="000000"/>
                <w:kern w:val="0"/>
                <w:sz w:val="24"/>
              </w:rPr>
              <w:t>喷漆及晾干工序</w:t>
            </w:r>
            <w:r>
              <w:rPr>
                <w:rFonts w:hint="eastAsia"/>
                <w:kern w:val="0"/>
                <w:sz w:val="24"/>
              </w:rPr>
              <w:t>水性丙烯酸防锈底漆</w:t>
            </w:r>
            <w:r>
              <w:rPr>
                <w:kern w:val="0"/>
                <w:sz w:val="24"/>
              </w:rPr>
              <w:t>、</w:t>
            </w:r>
            <w:r>
              <w:rPr>
                <w:rFonts w:hint="eastAsia"/>
                <w:kern w:val="0"/>
                <w:sz w:val="24"/>
              </w:rPr>
              <w:t>水性丙烯酸防锈面漆</w:t>
            </w:r>
            <w:r>
              <w:rPr>
                <w:rFonts w:hint="eastAsia"/>
                <w:sz w:val="24"/>
              </w:rPr>
              <w:t>、</w:t>
            </w:r>
            <w:r>
              <w:rPr>
                <w:rFonts w:hint="eastAsia"/>
                <w:kern w:val="0"/>
                <w:sz w:val="24"/>
              </w:rPr>
              <w:t>环氧富锌防腐底漆、铁红醇酸防锈底漆以及丙烯酸聚氨酯面漆涂料</w:t>
            </w:r>
            <w:r>
              <w:rPr>
                <w:sz w:val="24"/>
              </w:rPr>
              <w:t>的年使用量为</w:t>
            </w:r>
            <w:r>
              <w:rPr>
                <w:rFonts w:hint="eastAsia"/>
                <w:sz w:val="24"/>
              </w:rPr>
              <w:t>1.6</w:t>
            </w:r>
            <w:r>
              <w:rPr>
                <w:kern w:val="0"/>
                <w:sz w:val="24"/>
              </w:rPr>
              <w:t>t/a</w:t>
            </w:r>
            <w:r>
              <w:rPr>
                <w:rFonts w:hint="eastAsia"/>
                <w:sz w:val="24"/>
              </w:rPr>
              <w:t xml:space="preserve"> 、1.6</w:t>
            </w:r>
            <w:r>
              <w:rPr>
                <w:kern w:val="0"/>
                <w:sz w:val="24"/>
              </w:rPr>
              <w:t>t/a</w:t>
            </w:r>
            <w:r>
              <w:rPr>
                <w:rFonts w:hint="eastAsia"/>
                <w:sz w:val="24"/>
              </w:rPr>
              <w:t xml:space="preserve"> 、1.28</w:t>
            </w:r>
            <w:r>
              <w:rPr>
                <w:kern w:val="0"/>
                <w:sz w:val="24"/>
              </w:rPr>
              <w:t>t/a</w:t>
            </w:r>
            <w:r>
              <w:rPr>
                <w:rFonts w:hint="eastAsia"/>
                <w:kern w:val="0"/>
                <w:sz w:val="24"/>
              </w:rPr>
              <w:t>、2.95t/a、1.21t/a</w:t>
            </w:r>
            <w:r>
              <w:rPr>
                <w:sz w:val="24"/>
              </w:rPr>
              <w:t>，</w:t>
            </w:r>
            <w:r>
              <w:rPr>
                <w:kern w:val="0"/>
                <w:sz w:val="24"/>
              </w:rPr>
              <w:t>根</w:t>
            </w:r>
            <w:r>
              <w:rPr>
                <w:sz w:val="24"/>
              </w:rPr>
              <w:t>据企业提供资料</w:t>
            </w:r>
            <w:r>
              <w:rPr>
                <w:rFonts w:hint="eastAsia"/>
                <w:sz w:val="24"/>
              </w:rPr>
              <w:t>，</w:t>
            </w:r>
            <w:r>
              <w:rPr>
                <w:sz w:val="24"/>
              </w:rPr>
              <w:t>喷漆时固体份附着率约</w:t>
            </w:r>
            <w:r>
              <w:rPr>
                <w:rFonts w:hint="eastAsia"/>
                <w:sz w:val="24"/>
              </w:rPr>
              <w:t>70</w:t>
            </w:r>
            <w:r>
              <w:rPr>
                <w:sz w:val="24"/>
              </w:rPr>
              <w:t>%，其余</w:t>
            </w:r>
            <w:r>
              <w:rPr>
                <w:rFonts w:hint="eastAsia"/>
                <w:sz w:val="24"/>
              </w:rPr>
              <w:t>30</w:t>
            </w:r>
            <w:r>
              <w:rPr>
                <w:sz w:val="24"/>
              </w:rPr>
              <w:t>%转化为漆雾。结合漆料</w:t>
            </w:r>
            <w:r>
              <w:rPr>
                <w:rFonts w:hint="eastAsia"/>
                <w:sz w:val="24"/>
              </w:rPr>
              <w:t>MSDS及</w:t>
            </w:r>
            <w:r>
              <w:rPr>
                <w:sz w:val="24"/>
              </w:rPr>
              <w:t>VOC含量检测报告</w:t>
            </w:r>
            <w:r>
              <w:rPr>
                <w:rFonts w:hint="eastAsia"/>
                <w:sz w:val="24"/>
              </w:rPr>
              <w:t>，</w:t>
            </w:r>
            <w:r>
              <w:rPr>
                <w:sz w:val="24"/>
              </w:rPr>
              <w:t>本项目</w:t>
            </w:r>
            <w:r>
              <w:rPr>
                <w:rFonts w:hint="eastAsia"/>
                <w:sz w:val="24"/>
              </w:rPr>
              <w:t>调漆、水性漆</w:t>
            </w:r>
            <w:r>
              <w:rPr>
                <w:sz w:val="24"/>
              </w:rPr>
              <w:t>底涂和面涂喷漆</w:t>
            </w:r>
            <w:r>
              <w:rPr>
                <w:rFonts w:hint="eastAsia"/>
                <w:sz w:val="24"/>
              </w:rPr>
              <w:t>、</w:t>
            </w:r>
            <w:r>
              <w:rPr>
                <w:sz w:val="24"/>
              </w:rPr>
              <w:t>油漆喷漆及晾干工序漆雾产生量为</w:t>
            </w:r>
            <w:r>
              <w:rPr>
                <w:rFonts w:hint="eastAsia"/>
                <w:sz w:val="24"/>
              </w:rPr>
              <w:t>1.8878</w:t>
            </w:r>
            <w:r>
              <w:rPr>
                <w:sz w:val="24"/>
              </w:rPr>
              <w:t>t/a，非甲烷总烃</w:t>
            </w:r>
            <w:r>
              <w:rPr>
                <w:rFonts w:hint="eastAsia"/>
                <w:sz w:val="24"/>
              </w:rPr>
              <w:t>（</w:t>
            </w:r>
            <w:r>
              <w:rPr>
                <w:rFonts w:hint="eastAsia"/>
                <w:color w:val="000000"/>
                <w:sz w:val="24"/>
              </w:rPr>
              <w:t>含二甲苯</w:t>
            </w:r>
            <w:r>
              <w:rPr>
                <w:rFonts w:hint="eastAsia"/>
                <w:sz w:val="24"/>
              </w:rPr>
              <w:t>）</w:t>
            </w:r>
            <w:r>
              <w:rPr>
                <w:sz w:val="24"/>
              </w:rPr>
              <w:t>产生量</w:t>
            </w:r>
            <w:r>
              <w:rPr>
                <w:rFonts w:hint="eastAsia"/>
                <w:kern w:val="0"/>
                <w:sz w:val="24"/>
              </w:rPr>
              <w:t>1.7072</w:t>
            </w:r>
            <w:r>
              <w:rPr>
                <w:kern w:val="0"/>
                <w:sz w:val="24"/>
              </w:rPr>
              <w:t xml:space="preserve"> t/a</w:t>
            </w:r>
            <w:r>
              <w:rPr>
                <w:rFonts w:hint="eastAsia"/>
                <w:kern w:val="0"/>
                <w:sz w:val="24"/>
              </w:rPr>
              <w:t>，</w:t>
            </w:r>
            <w:r>
              <w:rPr>
                <w:rFonts w:hint="eastAsia"/>
                <w:color w:val="000000"/>
                <w:sz w:val="24"/>
              </w:rPr>
              <w:t>二甲苯产生量为0.07758</w:t>
            </w:r>
            <w:r>
              <w:rPr>
                <w:color w:val="000000"/>
                <w:sz w:val="24"/>
              </w:rPr>
              <w:t xml:space="preserve"> t/a</w:t>
            </w:r>
            <w:r>
              <w:rPr>
                <w:rFonts w:hint="eastAsia"/>
                <w:kern w:val="0"/>
                <w:sz w:val="24"/>
              </w:rPr>
              <w:t>，甲苯产生量为0.04018 t/a。</w:t>
            </w:r>
            <w:r>
              <w:rPr>
                <w:rFonts w:hint="eastAsia"/>
                <w:sz w:val="24"/>
              </w:rPr>
              <w:t>本项目采用密闭喷漆房，喷漆房内送排风方式为上送风侧出风，内部呈微负压状态，喷漆房使用过程中房门关闭，仅在人员或工件进出时有少量废气逸散出，以无组织形式排放。</w:t>
            </w:r>
            <w:r>
              <w:rPr>
                <w:rFonts w:hint="eastAsia"/>
                <w:sz w:val="24"/>
                <w:lang w:val="en-US" w:eastAsia="zh-CN"/>
              </w:rPr>
              <w:t>喷漆房体积为1694m</w:t>
            </w:r>
            <w:r>
              <w:rPr>
                <w:rFonts w:hint="eastAsia"/>
                <w:sz w:val="24"/>
                <w:vertAlign w:val="superscript"/>
                <w:lang w:val="en-US" w:eastAsia="zh-CN"/>
              </w:rPr>
              <w:t>3</w:t>
            </w:r>
            <w:r>
              <w:rPr>
                <w:rFonts w:hint="eastAsia"/>
                <w:sz w:val="24"/>
                <w:lang w:val="en-US" w:eastAsia="zh-CN"/>
              </w:rPr>
              <w:t>,设置换气次数23次/h，则喷漆房风量为38962</w:t>
            </w:r>
            <w:r>
              <w:rPr>
                <w:rFonts w:hint="eastAsia" w:ascii="Times New Roman" w:eastAsia="宋体"/>
                <w:sz w:val="24"/>
                <w:lang w:val="en-US" w:eastAsia="zh-CN"/>
              </w:rPr>
              <w:t>m</w:t>
            </w:r>
            <w:r>
              <w:rPr>
                <w:rFonts w:hint="eastAsia" w:ascii="Times New Roman" w:eastAsia="宋体"/>
                <w:sz w:val="24"/>
                <w:vertAlign w:val="superscript"/>
                <w:lang w:val="en-US" w:eastAsia="zh-CN"/>
              </w:rPr>
              <w:t>3</w:t>
            </w:r>
            <w:r>
              <w:rPr>
                <w:rFonts w:hint="eastAsia" w:ascii="Times New Roman" w:eastAsia="宋体"/>
                <w:sz w:val="24"/>
                <w:lang w:val="en-US" w:eastAsia="zh-CN"/>
              </w:rPr>
              <w:t>,</w:t>
            </w:r>
            <w:r>
              <w:rPr>
                <w:rFonts w:hint="eastAsia"/>
                <w:sz w:val="24"/>
                <w:lang w:val="en-US" w:eastAsia="zh-CN"/>
              </w:rPr>
              <w:t>喷漆房设置总风量为</w:t>
            </w:r>
            <w:r>
              <w:rPr>
                <w:rFonts w:hint="eastAsia" w:ascii="Times New Roman" w:eastAsia="宋体"/>
                <w:color w:val="000000"/>
                <w:sz w:val="24"/>
                <w:lang w:val="en-US" w:eastAsia="zh-CN"/>
              </w:rPr>
              <w:t>4</w:t>
            </w:r>
            <w:r>
              <w:rPr>
                <w:rFonts w:hint="eastAsia"/>
                <w:color w:val="000000"/>
                <w:sz w:val="24"/>
              </w:rPr>
              <w:t>0</w:t>
            </w:r>
            <w:r>
              <w:rPr>
                <w:color w:val="000000"/>
                <w:sz w:val="24"/>
              </w:rPr>
              <w:t>000 m</w:t>
            </w:r>
            <w:r>
              <w:rPr>
                <w:color w:val="000000"/>
                <w:sz w:val="24"/>
                <w:vertAlign w:val="superscript"/>
              </w:rPr>
              <w:t>3</w:t>
            </w:r>
            <w:r>
              <w:rPr>
                <w:color w:val="000000"/>
                <w:sz w:val="24"/>
              </w:rPr>
              <w:t>/h</w:t>
            </w:r>
            <w:r>
              <w:rPr>
                <w:rFonts w:hint="eastAsia"/>
                <w:color w:val="000000"/>
                <w:sz w:val="24"/>
                <w:lang w:eastAsia="zh-CN"/>
              </w:rPr>
              <w:t>。</w:t>
            </w:r>
            <w:r>
              <w:rPr>
                <w:rFonts w:hint="eastAsia"/>
                <w:sz w:val="24"/>
              </w:rPr>
              <w:t>废气经收集后（收集效率95%），经过</w:t>
            </w:r>
            <w:r>
              <w:rPr>
                <w:rFonts w:hint="eastAsia"/>
                <w:kern w:val="0"/>
                <w:sz w:val="24"/>
              </w:rPr>
              <w:t>过滤棉+活性炭+RCO处理装置</w:t>
            </w:r>
            <w:r>
              <w:rPr>
                <w:kern w:val="0"/>
                <w:sz w:val="24"/>
              </w:rPr>
              <w:t>（漆雾去除率95%、非甲烷总烃</w:t>
            </w:r>
            <w:r>
              <w:rPr>
                <w:rFonts w:hint="eastAsia"/>
                <w:kern w:val="0"/>
                <w:sz w:val="24"/>
              </w:rPr>
              <w:t>、二甲苯</w:t>
            </w:r>
            <w:r>
              <w:rPr>
                <w:kern w:val="0"/>
                <w:sz w:val="24"/>
              </w:rPr>
              <w:t>及甲苯去除效率</w:t>
            </w:r>
            <w:r>
              <w:rPr>
                <w:rFonts w:hint="eastAsia"/>
                <w:kern w:val="0"/>
                <w:sz w:val="24"/>
              </w:rPr>
              <w:t>8</w:t>
            </w:r>
            <w:r>
              <w:rPr>
                <w:kern w:val="0"/>
                <w:sz w:val="24"/>
              </w:rPr>
              <w:t>7%）处理后</w:t>
            </w:r>
            <w:r>
              <w:rPr>
                <w:rFonts w:hint="eastAsia"/>
                <w:kern w:val="0"/>
                <w:sz w:val="24"/>
              </w:rPr>
              <w:t>，</w:t>
            </w:r>
            <w:r>
              <w:rPr>
                <w:kern w:val="0"/>
                <w:sz w:val="24"/>
              </w:rPr>
              <w:t>从</w:t>
            </w:r>
            <w:r>
              <w:rPr>
                <w:rFonts w:hint="eastAsia"/>
                <w:kern w:val="0"/>
                <w:sz w:val="24"/>
              </w:rPr>
              <w:t>15m高</w:t>
            </w:r>
            <w:r>
              <w:rPr>
                <w:kern w:val="0"/>
                <w:sz w:val="24"/>
              </w:rPr>
              <w:t>排气筒</w:t>
            </w:r>
            <w:r>
              <w:rPr>
                <w:rFonts w:hint="eastAsia"/>
                <w:kern w:val="0"/>
                <w:sz w:val="24"/>
              </w:rPr>
              <w:t>（DA00</w:t>
            </w:r>
            <w:r>
              <w:rPr>
                <w:rFonts w:hint="eastAsia"/>
                <w:kern w:val="0"/>
                <w:sz w:val="24"/>
                <w:lang w:val="en-US" w:eastAsia="zh-CN"/>
              </w:rPr>
              <w:t>4</w:t>
            </w:r>
            <w:r>
              <w:rPr>
                <w:rFonts w:hint="eastAsia"/>
                <w:kern w:val="0"/>
                <w:sz w:val="24"/>
              </w:rPr>
              <w:t>）</w:t>
            </w:r>
            <w:r>
              <w:rPr>
                <w:kern w:val="0"/>
                <w:sz w:val="24"/>
              </w:rPr>
              <w:t>排出。</w:t>
            </w:r>
          </w:p>
          <w:p>
            <w:pPr>
              <w:tabs>
                <w:tab w:val="left" w:pos="2520"/>
              </w:tabs>
              <w:adjustRightInd w:val="0"/>
              <w:spacing w:line="360" w:lineRule="auto"/>
              <w:ind w:firstLine="480" w:firstLineChars="200"/>
              <w:rPr>
                <w:rFonts w:cs="宋体"/>
                <w:color w:val="000000"/>
                <w:kern w:val="0"/>
                <w:sz w:val="24"/>
              </w:rPr>
            </w:pPr>
            <w:r>
              <w:rPr>
                <w:sz w:val="24"/>
              </w:rPr>
              <w:t>该工序运行时间</w:t>
            </w:r>
            <w:r>
              <w:rPr>
                <w:rFonts w:hint="eastAsia"/>
                <w:sz w:val="24"/>
                <w:lang w:val="en-US" w:eastAsia="zh-CN"/>
              </w:rPr>
              <w:t>6</w:t>
            </w:r>
            <w:r>
              <w:rPr>
                <w:rFonts w:hint="eastAsia"/>
                <w:sz w:val="24"/>
              </w:rPr>
              <w:t>00 h/a，</w:t>
            </w:r>
            <w:r>
              <w:rPr>
                <w:sz w:val="24"/>
              </w:rPr>
              <w:t>则处理后</w:t>
            </w:r>
            <w:r>
              <w:rPr>
                <w:rFonts w:hint="eastAsia"/>
                <w:bCs/>
                <w:color w:val="000000"/>
                <w:kern w:val="0"/>
                <w:sz w:val="24"/>
              </w:rPr>
              <w:t>线调漆、喷漆及晾干废气非甲烷总烃（含二甲苯、二甲苯）、二甲苯、甲苯及颗粒物</w:t>
            </w:r>
            <w:r>
              <w:rPr>
                <w:sz w:val="24"/>
              </w:rPr>
              <w:t>有组织排放量分别为</w:t>
            </w:r>
            <w:r>
              <w:rPr>
                <w:rFonts w:hint="eastAsia"/>
                <w:sz w:val="24"/>
              </w:rPr>
              <w:t>0.2108</w:t>
            </w:r>
            <w:r>
              <w:rPr>
                <w:sz w:val="24"/>
              </w:rPr>
              <w:t xml:space="preserve"> </w:t>
            </w:r>
            <w:r>
              <w:rPr>
                <w:rFonts w:hint="eastAsia"/>
                <w:sz w:val="24"/>
              </w:rPr>
              <w:t>t</w:t>
            </w:r>
            <w:r>
              <w:rPr>
                <w:sz w:val="24"/>
              </w:rPr>
              <w:t>/a</w:t>
            </w:r>
            <w:r>
              <w:rPr>
                <w:rFonts w:hint="eastAsia"/>
                <w:sz w:val="24"/>
              </w:rPr>
              <w:t>、0.010t</w:t>
            </w:r>
            <w:r>
              <w:rPr>
                <w:sz w:val="24"/>
              </w:rPr>
              <w:t>/a</w:t>
            </w:r>
            <w:r>
              <w:rPr>
                <w:rFonts w:hint="eastAsia"/>
                <w:sz w:val="24"/>
              </w:rPr>
              <w:t>、0.005 t/a、0.0897</w:t>
            </w:r>
            <w:r>
              <w:rPr>
                <w:sz w:val="24"/>
              </w:rPr>
              <w:t xml:space="preserve"> </w:t>
            </w:r>
            <w:r>
              <w:rPr>
                <w:rFonts w:hint="eastAsia"/>
                <w:sz w:val="24"/>
              </w:rPr>
              <w:t>t</w:t>
            </w:r>
            <w:r>
              <w:rPr>
                <w:sz w:val="24"/>
              </w:rPr>
              <w:t>/a，排放速率分别为</w:t>
            </w:r>
            <w:r>
              <w:rPr>
                <w:rFonts w:hint="eastAsia"/>
                <w:sz w:val="24"/>
              </w:rPr>
              <w:t>0.</w:t>
            </w:r>
            <w:r>
              <w:rPr>
                <w:rFonts w:hint="eastAsia"/>
                <w:sz w:val="24"/>
                <w:lang w:val="en-US" w:eastAsia="zh-CN"/>
              </w:rPr>
              <w:t>3514</w:t>
            </w:r>
            <w:r>
              <w:rPr>
                <w:rFonts w:hint="eastAsia"/>
                <w:sz w:val="24"/>
              </w:rPr>
              <w:t xml:space="preserve"> kg/h、0.0</w:t>
            </w:r>
            <w:r>
              <w:rPr>
                <w:rFonts w:hint="eastAsia"/>
                <w:sz w:val="24"/>
                <w:lang w:val="en-US" w:eastAsia="zh-CN"/>
              </w:rPr>
              <w:t>16</w:t>
            </w:r>
            <w:r>
              <w:rPr>
                <w:rFonts w:hint="eastAsia"/>
                <w:sz w:val="24"/>
              </w:rPr>
              <w:t xml:space="preserve"> kg/h、0.00</w:t>
            </w:r>
            <w:r>
              <w:rPr>
                <w:rFonts w:hint="eastAsia"/>
                <w:sz w:val="24"/>
                <w:lang w:val="en-US" w:eastAsia="zh-CN"/>
              </w:rPr>
              <w:t>8</w:t>
            </w:r>
            <w:r>
              <w:rPr>
                <w:rFonts w:hint="eastAsia"/>
                <w:sz w:val="24"/>
              </w:rPr>
              <w:t xml:space="preserve"> kg/h、0.</w:t>
            </w:r>
            <w:r>
              <w:rPr>
                <w:rFonts w:hint="eastAsia"/>
                <w:sz w:val="24"/>
                <w:lang w:val="en-US" w:eastAsia="zh-CN"/>
              </w:rPr>
              <w:t>149</w:t>
            </w:r>
            <w:r>
              <w:rPr>
                <w:rFonts w:hint="eastAsia"/>
                <w:sz w:val="24"/>
              </w:rPr>
              <w:t xml:space="preserve"> kg/h，排放浓度分别为8.785mg/m</w:t>
            </w:r>
            <w:r>
              <w:rPr>
                <w:rFonts w:hint="eastAsia"/>
                <w:sz w:val="24"/>
                <w:vertAlign w:val="superscript"/>
              </w:rPr>
              <w:t>3</w:t>
            </w:r>
            <w:r>
              <w:rPr>
                <w:rFonts w:hint="eastAsia"/>
                <w:sz w:val="24"/>
              </w:rPr>
              <w:t>、0.399mg/m</w:t>
            </w:r>
            <w:r>
              <w:rPr>
                <w:rFonts w:hint="eastAsia"/>
                <w:sz w:val="24"/>
                <w:vertAlign w:val="superscript"/>
              </w:rPr>
              <w:t>3</w:t>
            </w:r>
            <w:r>
              <w:rPr>
                <w:rFonts w:hint="eastAsia"/>
                <w:sz w:val="24"/>
              </w:rPr>
              <w:t>、0.207 mg/m</w:t>
            </w:r>
            <w:r>
              <w:rPr>
                <w:rFonts w:hint="eastAsia"/>
                <w:sz w:val="24"/>
                <w:vertAlign w:val="superscript"/>
              </w:rPr>
              <w:t>3</w:t>
            </w:r>
            <w:r>
              <w:rPr>
                <w:rFonts w:hint="eastAsia"/>
                <w:sz w:val="24"/>
              </w:rPr>
              <w:t>、3.736</w:t>
            </w:r>
            <w:r>
              <w:rPr>
                <w:color w:val="000000"/>
                <w:sz w:val="24"/>
              </w:rPr>
              <w:t>mg/m</w:t>
            </w:r>
            <w:r>
              <w:rPr>
                <w:color w:val="000000"/>
                <w:sz w:val="24"/>
                <w:vertAlign w:val="superscript"/>
              </w:rPr>
              <w:t>3</w:t>
            </w:r>
            <w:r>
              <w:rPr>
                <w:rFonts w:hint="eastAsia"/>
                <w:sz w:val="24"/>
              </w:rPr>
              <w:t>；</w:t>
            </w:r>
            <w:r>
              <w:rPr>
                <w:sz w:val="24"/>
              </w:rPr>
              <w:t>无组织排放量分别为</w:t>
            </w:r>
            <w:r>
              <w:rPr>
                <w:rFonts w:hint="eastAsia"/>
                <w:sz w:val="24"/>
              </w:rPr>
              <w:t xml:space="preserve">0.0854 </w:t>
            </w:r>
            <w:r>
              <w:rPr>
                <w:sz w:val="24"/>
              </w:rPr>
              <w:t>t/a</w:t>
            </w:r>
            <w:r>
              <w:rPr>
                <w:rFonts w:hint="eastAsia"/>
                <w:sz w:val="24"/>
              </w:rPr>
              <w:t xml:space="preserve">、0.004 </w:t>
            </w:r>
            <w:r>
              <w:rPr>
                <w:sz w:val="24"/>
              </w:rPr>
              <w:t>t/a</w:t>
            </w:r>
            <w:r>
              <w:rPr>
                <w:rFonts w:hint="eastAsia"/>
                <w:sz w:val="24"/>
              </w:rPr>
              <w:t xml:space="preserve">、0.002 t/a、0.094 </w:t>
            </w:r>
            <w:r>
              <w:rPr>
                <w:sz w:val="24"/>
              </w:rPr>
              <w:t>t/a。</w:t>
            </w:r>
          </w:p>
        </w:tc>
      </w:tr>
    </w:tbl>
    <w:p>
      <w:pPr>
        <w:tabs>
          <w:tab w:val="left" w:pos="1077"/>
        </w:tabs>
        <w:rPr>
          <w:rFonts w:cs="宋体"/>
          <w:color w:val="000000"/>
          <w:sz w:val="24"/>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shd w:val="clear" w:color="auto" w:fill="auto"/>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运营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境影</w:t>
            </w:r>
          </w:p>
          <w:p>
            <w:pPr>
              <w:autoSpaceDE w:val="0"/>
              <w:autoSpaceDN w:val="0"/>
              <w:adjustRightInd w:val="0"/>
              <w:snapToGrid w:val="0"/>
              <w:jc w:val="center"/>
              <w:rPr>
                <w:rFonts w:cs="宋体"/>
                <w:color w:val="000000"/>
                <w:kern w:val="0"/>
                <w:sz w:val="24"/>
              </w:rPr>
            </w:pPr>
            <w:r>
              <w:rPr>
                <w:rFonts w:hint="eastAsia" w:cs="宋体"/>
                <w:color w:val="000000"/>
                <w:kern w:val="0"/>
                <w:sz w:val="24"/>
              </w:rPr>
              <w:t>响和</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tabs>
                <w:tab w:val="left" w:pos="1077"/>
              </w:tabs>
              <w:jc w:val="center"/>
              <w:rPr>
                <w:rFonts w:cs="宋体"/>
                <w:color w:val="000000"/>
                <w:sz w:val="24"/>
              </w:rPr>
            </w:pPr>
            <w:r>
              <w:rPr>
                <w:rFonts w:hint="eastAsia" w:cs="宋体"/>
                <w:color w:val="000000"/>
                <w:kern w:val="0"/>
                <w:sz w:val="24"/>
              </w:rPr>
              <w:t>措施</w:t>
            </w:r>
          </w:p>
        </w:tc>
        <w:tc>
          <w:tcPr>
            <w:tcW w:w="12772" w:type="dxa"/>
            <w:shd w:val="clear" w:color="auto" w:fill="auto"/>
          </w:tcPr>
          <w:p>
            <w:pPr>
              <w:spacing w:line="360" w:lineRule="auto"/>
              <w:ind w:firstLine="470" w:firstLineChars="196"/>
              <w:rPr>
                <w:color w:val="000000"/>
                <w:sz w:val="24"/>
              </w:rPr>
            </w:pPr>
            <w:r>
              <w:rPr>
                <w:color w:val="000000"/>
                <w:sz w:val="24"/>
              </w:rPr>
              <w:t>根据工程分析结果，项目生产过程中有组织废气污染物产生、处理及排放情况见表</w:t>
            </w:r>
            <w:r>
              <w:rPr>
                <w:rFonts w:hint="eastAsia"/>
                <w:color w:val="000000"/>
                <w:sz w:val="24"/>
              </w:rPr>
              <w:t>4</w:t>
            </w:r>
            <w:r>
              <w:rPr>
                <w:color w:val="000000"/>
                <w:sz w:val="24"/>
              </w:rPr>
              <w:t>-2，无组织废气污染物排放情况见表</w:t>
            </w:r>
            <w:r>
              <w:rPr>
                <w:rFonts w:hint="eastAsia"/>
                <w:color w:val="000000"/>
                <w:sz w:val="24"/>
              </w:rPr>
              <w:t>4</w:t>
            </w:r>
            <w:r>
              <w:rPr>
                <w:color w:val="000000"/>
                <w:sz w:val="24"/>
              </w:rPr>
              <w:t>-</w:t>
            </w:r>
            <w:r>
              <w:rPr>
                <w:rFonts w:hint="eastAsia"/>
                <w:color w:val="000000"/>
                <w:sz w:val="24"/>
              </w:rPr>
              <w:t>4</w:t>
            </w:r>
            <w:r>
              <w:rPr>
                <w:color w:val="000000"/>
                <w:sz w:val="24"/>
              </w:rPr>
              <w:t>。</w:t>
            </w:r>
          </w:p>
          <w:p>
            <w:pPr>
              <w:jc w:val="center"/>
              <w:rPr>
                <w:b/>
                <w:color w:val="000000"/>
                <w:sz w:val="24"/>
              </w:rPr>
            </w:pPr>
            <w:r>
              <w:rPr>
                <w:b/>
                <w:color w:val="000000"/>
                <w:sz w:val="24"/>
              </w:rPr>
              <w:t>表</w:t>
            </w:r>
            <w:r>
              <w:rPr>
                <w:rFonts w:hint="eastAsia"/>
                <w:b/>
                <w:color w:val="000000"/>
                <w:sz w:val="24"/>
              </w:rPr>
              <w:t>4</w:t>
            </w:r>
            <w:r>
              <w:rPr>
                <w:b/>
                <w:color w:val="000000"/>
                <w:sz w:val="24"/>
              </w:rPr>
              <w:t>-2  项目有组织废气产生、治理及排放状况表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0" w:type="dxa"/>
                <w:bottom w:w="0" w:type="dxa"/>
                <w:right w:w="0" w:type="dxa"/>
              </w:tblCellMar>
            </w:tblPr>
            <w:tblGrid>
              <w:gridCol w:w="651"/>
              <w:gridCol w:w="709"/>
              <w:gridCol w:w="583"/>
              <w:gridCol w:w="681"/>
              <w:gridCol w:w="606"/>
              <w:gridCol w:w="882"/>
              <w:gridCol w:w="1081"/>
              <w:gridCol w:w="480"/>
              <w:gridCol w:w="480"/>
              <w:gridCol w:w="613"/>
              <w:gridCol w:w="716"/>
              <w:gridCol w:w="882"/>
              <w:gridCol w:w="633"/>
              <w:gridCol w:w="500"/>
              <w:gridCol w:w="475"/>
              <w:gridCol w:w="475"/>
              <w:gridCol w:w="475"/>
              <w:gridCol w:w="475"/>
              <w:gridCol w:w="608"/>
              <w:gridCol w:w="551"/>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259" w:type="pct"/>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排放源编号</w:t>
                  </w:r>
                </w:p>
              </w:tc>
              <w:tc>
                <w:tcPr>
                  <w:tcW w:w="282" w:type="pct"/>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污染源</w:t>
                  </w:r>
                </w:p>
              </w:tc>
              <w:tc>
                <w:tcPr>
                  <w:tcW w:w="232" w:type="pct"/>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污染物</w:t>
                  </w:r>
                </w:p>
                <w:p>
                  <w:pPr>
                    <w:overflowPunct w:val="0"/>
                    <w:adjustRightInd w:val="0"/>
                    <w:snapToGrid w:val="0"/>
                    <w:ind w:firstLine="4"/>
                    <w:jc w:val="center"/>
                    <w:textAlignment w:val="baseline"/>
                    <w:rPr>
                      <w:b/>
                      <w:color w:val="000000"/>
                      <w:kern w:val="0"/>
                      <w:szCs w:val="21"/>
                    </w:rPr>
                  </w:pPr>
                  <w:r>
                    <w:rPr>
                      <w:b/>
                      <w:color w:val="000000"/>
                      <w:kern w:val="0"/>
                      <w:szCs w:val="21"/>
                    </w:rPr>
                    <w:t>名称</w:t>
                  </w:r>
                </w:p>
              </w:tc>
              <w:tc>
                <w:tcPr>
                  <w:tcW w:w="863" w:type="pct"/>
                  <w:gridSpan w:val="3"/>
                  <w:vAlign w:val="center"/>
                </w:tcPr>
                <w:p>
                  <w:pPr>
                    <w:overflowPunct w:val="0"/>
                    <w:adjustRightInd w:val="0"/>
                    <w:snapToGrid w:val="0"/>
                    <w:ind w:firstLine="4"/>
                    <w:jc w:val="center"/>
                    <w:textAlignment w:val="baseline"/>
                    <w:rPr>
                      <w:b/>
                      <w:color w:val="000000"/>
                      <w:kern w:val="0"/>
                      <w:szCs w:val="21"/>
                    </w:rPr>
                  </w:pPr>
                  <w:r>
                    <w:rPr>
                      <w:b/>
                      <w:color w:val="000000"/>
                      <w:kern w:val="0"/>
                      <w:szCs w:val="21"/>
                    </w:rPr>
                    <w:t>产生状况</w:t>
                  </w:r>
                </w:p>
              </w:tc>
              <w:tc>
                <w:tcPr>
                  <w:tcW w:w="430" w:type="pct"/>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处理措施</w:t>
                  </w:r>
                </w:p>
              </w:tc>
              <w:tc>
                <w:tcPr>
                  <w:tcW w:w="191" w:type="pct"/>
                  <w:vMerge w:val="restart"/>
                  <w:vAlign w:val="center"/>
                </w:tcPr>
                <w:p>
                  <w:pPr>
                    <w:overflowPunct w:val="0"/>
                    <w:adjustRightInd w:val="0"/>
                    <w:snapToGrid w:val="0"/>
                    <w:ind w:firstLine="4"/>
                    <w:jc w:val="center"/>
                    <w:textAlignment w:val="baseline"/>
                    <w:rPr>
                      <w:b/>
                      <w:color w:val="000000"/>
                      <w:kern w:val="0"/>
                      <w:szCs w:val="21"/>
                    </w:rPr>
                  </w:pPr>
                  <w:r>
                    <w:rPr>
                      <w:rFonts w:hint="eastAsia"/>
                      <w:b/>
                      <w:color w:val="000000"/>
                      <w:kern w:val="0"/>
                      <w:szCs w:val="21"/>
                    </w:rPr>
                    <w:t>是否为可行技术*</w:t>
                  </w:r>
                </w:p>
              </w:tc>
              <w:tc>
                <w:tcPr>
                  <w:tcW w:w="191" w:type="pct"/>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去除率</w:t>
                  </w:r>
                </w:p>
              </w:tc>
              <w:tc>
                <w:tcPr>
                  <w:tcW w:w="880" w:type="pct"/>
                  <w:gridSpan w:val="3"/>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排放状况</w:t>
                  </w:r>
                </w:p>
              </w:tc>
              <w:tc>
                <w:tcPr>
                  <w:tcW w:w="451" w:type="pct"/>
                  <w:gridSpan w:val="2"/>
                  <w:vAlign w:val="center"/>
                </w:tcPr>
                <w:p>
                  <w:pPr>
                    <w:overflowPunct w:val="0"/>
                    <w:adjustRightInd w:val="0"/>
                    <w:snapToGrid w:val="0"/>
                    <w:ind w:firstLine="4"/>
                    <w:jc w:val="center"/>
                    <w:textAlignment w:val="baseline"/>
                    <w:rPr>
                      <w:b/>
                      <w:color w:val="000000"/>
                      <w:kern w:val="0"/>
                      <w:szCs w:val="21"/>
                    </w:rPr>
                  </w:pPr>
                  <w:r>
                    <w:rPr>
                      <w:b/>
                      <w:color w:val="000000"/>
                      <w:kern w:val="0"/>
                      <w:szCs w:val="21"/>
                    </w:rPr>
                    <w:t>执行标准</w:t>
                  </w:r>
                </w:p>
              </w:tc>
              <w:tc>
                <w:tcPr>
                  <w:tcW w:w="189" w:type="pct"/>
                  <w:vMerge w:val="restart"/>
                  <w:vAlign w:val="center"/>
                </w:tcPr>
                <w:p>
                  <w:pPr>
                    <w:overflowPunct w:val="0"/>
                    <w:adjustRightInd w:val="0"/>
                    <w:snapToGrid w:val="0"/>
                    <w:ind w:firstLine="4"/>
                    <w:jc w:val="center"/>
                    <w:textAlignment w:val="baseline"/>
                    <w:rPr>
                      <w:b/>
                      <w:color w:val="000000"/>
                      <w:kern w:val="0"/>
                      <w:szCs w:val="21"/>
                    </w:rPr>
                  </w:pPr>
                  <w:r>
                    <w:rPr>
                      <w:b/>
                      <w:color w:val="000000"/>
                      <w:kern w:val="0"/>
                      <w:szCs w:val="21"/>
                    </w:rPr>
                    <w:t>达标情况</w:t>
                  </w:r>
                </w:p>
              </w:tc>
              <w:tc>
                <w:tcPr>
                  <w:tcW w:w="809" w:type="pct"/>
                  <w:gridSpan w:val="4"/>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排放源参数</w:t>
                  </w:r>
                </w:p>
              </w:tc>
              <w:tc>
                <w:tcPr>
                  <w:tcW w:w="219" w:type="pct"/>
                  <w:vMerge w:val="restart"/>
                  <w:vAlign w:val="center"/>
                </w:tcPr>
                <w:p>
                  <w:pPr>
                    <w:overflowPunct w:val="0"/>
                    <w:adjustRightInd w:val="0"/>
                    <w:snapToGrid w:val="0"/>
                    <w:spacing w:before="40" w:after="60" w:line="200" w:lineRule="atLeast"/>
                    <w:ind w:firstLine="4"/>
                    <w:jc w:val="center"/>
                    <w:textAlignment w:val="baseline"/>
                    <w:rPr>
                      <w:b/>
                      <w:color w:val="000000"/>
                      <w:kern w:val="0"/>
                      <w:szCs w:val="21"/>
                    </w:rPr>
                  </w:pPr>
                  <w:r>
                    <w:rPr>
                      <w:b/>
                      <w:color w:val="000000"/>
                      <w:kern w:val="0"/>
                      <w:szCs w:val="21"/>
                    </w:rPr>
                    <w:t>年排放时间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485" w:hRule="atLeast"/>
                <w:jc w:val="center"/>
              </w:trPr>
              <w:tc>
                <w:tcPr>
                  <w:tcW w:w="259" w:type="pct"/>
                  <w:vMerge w:val="continue"/>
                  <w:vAlign w:val="center"/>
                </w:tcPr>
                <w:p>
                  <w:pPr>
                    <w:overflowPunct w:val="0"/>
                    <w:adjustRightInd w:val="0"/>
                    <w:snapToGrid w:val="0"/>
                    <w:ind w:firstLine="4"/>
                    <w:jc w:val="center"/>
                    <w:textAlignment w:val="baseline"/>
                    <w:rPr>
                      <w:b/>
                      <w:color w:val="000000"/>
                      <w:kern w:val="0"/>
                      <w:szCs w:val="21"/>
                    </w:rPr>
                  </w:pPr>
                </w:p>
              </w:tc>
              <w:tc>
                <w:tcPr>
                  <w:tcW w:w="282" w:type="pct"/>
                  <w:vMerge w:val="continue"/>
                  <w:vAlign w:val="center"/>
                </w:tcPr>
                <w:p>
                  <w:pPr>
                    <w:overflowPunct w:val="0"/>
                    <w:adjustRightInd w:val="0"/>
                    <w:snapToGrid w:val="0"/>
                    <w:ind w:firstLine="4"/>
                    <w:jc w:val="center"/>
                    <w:textAlignment w:val="baseline"/>
                    <w:rPr>
                      <w:b/>
                      <w:color w:val="000000"/>
                      <w:kern w:val="0"/>
                      <w:szCs w:val="21"/>
                    </w:rPr>
                  </w:pPr>
                </w:p>
              </w:tc>
              <w:tc>
                <w:tcPr>
                  <w:tcW w:w="232" w:type="pct"/>
                  <w:vMerge w:val="continue"/>
                  <w:vAlign w:val="center"/>
                </w:tcPr>
                <w:p>
                  <w:pPr>
                    <w:overflowPunct w:val="0"/>
                    <w:adjustRightInd w:val="0"/>
                    <w:snapToGrid w:val="0"/>
                    <w:ind w:firstLine="4"/>
                    <w:jc w:val="center"/>
                    <w:textAlignment w:val="baseline"/>
                    <w:rPr>
                      <w:b/>
                      <w:color w:val="000000"/>
                      <w:kern w:val="0"/>
                      <w:szCs w:val="21"/>
                    </w:rPr>
                  </w:pPr>
                </w:p>
              </w:tc>
              <w:tc>
                <w:tcPr>
                  <w:tcW w:w="271"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浓度</w:t>
                  </w:r>
                </w:p>
                <w:p>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241"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速率</w:t>
                  </w:r>
                </w:p>
                <w:p>
                  <w:pPr>
                    <w:overflowPunct w:val="0"/>
                    <w:adjustRightInd w:val="0"/>
                    <w:snapToGrid w:val="0"/>
                    <w:ind w:firstLine="4"/>
                    <w:jc w:val="center"/>
                    <w:textAlignment w:val="baseline"/>
                    <w:rPr>
                      <w:b/>
                      <w:color w:val="000000"/>
                      <w:kern w:val="0"/>
                      <w:szCs w:val="21"/>
                    </w:rPr>
                  </w:pPr>
                  <w:r>
                    <w:rPr>
                      <w:b/>
                      <w:color w:val="000000"/>
                      <w:kern w:val="0"/>
                      <w:szCs w:val="21"/>
                    </w:rPr>
                    <w:t>kg/h</w:t>
                  </w:r>
                </w:p>
              </w:tc>
              <w:tc>
                <w:tcPr>
                  <w:tcW w:w="351"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产生量</w:t>
                  </w:r>
                </w:p>
                <w:p>
                  <w:pPr>
                    <w:overflowPunct w:val="0"/>
                    <w:adjustRightInd w:val="0"/>
                    <w:snapToGrid w:val="0"/>
                    <w:ind w:firstLine="4"/>
                    <w:jc w:val="center"/>
                    <w:textAlignment w:val="baseline"/>
                    <w:rPr>
                      <w:b/>
                      <w:color w:val="000000"/>
                      <w:kern w:val="0"/>
                      <w:szCs w:val="21"/>
                    </w:rPr>
                  </w:pPr>
                  <w:r>
                    <w:rPr>
                      <w:b/>
                      <w:color w:val="000000"/>
                      <w:kern w:val="0"/>
                      <w:szCs w:val="21"/>
                    </w:rPr>
                    <w:t>t/a</w:t>
                  </w:r>
                </w:p>
              </w:tc>
              <w:tc>
                <w:tcPr>
                  <w:tcW w:w="430" w:type="pct"/>
                  <w:vMerge w:val="continue"/>
                  <w:vAlign w:val="center"/>
                </w:tcPr>
                <w:p>
                  <w:pPr>
                    <w:overflowPunct w:val="0"/>
                    <w:adjustRightInd w:val="0"/>
                    <w:snapToGrid w:val="0"/>
                    <w:ind w:firstLine="4"/>
                    <w:jc w:val="center"/>
                    <w:textAlignment w:val="baseline"/>
                    <w:rPr>
                      <w:b/>
                      <w:color w:val="000000"/>
                      <w:kern w:val="0"/>
                      <w:szCs w:val="21"/>
                    </w:rPr>
                  </w:pPr>
                </w:p>
              </w:tc>
              <w:tc>
                <w:tcPr>
                  <w:tcW w:w="191" w:type="pct"/>
                  <w:vMerge w:val="continue"/>
                  <w:vAlign w:val="center"/>
                </w:tcPr>
                <w:p>
                  <w:pPr>
                    <w:overflowPunct w:val="0"/>
                    <w:adjustRightInd w:val="0"/>
                    <w:snapToGrid w:val="0"/>
                    <w:ind w:firstLine="4"/>
                    <w:jc w:val="center"/>
                    <w:textAlignment w:val="baseline"/>
                    <w:rPr>
                      <w:b/>
                      <w:color w:val="000000"/>
                      <w:kern w:val="0"/>
                      <w:szCs w:val="21"/>
                    </w:rPr>
                  </w:pPr>
                </w:p>
              </w:tc>
              <w:tc>
                <w:tcPr>
                  <w:tcW w:w="191" w:type="pct"/>
                  <w:vMerge w:val="continue"/>
                  <w:vAlign w:val="center"/>
                </w:tcPr>
                <w:p>
                  <w:pPr>
                    <w:overflowPunct w:val="0"/>
                    <w:adjustRightInd w:val="0"/>
                    <w:snapToGrid w:val="0"/>
                    <w:ind w:firstLine="4"/>
                    <w:jc w:val="center"/>
                    <w:textAlignment w:val="baseline"/>
                    <w:rPr>
                      <w:b/>
                      <w:color w:val="000000"/>
                      <w:kern w:val="0"/>
                      <w:szCs w:val="21"/>
                    </w:rPr>
                  </w:pPr>
                </w:p>
              </w:tc>
              <w:tc>
                <w:tcPr>
                  <w:tcW w:w="244"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浓度</w:t>
                  </w:r>
                </w:p>
                <w:p>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285"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速率</w:t>
                  </w:r>
                </w:p>
                <w:p>
                  <w:pPr>
                    <w:overflowPunct w:val="0"/>
                    <w:adjustRightInd w:val="0"/>
                    <w:snapToGrid w:val="0"/>
                    <w:ind w:firstLine="4"/>
                    <w:jc w:val="center"/>
                    <w:textAlignment w:val="baseline"/>
                    <w:rPr>
                      <w:b/>
                      <w:color w:val="000000"/>
                      <w:kern w:val="0"/>
                      <w:szCs w:val="21"/>
                    </w:rPr>
                  </w:pPr>
                  <w:r>
                    <w:rPr>
                      <w:b/>
                      <w:color w:val="000000"/>
                      <w:kern w:val="0"/>
                      <w:szCs w:val="21"/>
                    </w:rPr>
                    <w:t>kg/h</w:t>
                  </w:r>
                </w:p>
              </w:tc>
              <w:tc>
                <w:tcPr>
                  <w:tcW w:w="351"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排放量</w:t>
                  </w:r>
                </w:p>
                <w:p>
                  <w:pPr>
                    <w:overflowPunct w:val="0"/>
                    <w:adjustRightInd w:val="0"/>
                    <w:snapToGrid w:val="0"/>
                    <w:ind w:firstLine="4"/>
                    <w:jc w:val="center"/>
                    <w:textAlignment w:val="baseline"/>
                    <w:rPr>
                      <w:b/>
                      <w:color w:val="000000"/>
                      <w:kern w:val="0"/>
                      <w:szCs w:val="21"/>
                    </w:rPr>
                  </w:pPr>
                  <w:r>
                    <w:rPr>
                      <w:b/>
                      <w:color w:val="000000"/>
                      <w:kern w:val="0"/>
                      <w:szCs w:val="21"/>
                    </w:rPr>
                    <w:t>t/a</w:t>
                  </w:r>
                </w:p>
              </w:tc>
              <w:tc>
                <w:tcPr>
                  <w:tcW w:w="252"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浓度</w:t>
                  </w:r>
                </w:p>
                <w:p>
                  <w:pPr>
                    <w:overflowPunct w:val="0"/>
                    <w:adjustRightInd w:val="0"/>
                    <w:snapToGrid w:val="0"/>
                    <w:ind w:firstLine="4"/>
                    <w:jc w:val="center"/>
                    <w:textAlignment w:val="baseline"/>
                    <w:rPr>
                      <w:b/>
                      <w:color w:val="000000"/>
                      <w:kern w:val="0"/>
                      <w:szCs w:val="21"/>
                    </w:rPr>
                  </w:pPr>
                  <w:r>
                    <w:rPr>
                      <w:b/>
                      <w:color w:val="000000"/>
                      <w:kern w:val="0"/>
                      <w:szCs w:val="21"/>
                    </w:rPr>
                    <w:t>mg/m</w:t>
                  </w:r>
                  <w:r>
                    <w:rPr>
                      <w:b/>
                      <w:color w:val="000000"/>
                      <w:kern w:val="0"/>
                      <w:szCs w:val="21"/>
                      <w:vertAlign w:val="superscript"/>
                    </w:rPr>
                    <w:t>3</w:t>
                  </w:r>
                </w:p>
              </w:tc>
              <w:tc>
                <w:tcPr>
                  <w:tcW w:w="199"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速率kg/h</w:t>
                  </w:r>
                </w:p>
              </w:tc>
              <w:tc>
                <w:tcPr>
                  <w:tcW w:w="189" w:type="pct"/>
                  <w:vMerge w:val="continue"/>
                  <w:vAlign w:val="center"/>
                </w:tcPr>
                <w:p>
                  <w:pPr>
                    <w:overflowPunct w:val="0"/>
                    <w:adjustRightInd w:val="0"/>
                    <w:snapToGrid w:val="0"/>
                    <w:ind w:firstLine="4"/>
                    <w:jc w:val="center"/>
                    <w:textAlignment w:val="baseline"/>
                    <w:rPr>
                      <w:b/>
                      <w:color w:val="000000"/>
                      <w:kern w:val="0"/>
                      <w:szCs w:val="21"/>
                    </w:rPr>
                  </w:pPr>
                </w:p>
              </w:tc>
              <w:tc>
                <w:tcPr>
                  <w:tcW w:w="189"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高度</w:t>
                  </w:r>
                </w:p>
                <w:p>
                  <w:pPr>
                    <w:overflowPunct w:val="0"/>
                    <w:adjustRightInd w:val="0"/>
                    <w:snapToGrid w:val="0"/>
                    <w:ind w:firstLine="4"/>
                    <w:jc w:val="center"/>
                    <w:textAlignment w:val="baseline"/>
                    <w:rPr>
                      <w:b/>
                      <w:color w:val="000000"/>
                      <w:kern w:val="0"/>
                      <w:szCs w:val="21"/>
                    </w:rPr>
                  </w:pPr>
                  <w:r>
                    <w:rPr>
                      <w:b/>
                      <w:color w:val="000000"/>
                      <w:kern w:val="0"/>
                      <w:szCs w:val="21"/>
                    </w:rPr>
                    <w:t>m</w:t>
                  </w:r>
                </w:p>
              </w:tc>
              <w:tc>
                <w:tcPr>
                  <w:tcW w:w="189"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直径</w:t>
                  </w:r>
                </w:p>
                <w:p>
                  <w:pPr>
                    <w:overflowPunct w:val="0"/>
                    <w:adjustRightInd w:val="0"/>
                    <w:snapToGrid w:val="0"/>
                    <w:ind w:firstLine="4"/>
                    <w:jc w:val="center"/>
                    <w:textAlignment w:val="baseline"/>
                    <w:rPr>
                      <w:b/>
                      <w:color w:val="000000"/>
                      <w:kern w:val="0"/>
                      <w:szCs w:val="21"/>
                    </w:rPr>
                  </w:pPr>
                  <w:r>
                    <w:rPr>
                      <w:b/>
                      <w:color w:val="000000"/>
                      <w:kern w:val="0"/>
                      <w:szCs w:val="21"/>
                    </w:rPr>
                    <w:t>m</w:t>
                  </w:r>
                </w:p>
              </w:tc>
              <w:tc>
                <w:tcPr>
                  <w:tcW w:w="189"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温度</w:t>
                  </w:r>
                </w:p>
                <w:p>
                  <w:pPr>
                    <w:overflowPunct w:val="0"/>
                    <w:adjustRightInd w:val="0"/>
                    <w:snapToGrid w:val="0"/>
                    <w:ind w:firstLine="4"/>
                    <w:jc w:val="center"/>
                    <w:textAlignment w:val="baseline"/>
                    <w:rPr>
                      <w:b/>
                      <w:color w:val="000000"/>
                      <w:kern w:val="0"/>
                      <w:szCs w:val="21"/>
                    </w:rPr>
                  </w:pPr>
                  <w:r>
                    <w:rPr>
                      <w:rFonts w:hint="eastAsia" w:cs="宋体"/>
                      <w:b/>
                      <w:color w:val="000000"/>
                      <w:kern w:val="0"/>
                      <w:szCs w:val="21"/>
                    </w:rPr>
                    <w:t>℃</w:t>
                  </w:r>
                </w:p>
              </w:tc>
              <w:tc>
                <w:tcPr>
                  <w:tcW w:w="242" w:type="pct"/>
                  <w:vAlign w:val="center"/>
                </w:tcPr>
                <w:p>
                  <w:pPr>
                    <w:overflowPunct w:val="0"/>
                    <w:adjustRightInd w:val="0"/>
                    <w:snapToGrid w:val="0"/>
                    <w:ind w:firstLine="4"/>
                    <w:jc w:val="center"/>
                    <w:textAlignment w:val="baseline"/>
                    <w:rPr>
                      <w:b/>
                      <w:color w:val="000000"/>
                      <w:kern w:val="0"/>
                      <w:szCs w:val="21"/>
                    </w:rPr>
                  </w:pPr>
                  <w:r>
                    <w:rPr>
                      <w:b/>
                      <w:color w:val="000000"/>
                      <w:kern w:val="0"/>
                      <w:szCs w:val="21"/>
                    </w:rPr>
                    <w:t>排气量</w:t>
                  </w:r>
                </w:p>
                <w:p>
                  <w:pPr>
                    <w:overflowPunct w:val="0"/>
                    <w:adjustRightInd w:val="0"/>
                    <w:snapToGrid w:val="0"/>
                    <w:ind w:firstLine="4"/>
                    <w:jc w:val="center"/>
                    <w:textAlignment w:val="baseline"/>
                    <w:rPr>
                      <w:b/>
                      <w:color w:val="000000"/>
                      <w:kern w:val="0"/>
                      <w:szCs w:val="21"/>
                    </w:rPr>
                  </w:pPr>
                  <w:r>
                    <w:rPr>
                      <w:b/>
                      <w:color w:val="000000"/>
                      <w:kern w:val="0"/>
                      <w:szCs w:val="21"/>
                    </w:rPr>
                    <w:t>Nm</w:t>
                  </w:r>
                  <w:r>
                    <w:rPr>
                      <w:b/>
                      <w:color w:val="000000"/>
                      <w:kern w:val="0"/>
                      <w:szCs w:val="21"/>
                      <w:vertAlign w:val="superscript"/>
                    </w:rPr>
                    <w:t>3</w:t>
                  </w:r>
                  <w:r>
                    <w:rPr>
                      <w:b/>
                      <w:color w:val="000000"/>
                      <w:kern w:val="0"/>
                      <w:szCs w:val="21"/>
                    </w:rPr>
                    <w:t>/h</w:t>
                  </w:r>
                </w:p>
              </w:tc>
              <w:tc>
                <w:tcPr>
                  <w:tcW w:w="219" w:type="pct"/>
                  <w:vMerge w:val="continue"/>
                  <w:vAlign w:val="center"/>
                </w:tcPr>
                <w:p>
                  <w:pPr>
                    <w:overflowPunct w:val="0"/>
                    <w:adjustRightInd w:val="0"/>
                    <w:snapToGrid w:val="0"/>
                    <w:ind w:firstLine="4"/>
                    <w:jc w:val="center"/>
                    <w:textAlignment w:val="baseline"/>
                    <w:rPr>
                      <w:b/>
                      <w:color w:val="000000"/>
                      <w:kern w:val="0"/>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38" w:hRule="atLeast"/>
                <w:jc w:val="center"/>
              </w:trPr>
              <w:tc>
                <w:tcPr>
                  <w:tcW w:w="259" w:type="pct"/>
                  <w:vAlign w:val="center"/>
                </w:tcPr>
                <w:p>
                  <w:pPr>
                    <w:adjustRightInd w:val="0"/>
                    <w:snapToGrid w:val="0"/>
                    <w:jc w:val="center"/>
                    <w:rPr>
                      <w:color w:val="000000"/>
                      <w:szCs w:val="21"/>
                    </w:rPr>
                  </w:pPr>
                  <w:r>
                    <w:rPr>
                      <w:rFonts w:hint="eastAsia"/>
                      <w:color w:val="000000"/>
                      <w:szCs w:val="21"/>
                    </w:rPr>
                    <w:t>DA003</w:t>
                  </w:r>
                </w:p>
              </w:tc>
              <w:tc>
                <w:tcPr>
                  <w:tcW w:w="282" w:type="pct"/>
                  <w:vAlign w:val="center"/>
                </w:tcPr>
                <w:p>
                  <w:pPr>
                    <w:jc w:val="center"/>
                    <w:rPr>
                      <w:color w:val="000000"/>
                      <w:szCs w:val="21"/>
                    </w:rPr>
                  </w:pPr>
                  <w:r>
                    <w:rPr>
                      <w:rFonts w:hint="eastAsia"/>
                      <w:color w:val="000000"/>
                      <w:szCs w:val="21"/>
                    </w:rPr>
                    <w:t>喷砂</w:t>
                  </w:r>
                </w:p>
              </w:tc>
              <w:tc>
                <w:tcPr>
                  <w:tcW w:w="232" w:type="pct"/>
                  <w:vAlign w:val="center"/>
                </w:tcPr>
                <w:p>
                  <w:pPr>
                    <w:ind w:left="-105" w:leftChars="-50" w:right="-105" w:rightChars="-50"/>
                    <w:jc w:val="center"/>
                    <w:rPr>
                      <w:color w:val="000000"/>
                      <w:szCs w:val="21"/>
                    </w:rPr>
                  </w:pPr>
                  <w:r>
                    <w:rPr>
                      <w:rFonts w:hint="eastAsia"/>
                      <w:color w:val="000000"/>
                      <w:szCs w:val="21"/>
                    </w:rPr>
                    <w:t>颗粒物</w:t>
                  </w:r>
                </w:p>
              </w:tc>
              <w:tc>
                <w:tcPr>
                  <w:tcW w:w="271" w:type="pct"/>
                  <w:vAlign w:val="center"/>
                </w:tcPr>
                <w:p>
                  <w:pPr>
                    <w:ind w:left="-105" w:leftChars="-50" w:right="-105" w:rightChars="-50"/>
                    <w:jc w:val="center"/>
                    <w:rPr>
                      <w:rFonts w:hint="default" w:eastAsia="宋体"/>
                      <w:color w:val="000000"/>
                      <w:szCs w:val="21"/>
                      <w:lang w:val="en-US" w:eastAsia="zh-CN"/>
                    </w:rPr>
                  </w:pPr>
                  <w:r>
                    <w:rPr>
                      <w:rFonts w:hint="eastAsia"/>
                      <w:color w:val="000000"/>
                      <w:szCs w:val="21"/>
                      <w:lang w:val="en-US" w:eastAsia="zh-CN"/>
                    </w:rPr>
                    <w:t>304.167</w:t>
                  </w:r>
                </w:p>
              </w:tc>
              <w:tc>
                <w:tcPr>
                  <w:tcW w:w="241" w:type="pct"/>
                  <w:vAlign w:val="center"/>
                </w:tcPr>
                <w:p>
                  <w:pPr>
                    <w:ind w:left="-105" w:leftChars="-50" w:right="-105" w:rightChars="-50"/>
                    <w:jc w:val="center"/>
                    <w:rPr>
                      <w:rFonts w:hint="default" w:eastAsia="宋体"/>
                      <w:color w:val="000000"/>
                      <w:szCs w:val="21"/>
                      <w:lang w:val="en-US" w:eastAsia="zh-CN"/>
                    </w:rPr>
                  </w:pPr>
                  <w:r>
                    <w:rPr>
                      <w:rFonts w:hint="eastAsia"/>
                      <w:color w:val="000000"/>
                      <w:szCs w:val="21"/>
                      <w:lang w:val="en-US" w:eastAsia="zh-CN"/>
                    </w:rPr>
                    <w:t>6.083</w:t>
                  </w:r>
                </w:p>
              </w:tc>
              <w:tc>
                <w:tcPr>
                  <w:tcW w:w="351" w:type="pct"/>
                  <w:vAlign w:val="center"/>
                </w:tcPr>
                <w:p>
                  <w:pPr>
                    <w:ind w:left="-105" w:leftChars="-50" w:right="-105" w:rightChars="-50"/>
                    <w:jc w:val="center"/>
                    <w:rPr>
                      <w:color w:val="000000"/>
                      <w:szCs w:val="21"/>
                    </w:rPr>
                  </w:pPr>
                  <w:r>
                    <w:rPr>
                      <w:rFonts w:hint="eastAsia"/>
                      <w:color w:val="000000"/>
                      <w:szCs w:val="21"/>
                    </w:rPr>
                    <w:t>10.95</w:t>
                  </w:r>
                </w:p>
              </w:tc>
              <w:tc>
                <w:tcPr>
                  <w:tcW w:w="430" w:type="pct"/>
                  <w:vAlign w:val="center"/>
                </w:tcPr>
                <w:p>
                  <w:pPr>
                    <w:jc w:val="center"/>
                    <w:rPr>
                      <w:color w:val="000000"/>
                      <w:szCs w:val="21"/>
                    </w:rPr>
                  </w:pPr>
                  <w:r>
                    <w:rPr>
                      <w:rFonts w:hint="eastAsia"/>
                      <w:color w:val="000000"/>
                      <w:szCs w:val="21"/>
                    </w:rPr>
                    <w:t>密闭环境+布袋除尘器</w:t>
                  </w:r>
                </w:p>
              </w:tc>
              <w:tc>
                <w:tcPr>
                  <w:tcW w:w="191" w:type="pct"/>
                  <w:vAlign w:val="center"/>
                </w:tcPr>
                <w:p>
                  <w:pPr>
                    <w:ind w:left="-105" w:leftChars="-50" w:right="-105" w:rightChars="-50"/>
                    <w:jc w:val="center"/>
                    <w:rPr>
                      <w:color w:val="000000"/>
                      <w:szCs w:val="21"/>
                    </w:rPr>
                  </w:pPr>
                  <w:r>
                    <w:rPr>
                      <w:rFonts w:hint="eastAsia"/>
                      <w:color w:val="000000"/>
                      <w:szCs w:val="21"/>
                    </w:rPr>
                    <w:t>是</w:t>
                  </w:r>
                </w:p>
              </w:tc>
              <w:tc>
                <w:tcPr>
                  <w:tcW w:w="191" w:type="pct"/>
                  <w:vAlign w:val="center"/>
                </w:tcPr>
                <w:p>
                  <w:pPr>
                    <w:ind w:left="-105" w:leftChars="-50" w:right="-105" w:rightChars="-50"/>
                    <w:jc w:val="center"/>
                    <w:rPr>
                      <w:color w:val="000000"/>
                      <w:szCs w:val="21"/>
                    </w:rPr>
                  </w:pPr>
                  <w:r>
                    <w:rPr>
                      <w:rFonts w:hint="eastAsia"/>
                      <w:color w:val="000000"/>
                      <w:szCs w:val="21"/>
                    </w:rPr>
                    <w:t>99</w:t>
                  </w:r>
                  <w:r>
                    <w:rPr>
                      <w:color w:val="000000"/>
                      <w:szCs w:val="21"/>
                    </w:rPr>
                    <w:t>%</w:t>
                  </w:r>
                </w:p>
              </w:tc>
              <w:tc>
                <w:tcPr>
                  <w:tcW w:w="244" w:type="pct"/>
                  <w:vAlign w:val="center"/>
                </w:tcPr>
                <w:p>
                  <w:pPr>
                    <w:ind w:left="-105" w:leftChars="-50" w:right="-105" w:rightChars="-50"/>
                    <w:jc w:val="center"/>
                    <w:rPr>
                      <w:rFonts w:hint="default" w:eastAsia="宋体"/>
                      <w:color w:val="000000"/>
                      <w:szCs w:val="21"/>
                      <w:lang w:val="en-US" w:eastAsia="zh-CN"/>
                    </w:rPr>
                  </w:pPr>
                  <w:r>
                    <w:rPr>
                      <w:rFonts w:hint="eastAsia"/>
                      <w:color w:val="000000"/>
                      <w:szCs w:val="21"/>
                      <w:lang w:val="en-US" w:eastAsia="zh-CN"/>
                    </w:rPr>
                    <w:t>3.042</w:t>
                  </w:r>
                </w:p>
              </w:tc>
              <w:tc>
                <w:tcPr>
                  <w:tcW w:w="285" w:type="pct"/>
                  <w:vAlign w:val="center"/>
                </w:tcPr>
                <w:p>
                  <w:pPr>
                    <w:ind w:left="-105" w:leftChars="-50" w:right="-105" w:rightChars="-50"/>
                    <w:jc w:val="center"/>
                    <w:rPr>
                      <w:rFonts w:hint="default" w:eastAsia="宋体"/>
                      <w:color w:val="000000"/>
                      <w:szCs w:val="21"/>
                      <w:lang w:val="en-US" w:eastAsia="zh-CN"/>
                    </w:rPr>
                  </w:pPr>
                  <w:r>
                    <w:rPr>
                      <w:rFonts w:hint="eastAsia"/>
                      <w:color w:val="000000"/>
                      <w:szCs w:val="21"/>
                    </w:rPr>
                    <w:t>0.0</w:t>
                  </w:r>
                  <w:r>
                    <w:rPr>
                      <w:rFonts w:hint="eastAsia"/>
                      <w:color w:val="000000"/>
                      <w:szCs w:val="21"/>
                      <w:lang w:val="en-US" w:eastAsia="zh-CN"/>
                    </w:rPr>
                    <w:t>61</w:t>
                  </w:r>
                </w:p>
              </w:tc>
              <w:tc>
                <w:tcPr>
                  <w:tcW w:w="351" w:type="pct"/>
                  <w:vAlign w:val="center"/>
                </w:tcPr>
                <w:p>
                  <w:pPr>
                    <w:ind w:left="-105" w:leftChars="-50" w:right="-105" w:rightChars="-50"/>
                    <w:jc w:val="center"/>
                    <w:rPr>
                      <w:color w:val="000000"/>
                      <w:szCs w:val="21"/>
                    </w:rPr>
                  </w:pPr>
                  <w:r>
                    <w:rPr>
                      <w:rFonts w:hint="eastAsia"/>
                      <w:color w:val="000000"/>
                      <w:szCs w:val="21"/>
                    </w:rPr>
                    <w:t>0.1095</w:t>
                  </w:r>
                </w:p>
              </w:tc>
              <w:tc>
                <w:tcPr>
                  <w:tcW w:w="252" w:type="pct"/>
                  <w:vAlign w:val="center"/>
                </w:tcPr>
                <w:p>
                  <w:pPr>
                    <w:jc w:val="center"/>
                    <w:rPr>
                      <w:color w:val="000000"/>
                      <w:szCs w:val="21"/>
                    </w:rPr>
                  </w:pPr>
                  <w:r>
                    <w:rPr>
                      <w:rFonts w:hint="eastAsia"/>
                      <w:color w:val="000000"/>
                      <w:szCs w:val="21"/>
                    </w:rPr>
                    <w:t>30</w:t>
                  </w:r>
                </w:p>
              </w:tc>
              <w:tc>
                <w:tcPr>
                  <w:tcW w:w="199" w:type="pct"/>
                  <w:vAlign w:val="center"/>
                </w:tcPr>
                <w:p>
                  <w:pPr>
                    <w:ind w:left="-105" w:leftChars="-50" w:right="-105" w:rightChars="-50"/>
                    <w:jc w:val="center"/>
                    <w:rPr>
                      <w:color w:val="000000"/>
                      <w:szCs w:val="21"/>
                    </w:rPr>
                  </w:pPr>
                  <w:r>
                    <w:rPr>
                      <w:rFonts w:hint="eastAsia"/>
                      <w:color w:val="000000"/>
                      <w:szCs w:val="21"/>
                    </w:rPr>
                    <w:t>1.5</w:t>
                  </w:r>
                </w:p>
              </w:tc>
              <w:tc>
                <w:tcPr>
                  <w:tcW w:w="189" w:type="pct"/>
                  <w:vAlign w:val="center"/>
                </w:tcPr>
                <w:p>
                  <w:pPr>
                    <w:jc w:val="center"/>
                    <w:rPr>
                      <w:color w:val="000000"/>
                      <w:szCs w:val="21"/>
                    </w:rPr>
                  </w:pPr>
                  <w:r>
                    <w:rPr>
                      <w:color w:val="000000"/>
                      <w:szCs w:val="21"/>
                    </w:rPr>
                    <w:t>达标</w:t>
                  </w:r>
                </w:p>
              </w:tc>
              <w:tc>
                <w:tcPr>
                  <w:tcW w:w="189" w:type="pct"/>
                  <w:vAlign w:val="center"/>
                </w:tcPr>
                <w:p>
                  <w:pPr>
                    <w:jc w:val="center"/>
                    <w:rPr>
                      <w:color w:val="000000"/>
                      <w:szCs w:val="21"/>
                    </w:rPr>
                  </w:pPr>
                  <w:r>
                    <w:rPr>
                      <w:rFonts w:hint="eastAsia"/>
                      <w:color w:val="000000"/>
                      <w:szCs w:val="21"/>
                    </w:rPr>
                    <w:t>15</w:t>
                  </w:r>
                </w:p>
              </w:tc>
              <w:tc>
                <w:tcPr>
                  <w:tcW w:w="189"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0.60</w:t>
                  </w:r>
                </w:p>
              </w:tc>
              <w:tc>
                <w:tcPr>
                  <w:tcW w:w="189"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25</w:t>
                  </w:r>
                </w:p>
              </w:tc>
              <w:tc>
                <w:tcPr>
                  <w:tcW w:w="242" w:type="pct"/>
                  <w:vAlign w:val="center"/>
                </w:tcPr>
                <w:p>
                  <w:pPr>
                    <w:widowControl/>
                    <w:jc w:val="center"/>
                    <w:rPr>
                      <w:rFonts w:hint="default" w:eastAsia="宋体"/>
                      <w:color w:val="000000"/>
                      <w:szCs w:val="21"/>
                      <w:lang w:val="en-US" w:eastAsia="zh-CN"/>
                    </w:rPr>
                  </w:pPr>
                  <w:r>
                    <w:rPr>
                      <w:rFonts w:hint="eastAsia"/>
                      <w:color w:val="000000"/>
                      <w:szCs w:val="21"/>
                      <w:lang w:val="en-US" w:eastAsia="zh-CN"/>
                    </w:rPr>
                    <w:t>20000</w:t>
                  </w:r>
                </w:p>
              </w:tc>
              <w:tc>
                <w:tcPr>
                  <w:tcW w:w="219" w:type="pct"/>
                  <w:vAlign w:val="center"/>
                </w:tcPr>
                <w:p>
                  <w:pPr>
                    <w:jc w:val="center"/>
                    <w:rPr>
                      <w:color w:val="000000"/>
                      <w:szCs w:val="21"/>
                    </w:rPr>
                  </w:pPr>
                  <w:r>
                    <w:rPr>
                      <w:rFonts w:hint="eastAsia"/>
                      <w:color w:val="000000"/>
                      <w:szCs w:val="21"/>
                      <w:lang w:val="en-US" w:eastAsia="zh-CN"/>
                    </w:rPr>
                    <w:t>1800</w:t>
                  </w:r>
                  <w:r>
                    <w:rPr>
                      <w:color w:val="000000"/>
                      <w:szCs w:val="21"/>
                    </w:rPr>
                    <w:t>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18" w:hRule="atLeast"/>
                <w:jc w:val="center"/>
              </w:trPr>
              <w:tc>
                <w:tcPr>
                  <w:tcW w:w="259" w:type="pct"/>
                  <w:vMerge w:val="restart"/>
                  <w:vAlign w:val="center"/>
                </w:tcPr>
                <w:p>
                  <w:pPr>
                    <w:adjustRightInd w:val="0"/>
                    <w:snapToGrid w:val="0"/>
                    <w:jc w:val="center"/>
                    <w:rPr>
                      <w:color w:val="000000"/>
                      <w:szCs w:val="21"/>
                    </w:rPr>
                  </w:pPr>
                  <w:r>
                    <w:rPr>
                      <w:rFonts w:hint="eastAsia"/>
                      <w:color w:val="000000"/>
                      <w:szCs w:val="21"/>
                    </w:rPr>
                    <w:t>DA004</w:t>
                  </w:r>
                </w:p>
              </w:tc>
              <w:tc>
                <w:tcPr>
                  <w:tcW w:w="282" w:type="pct"/>
                  <w:vMerge w:val="restart"/>
                  <w:vAlign w:val="center"/>
                </w:tcPr>
                <w:p>
                  <w:pPr>
                    <w:jc w:val="center"/>
                    <w:rPr>
                      <w:color w:val="000000"/>
                      <w:szCs w:val="21"/>
                    </w:rPr>
                  </w:pPr>
                  <w:r>
                    <w:rPr>
                      <w:rFonts w:hint="eastAsia"/>
                      <w:color w:val="000000"/>
                      <w:szCs w:val="21"/>
                    </w:rPr>
                    <w:t>调漆、喷漆及晾干</w:t>
                  </w:r>
                </w:p>
              </w:tc>
              <w:tc>
                <w:tcPr>
                  <w:tcW w:w="232" w:type="pct"/>
                  <w:vAlign w:val="center"/>
                </w:tcPr>
                <w:p>
                  <w:pPr>
                    <w:ind w:left="-105" w:leftChars="-50" w:right="-105" w:rightChars="-50"/>
                    <w:jc w:val="center"/>
                    <w:rPr>
                      <w:color w:val="000000"/>
                      <w:szCs w:val="21"/>
                    </w:rPr>
                  </w:pPr>
                  <w:r>
                    <w:rPr>
                      <w:rFonts w:hint="eastAsia"/>
                      <w:color w:val="000000"/>
                      <w:szCs w:val="21"/>
                    </w:rPr>
                    <w:t>非甲烷总烃</w:t>
                  </w:r>
                </w:p>
              </w:tc>
              <w:tc>
                <w:tcPr>
                  <w:tcW w:w="271" w:type="pct"/>
                  <w:vAlign w:val="center"/>
                </w:tcPr>
                <w:p>
                  <w:pPr>
                    <w:ind w:left="-105" w:leftChars="-50" w:right="-105" w:rightChars="-50"/>
                    <w:jc w:val="center"/>
                    <w:rPr>
                      <w:color w:val="000000"/>
                      <w:szCs w:val="21"/>
                    </w:rPr>
                  </w:pPr>
                  <w:r>
                    <w:rPr>
                      <w:rFonts w:hint="eastAsia"/>
                      <w:color w:val="000000"/>
                      <w:szCs w:val="21"/>
                    </w:rPr>
                    <w:t>71.133</w:t>
                  </w:r>
                </w:p>
              </w:tc>
              <w:tc>
                <w:tcPr>
                  <w:tcW w:w="241" w:type="pct"/>
                  <w:vAlign w:val="center"/>
                </w:tcPr>
                <w:p>
                  <w:pPr>
                    <w:ind w:left="-105" w:leftChars="-50" w:right="-105" w:rightChars="-50"/>
                    <w:jc w:val="center"/>
                    <w:rPr>
                      <w:rFonts w:hint="default" w:eastAsia="宋体"/>
                      <w:color w:val="000000"/>
                      <w:szCs w:val="21"/>
                      <w:lang w:val="en-US" w:eastAsia="zh-CN"/>
                    </w:rPr>
                  </w:pPr>
                  <w:r>
                    <w:rPr>
                      <w:rFonts w:hint="eastAsia"/>
                      <w:color w:val="000000"/>
                      <w:szCs w:val="21"/>
                      <w:lang w:val="en-US" w:eastAsia="zh-CN"/>
                    </w:rPr>
                    <w:t>2.845</w:t>
                  </w:r>
                </w:p>
              </w:tc>
              <w:tc>
                <w:tcPr>
                  <w:tcW w:w="351" w:type="pct"/>
                  <w:vAlign w:val="center"/>
                </w:tcPr>
                <w:p>
                  <w:pPr>
                    <w:jc w:val="center"/>
                    <w:rPr>
                      <w:color w:val="000000"/>
                      <w:szCs w:val="21"/>
                    </w:rPr>
                  </w:pPr>
                  <w:r>
                    <w:rPr>
                      <w:rFonts w:hint="eastAsia"/>
                      <w:color w:val="000000"/>
                      <w:szCs w:val="21"/>
                    </w:rPr>
                    <w:t>1.7072</w:t>
                  </w:r>
                </w:p>
              </w:tc>
              <w:tc>
                <w:tcPr>
                  <w:tcW w:w="430" w:type="pct"/>
                  <w:vMerge w:val="restart"/>
                  <w:vAlign w:val="center"/>
                </w:tcPr>
                <w:p>
                  <w:pPr>
                    <w:jc w:val="center"/>
                    <w:rPr>
                      <w:color w:val="000000"/>
                      <w:szCs w:val="21"/>
                    </w:rPr>
                  </w:pPr>
                  <w:r>
                    <w:rPr>
                      <w:rFonts w:hint="eastAsia"/>
                      <w:color w:val="000000"/>
                      <w:szCs w:val="21"/>
                    </w:rPr>
                    <w:t>密闭环境+过滤棉+活性炭+RCO处理装置</w:t>
                  </w:r>
                </w:p>
              </w:tc>
              <w:tc>
                <w:tcPr>
                  <w:tcW w:w="191" w:type="pct"/>
                  <w:vAlign w:val="center"/>
                </w:tcPr>
                <w:p>
                  <w:pPr>
                    <w:ind w:left="-105" w:leftChars="-50" w:right="-105" w:rightChars="-50"/>
                    <w:jc w:val="center"/>
                    <w:rPr>
                      <w:color w:val="000000"/>
                      <w:szCs w:val="21"/>
                    </w:rPr>
                  </w:pPr>
                  <w:r>
                    <w:rPr>
                      <w:rFonts w:hint="eastAsia"/>
                      <w:color w:val="000000"/>
                      <w:szCs w:val="21"/>
                    </w:rPr>
                    <w:t>是</w:t>
                  </w:r>
                </w:p>
              </w:tc>
              <w:tc>
                <w:tcPr>
                  <w:tcW w:w="191" w:type="pct"/>
                  <w:vAlign w:val="center"/>
                </w:tcPr>
                <w:p>
                  <w:pPr>
                    <w:ind w:left="-105" w:leftChars="-50" w:right="-105" w:rightChars="-50"/>
                    <w:jc w:val="center"/>
                    <w:rPr>
                      <w:color w:val="000000"/>
                      <w:szCs w:val="21"/>
                    </w:rPr>
                  </w:pPr>
                  <w:r>
                    <w:rPr>
                      <w:rFonts w:hint="eastAsia"/>
                      <w:color w:val="000000"/>
                      <w:szCs w:val="21"/>
                    </w:rPr>
                    <w:t>8</w:t>
                  </w:r>
                  <w:r>
                    <w:rPr>
                      <w:color w:val="000000"/>
                      <w:szCs w:val="21"/>
                    </w:rPr>
                    <w:t>7%</w:t>
                  </w:r>
                </w:p>
              </w:tc>
              <w:tc>
                <w:tcPr>
                  <w:tcW w:w="244" w:type="pct"/>
                  <w:vAlign w:val="center"/>
                </w:tcPr>
                <w:p>
                  <w:pPr>
                    <w:ind w:left="-105" w:leftChars="-50" w:right="-105" w:rightChars="-50"/>
                    <w:jc w:val="center"/>
                    <w:rPr>
                      <w:color w:val="000000"/>
                      <w:szCs w:val="21"/>
                    </w:rPr>
                  </w:pPr>
                  <w:r>
                    <w:rPr>
                      <w:rFonts w:hint="eastAsia"/>
                      <w:color w:val="000000"/>
                      <w:szCs w:val="21"/>
                    </w:rPr>
                    <w:t>8.785</w:t>
                  </w:r>
                </w:p>
              </w:tc>
              <w:tc>
                <w:tcPr>
                  <w:tcW w:w="285" w:type="pct"/>
                  <w:vAlign w:val="center"/>
                </w:tcPr>
                <w:p>
                  <w:pPr>
                    <w:ind w:left="-105" w:leftChars="-50" w:right="-105" w:rightChars="-50"/>
                    <w:jc w:val="center"/>
                    <w:rPr>
                      <w:rFonts w:hint="default" w:eastAsia="宋体"/>
                      <w:color w:val="000000"/>
                      <w:szCs w:val="21"/>
                      <w:lang w:val="en-US" w:eastAsia="zh-CN"/>
                    </w:rPr>
                  </w:pPr>
                  <w:r>
                    <w:rPr>
                      <w:rFonts w:hint="eastAsia"/>
                      <w:color w:val="000000"/>
                      <w:szCs w:val="21"/>
                    </w:rPr>
                    <w:t>0.</w:t>
                  </w:r>
                  <w:r>
                    <w:rPr>
                      <w:rFonts w:hint="eastAsia"/>
                      <w:color w:val="000000"/>
                      <w:szCs w:val="21"/>
                      <w:lang w:val="en-US" w:eastAsia="zh-CN"/>
                    </w:rPr>
                    <w:t>3514</w:t>
                  </w:r>
                </w:p>
              </w:tc>
              <w:tc>
                <w:tcPr>
                  <w:tcW w:w="351" w:type="pct"/>
                  <w:vAlign w:val="center"/>
                </w:tcPr>
                <w:p>
                  <w:pPr>
                    <w:jc w:val="center"/>
                    <w:rPr>
                      <w:color w:val="000000"/>
                      <w:szCs w:val="21"/>
                    </w:rPr>
                  </w:pPr>
                  <w:r>
                    <w:rPr>
                      <w:rFonts w:hint="eastAsia"/>
                      <w:color w:val="000000"/>
                      <w:szCs w:val="21"/>
                    </w:rPr>
                    <w:t>0.2108</w:t>
                  </w:r>
                </w:p>
              </w:tc>
              <w:tc>
                <w:tcPr>
                  <w:tcW w:w="252" w:type="pct"/>
                  <w:vAlign w:val="center"/>
                </w:tcPr>
                <w:p>
                  <w:pPr>
                    <w:jc w:val="center"/>
                    <w:rPr>
                      <w:color w:val="000000"/>
                      <w:szCs w:val="21"/>
                    </w:rPr>
                  </w:pPr>
                  <w:r>
                    <w:rPr>
                      <w:rFonts w:hint="eastAsia"/>
                      <w:color w:val="000000"/>
                      <w:szCs w:val="21"/>
                    </w:rPr>
                    <w:t>70</w:t>
                  </w:r>
                </w:p>
              </w:tc>
              <w:tc>
                <w:tcPr>
                  <w:tcW w:w="199" w:type="pct"/>
                  <w:vAlign w:val="center"/>
                </w:tcPr>
                <w:p>
                  <w:pPr>
                    <w:jc w:val="center"/>
                    <w:rPr>
                      <w:color w:val="000000"/>
                      <w:szCs w:val="21"/>
                    </w:rPr>
                  </w:pPr>
                  <w:r>
                    <w:rPr>
                      <w:rFonts w:hint="eastAsia"/>
                      <w:color w:val="000000"/>
                      <w:szCs w:val="21"/>
                    </w:rPr>
                    <w:t>3.0</w:t>
                  </w:r>
                </w:p>
              </w:tc>
              <w:tc>
                <w:tcPr>
                  <w:tcW w:w="189" w:type="pct"/>
                  <w:vAlign w:val="center"/>
                </w:tcPr>
                <w:p>
                  <w:pPr>
                    <w:jc w:val="center"/>
                    <w:rPr>
                      <w:color w:val="000000"/>
                      <w:szCs w:val="21"/>
                    </w:rPr>
                  </w:pPr>
                  <w:r>
                    <w:rPr>
                      <w:color w:val="000000"/>
                      <w:szCs w:val="21"/>
                    </w:rPr>
                    <w:t>达标</w:t>
                  </w:r>
                </w:p>
              </w:tc>
              <w:tc>
                <w:tcPr>
                  <w:tcW w:w="189" w:type="pct"/>
                  <w:vMerge w:val="restart"/>
                  <w:vAlign w:val="center"/>
                </w:tcPr>
                <w:p>
                  <w:pPr>
                    <w:jc w:val="center"/>
                    <w:rPr>
                      <w:color w:val="000000"/>
                      <w:szCs w:val="21"/>
                    </w:rPr>
                  </w:pPr>
                  <w:r>
                    <w:rPr>
                      <w:rFonts w:hint="eastAsia"/>
                      <w:color w:val="000000"/>
                      <w:szCs w:val="21"/>
                    </w:rPr>
                    <w:t>15</w:t>
                  </w:r>
                </w:p>
              </w:tc>
              <w:tc>
                <w:tcPr>
                  <w:tcW w:w="189" w:type="pct"/>
                  <w:vMerge w:val="restar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color w:val="0D0D0D" w:themeColor="text1" w:themeTint="F2"/>
                      <w:szCs w:val="21"/>
                      <w14:textFill>
                        <w14:solidFill>
                          <w14:schemeClr w14:val="tx1">
                            <w14:lumMod w14:val="95000"/>
                            <w14:lumOff w14:val="5000"/>
                          </w14:schemeClr>
                        </w14:solidFill>
                      </w14:textFill>
                    </w:rPr>
                    <w:t>.2</w:t>
                  </w:r>
                </w:p>
              </w:tc>
              <w:tc>
                <w:tcPr>
                  <w:tcW w:w="189" w:type="pct"/>
                  <w:vMerge w:val="restar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25</w:t>
                  </w:r>
                </w:p>
              </w:tc>
              <w:tc>
                <w:tcPr>
                  <w:tcW w:w="242" w:type="pct"/>
                  <w:vMerge w:val="restart"/>
                  <w:vAlign w:val="center"/>
                </w:tcPr>
                <w:p>
                  <w:pPr>
                    <w:widowControl/>
                    <w:jc w:val="center"/>
                    <w:rPr>
                      <w:color w:val="000000"/>
                      <w:szCs w:val="21"/>
                    </w:rPr>
                  </w:pPr>
                  <w:r>
                    <w:rPr>
                      <w:rFonts w:hint="eastAsia"/>
                      <w:color w:val="000000"/>
                      <w:szCs w:val="21"/>
                      <w:lang w:val="en-US" w:eastAsia="zh-CN"/>
                    </w:rPr>
                    <w:t>4</w:t>
                  </w:r>
                  <w:r>
                    <w:rPr>
                      <w:rFonts w:hint="eastAsia"/>
                      <w:color w:val="000000"/>
                      <w:szCs w:val="21"/>
                    </w:rPr>
                    <w:t>0000</w:t>
                  </w:r>
                </w:p>
              </w:tc>
              <w:tc>
                <w:tcPr>
                  <w:tcW w:w="219" w:type="pct"/>
                  <w:vMerge w:val="restart"/>
                  <w:vAlign w:val="center"/>
                </w:tcPr>
                <w:p>
                  <w:pPr>
                    <w:jc w:val="center"/>
                    <w:rPr>
                      <w:color w:val="000000"/>
                      <w:szCs w:val="21"/>
                    </w:rPr>
                  </w:pPr>
                  <w:r>
                    <w:rPr>
                      <w:rFonts w:hint="eastAsia"/>
                      <w:color w:val="000000"/>
                      <w:szCs w:val="21"/>
                      <w:lang w:val="en-US" w:eastAsia="zh-CN"/>
                    </w:rPr>
                    <w:t>6</w:t>
                  </w:r>
                  <w:r>
                    <w:rPr>
                      <w:rFonts w:hint="eastAsia"/>
                      <w:color w:val="000000"/>
                      <w:szCs w:val="21"/>
                    </w:rPr>
                    <w:t>00</w:t>
                  </w:r>
                  <w:r>
                    <w:rPr>
                      <w:color w:val="000000"/>
                      <w:szCs w:val="21"/>
                    </w:rPr>
                    <w:t>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18" w:hRule="atLeast"/>
                <w:jc w:val="center"/>
              </w:trPr>
              <w:tc>
                <w:tcPr>
                  <w:tcW w:w="259" w:type="pct"/>
                  <w:vMerge w:val="continue"/>
                  <w:vAlign w:val="center"/>
                </w:tcPr>
                <w:p>
                  <w:pPr>
                    <w:adjustRightInd w:val="0"/>
                    <w:snapToGrid w:val="0"/>
                    <w:jc w:val="center"/>
                    <w:rPr>
                      <w:color w:val="000000"/>
                      <w:szCs w:val="21"/>
                    </w:rPr>
                  </w:pPr>
                </w:p>
              </w:tc>
              <w:tc>
                <w:tcPr>
                  <w:tcW w:w="282" w:type="pct"/>
                  <w:vMerge w:val="continue"/>
                  <w:vAlign w:val="center"/>
                </w:tcPr>
                <w:p>
                  <w:pPr>
                    <w:jc w:val="center"/>
                    <w:rPr>
                      <w:color w:val="000000"/>
                      <w:szCs w:val="21"/>
                    </w:rPr>
                  </w:pPr>
                </w:p>
              </w:tc>
              <w:tc>
                <w:tcPr>
                  <w:tcW w:w="232" w:type="pct"/>
                  <w:vAlign w:val="center"/>
                </w:tcPr>
                <w:p>
                  <w:pPr>
                    <w:ind w:left="-105" w:leftChars="-50" w:right="-105" w:rightChars="-50"/>
                    <w:jc w:val="center"/>
                    <w:rPr>
                      <w:color w:val="000000"/>
                      <w:szCs w:val="21"/>
                    </w:rPr>
                  </w:pPr>
                  <w:r>
                    <w:rPr>
                      <w:rFonts w:hint="eastAsia"/>
                      <w:color w:val="000000"/>
                      <w:szCs w:val="21"/>
                    </w:rPr>
                    <w:t>二甲苯</w:t>
                  </w:r>
                </w:p>
              </w:tc>
              <w:tc>
                <w:tcPr>
                  <w:tcW w:w="271" w:type="pct"/>
                  <w:vAlign w:val="center"/>
                </w:tcPr>
                <w:p>
                  <w:pPr>
                    <w:ind w:left="-105" w:leftChars="-50" w:right="-105" w:rightChars="-50"/>
                    <w:jc w:val="center"/>
                    <w:rPr>
                      <w:color w:val="000000"/>
                      <w:szCs w:val="21"/>
                    </w:rPr>
                  </w:pPr>
                  <w:r>
                    <w:rPr>
                      <w:rFonts w:hint="eastAsia"/>
                      <w:color w:val="000000"/>
                      <w:szCs w:val="21"/>
                    </w:rPr>
                    <w:t>3.233</w:t>
                  </w:r>
                </w:p>
              </w:tc>
              <w:tc>
                <w:tcPr>
                  <w:tcW w:w="241" w:type="pct"/>
                  <w:vAlign w:val="center"/>
                </w:tcPr>
                <w:p>
                  <w:pPr>
                    <w:ind w:left="-105" w:leftChars="-50" w:right="-105" w:rightChars="-50"/>
                    <w:jc w:val="center"/>
                    <w:rPr>
                      <w:rFonts w:hint="default" w:eastAsia="宋体"/>
                      <w:color w:val="000000"/>
                      <w:szCs w:val="21"/>
                      <w:lang w:val="en-US" w:eastAsia="zh-CN"/>
                    </w:rPr>
                  </w:pPr>
                  <w:r>
                    <w:rPr>
                      <w:rFonts w:hint="eastAsia"/>
                      <w:color w:val="000000"/>
                      <w:szCs w:val="21"/>
                      <w:lang w:val="en-US" w:eastAsia="zh-CN"/>
                    </w:rPr>
                    <w:t>0.129</w:t>
                  </w:r>
                </w:p>
              </w:tc>
              <w:tc>
                <w:tcPr>
                  <w:tcW w:w="351" w:type="pct"/>
                  <w:vAlign w:val="center"/>
                </w:tcPr>
                <w:p>
                  <w:pPr>
                    <w:jc w:val="center"/>
                    <w:rPr>
                      <w:color w:val="000000"/>
                      <w:szCs w:val="21"/>
                    </w:rPr>
                  </w:pPr>
                  <w:r>
                    <w:rPr>
                      <w:rFonts w:hint="eastAsia"/>
                      <w:color w:val="000000"/>
                      <w:szCs w:val="21"/>
                    </w:rPr>
                    <w:t>0.07758</w:t>
                  </w:r>
                </w:p>
              </w:tc>
              <w:tc>
                <w:tcPr>
                  <w:tcW w:w="430" w:type="pct"/>
                  <w:vMerge w:val="continue"/>
                  <w:vAlign w:val="center"/>
                </w:tcPr>
                <w:p>
                  <w:pPr>
                    <w:jc w:val="center"/>
                    <w:rPr>
                      <w:color w:val="000000"/>
                      <w:szCs w:val="21"/>
                    </w:rPr>
                  </w:pPr>
                </w:p>
              </w:tc>
              <w:tc>
                <w:tcPr>
                  <w:tcW w:w="191" w:type="pct"/>
                  <w:vAlign w:val="center"/>
                </w:tcPr>
                <w:p>
                  <w:pPr>
                    <w:ind w:left="-105" w:leftChars="-50" w:right="-105" w:rightChars="-50"/>
                    <w:jc w:val="center"/>
                    <w:rPr>
                      <w:color w:val="000000"/>
                      <w:szCs w:val="21"/>
                    </w:rPr>
                  </w:pPr>
                  <w:r>
                    <w:rPr>
                      <w:rFonts w:hint="eastAsia"/>
                      <w:color w:val="000000"/>
                      <w:szCs w:val="21"/>
                    </w:rPr>
                    <w:t>是</w:t>
                  </w:r>
                </w:p>
              </w:tc>
              <w:tc>
                <w:tcPr>
                  <w:tcW w:w="191" w:type="pct"/>
                  <w:vAlign w:val="center"/>
                </w:tcPr>
                <w:p>
                  <w:pPr>
                    <w:spacing w:line="360" w:lineRule="auto"/>
                    <w:ind w:left="-105" w:leftChars="-50" w:right="-105" w:rightChars="-50"/>
                    <w:jc w:val="center"/>
                    <w:rPr>
                      <w:color w:val="000000"/>
                      <w:szCs w:val="21"/>
                    </w:rPr>
                  </w:pPr>
                  <w:r>
                    <w:rPr>
                      <w:rFonts w:hint="eastAsia"/>
                      <w:color w:val="000000"/>
                      <w:szCs w:val="21"/>
                    </w:rPr>
                    <w:t>87%</w:t>
                  </w:r>
                </w:p>
              </w:tc>
              <w:tc>
                <w:tcPr>
                  <w:tcW w:w="244" w:type="pct"/>
                  <w:vAlign w:val="center"/>
                </w:tcPr>
                <w:p>
                  <w:pPr>
                    <w:ind w:left="-105" w:leftChars="-50" w:right="-105" w:rightChars="-50"/>
                    <w:jc w:val="center"/>
                    <w:rPr>
                      <w:color w:val="000000"/>
                      <w:szCs w:val="21"/>
                    </w:rPr>
                  </w:pPr>
                  <w:r>
                    <w:rPr>
                      <w:rFonts w:hint="eastAsia"/>
                      <w:color w:val="000000"/>
                      <w:szCs w:val="21"/>
                    </w:rPr>
                    <w:t>0.399</w:t>
                  </w:r>
                </w:p>
              </w:tc>
              <w:tc>
                <w:tcPr>
                  <w:tcW w:w="285" w:type="pct"/>
                  <w:vAlign w:val="center"/>
                </w:tcPr>
                <w:p>
                  <w:pPr>
                    <w:ind w:left="-105" w:leftChars="-50" w:right="-105" w:rightChars="-50"/>
                    <w:jc w:val="center"/>
                    <w:rPr>
                      <w:rFonts w:hint="default" w:eastAsia="宋体"/>
                      <w:color w:val="000000"/>
                      <w:szCs w:val="21"/>
                      <w:lang w:val="en-US" w:eastAsia="zh-CN"/>
                    </w:rPr>
                  </w:pPr>
                  <w:r>
                    <w:rPr>
                      <w:rFonts w:hint="eastAsia"/>
                      <w:color w:val="000000"/>
                      <w:szCs w:val="21"/>
                    </w:rPr>
                    <w:t>0.0</w:t>
                  </w:r>
                  <w:r>
                    <w:rPr>
                      <w:rFonts w:hint="eastAsia"/>
                      <w:color w:val="000000"/>
                      <w:szCs w:val="21"/>
                      <w:lang w:val="en-US" w:eastAsia="zh-CN"/>
                    </w:rPr>
                    <w:t>16</w:t>
                  </w:r>
                </w:p>
              </w:tc>
              <w:tc>
                <w:tcPr>
                  <w:tcW w:w="351" w:type="pct"/>
                  <w:vAlign w:val="center"/>
                </w:tcPr>
                <w:p>
                  <w:pPr>
                    <w:jc w:val="center"/>
                    <w:rPr>
                      <w:color w:val="000000"/>
                      <w:szCs w:val="21"/>
                    </w:rPr>
                  </w:pPr>
                  <w:r>
                    <w:rPr>
                      <w:rFonts w:hint="eastAsia"/>
                      <w:color w:val="000000"/>
                      <w:szCs w:val="21"/>
                    </w:rPr>
                    <w:t>0.010</w:t>
                  </w:r>
                </w:p>
              </w:tc>
              <w:tc>
                <w:tcPr>
                  <w:tcW w:w="252" w:type="pct"/>
                  <w:vAlign w:val="center"/>
                </w:tcPr>
                <w:p>
                  <w:pPr>
                    <w:jc w:val="center"/>
                    <w:rPr>
                      <w:color w:val="000000"/>
                      <w:szCs w:val="21"/>
                    </w:rPr>
                  </w:pPr>
                  <w:r>
                    <w:rPr>
                      <w:rFonts w:hint="eastAsia"/>
                      <w:color w:val="000000"/>
                      <w:szCs w:val="21"/>
                    </w:rPr>
                    <w:t>2</w:t>
                  </w:r>
                  <w:r>
                    <w:rPr>
                      <w:color w:val="000000"/>
                      <w:szCs w:val="21"/>
                    </w:rPr>
                    <w:t>0</w:t>
                  </w:r>
                </w:p>
              </w:tc>
              <w:tc>
                <w:tcPr>
                  <w:tcW w:w="199" w:type="pct"/>
                  <w:vAlign w:val="center"/>
                </w:tcPr>
                <w:p>
                  <w:pPr>
                    <w:jc w:val="center"/>
                    <w:rPr>
                      <w:color w:val="000000"/>
                      <w:szCs w:val="21"/>
                    </w:rPr>
                  </w:pPr>
                  <w:r>
                    <w:rPr>
                      <w:rFonts w:hint="eastAsia"/>
                      <w:color w:val="000000"/>
                      <w:szCs w:val="21"/>
                    </w:rPr>
                    <w:t>0.8</w:t>
                  </w:r>
                </w:p>
              </w:tc>
              <w:tc>
                <w:tcPr>
                  <w:tcW w:w="189" w:type="pct"/>
                  <w:vAlign w:val="center"/>
                </w:tcPr>
                <w:p>
                  <w:pPr>
                    <w:jc w:val="center"/>
                    <w:rPr>
                      <w:color w:val="000000"/>
                      <w:szCs w:val="21"/>
                    </w:rPr>
                  </w:pPr>
                  <w:r>
                    <w:rPr>
                      <w:color w:val="000000"/>
                      <w:szCs w:val="21"/>
                    </w:rPr>
                    <w:t>达标</w:t>
                  </w:r>
                </w:p>
              </w:tc>
              <w:tc>
                <w:tcPr>
                  <w:tcW w:w="189" w:type="pct"/>
                  <w:vMerge w:val="continue"/>
                  <w:vAlign w:val="center"/>
                </w:tcPr>
                <w:p>
                  <w:pPr>
                    <w:jc w:val="center"/>
                    <w:rPr>
                      <w:color w:val="000000"/>
                      <w:szCs w:val="21"/>
                    </w:rPr>
                  </w:pPr>
                </w:p>
              </w:tc>
              <w:tc>
                <w:tcPr>
                  <w:tcW w:w="189" w:type="pct"/>
                  <w:vMerge w:val="continue"/>
                  <w:vAlign w:val="center"/>
                </w:tcPr>
                <w:p>
                  <w:pPr>
                    <w:jc w:val="center"/>
                    <w:rPr>
                      <w:color w:val="0D0D0D" w:themeColor="text1" w:themeTint="F2"/>
                      <w:szCs w:val="21"/>
                      <w14:textFill>
                        <w14:solidFill>
                          <w14:schemeClr w14:val="tx1">
                            <w14:lumMod w14:val="95000"/>
                            <w14:lumOff w14:val="5000"/>
                          </w14:schemeClr>
                        </w14:solidFill>
                      </w14:textFill>
                    </w:rPr>
                  </w:pPr>
                </w:p>
              </w:tc>
              <w:tc>
                <w:tcPr>
                  <w:tcW w:w="189" w:type="pct"/>
                  <w:vMerge w:val="continue"/>
                  <w:vAlign w:val="center"/>
                </w:tcPr>
                <w:p>
                  <w:pPr>
                    <w:jc w:val="center"/>
                    <w:rPr>
                      <w:color w:val="0D0D0D" w:themeColor="text1" w:themeTint="F2"/>
                      <w:szCs w:val="21"/>
                      <w14:textFill>
                        <w14:solidFill>
                          <w14:schemeClr w14:val="tx1">
                            <w14:lumMod w14:val="95000"/>
                            <w14:lumOff w14:val="5000"/>
                          </w14:schemeClr>
                        </w14:solidFill>
                      </w14:textFill>
                    </w:rPr>
                  </w:pPr>
                </w:p>
              </w:tc>
              <w:tc>
                <w:tcPr>
                  <w:tcW w:w="242" w:type="pct"/>
                  <w:vMerge w:val="continue"/>
                  <w:vAlign w:val="center"/>
                </w:tcPr>
                <w:p>
                  <w:pPr>
                    <w:widowControl/>
                    <w:jc w:val="center"/>
                    <w:rPr>
                      <w:color w:val="000000"/>
                      <w:szCs w:val="21"/>
                    </w:rPr>
                  </w:pPr>
                </w:p>
              </w:tc>
              <w:tc>
                <w:tcPr>
                  <w:tcW w:w="219" w:type="pct"/>
                  <w:vMerge w:val="continue"/>
                  <w:vAlign w:val="center"/>
                </w:tcPr>
                <w:p>
                  <w:pPr>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18" w:hRule="atLeast"/>
                <w:jc w:val="center"/>
              </w:trPr>
              <w:tc>
                <w:tcPr>
                  <w:tcW w:w="259" w:type="pct"/>
                  <w:vMerge w:val="continue"/>
                  <w:vAlign w:val="center"/>
                </w:tcPr>
                <w:p>
                  <w:pPr>
                    <w:adjustRightInd w:val="0"/>
                    <w:snapToGrid w:val="0"/>
                    <w:jc w:val="center"/>
                    <w:rPr>
                      <w:color w:val="000000"/>
                      <w:szCs w:val="21"/>
                    </w:rPr>
                  </w:pPr>
                </w:p>
              </w:tc>
              <w:tc>
                <w:tcPr>
                  <w:tcW w:w="282" w:type="pct"/>
                  <w:vMerge w:val="continue"/>
                  <w:vAlign w:val="center"/>
                </w:tcPr>
                <w:p>
                  <w:pPr>
                    <w:jc w:val="center"/>
                    <w:rPr>
                      <w:color w:val="000000"/>
                      <w:szCs w:val="21"/>
                    </w:rPr>
                  </w:pPr>
                </w:p>
              </w:tc>
              <w:tc>
                <w:tcPr>
                  <w:tcW w:w="232" w:type="pct"/>
                  <w:vAlign w:val="center"/>
                </w:tcPr>
                <w:p>
                  <w:pPr>
                    <w:ind w:left="-105" w:leftChars="-50" w:right="-105" w:rightChars="-50"/>
                    <w:jc w:val="center"/>
                    <w:rPr>
                      <w:color w:val="000000"/>
                      <w:szCs w:val="21"/>
                    </w:rPr>
                  </w:pPr>
                  <w:r>
                    <w:rPr>
                      <w:rFonts w:hint="eastAsia"/>
                      <w:color w:val="000000"/>
                      <w:szCs w:val="21"/>
                    </w:rPr>
                    <w:t>甲苯</w:t>
                  </w:r>
                </w:p>
              </w:tc>
              <w:tc>
                <w:tcPr>
                  <w:tcW w:w="271" w:type="pct"/>
                  <w:vAlign w:val="center"/>
                </w:tcPr>
                <w:p>
                  <w:pPr>
                    <w:ind w:left="-105" w:leftChars="-50" w:right="-105" w:rightChars="-50"/>
                    <w:jc w:val="center"/>
                    <w:rPr>
                      <w:color w:val="000000"/>
                      <w:szCs w:val="21"/>
                    </w:rPr>
                  </w:pPr>
                  <w:r>
                    <w:rPr>
                      <w:rFonts w:hint="eastAsia"/>
                      <w:color w:val="000000"/>
                      <w:szCs w:val="21"/>
                    </w:rPr>
                    <w:t>2.008</w:t>
                  </w:r>
                </w:p>
              </w:tc>
              <w:tc>
                <w:tcPr>
                  <w:tcW w:w="241" w:type="pct"/>
                  <w:vAlign w:val="center"/>
                </w:tcPr>
                <w:p>
                  <w:pPr>
                    <w:ind w:left="-105" w:leftChars="-50" w:right="-105" w:rightChars="-50"/>
                    <w:jc w:val="center"/>
                    <w:rPr>
                      <w:rFonts w:hint="default" w:eastAsia="宋体"/>
                      <w:color w:val="000000"/>
                      <w:szCs w:val="21"/>
                      <w:lang w:val="en-US" w:eastAsia="zh-CN"/>
                    </w:rPr>
                  </w:pPr>
                  <w:r>
                    <w:rPr>
                      <w:rFonts w:hint="eastAsia"/>
                      <w:color w:val="000000"/>
                      <w:szCs w:val="21"/>
                      <w:lang w:val="en-US" w:eastAsia="zh-CN"/>
                    </w:rPr>
                    <w:t>0.080</w:t>
                  </w:r>
                </w:p>
              </w:tc>
              <w:tc>
                <w:tcPr>
                  <w:tcW w:w="351" w:type="pct"/>
                  <w:vAlign w:val="center"/>
                </w:tcPr>
                <w:p>
                  <w:pPr>
                    <w:jc w:val="center"/>
                    <w:rPr>
                      <w:color w:val="000000"/>
                      <w:szCs w:val="21"/>
                    </w:rPr>
                  </w:pPr>
                  <w:r>
                    <w:rPr>
                      <w:rFonts w:hint="eastAsia"/>
                      <w:color w:val="000000"/>
                      <w:szCs w:val="21"/>
                    </w:rPr>
                    <w:t>0.04018</w:t>
                  </w:r>
                </w:p>
              </w:tc>
              <w:tc>
                <w:tcPr>
                  <w:tcW w:w="430" w:type="pct"/>
                  <w:vMerge w:val="continue"/>
                  <w:vAlign w:val="center"/>
                </w:tcPr>
                <w:p>
                  <w:pPr>
                    <w:jc w:val="center"/>
                    <w:rPr>
                      <w:color w:val="000000"/>
                      <w:szCs w:val="21"/>
                    </w:rPr>
                  </w:pPr>
                </w:p>
              </w:tc>
              <w:tc>
                <w:tcPr>
                  <w:tcW w:w="191" w:type="pct"/>
                  <w:vAlign w:val="center"/>
                </w:tcPr>
                <w:p>
                  <w:pPr>
                    <w:ind w:left="-105" w:leftChars="-50" w:right="-105" w:rightChars="-50"/>
                    <w:jc w:val="center"/>
                    <w:rPr>
                      <w:color w:val="000000"/>
                      <w:szCs w:val="21"/>
                    </w:rPr>
                  </w:pPr>
                  <w:r>
                    <w:rPr>
                      <w:rFonts w:hint="eastAsia"/>
                      <w:color w:val="000000"/>
                      <w:szCs w:val="21"/>
                    </w:rPr>
                    <w:t>是</w:t>
                  </w:r>
                </w:p>
              </w:tc>
              <w:tc>
                <w:tcPr>
                  <w:tcW w:w="191" w:type="pct"/>
                  <w:vAlign w:val="center"/>
                </w:tcPr>
                <w:p>
                  <w:pPr>
                    <w:spacing w:line="360" w:lineRule="auto"/>
                    <w:ind w:left="-105" w:leftChars="-50" w:right="-105" w:rightChars="-50"/>
                    <w:jc w:val="center"/>
                    <w:rPr>
                      <w:color w:val="000000"/>
                      <w:szCs w:val="21"/>
                    </w:rPr>
                  </w:pPr>
                  <w:r>
                    <w:rPr>
                      <w:rFonts w:hint="eastAsia"/>
                      <w:color w:val="000000"/>
                      <w:szCs w:val="21"/>
                    </w:rPr>
                    <w:t>87%</w:t>
                  </w:r>
                </w:p>
              </w:tc>
              <w:tc>
                <w:tcPr>
                  <w:tcW w:w="244" w:type="pct"/>
                  <w:vAlign w:val="center"/>
                </w:tcPr>
                <w:p>
                  <w:pPr>
                    <w:ind w:left="-105" w:leftChars="-50" w:right="-105" w:rightChars="-50"/>
                    <w:jc w:val="center"/>
                    <w:rPr>
                      <w:color w:val="000000"/>
                      <w:szCs w:val="21"/>
                    </w:rPr>
                  </w:pPr>
                  <w:r>
                    <w:rPr>
                      <w:rFonts w:hint="eastAsia"/>
                      <w:color w:val="000000"/>
                      <w:szCs w:val="21"/>
                    </w:rPr>
                    <w:t>0.207</w:t>
                  </w:r>
                </w:p>
              </w:tc>
              <w:tc>
                <w:tcPr>
                  <w:tcW w:w="285" w:type="pct"/>
                  <w:vAlign w:val="center"/>
                </w:tcPr>
                <w:p>
                  <w:pPr>
                    <w:ind w:left="-105" w:leftChars="-50" w:right="-105" w:rightChars="-50"/>
                    <w:jc w:val="center"/>
                    <w:rPr>
                      <w:rFonts w:hint="eastAsia" w:eastAsia="宋体"/>
                      <w:color w:val="000000"/>
                      <w:szCs w:val="21"/>
                      <w:lang w:eastAsia="zh-CN"/>
                    </w:rPr>
                  </w:pPr>
                  <w:r>
                    <w:rPr>
                      <w:rFonts w:hint="eastAsia"/>
                      <w:color w:val="000000"/>
                      <w:szCs w:val="21"/>
                    </w:rPr>
                    <w:t>0.00</w:t>
                  </w:r>
                  <w:r>
                    <w:rPr>
                      <w:rFonts w:hint="eastAsia"/>
                      <w:color w:val="000000"/>
                      <w:szCs w:val="21"/>
                      <w:lang w:val="en-US" w:eastAsia="zh-CN"/>
                    </w:rPr>
                    <w:t>8</w:t>
                  </w:r>
                </w:p>
              </w:tc>
              <w:tc>
                <w:tcPr>
                  <w:tcW w:w="351" w:type="pct"/>
                  <w:vAlign w:val="center"/>
                </w:tcPr>
                <w:p>
                  <w:pPr>
                    <w:jc w:val="center"/>
                    <w:rPr>
                      <w:color w:val="000000"/>
                      <w:szCs w:val="21"/>
                    </w:rPr>
                  </w:pPr>
                  <w:r>
                    <w:rPr>
                      <w:rFonts w:hint="eastAsia"/>
                      <w:color w:val="000000"/>
                      <w:szCs w:val="21"/>
                    </w:rPr>
                    <w:t>0.005</w:t>
                  </w:r>
                </w:p>
              </w:tc>
              <w:tc>
                <w:tcPr>
                  <w:tcW w:w="252" w:type="pct"/>
                  <w:vAlign w:val="center"/>
                </w:tcPr>
                <w:p>
                  <w:pPr>
                    <w:jc w:val="center"/>
                    <w:rPr>
                      <w:color w:val="000000"/>
                      <w:szCs w:val="21"/>
                    </w:rPr>
                  </w:pPr>
                  <w:r>
                    <w:rPr>
                      <w:rFonts w:hint="eastAsia"/>
                      <w:color w:val="000000"/>
                      <w:szCs w:val="21"/>
                    </w:rPr>
                    <w:t>20</w:t>
                  </w:r>
                </w:p>
              </w:tc>
              <w:tc>
                <w:tcPr>
                  <w:tcW w:w="199" w:type="pct"/>
                  <w:vAlign w:val="center"/>
                </w:tcPr>
                <w:p>
                  <w:pPr>
                    <w:jc w:val="center"/>
                    <w:rPr>
                      <w:color w:val="000000"/>
                      <w:szCs w:val="21"/>
                    </w:rPr>
                  </w:pPr>
                  <w:r>
                    <w:rPr>
                      <w:rFonts w:hint="eastAsia"/>
                      <w:color w:val="000000"/>
                      <w:szCs w:val="21"/>
                    </w:rPr>
                    <w:t>0.8</w:t>
                  </w:r>
                </w:p>
              </w:tc>
              <w:tc>
                <w:tcPr>
                  <w:tcW w:w="189" w:type="pct"/>
                  <w:vAlign w:val="center"/>
                </w:tcPr>
                <w:p>
                  <w:pPr>
                    <w:jc w:val="center"/>
                    <w:rPr>
                      <w:color w:val="000000"/>
                      <w:szCs w:val="21"/>
                    </w:rPr>
                  </w:pPr>
                  <w:r>
                    <w:rPr>
                      <w:rFonts w:hint="eastAsia"/>
                      <w:color w:val="000000"/>
                      <w:szCs w:val="21"/>
                    </w:rPr>
                    <w:t>达标</w:t>
                  </w:r>
                </w:p>
              </w:tc>
              <w:tc>
                <w:tcPr>
                  <w:tcW w:w="189" w:type="pct"/>
                  <w:vMerge w:val="continue"/>
                  <w:vAlign w:val="center"/>
                </w:tcPr>
                <w:p>
                  <w:pPr>
                    <w:jc w:val="center"/>
                    <w:rPr>
                      <w:color w:val="000000"/>
                      <w:szCs w:val="21"/>
                    </w:rPr>
                  </w:pPr>
                </w:p>
              </w:tc>
              <w:tc>
                <w:tcPr>
                  <w:tcW w:w="189" w:type="pct"/>
                  <w:vMerge w:val="continue"/>
                  <w:vAlign w:val="center"/>
                </w:tcPr>
                <w:p>
                  <w:pPr>
                    <w:jc w:val="center"/>
                    <w:rPr>
                      <w:color w:val="0D0D0D" w:themeColor="text1" w:themeTint="F2"/>
                      <w:szCs w:val="21"/>
                      <w14:textFill>
                        <w14:solidFill>
                          <w14:schemeClr w14:val="tx1">
                            <w14:lumMod w14:val="95000"/>
                            <w14:lumOff w14:val="5000"/>
                          </w14:schemeClr>
                        </w14:solidFill>
                      </w14:textFill>
                    </w:rPr>
                  </w:pPr>
                </w:p>
              </w:tc>
              <w:tc>
                <w:tcPr>
                  <w:tcW w:w="189" w:type="pct"/>
                  <w:vMerge w:val="continue"/>
                  <w:vAlign w:val="center"/>
                </w:tcPr>
                <w:p>
                  <w:pPr>
                    <w:jc w:val="center"/>
                    <w:rPr>
                      <w:color w:val="0D0D0D" w:themeColor="text1" w:themeTint="F2"/>
                      <w:szCs w:val="21"/>
                      <w14:textFill>
                        <w14:solidFill>
                          <w14:schemeClr w14:val="tx1">
                            <w14:lumMod w14:val="95000"/>
                            <w14:lumOff w14:val="5000"/>
                          </w14:schemeClr>
                        </w14:solidFill>
                      </w14:textFill>
                    </w:rPr>
                  </w:pPr>
                </w:p>
              </w:tc>
              <w:tc>
                <w:tcPr>
                  <w:tcW w:w="242" w:type="pct"/>
                  <w:vMerge w:val="continue"/>
                  <w:vAlign w:val="center"/>
                </w:tcPr>
                <w:p>
                  <w:pPr>
                    <w:widowControl/>
                    <w:jc w:val="center"/>
                    <w:rPr>
                      <w:color w:val="000000"/>
                      <w:szCs w:val="21"/>
                    </w:rPr>
                  </w:pPr>
                </w:p>
              </w:tc>
              <w:tc>
                <w:tcPr>
                  <w:tcW w:w="219" w:type="pct"/>
                  <w:vMerge w:val="continue"/>
                  <w:vAlign w:val="center"/>
                </w:tcPr>
                <w:p>
                  <w:pPr>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18" w:hRule="atLeast"/>
                <w:jc w:val="center"/>
              </w:trPr>
              <w:tc>
                <w:tcPr>
                  <w:tcW w:w="259" w:type="pct"/>
                  <w:vMerge w:val="continue"/>
                  <w:vAlign w:val="center"/>
                </w:tcPr>
                <w:p>
                  <w:pPr>
                    <w:adjustRightInd w:val="0"/>
                    <w:snapToGrid w:val="0"/>
                    <w:jc w:val="center"/>
                    <w:rPr>
                      <w:color w:val="000000"/>
                      <w:szCs w:val="21"/>
                    </w:rPr>
                  </w:pPr>
                </w:p>
              </w:tc>
              <w:tc>
                <w:tcPr>
                  <w:tcW w:w="282" w:type="pct"/>
                  <w:vMerge w:val="continue"/>
                  <w:vAlign w:val="center"/>
                </w:tcPr>
                <w:p>
                  <w:pPr>
                    <w:jc w:val="center"/>
                    <w:rPr>
                      <w:color w:val="000000"/>
                      <w:szCs w:val="21"/>
                    </w:rPr>
                  </w:pPr>
                </w:p>
              </w:tc>
              <w:tc>
                <w:tcPr>
                  <w:tcW w:w="232" w:type="pct"/>
                  <w:vAlign w:val="center"/>
                </w:tcPr>
                <w:p>
                  <w:pPr>
                    <w:ind w:left="-105" w:leftChars="-50" w:right="-105" w:rightChars="-50"/>
                    <w:jc w:val="center"/>
                    <w:rPr>
                      <w:color w:val="000000"/>
                      <w:szCs w:val="21"/>
                    </w:rPr>
                  </w:pPr>
                  <w:r>
                    <w:rPr>
                      <w:rFonts w:hint="eastAsia"/>
                      <w:color w:val="000000"/>
                      <w:szCs w:val="21"/>
                    </w:rPr>
                    <w:t>颗粒物</w:t>
                  </w:r>
                </w:p>
              </w:tc>
              <w:tc>
                <w:tcPr>
                  <w:tcW w:w="271" w:type="pct"/>
                  <w:vAlign w:val="center"/>
                </w:tcPr>
                <w:p>
                  <w:pPr>
                    <w:ind w:left="-105" w:leftChars="-50" w:right="-105" w:rightChars="-50"/>
                    <w:jc w:val="center"/>
                    <w:rPr>
                      <w:color w:val="000000"/>
                      <w:szCs w:val="21"/>
                    </w:rPr>
                  </w:pPr>
                  <w:r>
                    <w:rPr>
                      <w:rFonts w:hint="eastAsia"/>
                      <w:color w:val="000000"/>
                      <w:szCs w:val="21"/>
                    </w:rPr>
                    <w:t>78.658</w:t>
                  </w:r>
                </w:p>
              </w:tc>
              <w:tc>
                <w:tcPr>
                  <w:tcW w:w="241" w:type="pct"/>
                  <w:vAlign w:val="center"/>
                </w:tcPr>
                <w:p>
                  <w:pPr>
                    <w:ind w:left="-105" w:leftChars="-50" w:right="-105" w:rightChars="-50"/>
                    <w:jc w:val="center"/>
                    <w:rPr>
                      <w:rFonts w:hint="default" w:eastAsia="宋体"/>
                      <w:color w:val="000000"/>
                      <w:szCs w:val="21"/>
                      <w:lang w:val="en-US" w:eastAsia="zh-CN"/>
                    </w:rPr>
                  </w:pPr>
                  <w:r>
                    <w:rPr>
                      <w:rFonts w:hint="eastAsia"/>
                      <w:color w:val="000000"/>
                      <w:szCs w:val="21"/>
                      <w:lang w:val="en-US" w:eastAsia="zh-CN"/>
                    </w:rPr>
                    <w:t>3.146</w:t>
                  </w:r>
                </w:p>
              </w:tc>
              <w:tc>
                <w:tcPr>
                  <w:tcW w:w="351" w:type="pct"/>
                  <w:vAlign w:val="center"/>
                </w:tcPr>
                <w:p>
                  <w:pPr>
                    <w:jc w:val="center"/>
                    <w:rPr>
                      <w:color w:val="000000"/>
                      <w:szCs w:val="21"/>
                    </w:rPr>
                  </w:pPr>
                  <w:r>
                    <w:rPr>
                      <w:rFonts w:hint="eastAsia"/>
                      <w:color w:val="000000"/>
                      <w:szCs w:val="21"/>
                    </w:rPr>
                    <w:t>1.8878</w:t>
                  </w:r>
                </w:p>
              </w:tc>
              <w:tc>
                <w:tcPr>
                  <w:tcW w:w="430" w:type="pct"/>
                  <w:vMerge w:val="continue"/>
                  <w:vAlign w:val="center"/>
                </w:tcPr>
                <w:p>
                  <w:pPr>
                    <w:jc w:val="center"/>
                    <w:rPr>
                      <w:color w:val="000000"/>
                      <w:szCs w:val="21"/>
                    </w:rPr>
                  </w:pPr>
                </w:p>
              </w:tc>
              <w:tc>
                <w:tcPr>
                  <w:tcW w:w="191" w:type="pct"/>
                  <w:vAlign w:val="center"/>
                </w:tcPr>
                <w:p>
                  <w:pPr>
                    <w:ind w:left="-105" w:leftChars="-50" w:right="-105" w:rightChars="-50"/>
                    <w:jc w:val="center"/>
                    <w:rPr>
                      <w:color w:val="000000"/>
                      <w:szCs w:val="21"/>
                    </w:rPr>
                  </w:pPr>
                  <w:r>
                    <w:rPr>
                      <w:rFonts w:hint="eastAsia"/>
                      <w:color w:val="000000"/>
                      <w:szCs w:val="21"/>
                    </w:rPr>
                    <w:t>是</w:t>
                  </w:r>
                </w:p>
              </w:tc>
              <w:tc>
                <w:tcPr>
                  <w:tcW w:w="191" w:type="pct"/>
                  <w:vAlign w:val="center"/>
                </w:tcPr>
                <w:p>
                  <w:pPr>
                    <w:ind w:left="-105" w:leftChars="-50" w:right="-105" w:rightChars="-50"/>
                    <w:jc w:val="center"/>
                    <w:rPr>
                      <w:color w:val="000000"/>
                      <w:szCs w:val="21"/>
                    </w:rPr>
                  </w:pPr>
                  <w:r>
                    <w:rPr>
                      <w:rFonts w:hint="eastAsia"/>
                      <w:color w:val="000000"/>
                      <w:szCs w:val="21"/>
                    </w:rPr>
                    <w:t>95</w:t>
                  </w:r>
                  <w:r>
                    <w:rPr>
                      <w:color w:val="000000"/>
                      <w:szCs w:val="21"/>
                    </w:rPr>
                    <w:t>%</w:t>
                  </w:r>
                </w:p>
              </w:tc>
              <w:tc>
                <w:tcPr>
                  <w:tcW w:w="244" w:type="pct"/>
                  <w:vAlign w:val="center"/>
                </w:tcPr>
                <w:p>
                  <w:pPr>
                    <w:ind w:left="-105" w:leftChars="-50" w:right="-105" w:rightChars="-50"/>
                    <w:jc w:val="center"/>
                    <w:rPr>
                      <w:color w:val="000000"/>
                      <w:szCs w:val="21"/>
                    </w:rPr>
                  </w:pPr>
                  <w:r>
                    <w:rPr>
                      <w:rFonts w:hint="eastAsia"/>
                      <w:color w:val="000000"/>
                      <w:szCs w:val="21"/>
                    </w:rPr>
                    <w:t>3.736</w:t>
                  </w:r>
                </w:p>
              </w:tc>
              <w:tc>
                <w:tcPr>
                  <w:tcW w:w="285" w:type="pct"/>
                  <w:vAlign w:val="center"/>
                </w:tcPr>
                <w:p>
                  <w:pPr>
                    <w:ind w:left="-105" w:leftChars="-50" w:right="-105" w:rightChars="-50"/>
                    <w:jc w:val="center"/>
                    <w:rPr>
                      <w:rFonts w:hint="default" w:eastAsia="宋体"/>
                      <w:color w:val="000000"/>
                      <w:szCs w:val="21"/>
                      <w:lang w:val="en-US" w:eastAsia="zh-CN"/>
                    </w:rPr>
                  </w:pPr>
                  <w:r>
                    <w:rPr>
                      <w:rFonts w:hint="eastAsia"/>
                      <w:color w:val="000000"/>
                      <w:szCs w:val="21"/>
                    </w:rPr>
                    <w:t>0.</w:t>
                  </w:r>
                  <w:r>
                    <w:rPr>
                      <w:rFonts w:hint="eastAsia"/>
                      <w:color w:val="000000"/>
                      <w:szCs w:val="21"/>
                      <w:lang w:val="en-US" w:eastAsia="zh-CN"/>
                    </w:rPr>
                    <w:t>149</w:t>
                  </w:r>
                </w:p>
              </w:tc>
              <w:tc>
                <w:tcPr>
                  <w:tcW w:w="351" w:type="pct"/>
                  <w:vAlign w:val="center"/>
                </w:tcPr>
                <w:p>
                  <w:pPr>
                    <w:jc w:val="center"/>
                    <w:rPr>
                      <w:color w:val="000000"/>
                      <w:szCs w:val="21"/>
                    </w:rPr>
                  </w:pPr>
                  <w:r>
                    <w:rPr>
                      <w:rFonts w:hint="eastAsia"/>
                      <w:color w:val="000000"/>
                      <w:szCs w:val="21"/>
                    </w:rPr>
                    <w:t>0.0897</w:t>
                  </w:r>
                </w:p>
              </w:tc>
              <w:tc>
                <w:tcPr>
                  <w:tcW w:w="252" w:type="pct"/>
                  <w:vAlign w:val="center"/>
                </w:tcPr>
                <w:p>
                  <w:pPr>
                    <w:jc w:val="center"/>
                    <w:rPr>
                      <w:color w:val="000000"/>
                      <w:szCs w:val="21"/>
                    </w:rPr>
                  </w:pPr>
                  <w:r>
                    <w:rPr>
                      <w:rFonts w:hint="eastAsia"/>
                      <w:color w:val="000000"/>
                      <w:szCs w:val="21"/>
                    </w:rPr>
                    <w:t>2</w:t>
                  </w:r>
                  <w:r>
                    <w:rPr>
                      <w:color w:val="000000"/>
                      <w:szCs w:val="21"/>
                    </w:rPr>
                    <w:t>0</w:t>
                  </w:r>
                </w:p>
              </w:tc>
              <w:tc>
                <w:tcPr>
                  <w:tcW w:w="199" w:type="pct"/>
                  <w:vAlign w:val="center"/>
                </w:tcPr>
                <w:p>
                  <w:pPr>
                    <w:jc w:val="center"/>
                    <w:rPr>
                      <w:color w:val="000000"/>
                      <w:szCs w:val="21"/>
                    </w:rPr>
                  </w:pPr>
                  <w:r>
                    <w:rPr>
                      <w:rFonts w:hint="eastAsia"/>
                      <w:color w:val="000000"/>
                      <w:szCs w:val="21"/>
                    </w:rPr>
                    <w:t>0.8</w:t>
                  </w:r>
                </w:p>
              </w:tc>
              <w:tc>
                <w:tcPr>
                  <w:tcW w:w="189" w:type="pct"/>
                  <w:vAlign w:val="center"/>
                </w:tcPr>
                <w:p>
                  <w:pPr>
                    <w:jc w:val="center"/>
                    <w:rPr>
                      <w:color w:val="000000"/>
                      <w:szCs w:val="21"/>
                    </w:rPr>
                  </w:pPr>
                  <w:r>
                    <w:rPr>
                      <w:color w:val="000000"/>
                      <w:szCs w:val="21"/>
                    </w:rPr>
                    <w:t>达标</w:t>
                  </w:r>
                </w:p>
              </w:tc>
              <w:tc>
                <w:tcPr>
                  <w:tcW w:w="189" w:type="pct"/>
                  <w:vMerge w:val="continue"/>
                  <w:vAlign w:val="center"/>
                </w:tcPr>
                <w:p>
                  <w:pPr>
                    <w:jc w:val="center"/>
                    <w:rPr>
                      <w:color w:val="000000"/>
                      <w:szCs w:val="21"/>
                    </w:rPr>
                  </w:pPr>
                </w:p>
              </w:tc>
              <w:tc>
                <w:tcPr>
                  <w:tcW w:w="189" w:type="pct"/>
                  <w:vMerge w:val="continue"/>
                  <w:vAlign w:val="center"/>
                </w:tcPr>
                <w:p>
                  <w:pPr>
                    <w:jc w:val="center"/>
                    <w:rPr>
                      <w:color w:val="0D0D0D" w:themeColor="text1" w:themeTint="F2"/>
                      <w:szCs w:val="21"/>
                      <w14:textFill>
                        <w14:solidFill>
                          <w14:schemeClr w14:val="tx1">
                            <w14:lumMod w14:val="95000"/>
                            <w14:lumOff w14:val="5000"/>
                          </w14:schemeClr>
                        </w14:solidFill>
                      </w14:textFill>
                    </w:rPr>
                  </w:pPr>
                </w:p>
              </w:tc>
              <w:tc>
                <w:tcPr>
                  <w:tcW w:w="189" w:type="pct"/>
                  <w:vMerge w:val="continue"/>
                  <w:vAlign w:val="center"/>
                </w:tcPr>
                <w:p>
                  <w:pPr>
                    <w:jc w:val="center"/>
                    <w:rPr>
                      <w:color w:val="0D0D0D" w:themeColor="text1" w:themeTint="F2"/>
                      <w:szCs w:val="21"/>
                      <w14:textFill>
                        <w14:solidFill>
                          <w14:schemeClr w14:val="tx1">
                            <w14:lumMod w14:val="95000"/>
                            <w14:lumOff w14:val="5000"/>
                          </w14:schemeClr>
                        </w14:solidFill>
                      </w14:textFill>
                    </w:rPr>
                  </w:pPr>
                </w:p>
              </w:tc>
              <w:tc>
                <w:tcPr>
                  <w:tcW w:w="242" w:type="pct"/>
                  <w:vMerge w:val="continue"/>
                  <w:vAlign w:val="center"/>
                </w:tcPr>
                <w:p>
                  <w:pPr>
                    <w:widowControl/>
                    <w:jc w:val="center"/>
                    <w:rPr>
                      <w:color w:val="000000"/>
                      <w:szCs w:val="21"/>
                    </w:rPr>
                  </w:pPr>
                </w:p>
              </w:tc>
              <w:tc>
                <w:tcPr>
                  <w:tcW w:w="219" w:type="pct"/>
                  <w:vMerge w:val="continue"/>
                  <w:vAlign w:val="center"/>
                </w:tcPr>
                <w:p>
                  <w:pPr>
                    <w:jc w:val="center"/>
                    <w:rPr>
                      <w:color w:val="000000"/>
                      <w:szCs w:val="21"/>
                    </w:rPr>
                  </w:pPr>
                </w:p>
              </w:tc>
            </w:tr>
          </w:tbl>
          <w:p>
            <w:pPr>
              <w:widowControl/>
              <w:spacing w:before="100" w:beforeAutospacing="1"/>
              <w:jc w:val="center"/>
              <w:rPr>
                <w:b/>
                <w:kern w:val="0"/>
                <w:sz w:val="24"/>
                <w:szCs w:val="20"/>
              </w:rPr>
            </w:pPr>
            <w:r>
              <w:rPr>
                <w:b/>
                <w:kern w:val="0"/>
                <w:sz w:val="24"/>
                <w:szCs w:val="20"/>
              </w:rPr>
              <w:t>表</w:t>
            </w:r>
            <w:r>
              <w:rPr>
                <w:rFonts w:hint="eastAsia"/>
                <w:b/>
                <w:kern w:val="0"/>
                <w:sz w:val="24"/>
                <w:szCs w:val="20"/>
              </w:rPr>
              <w:t>4</w:t>
            </w:r>
            <w:r>
              <w:rPr>
                <w:b/>
                <w:kern w:val="0"/>
                <w:sz w:val="24"/>
                <w:szCs w:val="20"/>
              </w:rPr>
              <w:t>-</w:t>
            </w:r>
            <w:r>
              <w:rPr>
                <w:rFonts w:hint="eastAsia"/>
                <w:b/>
                <w:kern w:val="0"/>
                <w:sz w:val="24"/>
                <w:szCs w:val="20"/>
              </w:rPr>
              <w:t>4</w:t>
            </w:r>
            <w:r>
              <w:rPr>
                <w:b/>
                <w:kern w:val="0"/>
                <w:sz w:val="24"/>
                <w:szCs w:val="20"/>
              </w:rPr>
              <w:t xml:space="preserve">  </w:t>
            </w:r>
            <w:r>
              <w:rPr>
                <w:rFonts w:hint="eastAsia"/>
                <w:b/>
                <w:kern w:val="0"/>
                <w:sz w:val="24"/>
                <w:szCs w:val="20"/>
              </w:rPr>
              <w:t>建设项目大气污染物无组织排放状况表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60"/>
              <w:gridCol w:w="1703"/>
              <w:gridCol w:w="1759"/>
              <w:gridCol w:w="3994"/>
              <w:gridCol w:w="36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581" w:type="pct"/>
                  <w:vMerge w:val="restar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产污环节</w:t>
                  </w:r>
                </w:p>
              </w:tc>
              <w:tc>
                <w:tcPr>
                  <w:tcW w:w="678" w:type="pct"/>
                  <w:vMerge w:val="restar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b/>
                      <w:color w:val="0D0D0D" w:themeColor="text1" w:themeTint="F2"/>
                      <w:kern w:val="0"/>
                      <w:szCs w:val="21"/>
                      <w14:textFill>
                        <w14:solidFill>
                          <w14:schemeClr w14:val="tx1">
                            <w14:lumMod w14:val="95000"/>
                            <w14:lumOff w14:val="5000"/>
                          </w14:schemeClr>
                        </w14:solidFill>
                      </w14:textFill>
                    </w:rPr>
                    <w:t>污染物</w:t>
                  </w:r>
                </w:p>
              </w:tc>
              <w:tc>
                <w:tcPr>
                  <w:tcW w:w="700" w:type="pct"/>
                  <w:vMerge w:val="restar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主要污染防治措施</w:t>
                  </w:r>
                </w:p>
              </w:tc>
              <w:tc>
                <w:tcPr>
                  <w:tcW w:w="3039" w:type="pct"/>
                  <w:gridSpan w:val="2"/>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国家或地方污染物排放标准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81" w:type="pct"/>
                  <w:vMerge w:val="continue"/>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p>
              </w:tc>
              <w:tc>
                <w:tcPr>
                  <w:tcW w:w="678" w:type="pct"/>
                  <w:vMerge w:val="continue"/>
                  <w:vAlign w:val="center"/>
                </w:tcPr>
                <w:p>
                  <w:pPr>
                    <w:widowControl/>
                    <w:snapToGrid w:val="0"/>
                    <w:jc w:val="center"/>
                    <w:rPr>
                      <w:color w:val="0D0D0D" w:themeColor="text1" w:themeTint="F2"/>
                      <w:kern w:val="0"/>
                      <w:szCs w:val="21"/>
                      <w14:textFill>
                        <w14:solidFill>
                          <w14:schemeClr w14:val="tx1">
                            <w14:lumMod w14:val="95000"/>
                            <w14:lumOff w14:val="5000"/>
                          </w14:schemeClr>
                        </w14:solidFill>
                      </w14:textFill>
                    </w:rPr>
                  </w:pPr>
                </w:p>
              </w:tc>
              <w:tc>
                <w:tcPr>
                  <w:tcW w:w="700" w:type="pct"/>
                  <w:vMerge w:val="continue"/>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p>
              </w:tc>
              <w:tc>
                <w:tcPr>
                  <w:tcW w:w="1590"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标准名称</w:t>
                  </w:r>
                </w:p>
              </w:tc>
              <w:tc>
                <w:tcPr>
                  <w:tcW w:w="1449"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浓度限值</w:t>
                  </w:r>
                  <w:r>
                    <w:rPr>
                      <w:b/>
                      <w:bCs/>
                      <w:color w:val="0D0D0D" w:themeColor="text1" w:themeTint="F2"/>
                      <w:kern w:val="0"/>
                      <w:szCs w:val="21"/>
                      <w14:textFill>
                        <w14:solidFill>
                          <w14:schemeClr w14:val="tx1">
                            <w14:lumMod w14:val="95000"/>
                            <w14:lumOff w14:val="5000"/>
                          </w14:schemeClr>
                        </w14:solidFill>
                      </w14:textFill>
                    </w:rPr>
                    <w:t>（mg/m</w:t>
                  </w:r>
                  <w:r>
                    <w:rPr>
                      <w:b/>
                      <w:bCs/>
                      <w:color w:val="0D0D0D" w:themeColor="text1" w:themeTint="F2"/>
                      <w:kern w:val="0"/>
                      <w:szCs w:val="21"/>
                      <w:vertAlign w:val="superscript"/>
                      <w14:textFill>
                        <w14:solidFill>
                          <w14:schemeClr w14:val="tx1">
                            <w14:lumMod w14:val="95000"/>
                            <w14:lumOff w14:val="5000"/>
                          </w14:schemeClr>
                        </w14:solidFill>
                      </w14:textFill>
                    </w:rPr>
                    <w:t>3</w:t>
                  </w:r>
                  <w:r>
                    <w:rPr>
                      <w:b/>
                      <w:bCs/>
                      <w:color w:val="0D0D0D" w:themeColor="text1" w:themeTint="F2"/>
                      <w:kern w:val="0"/>
                      <w:szCs w:val="21"/>
                      <w14:textFill>
                        <w14:solidFill>
                          <w14:schemeClr w14:val="tx1">
                            <w14:lumMod w14:val="95000"/>
                            <w14:lumOff w14:val="5000"/>
                          </w14:schemeClr>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1" w:type="pct"/>
                  <w:vAlign w:val="center"/>
                </w:tcPr>
                <w:p>
                  <w:pPr>
                    <w:widowControl/>
                    <w:ind w:left="-105" w:leftChars="-50" w:right="-105" w:rightChars="-5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喷砂工序</w:t>
                  </w:r>
                </w:p>
              </w:tc>
              <w:tc>
                <w:tcPr>
                  <w:tcW w:w="678" w:type="pct"/>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颗粒物</w:t>
                  </w:r>
                </w:p>
              </w:tc>
              <w:tc>
                <w:tcPr>
                  <w:tcW w:w="700" w:type="pct"/>
                  <w:vAlign w:val="center"/>
                </w:tcPr>
                <w:p>
                  <w:pPr>
                    <w:widowControl/>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密闭环境</w:t>
                  </w:r>
                </w:p>
              </w:tc>
              <w:tc>
                <w:tcPr>
                  <w:tcW w:w="1590" w:type="pct"/>
                  <w:vMerge w:val="restart"/>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《大气污染物综合排放标准》（DB31/933-2015）</w:t>
                  </w:r>
                </w:p>
              </w:tc>
              <w:tc>
                <w:tcPr>
                  <w:tcW w:w="1449" w:type="pct"/>
                  <w:vMerge w:val="restart"/>
                  <w:vAlign w:val="center"/>
                </w:tcPr>
                <w:p>
                  <w:pPr>
                    <w:jc w:val="center"/>
                    <w:rPr>
                      <w:color w:val="0D0D0D" w:themeColor="text1" w:themeTint="F2"/>
                      <w:szCs w:val="21"/>
                      <w14:textFill>
                        <w14:solidFill>
                          <w14:schemeClr w14:val="tx1">
                            <w14:lumMod w14:val="95000"/>
                            <w14:lumOff w14:val="5000"/>
                          </w14:schemeClr>
                        </w14:solidFill>
                      </w14:textFill>
                    </w:rPr>
                  </w:pPr>
                  <w:r>
                    <w:rPr>
                      <w:bCs/>
                      <w:color w:val="0D0D0D" w:themeColor="text1" w:themeTint="F2"/>
                      <w:szCs w:val="21"/>
                      <w14:textFill>
                        <w14:solidFill>
                          <w14:schemeClr w14:val="tx1">
                            <w14:lumMod w14:val="95000"/>
                            <w14:lumOff w14:val="5000"/>
                          </w14:schemeClr>
                        </w14:solidFill>
                      </w14:textFill>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1" w:type="pct"/>
                  <w:vMerge w:val="restart"/>
                  <w:vAlign w:val="center"/>
                </w:tcPr>
                <w:p>
                  <w:pPr>
                    <w:widowControl/>
                    <w:ind w:left="-105" w:leftChars="-50" w:right="-105" w:rightChars="-5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调漆、</w:t>
                  </w:r>
                  <w:r>
                    <w:rPr>
                      <w:color w:val="0D0D0D" w:themeColor="text1" w:themeTint="F2"/>
                      <w:kern w:val="0"/>
                      <w:szCs w:val="21"/>
                      <w14:textFill>
                        <w14:solidFill>
                          <w14:schemeClr w14:val="tx1">
                            <w14:lumMod w14:val="95000"/>
                            <w14:lumOff w14:val="5000"/>
                          </w14:schemeClr>
                        </w14:solidFill>
                      </w14:textFill>
                    </w:rPr>
                    <w:t>喷漆及晾干</w:t>
                  </w:r>
                </w:p>
              </w:tc>
              <w:tc>
                <w:tcPr>
                  <w:tcW w:w="678" w:type="pct"/>
                  <w:vAlign w:val="center"/>
                </w:tcPr>
                <w:p>
                  <w:pPr>
                    <w:adjustRightInd w:val="0"/>
                    <w:snapToGrid w:val="0"/>
                    <w:jc w:val="center"/>
                    <w:textAlignment w:val="baseline"/>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颗粒物</w:t>
                  </w:r>
                </w:p>
              </w:tc>
              <w:tc>
                <w:tcPr>
                  <w:tcW w:w="700" w:type="pct"/>
                  <w:vMerge w:val="restart"/>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密闭环境</w:t>
                  </w:r>
                </w:p>
              </w:tc>
              <w:tc>
                <w:tcPr>
                  <w:tcW w:w="1590"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1449" w:type="pct"/>
                  <w:vMerge w:val="continue"/>
                  <w:vAlign w:val="center"/>
                </w:tcPr>
                <w:p>
                  <w:pPr>
                    <w:jc w:val="center"/>
                    <w:rPr>
                      <w:color w:val="0D0D0D" w:themeColor="text1" w:themeTint="F2"/>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1" w:type="pct"/>
                  <w:vMerge w:val="continue"/>
                  <w:vAlign w:val="center"/>
                </w:tcPr>
                <w:p>
                  <w:pPr>
                    <w:widowControl/>
                    <w:ind w:left="-105" w:leftChars="-50" w:right="-105" w:rightChars="-50"/>
                    <w:jc w:val="center"/>
                    <w:rPr>
                      <w:color w:val="0D0D0D" w:themeColor="text1" w:themeTint="F2"/>
                      <w:kern w:val="0"/>
                      <w:szCs w:val="21"/>
                      <w14:textFill>
                        <w14:solidFill>
                          <w14:schemeClr w14:val="tx1">
                            <w14:lumMod w14:val="95000"/>
                            <w14:lumOff w14:val="5000"/>
                          </w14:schemeClr>
                        </w14:solidFill>
                      </w14:textFill>
                    </w:rPr>
                  </w:pPr>
                </w:p>
              </w:tc>
              <w:tc>
                <w:tcPr>
                  <w:tcW w:w="678" w:type="pct"/>
                  <w:vAlign w:val="center"/>
                </w:tcPr>
                <w:p>
                  <w:pPr>
                    <w:adjustRightInd w:val="0"/>
                    <w:snapToGrid w:val="0"/>
                    <w:jc w:val="center"/>
                    <w:textAlignment w:val="baseline"/>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二甲苯</w:t>
                  </w:r>
                </w:p>
              </w:tc>
              <w:tc>
                <w:tcPr>
                  <w:tcW w:w="700" w:type="pct"/>
                  <w:vMerge w:val="continue"/>
                  <w:vAlign w:val="center"/>
                </w:tcPr>
                <w:p>
                  <w:pPr>
                    <w:widowControl/>
                    <w:jc w:val="center"/>
                    <w:rPr>
                      <w:color w:val="0D0D0D" w:themeColor="text1" w:themeTint="F2"/>
                      <w:szCs w:val="21"/>
                      <w14:textFill>
                        <w14:solidFill>
                          <w14:schemeClr w14:val="tx1">
                            <w14:lumMod w14:val="95000"/>
                            <w14:lumOff w14:val="5000"/>
                          </w14:schemeClr>
                        </w14:solidFill>
                      </w14:textFill>
                    </w:rPr>
                  </w:pPr>
                </w:p>
              </w:tc>
              <w:tc>
                <w:tcPr>
                  <w:tcW w:w="1590"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1449"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1" w:type="pct"/>
                  <w:vMerge w:val="continue"/>
                  <w:vAlign w:val="center"/>
                </w:tcPr>
                <w:p>
                  <w:pPr>
                    <w:widowControl/>
                    <w:ind w:left="-105" w:leftChars="-50" w:right="-105" w:rightChars="-50"/>
                    <w:jc w:val="center"/>
                    <w:rPr>
                      <w:color w:val="0D0D0D" w:themeColor="text1" w:themeTint="F2"/>
                      <w:kern w:val="0"/>
                      <w:szCs w:val="21"/>
                      <w14:textFill>
                        <w14:solidFill>
                          <w14:schemeClr w14:val="tx1">
                            <w14:lumMod w14:val="95000"/>
                            <w14:lumOff w14:val="5000"/>
                          </w14:schemeClr>
                        </w14:solidFill>
                      </w14:textFill>
                    </w:rPr>
                  </w:pPr>
                </w:p>
              </w:tc>
              <w:tc>
                <w:tcPr>
                  <w:tcW w:w="678" w:type="pct"/>
                  <w:vAlign w:val="center"/>
                </w:tcPr>
                <w:p>
                  <w:pPr>
                    <w:adjustRightInd w:val="0"/>
                    <w:snapToGrid w:val="0"/>
                    <w:jc w:val="center"/>
                    <w:textAlignment w:val="baseline"/>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甲苯</w:t>
                  </w:r>
                </w:p>
              </w:tc>
              <w:tc>
                <w:tcPr>
                  <w:tcW w:w="700" w:type="pct"/>
                  <w:vMerge w:val="continue"/>
                  <w:vAlign w:val="center"/>
                </w:tcPr>
                <w:p>
                  <w:pPr>
                    <w:widowControl/>
                    <w:jc w:val="center"/>
                    <w:rPr>
                      <w:color w:val="0D0D0D" w:themeColor="text1" w:themeTint="F2"/>
                      <w:szCs w:val="21"/>
                      <w14:textFill>
                        <w14:solidFill>
                          <w14:schemeClr w14:val="tx1">
                            <w14:lumMod w14:val="95000"/>
                            <w14:lumOff w14:val="5000"/>
                          </w14:schemeClr>
                        </w14:solidFill>
                      </w14:textFill>
                    </w:rPr>
                  </w:pPr>
                </w:p>
              </w:tc>
              <w:tc>
                <w:tcPr>
                  <w:tcW w:w="1590"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1449"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81" w:type="pct"/>
                  <w:vMerge w:val="continue"/>
                  <w:vAlign w:val="center"/>
                </w:tcPr>
                <w:p>
                  <w:pPr>
                    <w:widowControl/>
                    <w:ind w:left="-105" w:leftChars="-50" w:right="-105" w:rightChars="-50"/>
                    <w:jc w:val="center"/>
                    <w:rPr>
                      <w:color w:val="0D0D0D" w:themeColor="text1" w:themeTint="F2"/>
                      <w:kern w:val="0"/>
                      <w:szCs w:val="21"/>
                      <w14:textFill>
                        <w14:solidFill>
                          <w14:schemeClr w14:val="tx1">
                            <w14:lumMod w14:val="95000"/>
                            <w14:lumOff w14:val="5000"/>
                          </w14:schemeClr>
                        </w14:solidFill>
                      </w14:textFill>
                    </w:rPr>
                  </w:pPr>
                </w:p>
              </w:tc>
              <w:tc>
                <w:tcPr>
                  <w:tcW w:w="678" w:type="pct"/>
                  <w:vAlign w:val="center"/>
                </w:tcPr>
                <w:p>
                  <w:pPr>
                    <w:adjustRightInd w:val="0"/>
                    <w:snapToGrid w:val="0"/>
                    <w:jc w:val="center"/>
                    <w:textAlignment w:val="baseline"/>
                    <w:rPr>
                      <w:color w:val="0D0D0D" w:themeColor="text1" w:themeTint="F2"/>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非甲烷总烃</w:t>
                  </w:r>
                </w:p>
              </w:tc>
              <w:tc>
                <w:tcPr>
                  <w:tcW w:w="700"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1590" w:type="pct"/>
                  <w:vMerge w:val="continue"/>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p>
              </w:tc>
              <w:tc>
                <w:tcPr>
                  <w:tcW w:w="1449" w:type="pct"/>
                  <w:vAlign w:val="center"/>
                </w:tcPr>
                <w:p>
                  <w:pPr>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4</w:t>
                  </w:r>
                  <w:r>
                    <w:rPr>
                      <w:color w:val="0D0D0D" w:themeColor="text1" w:themeTint="F2"/>
                      <w:szCs w:val="21"/>
                      <w14:textFill>
                        <w14:solidFill>
                          <w14:schemeClr w14:val="tx1">
                            <w14:lumMod w14:val="95000"/>
                            <w14:lumOff w14:val="5000"/>
                          </w14:schemeClr>
                        </w14:solidFill>
                      </w14:textFill>
                    </w:rPr>
                    <w:t>.0</w:t>
                  </w:r>
                </w:p>
              </w:tc>
            </w:tr>
          </w:tbl>
          <w:p>
            <w:pPr>
              <w:tabs>
                <w:tab w:val="left" w:pos="1077"/>
              </w:tabs>
              <w:rPr>
                <w:rFonts w:cs="宋体"/>
                <w:b/>
                <w:color w:val="000000"/>
                <w:szCs w:val="21"/>
              </w:rPr>
            </w:pPr>
          </w:p>
        </w:tc>
      </w:tr>
    </w:tbl>
    <w:p>
      <w:pPr>
        <w:tabs>
          <w:tab w:val="left" w:pos="1077"/>
        </w:tabs>
        <w:rPr>
          <w:rFonts w:cs="宋体"/>
          <w:color w:val="000000"/>
          <w:sz w:val="24"/>
        </w:rPr>
        <w:sectPr>
          <w:pgSz w:w="16840" w:h="11907" w:orient="landscape"/>
          <w:pgMar w:top="1531" w:right="2127"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0"/>
        <w:gridCol w:w="8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restart"/>
            <w:shd w:val="clear" w:color="auto" w:fill="auto"/>
            <w:vAlign w:val="center"/>
          </w:tcPr>
          <w:p>
            <w:pPr>
              <w:autoSpaceDE w:val="0"/>
              <w:autoSpaceDN w:val="0"/>
              <w:adjustRightInd w:val="0"/>
              <w:snapToGrid w:val="0"/>
              <w:jc w:val="center"/>
              <w:rPr>
                <w:rFonts w:cs="宋体"/>
                <w:color w:val="000000"/>
                <w:kern w:val="0"/>
                <w:sz w:val="24"/>
              </w:rPr>
            </w:pPr>
            <w:r>
              <w:rPr>
                <w:rFonts w:hint="eastAsia" w:cs="宋体"/>
                <w:color w:val="000000"/>
                <w:kern w:val="0"/>
                <w:sz w:val="24"/>
              </w:rPr>
              <w:t>运营</w:t>
            </w:r>
          </w:p>
          <w:p>
            <w:pPr>
              <w:autoSpaceDE w:val="0"/>
              <w:autoSpaceDN w:val="0"/>
              <w:adjustRightInd w:val="0"/>
              <w:snapToGrid w:val="0"/>
              <w:jc w:val="center"/>
              <w:rPr>
                <w:rFonts w:cs="宋体"/>
                <w:color w:val="000000"/>
                <w:kern w:val="0"/>
                <w:sz w:val="24"/>
              </w:rPr>
            </w:pPr>
            <w:r>
              <w:rPr>
                <w:rFonts w:hint="eastAsia" w:cs="宋体"/>
                <w:color w:val="000000"/>
                <w:kern w:val="0"/>
                <w:sz w:val="24"/>
              </w:rPr>
              <w:t>期环</w:t>
            </w:r>
          </w:p>
          <w:p>
            <w:pPr>
              <w:autoSpaceDE w:val="0"/>
              <w:autoSpaceDN w:val="0"/>
              <w:adjustRightInd w:val="0"/>
              <w:snapToGrid w:val="0"/>
              <w:jc w:val="center"/>
              <w:rPr>
                <w:rFonts w:cs="宋体"/>
                <w:color w:val="000000"/>
                <w:kern w:val="0"/>
                <w:sz w:val="24"/>
              </w:rPr>
            </w:pPr>
            <w:r>
              <w:rPr>
                <w:rFonts w:hint="eastAsia" w:cs="宋体"/>
                <w:color w:val="000000"/>
                <w:kern w:val="0"/>
                <w:sz w:val="24"/>
              </w:rPr>
              <w:t>境影</w:t>
            </w:r>
          </w:p>
          <w:p>
            <w:pPr>
              <w:autoSpaceDE w:val="0"/>
              <w:autoSpaceDN w:val="0"/>
              <w:adjustRightInd w:val="0"/>
              <w:snapToGrid w:val="0"/>
              <w:jc w:val="center"/>
              <w:rPr>
                <w:rFonts w:cs="宋体"/>
                <w:color w:val="000000"/>
                <w:kern w:val="0"/>
                <w:sz w:val="24"/>
              </w:rPr>
            </w:pPr>
            <w:r>
              <w:rPr>
                <w:rFonts w:hint="eastAsia" w:cs="宋体"/>
                <w:color w:val="000000"/>
                <w:kern w:val="0"/>
                <w:sz w:val="24"/>
              </w:rPr>
              <w:t>响和</w:t>
            </w:r>
          </w:p>
          <w:p>
            <w:pPr>
              <w:autoSpaceDE w:val="0"/>
              <w:autoSpaceDN w:val="0"/>
              <w:adjustRightInd w:val="0"/>
              <w:snapToGrid w:val="0"/>
              <w:jc w:val="center"/>
              <w:rPr>
                <w:rFonts w:cs="宋体"/>
                <w:color w:val="000000"/>
                <w:kern w:val="0"/>
                <w:sz w:val="24"/>
              </w:rPr>
            </w:pPr>
            <w:r>
              <w:rPr>
                <w:rFonts w:hint="eastAsia" w:cs="宋体"/>
                <w:color w:val="000000"/>
                <w:kern w:val="0"/>
                <w:sz w:val="24"/>
              </w:rPr>
              <w:t>保护</w:t>
            </w:r>
          </w:p>
          <w:p>
            <w:pPr>
              <w:tabs>
                <w:tab w:val="left" w:pos="1077"/>
              </w:tabs>
              <w:jc w:val="center"/>
              <w:rPr>
                <w:rFonts w:cs="宋体"/>
                <w:color w:val="000000"/>
                <w:sz w:val="24"/>
              </w:rPr>
            </w:pPr>
            <w:r>
              <w:rPr>
                <w:rFonts w:hint="eastAsia" w:cs="宋体"/>
                <w:color w:val="000000"/>
                <w:kern w:val="0"/>
                <w:sz w:val="24"/>
              </w:rPr>
              <w:t>措施</w:t>
            </w:r>
          </w:p>
        </w:tc>
        <w:tc>
          <w:tcPr>
            <w:tcW w:w="8629" w:type="dxa"/>
            <w:shd w:val="clear" w:color="auto" w:fill="auto"/>
          </w:tcPr>
          <w:p>
            <w:pPr>
              <w:tabs>
                <w:tab w:val="left" w:pos="1077"/>
              </w:tabs>
              <w:spacing w:before="120" w:beforeLines="50" w:line="360" w:lineRule="auto"/>
              <w:ind w:firstLine="482" w:firstLineChars="200"/>
              <w:rPr>
                <w:rFonts w:cs="宋体"/>
                <w:b/>
                <w:sz w:val="24"/>
              </w:rPr>
            </w:pPr>
            <w:r>
              <w:rPr>
                <w:rFonts w:hint="eastAsia" w:cs="宋体"/>
                <w:b/>
                <w:sz w:val="24"/>
              </w:rPr>
              <w:t>2、废气非正常排放</w:t>
            </w:r>
          </w:p>
          <w:p>
            <w:pPr>
              <w:tabs>
                <w:tab w:val="left" w:pos="1077"/>
              </w:tabs>
              <w:spacing w:line="360" w:lineRule="auto"/>
              <w:ind w:firstLine="480" w:firstLineChars="200"/>
              <w:rPr>
                <w:rFonts w:cs="宋体"/>
                <w:sz w:val="24"/>
              </w:rPr>
            </w:pPr>
            <w:r>
              <w:rPr>
                <w:rFonts w:hint="eastAsia" w:cs="宋体"/>
                <w:sz w:val="24"/>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pPr>
              <w:tabs>
                <w:tab w:val="left" w:pos="1077"/>
              </w:tabs>
              <w:spacing w:line="360" w:lineRule="auto"/>
              <w:ind w:firstLine="480" w:firstLineChars="200"/>
              <w:rPr>
                <w:rFonts w:cs="宋体"/>
                <w:sz w:val="24"/>
              </w:rPr>
            </w:pPr>
            <w:r>
              <w:rPr>
                <w:rFonts w:hint="eastAsia" w:cs="宋体"/>
                <w:sz w:val="24"/>
              </w:rPr>
              <w:t>本项目非正常工况主要包括开、停车，检修；电力供应突然中断；废气处理设施故障。项目非正常工况会引起污染物的非正常排放。本项目非正常工况下情况分析如下：</w:t>
            </w:r>
          </w:p>
          <w:p>
            <w:pPr>
              <w:tabs>
                <w:tab w:val="left" w:pos="1077"/>
              </w:tabs>
              <w:spacing w:line="360" w:lineRule="auto"/>
              <w:ind w:firstLine="480" w:firstLineChars="200"/>
              <w:rPr>
                <w:rFonts w:cs="宋体"/>
                <w:sz w:val="24"/>
              </w:rPr>
            </w:pPr>
            <w:r>
              <w:rPr>
                <w:rFonts w:hint="eastAsia" w:cs="宋体"/>
                <w:sz w:val="24"/>
              </w:rPr>
              <w:t>（1）开停车</w:t>
            </w:r>
          </w:p>
          <w:p>
            <w:pPr>
              <w:tabs>
                <w:tab w:val="left" w:pos="1077"/>
              </w:tabs>
              <w:spacing w:line="360" w:lineRule="auto"/>
              <w:ind w:firstLine="480" w:firstLineChars="200"/>
              <w:rPr>
                <w:rFonts w:cs="宋体"/>
                <w:sz w:val="24"/>
              </w:rPr>
            </w:pPr>
            <w:r>
              <w:rPr>
                <w:rFonts w:hint="eastAsia" w:cs="宋体"/>
                <w:sz w:val="24"/>
              </w:rPr>
              <w:t>项目计划停车，装置首先要停工，生产装置及环保设施等同步进行检修、维护和保养后，再开工生产。</w:t>
            </w:r>
          </w:p>
          <w:p>
            <w:pPr>
              <w:tabs>
                <w:tab w:val="left" w:pos="1077"/>
              </w:tabs>
              <w:spacing w:line="360" w:lineRule="auto"/>
              <w:ind w:firstLine="480" w:firstLineChars="200"/>
              <w:rPr>
                <w:rFonts w:cs="宋体"/>
                <w:sz w:val="24"/>
              </w:rPr>
            </w:pPr>
            <w:r>
              <w:rPr>
                <w:rFonts w:hint="eastAsia" w:cs="宋体"/>
                <w:sz w:val="24"/>
              </w:rPr>
              <w:t>（2）设备故障</w:t>
            </w:r>
          </w:p>
          <w:p>
            <w:pPr>
              <w:tabs>
                <w:tab w:val="left" w:pos="1077"/>
              </w:tabs>
              <w:spacing w:line="360" w:lineRule="auto"/>
              <w:ind w:firstLine="480" w:firstLineChars="200"/>
              <w:rPr>
                <w:rFonts w:cs="宋体"/>
                <w:sz w:val="24"/>
              </w:rPr>
            </w:pPr>
            <w:r>
              <w:rPr>
                <w:rFonts w:hint="eastAsia" w:cs="宋体"/>
                <w:sz w:val="24"/>
              </w:rPr>
              <w:t>当生产系统出现故障如停电、循环水系统故障，由于本项目采用双回路供电，出现停电的概率极低，循环水泵设置一定数量的备用泵，控制系统采用DCS自动控制系统，因此出现上述情况的概率较低。</w:t>
            </w:r>
          </w:p>
          <w:p>
            <w:pPr>
              <w:tabs>
                <w:tab w:val="left" w:pos="1077"/>
              </w:tabs>
              <w:spacing w:line="360" w:lineRule="auto"/>
              <w:ind w:firstLine="480" w:firstLineChars="200"/>
              <w:rPr>
                <w:rFonts w:cs="宋体"/>
                <w:sz w:val="24"/>
              </w:rPr>
            </w:pPr>
            <w:r>
              <w:rPr>
                <w:rFonts w:hint="eastAsia" w:cs="宋体"/>
                <w:sz w:val="24"/>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pPr>
              <w:tabs>
                <w:tab w:val="left" w:pos="1077"/>
              </w:tabs>
              <w:spacing w:line="360" w:lineRule="auto"/>
              <w:ind w:firstLine="480" w:firstLineChars="200"/>
              <w:rPr>
                <w:rFonts w:cs="宋体"/>
                <w:sz w:val="24"/>
              </w:rPr>
            </w:pPr>
            <w:r>
              <w:rPr>
                <w:rFonts w:hint="eastAsia" w:cs="宋体"/>
                <w:sz w:val="24"/>
              </w:rPr>
              <w:t>（3）废气处置效率降低</w:t>
            </w:r>
          </w:p>
          <w:p>
            <w:pPr>
              <w:tabs>
                <w:tab w:val="left" w:pos="1077"/>
              </w:tabs>
              <w:spacing w:line="360" w:lineRule="auto"/>
              <w:ind w:firstLine="480" w:firstLineChars="200"/>
              <w:rPr>
                <w:rFonts w:cs="宋体"/>
                <w:sz w:val="24"/>
              </w:rPr>
            </w:pPr>
            <w:r>
              <w:rPr>
                <w:rFonts w:hint="eastAsia" w:cs="宋体"/>
                <w:sz w:val="24"/>
              </w:rPr>
              <w:t>鉴于拟建项目产污主要集中在生产车间，污染物产生种类较少，产生速率较大，故拟建项目非正常工况为配套的废气处理装置处理效率无法达到设计效率时，(非正常工况年排放时间按1h时间计算)，废气在未经有效处理的情况通过排气筒排放，非正常工况下废气排放详见下表。本次评价环评要求企业实定期检查尾气处理装置，严格管理，避免失效工况发生。</w:t>
            </w:r>
          </w:p>
          <w:p>
            <w:pPr>
              <w:widowControl/>
              <w:spacing w:before="120" w:beforeLines="50"/>
              <w:jc w:val="center"/>
              <w:rPr>
                <w:b/>
                <w:kern w:val="0"/>
                <w:sz w:val="24"/>
              </w:rPr>
            </w:pPr>
            <w:r>
              <w:rPr>
                <w:b/>
                <w:kern w:val="0"/>
                <w:sz w:val="24"/>
              </w:rPr>
              <w:t>表</w:t>
            </w:r>
            <w:r>
              <w:rPr>
                <w:rFonts w:hint="eastAsia"/>
                <w:b/>
                <w:kern w:val="0"/>
                <w:sz w:val="24"/>
              </w:rPr>
              <w:t>4</w:t>
            </w:r>
            <w:r>
              <w:rPr>
                <w:b/>
                <w:kern w:val="0"/>
                <w:sz w:val="24"/>
              </w:rPr>
              <w:t>-</w:t>
            </w:r>
            <w:r>
              <w:rPr>
                <w:rFonts w:hint="eastAsia"/>
                <w:b/>
                <w:kern w:val="0"/>
                <w:sz w:val="24"/>
              </w:rPr>
              <w:t>5</w:t>
            </w:r>
            <w:r>
              <w:rPr>
                <w:b/>
                <w:kern w:val="0"/>
                <w:sz w:val="24"/>
              </w:rPr>
              <w:t xml:space="preserve">  本项目非正常工况污染物</w:t>
            </w:r>
            <w:r>
              <w:rPr>
                <w:rFonts w:hint="eastAsia"/>
                <w:b/>
                <w:kern w:val="0"/>
                <w:sz w:val="24"/>
              </w:rPr>
              <w:t>排放</w:t>
            </w:r>
            <w:r>
              <w:rPr>
                <w:b/>
                <w:kern w:val="0"/>
                <w:sz w:val="24"/>
              </w:rPr>
              <w:t>情况</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0" w:type="dxa"/>
                <w:bottom w:w="0" w:type="dxa"/>
                <w:right w:w="0" w:type="dxa"/>
              </w:tblCellMar>
            </w:tblPr>
            <w:tblGrid>
              <w:gridCol w:w="1197"/>
              <w:gridCol w:w="1002"/>
              <w:gridCol w:w="1505"/>
              <w:gridCol w:w="1816"/>
              <w:gridCol w:w="992"/>
              <w:gridCol w:w="829"/>
              <w:gridCol w:w="106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53" w:hRule="atLeast"/>
                <w:jc w:val="center"/>
              </w:trPr>
              <w:tc>
                <w:tcPr>
                  <w:tcW w:w="712" w:type="pct"/>
                  <w:vMerge w:val="restart"/>
                  <w:vAlign w:val="center"/>
                </w:tcPr>
                <w:p>
                  <w:pPr>
                    <w:overflowPunct w:val="0"/>
                    <w:adjustRightInd w:val="0"/>
                    <w:snapToGrid w:val="0"/>
                    <w:ind w:firstLine="4"/>
                    <w:jc w:val="center"/>
                    <w:textAlignment w:val="baseline"/>
                    <w:rPr>
                      <w:b/>
                      <w:kern w:val="0"/>
                      <w:szCs w:val="21"/>
                    </w:rPr>
                  </w:pPr>
                  <w:r>
                    <w:rPr>
                      <w:b/>
                      <w:kern w:val="0"/>
                      <w:szCs w:val="21"/>
                    </w:rPr>
                    <w:t>排放源</w:t>
                  </w:r>
                </w:p>
                <w:p>
                  <w:pPr>
                    <w:overflowPunct w:val="0"/>
                    <w:adjustRightInd w:val="0"/>
                    <w:snapToGrid w:val="0"/>
                    <w:ind w:firstLine="4"/>
                    <w:jc w:val="center"/>
                    <w:textAlignment w:val="baseline"/>
                    <w:rPr>
                      <w:b/>
                      <w:kern w:val="0"/>
                      <w:szCs w:val="21"/>
                    </w:rPr>
                  </w:pPr>
                  <w:r>
                    <w:rPr>
                      <w:b/>
                      <w:kern w:val="0"/>
                      <w:szCs w:val="21"/>
                    </w:rPr>
                    <w:t>编号</w:t>
                  </w:r>
                </w:p>
              </w:tc>
              <w:tc>
                <w:tcPr>
                  <w:tcW w:w="596" w:type="pct"/>
                  <w:vMerge w:val="restart"/>
                  <w:vAlign w:val="center"/>
                </w:tcPr>
                <w:p>
                  <w:pPr>
                    <w:overflowPunct w:val="0"/>
                    <w:adjustRightInd w:val="0"/>
                    <w:snapToGrid w:val="0"/>
                    <w:ind w:firstLine="4"/>
                    <w:jc w:val="center"/>
                    <w:textAlignment w:val="baseline"/>
                    <w:rPr>
                      <w:b/>
                      <w:kern w:val="0"/>
                      <w:szCs w:val="21"/>
                    </w:rPr>
                  </w:pPr>
                  <w:r>
                    <w:rPr>
                      <w:b/>
                      <w:kern w:val="0"/>
                      <w:szCs w:val="21"/>
                    </w:rPr>
                    <w:t>污染源</w:t>
                  </w:r>
                </w:p>
              </w:tc>
              <w:tc>
                <w:tcPr>
                  <w:tcW w:w="895" w:type="pct"/>
                  <w:vMerge w:val="restart"/>
                  <w:vAlign w:val="center"/>
                </w:tcPr>
                <w:p>
                  <w:pPr>
                    <w:overflowPunct w:val="0"/>
                    <w:adjustRightInd w:val="0"/>
                    <w:snapToGrid w:val="0"/>
                    <w:ind w:firstLine="4"/>
                    <w:jc w:val="center"/>
                    <w:textAlignment w:val="baseline"/>
                    <w:rPr>
                      <w:b/>
                      <w:kern w:val="0"/>
                      <w:szCs w:val="21"/>
                    </w:rPr>
                  </w:pPr>
                  <w:r>
                    <w:rPr>
                      <w:b/>
                      <w:kern w:val="0"/>
                      <w:szCs w:val="21"/>
                    </w:rPr>
                    <w:t>污染物</w:t>
                  </w:r>
                </w:p>
                <w:p>
                  <w:pPr>
                    <w:overflowPunct w:val="0"/>
                    <w:adjustRightInd w:val="0"/>
                    <w:snapToGrid w:val="0"/>
                    <w:ind w:firstLine="4"/>
                    <w:jc w:val="center"/>
                    <w:textAlignment w:val="baseline"/>
                    <w:rPr>
                      <w:b/>
                      <w:kern w:val="0"/>
                      <w:szCs w:val="21"/>
                    </w:rPr>
                  </w:pPr>
                  <w:r>
                    <w:rPr>
                      <w:b/>
                      <w:kern w:val="0"/>
                      <w:szCs w:val="21"/>
                    </w:rPr>
                    <w:t>名称</w:t>
                  </w:r>
                </w:p>
              </w:tc>
              <w:tc>
                <w:tcPr>
                  <w:tcW w:w="1080" w:type="pct"/>
                  <w:vMerge w:val="restart"/>
                  <w:vAlign w:val="center"/>
                </w:tcPr>
                <w:p>
                  <w:pPr>
                    <w:overflowPunct w:val="0"/>
                    <w:adjustRightInd w:val="0"/>
                    <w:snapToGrid w:val="0"/>
                    <w:ind w:firstLine="4"/>
                    <w:jc w:val="center"/>
                    <w:textAlignment w:val="baseline"/>
                    <w:rPr>
                      <w:b/>
                      <w:kern w:val="0"/>
                      <w:szCs w:val="21"/>
                    </w:rPr>
                  </w:pPr>
                  <w:r>
                    <w:rPr>
                      <w:rFonts w:hint="eastAsia"/>
                      <w:b/>
                      <w:kern w:val="0"/>
                      <w:szCs w:val="21"/>
                    </w:rPr>
                    <w:t>非正常排放原因</w:t>
                  </w:r>
                </w:p>
              </w:tc>
              <w:tc>
                <w:tcPr>
                  <w:tcW w:w="590" w:type="pct"/>
                  <w:vAlign w:val="center"/>
                </w:tcPr>
                <w:p>
                  <w:pPr>
                    <w:overflowPunct w:val="0"/>
                    <w:adjustRightInd w:val="0"/>
                    <w:snapToGrid w:val="0"/>
                    <w:ind w:firstLine="4"/>
                    <w:jc w:val="center"/>
                    <w:textAlignment w:val="baseline"/>
                    <w:rPr>
                      <w:b/>
                      <w:kern w:val="0"/>
                      <w:szCs w:val="21"/>
                    </w:rPr>
                  </w:pPr>
                  <w:r>
                    <w:rPr>
                      <w:b/>
                      <w:kern w:val="0"/>
                      <w:szCs w:val="21"/>
                    </w:rPr>
                    <w:t>排放状况</w:t>
                  </w:r>
                </w:p>
              </w:tc>
              <w:tc>
                <w:tcPr>
                  <w:tcW w:w="493" w:type="pct"/>
                  <w:vMerge w:val="restart"/>
                  <w:vAlign w:val="center"/>
                </w:tcPr>
                <w:p>
                  <w:pPr>
                    <w:overflowPunct w:val="0"/>
                    <w:adjustRightInd w:val="0"/>
                    <w:snapToGrid w:val="0"/>
                    <w:spacing w:before="40" w:after="60" w:line="200" w:lineRule="atLeast"/>
                    <w:ind w:firstLine="4"/>
                    <w:jc w:val="center"/>
                    <w:textAlignment w:val="baseline"/>
                    <w:rPr>
                      <w:b/>
                      <w:kern w:val="0"/>
                      <w:szCs w:val="21"/>
                    </w:rPr>
                  </w:pPr>
                  <w:r>
                    <w:rPr>
                      <w:rFonts w:hint="eastAsia"/>
                      <w:b/>
                      <w:kern w:val="0"/>
                      <w:szCs w:val="21"/>
                    </w:rPr>
                    <w:t>单次持续时间</w:t>
                  </w:r>
                </w:p>
              </w:tc>
              <w:tc>
                <w:tcPr>
                  <w:tcW w:w="632" w:type="pct"/>
                  <w:vMerge w:val="restart"/>
                  <w:vAlign w:val="center"/>
                </w:tcPr>
                <w:p>
                  <w:pPr>
                    <w:overflowPunct w:val="0"/>
                    <w:adjustRightInd w:val="0"/>
                    <w:snapToGrid w:val="0"/>
                    <w:spacing w:before="40" w:after="60" w:line="200" w:lineRule="atLeast"/>
                    <w:ind w:firstLine="4"/>
                    <w:jc w:val="center"/>
                    <w:textAlignment w:val="baseline"/>
                    <w:rPr>
                      <w:b/>
                      <w:kern w:val="0"/>
                      <w:szCs w:val="21"/>
                    </w:rPr>
                  </w:pPr>
                  <w:r>
                    <w:rPr>
                      <w:rFonts w:hint="eastAsia"/>
                      <w:b/>
                      <w:kern w:val="0"/>
                      <w:szCs w:val="21"/>
                    </w:rPr>
                    <w:t>年发生频次</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262" w:hRule="atLeast"/>
                <w:jc w:val="center"/>
              </w:trPr>
              <w:tc>
                <w:tcPr>
                  <w:tcW w:w="712" w:type="pct"/>
                  <w:vMerge w:val="continue"/>
                  <w:vAlign w:val="center"/>
                </w:tcPr>
                <w:p>
                  <w:pPr>
                    <w:overflowPunct w:val="0"/>
                    <w:adjustRightInd w:val="0"/>
                    <w:snapToGrid w:val="0"/>
                    <w:ind w:firstLine="4"/>
                    <w:jc w:val="center"/>
                    <w:textAlignment w:val="baseline"/>
                    <w:rPr>
                      <w:b/>
                      <w:kern w:val="0"/>
                      <w:szCs w:val="21"/>
                    </w:rPr>
                  </w:pPr>
                </w:p>
              </w:tc>
              <w:tc>
                <w:tcPr>
                  <w:tcW w:w="596" w:type="pct"/>
                  <w:vMerge w:val="continue"/>
                  <w:vAlign w:val="center"/>
                </w:tcPr>
                <w:p>
                  <w:pPr>
                    <w:overflowPunct w:val="0"/>
                    <w:adjustRightInd w:val="0"/>
                    <w:snapToGrid w:val="0"/>
                    <w:ind w:firstLine="4"/>
                    <w:jc w:val="center"/>
                    <w:textAlignment w:val="baseline"/>
                    <w:rPr>
                      <w:b/>
                      <w:kern w:val="0"/>
                      <w:szCs w:val="21"/>
                    </w:rPr>
                  </w:pPr>
                </w:p>
              </w:tc>
              <w:tc>
                <w:tcPr>
                  <w:tcW w:w="895" w:type="pct"/>
                  <w:vMerge w:val="continue"/>
                  <w:vAlign w:val="center"/>
                </w:tcPr>
                <w:p>
                  <w:pPr>
                    <w:overflowPunct w:val="0"/>
                    <w:adjustRightInd w:val="0"/>
                    <w:snapToGrid w:val="0"/>
                    <w:ind w:firstLine="4"/>
                    <w:jc w:val="center"/>
                    <w:textAlignment w:val="baseline"/>
                    <w:rPr>
                      <w:b/>
                      <w:kern w:val="0"/>
                      <w:szCs w:val="21"/>
                    </w:rPr>
                  </w:pPr>
                </w:p>
              </w:tc>
              <w:tc>
                <w:tcPr>
                  <w:tcW w:w="1080" w:type="pct"/>
                  <w:vMerge w:val="continue"/>
                  <w:vAlign w:val="center"/>
                </w:tcPr>
                <w:p>
                  <w:pPr>
                    <w:overflowPunct w:val="0"/>
                    <w:adjustRightInd w:val="0"/>
                    <w:snapToGrid w:val="0"/>
                    <w:ind w:firstLine="4"/>
                    <w:jc w:val="center"/>
                    <w:textAlignment w:val="baseline"/>
                    <w:rPr>
                      <w:b/>
                      <w:kern w:val="0"/>
                      <w:szCs w:val="21"/>
                    </w:rPr>
                  </w:pPr>
                </w:p>
              </w:tc>
              <w:tc>
                <w:tcPr>
                  <w:tcW w:w="590" w:type="pct"/>
                  <w:vAlign w:val="center"/>
                </w:tcPr>
                <w:p>
                  <w:pPr>
                    <w:widowControl/>
                    <w:ind w:left="-105" w:leftChars="-50" w:right="-105" w:rightChars="-50"/>
                    <w:jc w:val="center"/>
                    <w:rPr>
                      <w:b/>
                      <w:kern w:val="0"/>
                      <w:szCs w:val="21"/>
                    </w:rPr>
                  </w:pPr>
                  <w:r>
                    <w:rPr>
                      <w:b/>
                      <w:kern w:val="0"/>
                      <w:szCs w:val="21"/>
                    </w:rPr>
                    <w:t>kg/a</w:t>
                  </w:r>
                </w:p>
              </w:tc>
              <w:tc>
                <w:tcPr>
                  <w:tcW w:w="493" w:type="pct"/>
                  <w:vMerge w:val="continue"/>
                  <w:vAlign w:val="center"/>
                </w:tcPr>
                <w:p>
                  <w:pPr>
                    <w:overflowPunct w:val="0"/>
                    <w:adjustRightInd w:val="0"/>
                    <w:snapToGrid w:val="0"/>
                    <w:ind w:firstLine="4"/>
                    <w:jc w:val="center"/>
                    <w:textAlignment w:val="baseline"/>
                    <w:rPr>
                      <w:b/>
                      <w:kern w:val="0"/>
                      <w:szCs w:val="21"/>
                    </w:rPr>
                  </w:pPr>
                </w:p>
              </w:tc>
              <w:tc>
                <w:tcPr>
                  <w:tcW w:w="632" w:type="pct"/>
                  <w:vMerge w:val="continue"/>
                  <w:vAlign w:val="center"/>
                </w:tcPr>
                <w:p>
                  <w:pPr>
                    <w:overflowPunct w:val="0"/>
                    <w:adjustRightInd w:val="0"/>
                    <w:snapToGrid w:val="0"/>
                    <w:ind w:firstLine="4"/>
                    <w:jc w:val="center"/>
                    <w:textAlignment w:val="baseline"/>
                    <w:rPr>
                      <w:b/>
                      <w:kern w:val="0"/>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97" w:hRule="atLeast"/>
                <w:jc w:val="center"/>
              </w:trPr>
              <w:tc>
                <w:tcPr>
                  <w:tcW w:w="712" w:type="pct"/>
                  <w:vAlign w:val="center"/>
                </w:tcPr>
                <w:p>
                  <w:pPr>
                    <w:adjustRightInd w:val="0"/>
                    <w:snapToGrid w:val="0"/>
                    <w:jc w:val="center"/>
                    <w:rPr>
                      <w:color w:val="000000"/>
                      <w:szCs w:val="21"/>
                    </w:rPr>
                  </w:pPr>
                  <w:r>
                    <w:rPr>
                      <w:rFonts w:hint="eastAsia"/>
                      <w:color w:val="000000"/>
                      <w:szCs w:val="21"/>
                    </w:rPr>
                    <w:t>DA003</w:t>
                  </w:r>
                </w:p>
              </w:tc>
              <w:tc>
                <w:tcPr>
                  <w:tcW w:w="596" w:type="pct"/>
                  <w:vAlign w:val="center"/>
                </w:tcPr>
                <w:p>
                  <w:pPr>
                    <w:jc w:val="center"/>
                    <w:rPr>
                      <w:color w:val="000000"/>
                      <w:szCs w:val="21"/>
                    </w:rPr>
                  </w:pPr>
                  <w:r>
                    <w:rPr>
                      <w:rFonts w:hint="eastAsia"/>
                      <w:color w:val="000000"/>
                      <w:szCs w:val="21"/>
                    </w:rPr>
                    <w:t>喷砂</w:t>
                  </w:r>
                </w:p>
              </w:tc>
              <w:tc>
                <w:tcPr>
                  <w:tcW w:w="895" w:type="pct"/>
                  <w:vAlign w:val="center"/>
                </w:tcPr>
                <w:p>
                  <w:pPr>
                    <w:ind w:left="-105" w:leftChars="-50" w:right="-105" w:rightChars="-50"/>
                    <w:jc w:val="center"/>
                    <w:rPr>
                      <w:color w:val="000000"/>
                      <w:szCs w:val="21"/>
                    </w:rPr>
                  </w:pPr>
                  <w:r>
                    <w:rPr>
                      <w:rFonts w:hint="eastAsia"/>
                      <w:color w:val="000000"/>
                      <w:szCs w:val="21"/>
                    </w:rPr>
                    <w:t>颗粒物</w:t>
                  </w:r>
                </w:p>
              </w:tc>
              <w:tc>
                <w:tcPr>
                  <w:tcW w:w="1080" w:type="pct"/>
                  <w:vAlign w:val="center"/>
                </w:tcPr>
                <w:p>
                  <w:pPr>
                    <w:jc w:val="center"/>
                    <w:rPr>
                      <w:szCs w:val="21"/>
                    </w:rPr>
                  </w:pPr>
                  <w:r>
                    <w:rPr>
                      <w:rFonts w:hint="eastAsia"/>
                      <w:szCs w:val="21"/>
                    </w:rPr>
                    <w:t>布袋除尘器损坏</w:t>
                  </w:r>
                </w:p>
              </w:tc>
              <w:tc>
                <w:tcPr>
                  <w:tcW w:w="590" w:type="pct"/>
                  <w:vAlign w:val="center"/>
                </w:tcPr>
                <w:p>
                  <w:pPr>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color w:val="000000"/>
                      <w:szCs w:val="21"/>
                    </w:rPr>
                    <w:t>0.0</w:t>
                  </w:r>
                  <w:r>
                    <w:rPr>
                      <w:rFonts w:hint="eastAsia"/>
                      <w:color w:val="000000"/>
                      <w:szCs w:val="21"/>
                      <w:lang w:val="en-US" w:eastAsia="zh-CN"/>
                    </w:rPr>
                    <w:t>61</w:t>
                  </w:r>
                </w:p>
              </w:tc>
              <w:tc>
                <w:tcPr>
                  <w:tcW w:w="493" w:type="pct"/>
                  <w:vAlign w:val="center"/>
                </w:tcPr>
                <w:p>
                  <w:pPr>
                    <w:jc w:val="center"/>
                    <w:rPr>
                      <w:szCs w:val="21"/>
                    </w:rPr>
                  </w:pPr>
                  <w:r>
                    <w:rPr>
                      <w:rFonts w:hint="eastAsia"/>
                      <w:szCs w:val="21"/>
                    </w:rPr>
                    <w:t>1</w:t>
                  </w:r>
                  <w:r>
                    <w:rPr>
                      <w:szCs w:val="21"/>
                    </w:rPr>
                    <w:t>h</w:t>
                  </w:r>
                </w:p>
              </w:tc>
              <w:tc>
                <w:tcPr>
                  <w:tcW w:w="632" w:type="pct"/>
                  <w:vAlign w:val="center"/>
                </w:tcPr>
                <w:p>
                  <w:pPr>
                    <w:jc w:val="center"/>
                    <w:rPr>
                      <w:szCs w:val="21"/>
                    </w:rPr>
                  </w:pPr>
                  <w:r>
                    <w:rPr>
                      <w:rFonts w:hint="eastAsia"/>
                      <w:szCs w:val="21"/>
                    </w:rPr>
                    <w:t>1次/年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680" w:hRule="atLeast"/>
                <w:jc w:val="center"/>
              </w:trPr>
              <w:tc>
                <w:tcPr>
                  <w:tcW w:w="712" w:type="pct"/>
                  <w:vMerge w:val="restart"/>
                  <w:vAlign w:val="center"/>
                </w:tcPr>
                <w:p>
                  <w:pPr>
                    <w:adjustRightInd w:val="0"/>
                    <w:snapToGrid w:val="0"/>
                    <w:jc w:val="center"/>
                    <w:rPr>
                      <w:color w:val="000000"/>
                      <w:szCs w:val="21"/>
                    </w:rPr>
                  </w:pPr>
                  <w:r>
                    <w:rPr>
                      <w:rFonts w:hint="eastAsia"/>
                      <w:color w:val="000000"/>
                      <w:szCs w:val="21"/>
                    </w:rPr>
                    <w:t>DA004</w:t>
                  </w:r>
                </w:p>
              </w:tc>
              <w:tc>
                <w:tcPr>
                  <w:tcW w:w="596" w:type="pct"/>
                  <w:vMerge w:val="restart"/>
                  <w:vAlign w:val="center"/>
                </w:tcPr>
                <w:p>
                  <w:pPr>
                    <w:jc w:val="center"/>
                    <w:rPr>
                      <w:color w:val="000000"/>
                      <w:szCs w:val="21"/>
                    </w:rPr>
                  </w:pPr>
                  <w:r>
                    <w:rPr>
                      <w:rFonts w:hint="eastAsia"/>
                      <w:color w:val="000000"/>
                      <w:szCs w:val="21"/>
                    </w:rPr>
                    <w:t>调漆、喷漆及晾干</w:t>
                  </w:r>
                </w:p>
              </w:tc>
              <w:tc>
                <w:tcPr>
                  <w:tcW w:w="895" w:type="pct"/>
                  <w:vAlign w:val="center"/>
                </w:tcPr>
                <w:p>
                  <w:pPr>
                    <w:ind w:left="-105" w:leftChars="-50" w:right="-105" w:rightChars="-50"/>
                    <w:jc w:val="center"/>
                    <w:rPr>
                      <w:color w:val="000000"/>
                      <w:szCs w:val="21"/>
                    </w:rPr>
                  </w:pPr>
                  <w:r>
                    <w:rPr>
                      <w:rFonts w:hint="eastAsia"/>
                      <w:color w:val="000000"/>
                      <w:szCs w:val="21"/>
                    </w:rPr>
                    <w:t>非甲烷总烃</w:t>
                  </w:r>
                </w:p>
              </w:tc>
              <w:tc>
                <w:tcPr>
                  <w:tcW w:w="1080" w:type="pct"/>
                  <w:vAlign w:val="center"/>
                </w:tcPr>
                <w:p>
                  <w:pPr>
                    <w:jc w:val="center"/>
                    <w:rPr>
                      <w:szCs w:val="21"/>
                    </w:rPr>
                  </w:pPr>
                  <w:r>
                    <w:rPr>
                      <w:rFonts w:hint="eastAsia"/>
                      <w:szCs w:val="21"/>
                    </w:rPr>
                    <w:t>未及时更换活性炭、RCO设备损坏</w:t>
                  </w:r>
                </w:p>
              </w:tc>
              <w:tc>
                <w:tcPr>
                  <w:tcW w:w="590" w:type="pct"/>
                  <w:vAlign w:val="center"/>
                </w:tcPr>
                <w:p>
                  <w:pPr>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color w:val="000000"/>
                      <w:szCs w:val="21"/>
                    </w:rPr>
                    <w:t>0.</w:t>
                  </w:r>
                  <w:r>
                    <w:rPr>
                      <w:rFonts w:hint="eastAsia"/>
                      <w:color w:val="000000"/>
                      <w:szCs w:val="21"/>
                      <w:lang w:val="en-US" w:eastAsia="zh-CN"/>
                    </w:rPr>
                    <w:t>3514</w:t>
                  </w:r>
                </w:p>
              </w:tc>
              <w:tc>
                <w:tcPr>
                  <w:tcW w:w="493" w:type="pct"/>
                  <w:vAlign w:val="center"/>
                </w:tcPr>
                <w:p>
                  <w:pPr>
                    <w:jc w:val="center"/>
                    <w:rPr>
                      <w:szCs w:val="21"/>
                    </w:rPr>
                  </w:pPr>
                  <w:r>
                    <w:rPr>
                      <w:rFonts w:hint="eastAsia"/>
                      <w:szCs w:val="21"/>
                    </w:rPr>
                    <w:t>1</w:t>
                  </w:r>
                  <w:r>
                    <w:rPr>
                      <w:szCs w:val="21"/>
                    </w:rPr>
                    <w:t>h</w:t>
                  </w:r>
                </w:p>
              </w:tc>
              <w:tc>
                <w:tcPr>
                  <w:tcW w:w="632" w:type="pct"/>
                  <w:vAlign w:val="center"/>
                </w:tcPr>
                <w:p>
                  <w:pPr>
                    <w:jc w:val="center"/>
                    <w:rPr>
                      <w:szCs w:val="21"/>
                    </w:rPr>
                  </w:pPr>
                  <w:r>
                    <w:rPr>
                      <w:rFonts w:hint="eastAsia"/>
                      <w:szCs w:val="21"/>
                    </w:rPr>
                    <w:t>1次/年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4" w:hRule="atLeast"/>
                <w:jc w:val="center"/>
              </w:trPr>
              <w:tc>
                <w:tcPr>
                  <w:tcW w:w="712" w:type="pct"/>
                  <w:vMerge w:val="continue"/>
                  <w:vAlign w:val="center"/>
                </w:tcPr>
                <w:p>
                  <w:pPr>
                    <w:adjustRightInd w:val="0"/>
                    <w:snapToGrid w:val="0"/>
                    <w:jc w:val="center"/>
                    <w:rPr>
                      <w:color w:val="000000"/>
                      <w:szCs w:val="21"/>
                    </w:rPr>
                  </w:pPr>
                </w:p>
              </w:tc>
              <w:tc>
                <w:tcPr>
                  <w:tcW w:w="596" w:type="pct"/>
                  <w:vMerge w:val="continue"/>
                  <w:vAlign w:val="center"/>
                </w:tcPr>
                <w:p>
                  <w:pPr>
                    <w:jc w:val="center"/>
                    <w:rPr>
                      <w:color w:val="000000"/>
                      <w:szCs w:val="21"/>
                    </w:rPr>
                  </w:pPr>
                </w:p>
              </w:tc>
              <w:tc>
                <w:tcPr>
                  <w:tcW w:w="895" w:type="pct"/>
                  <w:vAlign w:val="center"/>
                </w:tcPr>
                <w:p>
                  <w:pPr>
                    <w:ind w:left="-105" w:leftChars="-50" w:right="-105" w:rightChars="-50"/>
                    <w:jc w:val="center"/>
                    <w:rPr>
                      <w:color w:val="000000"/>
                      <w:szCs w:val="21"/>
                    </w:rPr>
                  </w:pPr>
                  <w:r>
                    <w:rPr>
                      <w:rFonts w:hint="eastAsia"/>
                      <w:color w:val="000000"/>
                      <w:szCs w:val="21"/>
                    </w:rPr>
                    <w:t>二甲苯</w:t>
                  </w:r>
                </w:p>
              </w:tc>
              <w:tc>
                <w:tcPr>
                  <w:tcW w:w="1080" w:type="pct"/>
                  <w:vAlign w:val="center"/>
                </w:tcPr>
                <w:p>
                  <w:pPr>
                    <w:jc w:val="center"/>
                    <w:rPr>
                      <w:szCs w:val="21"/>
                    </w:rPr>
                  </w:pPr>
                  <w:r>
                    <w:rPr>
                      <w:rFonts w:hint="eastAsia"/>
                      <w:szCs w:val="21"/>
                    </w:rPr>
                    <w:t>未及时更换活性炭、RCO设备损坏</w:t>
                  </w:r>
                </w:p>
              </w:tc>
              <w:tc>
                <w:tcPr>
                  <w:tcW w:w="590" w:type="pct"/>
                  <w:vAlign w:val="center"/>
                </w:tcPr>
                <w:p>
                  <w:pPr>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color w:val="000000"/>
                      <w:szCs w:val="21"/>
                    </w:rPr>
                    <w:t>0.0</w:t>
                  </w:r>
                  <w:r>
                    <w:rPr>
                      <w:rFonts w:hint="eastAsia"/>
                      <w:color w:val="000000"/>
                      <w:szCs w:val="21"/>
                      <w:lang w:val="en-US" w:eastAsia="zh-CN"/>
                    </w:rPr>
                    <w:t>16</w:t>
                  </w:r>
                </w:p>
              </w:tc>
              <w:tc>
                <w:tcPr>
                  <w:tcW w:w="493" w:type="pct"/>
                  <w:vAlign w:val="center"/>
                </w:tcPr>
                <w:p>
                  <w:pPr>
                    <w:jc w:val="center"/>
                    <w:rPr>
                      <w:szCs w:val="21"/>
                    </w:rPr>
                  </w:pPr>
                  <w:r>
                    <w:rPr>
                      <w:rFonts w:hint="eastAsia"/>
                      <w:szCs w:val="21"/>
                    </w:rPr>
                    <w:t>1</w:t>
                  </w:r>
                  <w:r>
                    <w:rPr>
                      <w:szCs w:val="21"/>
                    </w:rPr>
                    <w:t>h</w:t>
                  </w:r>
                </w:p>
              </w:tc>
              <w:tc>
                <w:tcPr>
                  <w:tcW w:w="632" w:type="pct"/>
                  <w:vAlign w:val="center"/>
                </w:tcPr>
                <w:p>
                  <w:pPr>
                    <w:jc w:val="center"/>
                    <w:rPr>
                      <w:szCs w:val="21"/>
                    </w:rPr>
                  </w:pPr>
                  <w:r>
                    <w:rPr>
                      <w:rFonts w:hint="eastAsia"/>
                      <w:szCs w:val="21"/>
                    </w:rPr>
                    <w:t>1次/年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4" w:hRule="atLeast"/>
                <w:jc w:val="center"/>
              </w:trPr>
              <w:tc>
                <w:tcPr>
                  <w:tcW w:w="712" w:type="pct"/>
                  <w:vMerge w:val="continue"/>
                  <w:vAlign w:val="center"/>
                </w:tcPr>
                <w:p>
                  <w:pPr>
                    <w:adjustRightInd w:val="0"/>
                    <w:snapToGrid w:val="0"/>
                    <w:jc w:val="center"/>
                    <w:rPr>
                      <w:color w:val="000000"/>
                      <w:szCs w:val="21"/>
                    </w:rPr>
                  </w:pPr>
                </w:p>
              </w:tc>
              <w:tc>
                <w:tcPr>
                  <w:tcW w:w="596" w:type="pct"/>
                  <w:vMerge w:val="continue"/>
                  <w:vAlign w:val="center"/>
                </w:tcPr>
                <w:p>
                  <w:pPr>
                    <w:jc w:val="center"/>
                    <w:rPr>
                      <w:color w:val="000000"/>
                      <w:szCs w:val="21"/>
                    </w:rPr>
                  </w:pPr>
                </w:p>
              </w:tc>
              <w:tc>
                <w:tcPr>
                  <w:tcW w:w="895" w:type="pct"/>
                  <w:vAlign w:val="center"/>
                </w:tcPr>
                <w:p>
                  <w:pPr>
                    <w:ind w:left="-105" w:leftChars="-50" w:right="-105" w:rightChars="-50"/>
                    <w:jc w:val="center"/>
                    <w:rPr>
                      <w:color w:val="000000"/>
                      <w:szCs w:val="21"/>
                    </w:rPr>
                  </w:pPr>
                  <w:r>
                    <w:rPr>
                      <w:rFonts w:hint="eastAsia"/>
                      <w:color w:val="000000"/>
                      <w:szCs w:val="21"/>
                    </w:rPr>
                    <w:t>甲苯</w:t>
                  </w:r>
                </w:p>
              </w:tc>
              <w:tc>
                <w:tcPr>
                  <w:tcW w:w="1080" w:type="pct"/>
                  <w:vAlign w:val="center"/>
                </w:tcPr>
                <w:p>
                  <w:pPr>
                    <w:jc w:val="center"/>
                    <w:rPr>
                      <w:szCs w:val="21"/>
                    </w:rPr>
                  </w:pPr>
                  <w:r>
                    <w:rPr>
                      <w:rFonts w:hint="eastAsia"/>
                      <w:szCs w:val="21"/>
                    </w:rPr>
                    <w:t>未及时更换活性炭、RCO设备损坏</w:t>
                  </w:r>
                </w:p>
              </w:tc>
              <w:tc>
                <w:tcPr>
                  <w:tcW w:w="590" w:type="pct"/>
                  <w:vAlign w:val="center"/>
                </w:tcPr>
                <w:p>
                  <w:pPr>
                    <w:ind w:left="-105" w:leftChars="-50" w:right="-105" w:rightChars="-50"/>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rPr>
                    <w:t>0.00</w:t>
                  </w:r>
                  <w:r>
                    <w:rPr>
                      <w:rFonts w:hint="eastAsia"/>
                      <w:color w:val="000000"/>
                      <w:szCs w:val="21"/>
                      <w:lang w:val="en-US" w:eastAsia="zh-CN"/>
                    </w:rPr>
                    <w:t>8</w:t>
                  </w:r>
                </w:p>
              </w:tc>
              <w:tc>
                <w:tcPr>
                  <w:tcW w:w="493" w:type="pct"/>
                  <w:vAlign w:val="center"/>
                </w:tcPr>
                <w:p>
                  <w:pPr>
                    <w:jc w:val="center"/>
                    <w:rPr>
                      <w:szCs w:val="21"/>
                    </w:rPr>
                  </w:pPr>
                  <w:r>
                    <w:rPr>
                      <w:rFonts w:hint="eastAsia"/>
                      <w:szCs w:val="21"/>
                    </w:rPr>
                    <w:t>1</w:t>
                  </w:r>
                  <w:r>
                    <w:rPr>
                      <w:szCs w:val="21"/>
                    </w:rPr>
                    <w:t>h</w:t>
                  </w:r>
                </w:p>
              </w:tc>
              <w:tc>
                <w:tcPr>
                  <w:tcW w:w="632" w:type="pct"/>
                  <w:vAlign w:val="center"/>
                </w:tcPr>
                <w:p>
                  <w:pPr>
                    <w:jc w:val="center"/>
                    <w:rPr>
                      <w:szCs w:val="21"/>
                    </w:rPr>
                  </w:pPr>
                  <w:r>
                    <w:rPr>
                      <w:rFonts w:hint="eastAsia"/>
                      <w:szCs w:val="21"/>
                    </w:rPr>
                    <w:t>1次/年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394" w:hRule="atLeast"/>
                <w:jc w:val="center"/>
              </w:trPr>
              <w:tc>
                <w:tcPr>
                  <w:tcW w:w="712" w:type="pct"/>
                  <w:vMerge w:val="continue"/>
                </w:tcPr>
                <w:p>
                  <w:pPr>
                    <w:adjustRightInd w:val="0"/>
                    <w:snapToGrid w:val="0"/>
                    <w:jc w:val="center"/>
                    <w:rPr>
                      <w:color w:val="000000"/>
                      <w:szCs w:val="21"/>
                    </w:rPr>
                  </w:pPr>
                </w:p>
              </w:tc>
              <w:tc>
                <w:tcPr>
                  <w:tcW w:w="596" w:type="pct"/>
                  <w:vMerge w:val="continue"/>
                </w:tcPr>
                <w:p>
                  <w:pPr>
                    <w:jc w:val="center"/>
                    <w:rPr>
                      <w:color w:val="000000"/>
                      <w:szCs w:val="21"/>
                    </w:rPr>
                  </w:pPr>
                </w:p>
              </w:tc>
              <w:tc>
                <w:tcPr>
                  <w:tcW w:w="0" w:type="auto"/>
                  <w:vAlign w:val="center"/>
                </w:tcPr>
                <w:p>
                  <w:pPr>
                    <w:ind w:left="-105" w:leftChars="-50" w:right="-105" w:rightChars="-50"/>
                    <w:jc w:val="center"/>
                    <w:rPr>
                      <w:color w:val="000000"/>
                      <w:szCs w:val="21"/>
                    </w:rPr>
                  </w:pPr>
                  <w:r>
                    <w:rPr>
                      <w:rFonts w:hint="eastAsia"/>
                      <w:color w:val="000000"/>
                      <w:szCs w:val="21"/>
                    </w:rPr>
                    <w:t>颗粒物</w:t>
                  </w:r>
                </w:p>
              </w:tc>
              <w:tc>
                <w:tcPr>
                  <w:tcW w:w="0" w:type="auto"/>
                  <w:vAlign w:val="center"/>
                </w:tcPr>
                <w:p>
                  <w:pPr>
                    <w:jc w:val="center"/>
                    <w:rPr>
                      <w:szCs w:val="21"/>
                    </w:rPr>
                  </w:pPr>
                  <w:r>
                    <w:rPr>
                      <w:rFonts w:hint="eastAsia"/>
                      <w:szCs w:val="21"/>
                    </w:rPr>
                    <w:t>未及时更换过滤棉</w:t>
                  </w:r>
                </w:p>
              </w:tc>
              <w:tc>
                <w:tcPr>
                  <w:tcW w:w="0" w:type="auto"/>
                  <w:vAlign w:val="center"/>
                </w:tcPr>
                <w:p>
                  <w:pPr>
                    <w:ind w:left="-105" w:leftChars="-50" w:right="-105" w:rightChars="-50"/>
                    <w:jc w:val="center"/>
                    <w:rPr>
                      <w:rFonts w:hint="default" w:ascii="Times New Roman" w:hAnsi="Times New Roman" w:eastAsia="宋体" w:cs="Times New Roman"/>
                      <w:color w:val="000000"/>
                      <w:kern w:val="2"/>
                      <w:sz w:val="21"/>
                      <w:szCs w:val="21"/>
                      <w:lang w:val="en-US" w:eastAsia="zh-CN" w:bidi="ar-SA"/>
                    </w:rPr>
                  </w:pPr>
                  <w:r>
                    <w:rPr>
                      <w:rFonts w:hint="eastAsia"/>
                      <w:color w:val="000000"/>
                      <w:szCs w:val="21"/>
                    </w:rPr>
                    <w:t>0.</w:t>
                  </w:r>
                  <w:r>
                    <w:rPr>
                      <w:rFonts w:hint="eastAsia"/>
                      <w:color w:val="000000"/>
                      <w:szCs w:val="21"/>
                      <w:lang w:val="en-US" w:eastAsia="zh-CN"/>
                    </w:rPr>
                    <w:t>149</w:t>
                  </w:r>
                </w:p>
              </w:tc>
              <w:tc>
                <w:tcPr>
                  <w:tcW w:w="0" w:type="auto"/>
                  <w:vAlign w:val="center"/>
                </w:tcPr>
                <w:p>
                  <w:pPr>
                    <w:jc w:val="center"/>
                    <w:rPr>
                      <w:szCs w:val="21"/>
                    </w:rPr>
                  </w:pPr>
                  <w:r>
                    <w:rPr>
                      <w:rFonts w:hint="eastAsia"/>
                      <w:szCs w:val="21"/>
                    </w:rPr>
                    <w:t>1</w:t>
                  </w:r>
                  <w:r>
                    <w:rPr>
                      <w:szCs w:val="21"/>
                    </w:rPr>
                    <w:t>h</w:t>
                  </w:r>
                </w:p>
              </w:tc>
              <w:tc>
                <w:tcPr>
                  <w:tcW w:w="0" w:type="auto"/>
                  <w:vAlign w:val="center"/>
                </w:tcPr>
                <w:p>
                  <w:pPr>
                    <w:jc w:val="center"/>
                    <w:rPr>
                      <w:szCs w:val="21"/>
                    </w:rPr>
                  </w:pPr>
                  <w:r>
                    <w:rPr>
                      <w:rFonts w:hint="eastAsia"/>
                      <w:szCs w:val="21"/>
                    </w:rPr>
                    <w:t>1次/年</w:t>
                  </w:r>
                </w:p>
              </w:tc>
            </w:tr>
          </w:tbl>
          <w:p>
            <w:pPr>
              <w:tabs>
                <w:tab w:val="left" w:pos="1077"/>
              </w:tabs>
              <w:spacing w:before="120" w:beforeLines="50" w:line="360" w:lineRule="auto"/>
              <w:ind w:firstLine="482" w:firstLineChars="200"/>
              <w:rPr>
                <w:rFonts w:cs="宋体"/>
                <w:b/>
                <w:sz w:val="24"/>
              </w:rPr>
            </w:pPr>
            <w:r>
              <w:rPr>
                <w:rFonts w:cs="宋体"/>
                <w:b/>
                <w:sz w:val="24"/>
              </w:rPr>
              <w:t>3</w:t>
            </w:r>
            <w:r>
              <w:rPr>
                <w:rFonts w:hint="eastAsia" w:cs="宋体"/>
                <w:b/>
                <w:sz w:val="24"/>
              </w:rPr>
              <w:t>、废气治理设施可行性分析</w:t>
            </w:r>
          </w:p>
          <w:p>
            <w:pPr>
              <w:tabs>
                <w:tab w:val="left" w:pos="1077"/>
              </w:tabs>
              <w:spacing w:line="360" w:lineRule="auto"/>
              <w:ind w:firstLine="480" w:firstLineChars="200"/>
              <w:rPr>
                <w:color w:val="000000"/>
                <w:kern w:val="0"/>
                <w:sz w:val="24"/>
              </w:rPr>
            </w:pPr>
            <w:r>
              <w:rPr>
                <w:rFonts w:hint="eastAsia"/>
                <w:color w:val="000000"/>
                <w:kern w:val="0"/>
                <w:sz w:val="24"/>
              </w:rPr>
              <w:t>（1）布袋除尘器</w:t>
            </w:r>
          </w:p>
          <w:p>
            <w:pPr>
              <w:tabs>
                <w:tab w:val="left" w:pos="1077"/>
              </w:tabs>
              <w:spacing w:line="360" w:lineRule="auto"/>
              <w:ind w:firstLine="480" w:firstLineChars="200"/>
              <w:rPr>
                <w:color w:val="000000"/>
                <w:kern w:val="0"/>
                <w:sz w:val="24"/>
              </w:rPr>
            </w:pPr>
            <w:r>
              <w:rPr>
                <w:rFonts w:hint="eastAsia"/>
                <w:color w:val="000000"/>
                <w:kern w:val="0"/>
                <w:sz w:val="24"/>
              </w:rPr>
              <w:t>本项目</w:t>
            </w:r>
            <w:r>
              <w:rPr>
                <w:rFonts w:hint="eastAsia"/>
                <w:bCs/>
                <w:color w:val="0D0D0D" w:themeColor="text1" w:themeTint="F2"/>
                <w:kern w:val="0"/>
                <w:sz w:val="24"/>
                <w14:textFill>
                  <w14:solidFill>
                    <w14:schemeClr w14:val="tx1">
                      <w14:lumMod w14:val="95000"/>
                      <w14:lumOff w14:val="5000"/>
                    </w14:schemeClr>
                  </w14:solidFill>
                </w14:textFill>
              </w:rPr>
              <w:t>喷砂粉尘</w:t>
            </w:r>
            <w:r>
              <w:rPr>
                <w:rFonts w:hint="eastAsia"/>
                <w:color w:val="000000"/>
                <w:kern w:val="0"/>
                <w:sz w:val="24"/>
              </w:rPr>
              <w:t>均</w:t>
            </w:r>
            <w:r>
              <w:rPr>
                <w:color w:val="000000"/>
                <w:kern w:val="0"/>
                <w:sz w:val="24"/>
              </w:rPr>
              <w:t>经</w:t>
            </w:r>
            <w:r>
              <w:rPr>
                <w:rFonts w:hint="eastAsia"/>
                <w:color w:val="000000"/>
                <w:kern w:val="0"/>
                <w:sz w:val="24"/>
              </w:rPr>
              <w:t>布袋</w:t>
            </w:r>
            <w:r>
              <w:rPr>
                <w:color w:val="000000"/>
                <w:kern w:val="0"/>
                <w:sz w:val="24"/>
              </w:rPr>
              <w:t>除尘器处理后排放，布袋除尘装置是利用棉、毛、人造纤维等编织物作为滤袋起过滤作用，对颗粒物进行捕集而达到除尘效果的。其主要工作原理是：含尘气流从下部进入圆筒形滤袋，在通过滤料的孔隙时，粉尘被捕集于滤料上，透过滤料的清洁气体由排出口排出。沉积在滤料上的粉尘，可在机械振动的作用下从滤料表面脱落，落入灰斗中。常用滤料由 棉、毛、人造纤维等加工而成，新型滤料有玻璃纤维和微滤膜等，滤料本身网孔较小，一般为</w:t>
            </w:r>
            <w:r>
              <w:rPr>
                <w:rFonts w:hint="eastAsia"/>
                <w:color w:val="000000"/>
                <w:kern w:val="0"/>
                <w:sz w:val="24"/>
              </w:rPr>
              <w:t>2</w:t>
            </w:r>
            <w:r>
              <w:rPr>
                <w:color w:val="000000"/>
                <w:kern w:val="0"/>
                <w:sz w:val="24"/>
              </w:rPr>
              <w:t>0</w:t>
            </w:r>
            <w:r>
              <w:rPr>
                <w:rFonts w:hint="eastAsia"/>
                <w:color w:val="000000"/>
                <w:kern w:val="0"/>
                <w:sz w:val="24"/>
              </w:rPr>
              <w:t>~</w:t>
            </w:r>
            <w:r>
              <w:rPr>
                <w:color w:val="000000"/>
                <w:kern w:val="0"/>
                <w:sz w:val="24"/>
              </w:rPr>
              <w:t>50μm，表面起绒的滤料为5</w:t>
            </w:r>
            <w:r>
              <w:rPr>
                <w:rFonts w:hint="eastAsia"/>
                <w:color w:val="000000"/>
                <w:kern w:val="0"/>
                <w:sz w:val="24"/>
              </w:rPr>
              <w:t>~</w:t>
            </w:r>
            <w:r>
              <w:rPr>
                <w:color w:val="000000"/>
                <w:kern w:val="0"/>
                <w:sz w:val="24"/>
              </w:rPr>
              <w:t>10μm，而新型滤料的孔径在5μm 以下。按不同粒径的粉尘在流体中运动的不同物理学特征，颗粒物通过惯性碰撞、截留、扩散、静电、筛滤等作用被捕集。此外，粉尘因截留、惯性碰撞、静电和扩散等作用，逐渐在滤袋表面形成粉尘层，常称为粉层初层。初层形成后，它成为袋式除尘器的主要过滤层，提高了除尘效率。滤布只不过起着形成粉尘初层和支撑它的骨架作用，但随着粉尘在滤袋上积聚，滤袋两侧的压力差增大，会把有些已附在滤料上的细小粉尘挤压过去，使除尘效率下降。另外，若除尘器阻力过高，还会使除尘系统的处理气体量显著下降，影响生产系统的排风效果。因此，除尘器阻力达到一定数值后，要及时清灰。</w:t>
            </w:r>
          </w:p>
          <w:p>
            <w:pPr>
              <w:tabs>
                <w:tab w:val="left" w:pos="1077"/>
              </w:tabs>
              <w:spacing w:line="360" w:lineRule="auto"/>
              <w:ind w:firstLine="480" w:firstLineChars="200"/>
              <w:rPr>
                <w:color w:val="000000"/>
                <w:kern w:val="0"/>
                <w:sz w:val="24"/>
              </w:rPr>
            </w:pPr>
            <w:r>
              <w:rPr>
                <w:color w:val="000000"/>
                <w:kern w:val="0"/>
                <w:sz w:val="24"/>
              </w:rPr>
              <w:t>经处理后，项目废气排放可满足上海市地方标准《大气污染物综合排放标准》（DB31/933-2015）中</w:t>
            </w:r>
            <w:r>
              <w:rPr>
                <w:rFonts w:hint="eastAsia"/>
                <w:color w:val="000000"/>
                <w:kern w:val="0"/>
                <w:sz w:val="24"/>
              </w:rPr>
              <w:t>颗粒物</w:t>
            </w:r>
            <w:r>
              <w:rPr>
                <w:color w:val="000000"/>
                <w:kern w:val="0"/>
                <w:sz w:val="24"/>
              </w:rPr>
              <w:t>排放标准</w:t>
            </w:r>
            <w:r>
              <w:rPr>
                <w:rFonts w:hint="eastAsia"/>
                <w:color w:val="000000"/>
                <w:kern w:val="0"/>
                <w:sz w:val="24"/>
              </w:rPr>
              <w:t>。</w:t>
            </w:r>
          </w:p>
          <w:p>
            <w:pPr>
              <w:tabs>
                <w:tab w:val="left" w:pos="1077"/>
              </w:tabs>
              <w:spacing w:line="360" w:lineRule="auto"/>
              <w:ind w:firstLine="480" w:firstLineChars="200"/>
              <w:rPr>
                <w:color w:val="000000"/>
                <w:kern w:val="0"/>
                <w:sz w:val="24"/>
              </w:rPr>
            </w:pPr>
            <w:r>
              <w:rPr>
                <w:rFonts w:hint="eastAsia"/>
                <w:color w:val="000000"/>
                <w:kern w:val="0"/>
                <w:sz w:val="24"/>
              </w:rPr>
              <w:t>（2）</w:t>
            </w:r>
            <w:r>
              <w:rPr>
                <w:rFonts w:hint="eastAsia"/>
                <w:color w:val="000000"/>
                <w:sz w:val="24"/>
              </w:rPr>
              <w:t>过滤棉+活性炭+RCO处理装置</w:t>
            </w:r>
          </w:p>
          <w:p>
            <w:pPr>
              <w:tabs>
                <w:tab w:val="left" w:pos="1077"/>
              </w:tabs>
              <w:spacing w:line="360" w:lineRule="auto"/>
              <w:ind w:firstLine="480" w:firstLineChars="200"/>
              <w:rPr>
                <w:rFonts w:cs="宋体"/>
                <w:sz w:val="24"/>
              </w:rPr>
            </w:pPr>
            <w:r>
              <w:rPr>
                <w:rFonts w:cs="宋体"/>
                <w:sz w:val="24"/>
              </w:rPr>
              <w:t>本项目</w:t>
            </w:r>
            <w:r>
              <w:rPr>
                <w:rFonts w:hint="eastAsia" w:cs="宋体"/>
                <w:sz w:val="24"/>
              </w:rPr>
              <w:t>调漆、</w:t>
            </w:r>
            <w:r>
              <w:rPr>
                <w:rFonts w:cs="宋体"/>
                <w:sz w:val="24"/>
              </w:rPr>
              <w:t>喷漆</w:t>
            </w:r>
            <w:r>
              <w:rPr>
                <w:rFonts w:hint="eastAsia" w:cs="宋体"/>
                <w:sz w:val="24"/>
              </w:rPr>
              <w:t>以及晾干</w:t>
            </w:r>
            <w:r>
              <w:rPr>
                <w:rFonts w:cs="宋体"/>
                <w:sz w:val="24"/>
              </w:rPr>
              <w:t>产生的有机废气经</w:t>
            </w:r>
            <w:r>
              <w:rPr>
                <w:rFonts w:hint="eastAsia"/>
                <w:color w:val="000000"/>
                <w:sz w:val="24"/>
              </w:rPr>
              <w:t>过滤棉+活性炭+RCO处理装置处理后通过15m高排气筒排放。</w:t>
            </w:r>
            <w:r>
              <w:rPr>
                <w:rFonts w:cs="宋体"/>
                <w:sz w:val="24"/>
              </w:rPr>
              <w:t>有机废气净化的方法有直接燃烧法、催化燃烧法、活性炭吸附法、吸收法、 生物过滤法、膜分离法、冷凝法等，其中较为常用的是燃烧法（包括直接燃烧和催化燃烧）、活性炭吸附法、吸收法和冷凝法。各种方法的主要优缺点见</w:t>
            </w:r>
            <w:r>
              <w:rPr>
                <w:rFonts w:hint="eastAsia" w:cs="宋体"/>
                <w:sz w:val="24"/>
              </w:rPr>
              <w:t>下</w:t>
            </w:r>
            <w:r>
              <w:rPr>
                <w:rFonts w:cs="宋体"/>
                <w:sz w:val="24"/>
              </w:rPr>
              <w:t>表</w:t>
            </w:r>
            <w:r>
              <w:rPr>
                <w:rFonts w:hint="eastAsia" w:cs="宋体"/>
                <w:sz w:val="24"/>
              </w:rPr>
              <w:t>：</w:t>
            </w:r>
          </w:p>
          <w:p>
            <w:pPr>
              <w:pStyle w:val="1044"/>
            </w:pPr>
            <w:r>
              <w:t>表</w:t>
            </w:r>
            <w:r>
              <w:rPr>
                <w:rFonts w:hint="eastAsia"/>
                <w:lang w:val="en-US"/>
              </w:rPr>
              <w:t>4-6</w:t>
            </w:r>
            <w:r>
              <w:t xml:space="preserve">  有机废气主要净化方法比较</w:t>
            </w:r>
          </w:p>
          <w:tbl>
            <w:tblPr>
              <w:tblStyle w:val="58"/>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842"/>
              <w:gridCol w:w="1960"/>
              <w:gridCol w:w="1960"/>
              <w:gridCol w:w="1960"/>
              <w:gridCol w:w="168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01" w:type="pct"/>
                  <w:vAlign w:val="center"/>
                </w:tcPr>
                <w:p>
                  <w:pPr>
                    <w:pStyle w:val="1042"/>
                  </w:pPr>
                  <w:r>
                    <w:t>方法</w:t>
                  </w:r>
                </w:p>
              </w:tc>
              <w:tc>
                <w:tcPr>
                  <w:tcW w:w="1166" w:type="pct"/>
                  <w:vAlign w:val="center"/>
                </w:tcPr>
                <w:p>
                  <w:pPr>
                    <w:pStyle w:val="1042"/>
                  </w:pPr>
                  <w:r>
                    <w:t>原理</w:t>
                  </w:r>
                </w:p>
              </w:tc>
              <w:tc>
                <w:tcPr>
                  <w:tcW w:w="1166" w:type="pct"/>
                  <w:vAlign w:val="center"/>
                </w:tcPr>
                <w:p>
                  <w:pPr>
                    <w:pStyle w:val="1042"/>
                  </w:pPr>
                  <w:r>
                    <w:t>优点</w:t>
                  </w:r>
                </w:p>
              </w:tc>
              <w:tc>
                <w:tcPr>
                  <w:tcW w:w="1166" w:type="pct"/>
                  <w:vAlign w:val="center"/>
                </w:tcPr>
                <w:p>
                  <w:pPr>
                    <w:pStyle w:val="1042"/>
                  </w:pPr>
                  <w:r>
                    <w:t>缺点</w:t>
                  </w:r>
                </w:p>
              </w:tc>
              <w:tc>
                <w:tcPr>
                  <w:tcW w:w="999" w:type="pct"/>
                  <w:vAlign w:val="center"/>
                </w:tcPr>
                <w:p>
                  <w:pPr>
                    <w:pStyle w:val="1042"/>
                  </w:pPr>
                  <w:r>
                    <w:t>适用范围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01" w:type="pct"/>
                  <w:vAlign w:val="center"/>
                </w:tcPr>
                <w:p>
                  <w:pPr>
                    <w:pStyle w:val="1042"/>
                  </w:pPr>
                  <w:r>
                    <w:t>吸附法</w:t>
                  </w:r>
                </w:p>
              </w:tc>
              <w:tc>
                <w:tcPr>
                  <w:tcW w:w="1166" w:type="pct"/>
                  <w:vAlign w:val="center"/>
                </w:tcPr>
                <w:p>
                  <w:pPr>
                    <w:pStyle w:val="1042"/>
                  </w:pPr>
                  <w:r>
                    <w:t>废气的分子扩散到固体吸附剂表面，有害成分被吸附而达到净化</w:t>
                  </w:r>
                </w:p>
              </w:tc>
              <w:tc>
                <w:tcPr>
                  <w:tcW w:w="1166" w:type="pct"/>
                  <w:vAlign w:val="center"/>
                </w:tcPr>
                <w:p>
                  <w:pPr>
                    <w:pStyle w:val="1042"/>
                  </w:pPr>
                  <w:r>
                    <w:t>可处理含有低浓度</w:t>
                  </w:r>
                </w:p>
                <w:p>
                  <w:pPr>
                    <w:pStyle w:val="1042"/>
                  </w:pPr>
                  <w:r>
                    <w:t>的碳氢化合物和低温废气；溶剂可回收，进行有效利用；处理程度可以控制</w:t>
                  </w:r>
                </w:p>
              </w:tc>
              <w:tc>
                <w:tcPr>
                  <w:tcW w:w="1166" w:type="pct"/>
                  <w:vAlign w:val="center"/>
                </w:tcPr>
                <w:p>
                  <w:pPr>
                    <w:pStyle w:val="1042"/>
                  </w:pPr>
                  <w:r>
                    <w:t>活性炭的再生和补</w:t>
                  </w:r>
                </w:p>
                <w:p>
                  <w:pPr>
                    <w:pStyle w:val="1042"/>
                  </w:pPr>
                  <w:r>
                    <w:t>充需要花费的费用多；在处理喷漆室废气时要预先除漆雾</w:t>
                  </w:r>
                </w:p>
              </w:tc>
              <w:tc>
                <w:tcPr>
                  <w:tcW w:w="999" w:type="pct"/>
                  <w:vAlign w:val="center"/>
                </w:tcPr>
                <w:p>
                  <w:pPr>
                    <w:pStyle w:val="1042"/>
                  </w:pPr>
                  <w:r>
                    <w:t>适用常温、低浓度、废气量较小时的废气治理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01" w:type="pct"/>
                  <w:vAlign w:val="center"/>
                </w:tcPr>
                <w:p>
                  <w:pPr>
                    <w:pStyle w:val="1042"/>
                  </w:pPr>
                  <w:r>
                    <w:t>直接燃烧法</w:t>
                  </w:r>
                </w:p>
              </w:tc>
              <w:tc>
                <w:tcPr>
                  <w:tcW w:w="1166" w:type="pct"/>
                  <w:vAlign w:val="center"/>
                </w:tcPr>
                <w:p>
                  <w:pPr>
                    <w:pStyle w:val="1042"/>
                  </w:pPr>
                  <w:r>
                    <w:t>废气引入燃烧室与火焰直接接触，使有害物燃 烧生成 CO</w:t>
                  </w:r>
                  <w:r>
                    <w:rPr>
                      <w:vertAlign w:val="subscript"/>
                    </w:rPr>
                    <w:t>2</w:t>
                  </w:r>
                  <w:r>
                    <w:t xml:space="preserve"> 和 H</w:t>
                  </w:r>
                  <w:r>
                    <w:rPr>
                      <w:vertAlign w:val="subscript"/>
                    </w:rPr>
                    <w:t>2</w:t>
                  </w:r>
                  <w:r>
                    <w:t>O，使废气净化</w:t>
                  </w:r>
                </w:p>
              </w:tc>
              <w:tc>
                <w:tcPr>
                  <w:tcW w:w="1166" w:type="pct"/>
                  <w:vAlign w:val="center"/>
                </w:tcPr>
                <w:p>
                  <w:pPr>
                    <w:pStyle w:val="1042"/>
                  </w:pPr>
                  <w:r>
                    <w:t>燃烧效率高，管理容易；仅烧嘴需经常维护，维护简单；装置占地面积小；不稳定因素少，可靠性高</w:t>
                  </w:r>
                </w:p>
              </w:tc>
              <w:tc>
                <w:tcPr>
                  <w:tcW w:w="1166" w:type="pct"/>
                  <w:vAlign w:val="center"/>
                </w:tcPr>
                <w:p>
                  <w:pPr>
                    <w:pStyle w:val="1042"/>
                  </w:pPr>
                  <w:r>
                    <w:t>处理温度高，需燃</w:t>
                  </w:r>
                </w:p>
                <w:p>
                  <w:pPr>
                    <w:pStyle w:val="1042"/>
                  </w:pPr>
                  <w:r>
                    <w:t>料费高；燃烧装置、燃烧室、热回收装置等设备造价高；处理像喷漆室浓度低、风量大的废气不经济</w:t>
                  </w:r>
                </w:p>
              </w:tc>
              <w:tc>
                <w:tcPr>
                  <w:tcW w:w="999" w:type="pct"/>
                  <w:vAlign w:val="center"/>
                </w:tcPr>
                <w:p>
                  <w:pPr>
                    <w:pStyle w:val="1042"/>
                  </w:pPr>
                  <w:r>
                    <w:t>适用于有机溶剂含量高、湿度高的废气治理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01" w:type="pct"/>
                  <w:vAlign w:val="center"/>
                </w:tcPr>
                <w:p>
                  <w:pPr>
                    <w:pStyle w:val="1042"/>
                  </w:pPr>
                  <w:r>
                    <w:t>催化燃烧法</w:t>
                  </w:r>
                </w:p>
              </w:tc>
              <w:tc>
                <w:tcPr>
                  <w:tcW w:w="1166" w:type="pct"/>
                  <w:vAlign w:val="center"/>
                </w:tcPr>
                <w:p>
                  <w:pPr>
                    <w:pStyle w:val="1042"/>
                  </w:pPr>
                  <w:r>
                    <w:t>在催化剂作用下，使有机物废气在引燃点温度以下燃烧生成CO</w:t>
                  </w:r>
                  <w:r>
                    <w:rPr>
                      <w:vertAlign w:val="subscript"/>
                    </w:rPr>
                    <w:t>2</w:t>
                  </w:r>
                  <w:r>
                    <w:t>和H</w:t>
                  </w:r>
                  <w:r>
                    <w:rPr>
                      <w:vertAlign w:val="subscript"/>
                    </w:rPr>
                    <w:t>2</w:t>
                  </w:r>
                  <w:r>
                    <w:t>O而被净化</w:t>
                  </w:r>
                </w:p>
              </w:tc>
              <w:tc>
                <w:tcPr>
                  <w:tcW w:w="1166" w:type="pct"/>
                  <w:vAlign w:val="center"/>
                </w:tcPr>
                <w:p>
                  <w:pPr>
                    <w:pStyle w:val="1042"/>
                  </w:pPr>
                  <w:r>
                    <w:t>与直接燃烧法相 比，能在低温下氧化分解，燃料费可省1/2；装置占地面积小；NOx 生成少</w:t>
                  </w:r>
                </w:p>
              </w:tc>
              <w:tc>
                <w:tcPr>
                  <w:tcW w:w="1166" w:type="pct"/>
                  <w:vAlign w:val="center"/>
                </w:tcPr>
                <w:p>
                  <w:pPr>
                    <w:pStyle w:val="1042"/>
                  </w:pPr>
                  <w:r>
                    <w:t>催化剂价格高，需</w:t>
                  </w:r>
                </w:p>
                <w:p>
                  <w:pPr>
                    <w:pStyle w:val="1042"/>
                  </w:pPr>
                  <w:r>
                    <w:t>考虑催化剂中毒和 催化剂寿命；必须进行前处理除去尘埃、漆雾等；催化剂和设备价格高</w:t>
                  </w:r>
                </w:p>
              </w:tc>
              <w:tc>
                <w:tcPr>
                  <w:tcW w:w="999" w:type="pct"/>
                  <w:vAlign w:val="center"/>
                </w:tcPr>
                <w:p>
                  <w:pPr>
                    <w:pStyle w:val="1042"/>
                  </w:pPr>
                  <w:r>
                    <w:t>适用于废气温度高、流量小、有机溶剂浓度高、含杂质少的场合</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01" w:type="pct"/>
                  <w:vAlign w:val="center"/>
                </w:tcPr>
                <w:p>
                  <w:pPr>
                    <w:pStyle w:val="1042"/>
                  </w:pPr>
                  <w:r>
                    <w:t>吸收法</w:t>
                  </w:r>
                </w:p>
              </w:tc>
              <w:tc>
                <w:tcPr>
                  <w:tcW w:w="1166" w:type="pct"/>
                  <w:vAlign w:val="center"/>
                </w:tcPr>
                <w:p>
                  <w:pPr>
                    <w:pStyle w:val="1042"/>
                  </w:pPr>
                  <w:r>
                    <w:t>液体作为吸收剂，使废气中有害气体被吸收剂</w:t>
                  </w:r>
                </w:p>
                <w:p>
                  <w:pPr>
                    <w:pStyle w:val="1042"/>
                  </w:pPr>
                  <w:r>
                    <w:t>所吸收从而达到净化</w:t>
                  </w:r>
                </w:p>
              </w:tc>
              <w:tc>
                <w:tcPr>
                  <w:tcW w:w="1166" w:type="pct"/>
                  <w:vAlign w:val="center"/>
                </w:tcPr>
                <w:p>
                  <w:pPr>
                    <w:pStyle w:val="1042"/>
                  </w:pPr>
                  <w:r>
                    <w:t>设备费用低，运转需要对产生废水</w:t>
                  </w:r>
                  <w:r>
                    <w:rPr>
                      <w:rFonts w:hint="eastAsia"/>
                    </w:rPr>
                    <w:t>去湿处理</w:t>
                  </w:r>
                  <w:r>
                    <w:t>；无爆炸、火灾等危险，安全性高；适宜处理喷漆室和挥发室排出废气</w:t>
                  </w:r>
                </w:p>
              </w:tc>
              <w:tc>
                <w:tcPr>
                  <w:tcW w:w="1166" w:type="pct"/>
                  <w:vAlign w:val="center"/>
                </w:tcPr>
                <w:p>
                  <w:pPr>
                    <w:pStyle w:val="1042"/>
                  </w:pPr>
                  <w:r>
                    <w:rPr>
                      <w:rFonts w:hint="eastAsia"/>
                    </w:rPr>
                    <w:t>需</w:t>
                  </w:r>
                  <w:r>
                    <w:t>二次处理，对涂</w:t>
                  </w:r>
                </w:p>
                <w:p>
                  <w:pPr>
                    <w:pStyle w:val="1042"/>
                  </w:pPr>
                  <w:r>
                    <w:t>料品种有限制</w:t>
                  </w:r>
                </w:p>
              </w:tc>
              <w:tc>
                <w:tcPr>
                  <w:tcW w:w="999" w:type="pct"/>
                  <w:vAlign w:val="center"/>
                </w:tcPr>
                <w:p>
                  <w:pPr>
                    <w:pStyle w:val="1042"/>
                  </w:pPr>
                  <w:r>
                    <w:t>适用于高、低</w:t>
                  </w:r>
                </w:p>
                <w:p>
                  <w:pPr>
                    <w:pStyle w:val="1042"/>
                  </w:pPr>
                  <w:r>
                    <w:t>浓度有机废气</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501" w:type="pct"/>
                  <w:vAlign w:val="center"/>
                </w:tcPr>
                <w:p>
                  <w:pPr>
                    <w:pStyle w:val="1042"/>
                  </w:pPr>
                  <w:r>
                    <w:t>冷凝法</w:t>
                  </w:r>
                </w:p>
              </w:tc>
              <w:tc>
                <w:tcPr>
                  <w:tcW w:w="1166" w:type="pct"/>
                  <w:vAlign w:val="center"/>
                </w:tcPr>
                <w:p>
                  <w:pPr>
                    <w:pStyle w:val="1042"/>
                  </w:pPr>
                  <w:r>
                    <w:t>降低有害气体的温度，能使其某 些成分冷凝成液 体的原理</w:t>
                  </w:r>
                </w:p>
              </w:tc>
              <w:tc>
                <w:tcPr>
                  <w:tcW w:w="1166" w:type="pct"/>
                  <w:vAlign w:val="center"/>
                </w:tcPr>
                <w:p>
                  <w:pPr>
                    <w:pStyle w:val="1042"/>
                  </w:pPr>
                  <w:r>
                    <w:t>设备、操作条件简单，回收物质纯度高。</w:t>
                  </w:r>
                </w:p>
              </w:tc>
              <w:tc>
                <w:tcPr>
                  <w:tcW w:w="1166" w:type="pct"/>
                  <w:vAlign w:val="center"/>
                </w:tcPr>
                <w:p>
                  <w:pPr>
                    <w:pStyle w:val="1042"/>
                  </w:pPr>
                  <w:r>
                    <w:t>净化效率低，不能达到标准要求</w:t>
                  </w:r>
                </w:p>
              </w:tc>
              <w:tc>
                <w:tcPr>
                  <w:tcW w:w="999" w:type="pct"/>
                  <w:vAlign w:val="center"/>
                </w:tcPr>
                <w:p>
                  <w:pPr>
                    <w:pStyle w:val="1042"/>
                  </w:pPr>
                  <w:r>
                    <w:t>适用于组分单一的高浓度有机废气</w:t>
                  </w:r>
                </w:p>
              </w:tc>
            </w:tr>
          </w:tbl>
          <w:p>
            <w:pPr>
              <w:tabs>
                <w:tab w:val="left" w:pos="1077"/>
              </w:tabs>
              <w:spacing w:before="120" w:beforeLines="50" w:line="360" w:lineRule="auto"/>
              <w:ind w:firstLine="480" w:firstLineChars="200"/>
              <w:rPr>
                <w:sz w:val="24"/>
              </w:rPr>
            </w:pPr>
            <w:r>
              <w:rPr>
                <w:rFonts w:hint="eastAsia"/>
                <w:sz w:val="24"/>
              </w:rPr>
              <w:t>由上表可以看出，以上有机废气的处理方法均有各自的优缺点，应根据实际情况选择合适的治理方法。由于项目废气量较大，不管采用燃烧法处理、液体吸收法、活性炭吸附法处理均存在附属设施庞大，制造及安装困难的难题。但考虑到活性炭吸收的废活性炭再生环节、液体吸收时废液处理环节易产生二次污染及处置问题，附带装置存在运行管理等诸多问题；而燃烧法可彻底和容易地将苯系物等有机物转化为无污染的二氧化碳和水，本项目针对有机废气的治理应优先选用燃烧法。但由于本项目有机废气风量大、浓度偏低等特点，因此，本项目采用活性炭吸附脱附+RCO工艺处理有机废气。</w:t>
            </w:r>
          </w:p>
          <w:p>
            <w:pPr>
              <w:spacing w:line="360" w:lineRule="auto"/>
              <w:ind w:left="-2" w:leftChars="-1" w:firstLine="484" w:firstLineChars="202"/>
              <w:rPr>
                <w:sz w:val="24"/>
              </w:rPr>
            </w:pPr>
            <w:r>
              <w:rPr>
                <w:rFonts w:hint="eastAsia"/>
                <w:sz w:val="24"/>
              </w:rPr>
              <w:t>活性炭吸附脱附+RCO工艺的净化原理为：此工艺是活性炭吸附和催化燃烧的组合工艺，有机废气经过了吸附浓缩和催化燃烧三个过程，首先利用活性炭的多孔性和空隙表面的张力把有机废气的溶剂吸附在活性炭的空隙中，使所排废气得到净化，当活性炭吸附饱和后，用热风脱附再生，被脱附出来的有机物在催化剂的作用下，能在较低温度的状况转化为无毒无害二度二氧化碳和水。该法吸取了吸附法和催化法的有点，克服了各自单独使用的缺点，解决了处理低浓度、大风量有机废气存在的难题。</w:t>
            </w:r>
          </w:p>
          <w:p>
            <w:pPr>
              <w:spacing w:line="360" w:lineRule="auto"/>
              <w:ind w:left="-2" w:leftChars="-1" w:firstLine="484" w:firstLineChars="202"/>
              <w:rPr>
                <w:sz w:val="24"/>
              </w:rPr>
            </w:pPr>
            <w:r>
              <w:rPr>
                <w:rFonts w:hint="eastAsia"/>
                <w:sz w:val="24"/>
              </w:rPr>
              <w:t>本项目废气主要成分为漆雾及VOCs，喷漆过程产生的废气经收集后经过过滤棉去除漆雾颗粒物后再进入活性炭吸附脱附+RCO催化燃烧装置。活性炭在经过一段时间的运行后会达到吸附饱和，此时开启脱附再生系统，对活性炭进行脱附再生，脱附出来的有机废气通过催化燃烧装置燃烧生成二氧化碳等无害气体和水及部分热量。该设备性能稳定，能达到预期的效果。</w:t>
            </w:r>
          </w:p>
          <w:p>
            <w:pPr>
              <w:tabs>
                <w:tab w:val="left" w:pos="1077"/>
              </w:tabs>
              <w:spacing w:before="120" w:beforeLines="50" w:line="360" w:lineRule="auto"/>
              <w:ind w:firstLine="482" w:firstLineChars="200"/>
              <w:rPr>
                <w:rFonts w:cs="宋体"/>
                <w:b/>
                <w:sz w:val="24"/>
              </w:rPr>
            </w:pPr>
            <w:r>
              <w:rPr>
                <w:rFonts w:hint="eastAsia" w:cs="宋体"/>
                <w:b/>
                <w:sz w:val="24"/>
              </w:rPr>
              <w:t>4、废气环境影响分析</w:t>
            </w:r>
          </w:p>
          <w:p>
            <w:pPr>
              <w:spacing w:line="360" w:lineRule="auto"/>
              <w:ind w:left="-2" w:leftChars="-1" w:firstLine="484" w:firstLineChars="202"/>
              <w:rPr>
                <w:sz w:val="24"/>
              </w:rPr>
            </w:pPr>
            <w:r>
              <w:rPr>
                <w:rFonts w:hint="eastAsia" w:cs="宋体"/>
                <w:sz w:val="24"/>
              </w:rPr>
              <w:t>由</w:t>
            </w:r>
            <w:r>
              <w:rPr>
                <w:rFonts w:cs="宋体"/>
                <w:sz w:val="24"/>
              </w:rPr>
              <w:t>分析可知</w:t>
            </w:r>
            <w:r>
              <w:rPr>
                <w:rFonts w:hint="eastAsia"/>
                <w:bCs/>
                <w:color w:val="0D0D0D" w:themeColor="text1" w:themeTint="F2"/>
                <w:kern w:val="0"/>
                <w:sz w:val="24"/>
                <w14:textFill>
                  <w14:solidFill>
                    <w14:schemeClr w14:val="tx1">
                      <w14:lumMod w14:val="95000"/>
                      <w14:lumOff w14:val="5000"/>
                    </w14:schemeClr>
                  </w14:solidFill>
                </w14:textFill>
              </w:rPr>
              <w:t>喷砂粉尘、</w:t>
            </w:r>
            <w:r>
              <w:rPr>
                <w:rFonts w:hint="eastAsia"/>
                <w:bCs/>
                <w:color w:val="0D0D0D" w:themeColor="text1" w:themeTint="F2"/>
                <w:kern w:val="0"/>
                <w:sz w:val="24"/>
                <w:lang w:val="en-US" w:eastAsia="zh-CN"/>
                <w14:textFill>
                  <w14:solidFill>
                    <w14:schemeClr w14:val="tx1">
                      <w14:lumMod w14:val="95000"/>
                      <w14:lumOff w14:val="5000"/>
                    </w14:schemeClr>
                  </w14:solidFill>
                </w14:textFill>
              </w:rPr>
              <w:t>调漆、</w:t>
            </w:r>
            <w:r>
              <w:rPr>
                <w:rFonts w:hint="eastAsia"/>
                <w:color w:val="000000"/>
                <w:sz w:val="24"/>
              </w:rPr>
              <w:t>喷漆及晾干废气</w:t>
            </w:r>
            <w:r>
              <w:rPr>
                <w:rFonts w:cs="宋体"/>
                <w:sz w:val="24"/>
              </w:rPr>
              <w:t>采取有效的废气收集、治理措施处理后，</w:t>
            </w:r>
            <w:r>
              <w:rPr>
                <w:rFonts w:hint="eastAsia"/>
                <w:color w:val="0D0D0D"/>
                <w:sz w:val="24"/>
              </w:rPr>
              <w:t>颗粒物、非甲烷总烃、二甲苯以及甲苯有组织排放</w:t>
            </w:r>
            <w:r>
              <w:rPr>
                <w:rFonts w:cs="宋体"/>
                <w:sz w:val="24"/>
              </w:rPr>
              <w:t>能够满足</w:t>
            </w:r>
            <w:r>
              <w:rPr>
                <w:rFonts w:hint="eastAsia"/>
                <w:color w:val="0D0D0D"/>
                <w:sz w:val="24"/>
              </w:rPr>
              <w:t>上海市地方标准《大气污染物综合排放标准》（DB31/933-2015）表1及表3排放监控浓度限值，</w:t>
            </w:r>
            <w:r>
              <w:rPr>
                <w:rFonts w:hint="eastAsia"/>
                <w:sz w:val="24"/>
              </w:rPr>
              <w:t>另外非甲烷总烃厂内监控点满足《挥发性有机物无组织排放控制标准》（GB37822-2019）附录A中VOCs无组织特别排放限值要求。项目所在区域无自然保护区、风景名胜区、饮用水源保护区和文物古迹等需要特殊保护的环境敏感对象，本项目废气排放对区域大气环境周边敏感点环境影响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shd w:val="clear" w:color="auto" w:fill="auto"/>
          </w:tcPr>
          <w:p>
            <w:pPr>
              <w:tabs>
                <w:tab w:val="left" w:pos="1077"/>
              </w:tabs>
              <w:rPr>
                <w:rFonts w:cs="宋体"/>
                <w:color w:val="000000"/>
                <w:sz w:val="24"/>
              </w:rPr>
            </w:pPr>
          </w:p>
        </w:tc>
        <w:tc>
          <w:tcPr>
            <w:tcW w:w="8629" w:type="dxa"/>
            <w:shd w:val="clear" w:color="auto" w:fill="auto"/>
          </w:tcPr>
          <w:p>
            <w:pPr>
              <w:tabs>
                <w:tab w:val="left" w:pos="1077"/>
              </w:tabs>
              <w:spacing w:before="120" w:beforeLines="50" w:line="360" w:lineRule="auto"/>
              <w:ind w:firstLine="482" w:firstLineChars="200"/>
              <w:jc w:val="left"/>
              <w:rPr>
                <w:rFonts w:cs="宋体"/>
                <w:b/>
                <w:bCs/>
                <w:color w:val="000000"/>
                <w:sz w:val="24"/>
              </w:rPr>
            </w:pPr>
            <w:r>
              <w:rPr>
                <w:rFonts w:hint="eastAsia" w:cs="宋体"/>
                <w:b/>
                <w:bCs/>
                <w:color w:val="000000"/>
                <w:sz w:val="24"/>
              </w:rPr>
              <w:t>二、废水环境影响和保护措施</w:t>
            </w:r>
          </w:p>
          <w:p>
            <w:pPr>
              <w:keepNext/>
              <w:keepLines/>
              <w:spacing w:line="360" w:lineRule="auto"/>
              <w:ind w:firstLine="472" w:firstLineChars="196"/>
              <w:outlineLvl w:val="2"/>
              <w:rPr>
                <w:b/>
                <w:bCs/>
                <w:color w:val="000000"/>
                <w:sz w:val="24"/>
                <w:szCs w:val="32"/>
              </w:rPr>
            </w:pPr>
            <w:r>
              <w:rPr>
                <w:rFonts w:hint="eastAsia"/>
                <w:b/>
                <w:bCs/>
                <w:color w:val="000000"/>
                <w:sz w:val="24"/>
                <w:szCs w:val="32"/>
              </w:rPr>
              <w:t>1、</w:t>
            </w:r>
            <w:r>
              <w:rPr>
                <w:b/>
                <w:bCs/>
                <w:color w:val="000000"/>
                <w:sz w:val="24"/>
                <w:szCs w:val="32"/>
              </w:rPr>
              <w:t>废</w:t>
            </w:r>
            <w:r>
              <w:rPr>
                <w:rFonts w:hint="eastAsia"/>
                <w:b/>
                <w:bCs/>
                <w:color w:val="000000"/>
                <w:sz w:val="24"/>
                <w:szCs w:val="32"/>
              </w:rPr>
              <w:t>水</w:t>
            </w:r>
            <w:r>
              <w:rPr>
                <w:b/>
                <w:bCs/>
                <w:color w:val="000000"/>
                <w:sz w:val="24"/>
                <w:szCs w:val="32"/>
              </w:rPr>
              <w:t>污染源</w:t>
            </w:r>
            <w:r>
              <w:rPr>
                <w:rFonts w:hint="eastAsia"/>
                <w:b/>
                <w:bCs/>
                <w:color w:val="000000"/>
                <w:sz w:val="24"/>
                <w:szCs w:val="32"/>
              </w:rPr>
              <w:t>分析</w:t>
            </w:r>
          </w:p>
          <w:p>
            <w:pPr>
              <w:tabs>
                <w:tab w:val="left" w:pos="612"/>
              </w:tabs>
              <w:adjustRightInd w:val="0"/>
              <w:spacing w:before="120" w:beforeLines="50" w:line="360" w:lineRule="auto"/>
              <w:ind w:firstLine="480" w:firstLineChars="200"/>
              <w:jc w:val="left"/>
              <w:rPr>
                <w:sz w:val="24"/>
              </w:rPr>
            </w:pPr>
            <w:r>
              <w:rPr>
                <w:rFonts w:hint="eastAsia"/>
                <w:color w:val="000000"/>
                <w:kern w:val="0"/>
                <w:sz w:val="24"/>
              </w:rPr>
              <w:t>本项目本项目不新增工作人员，不新增生活用水，本项目水性丙烯酸防腐面漆及水性丙烯酸防锈底漆均需使用水稀释，此部分用水均进入产品不外排。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shd w:val="clear" w:color="auto" w:fill="auto"/>
          </w:tcPr>
          <w:p>
            <w:pPr>
              <w:tabs>
                <w:tab w:val="left" w:pos="1077"/>
              </w:tabs>
              <w:rPr>
                <w:rFonts w:cs="宋体"/>
                <w:color w:val="000000"/>
                <w:sz w:val="24"/>
              </w:rPr>
            </w:pPr>
          </w:p>
        </w:tc>
        <w:tc>
          <w:tcPr>
            <w:tcW w:w="8629" w:type="dxa"/>
            <w:shd w:val="clear" w:color="auto" w:fill="auto"/>
          </w:tcPr>
          <w:p>
            <w:pPr>
              <w:keepNext/>
              <w:keepLines/>
              <w:spacing w:before="120" w:beforeLines="50" w:line="360" w:lineRule="auto"/>
              <w:ind w:firstLine="354" w:firstLineChars="147"/>
              <w:outlineLvl w:val="2"/>
              <w:rPr>
                <w:b/>
                <w:bCs/>
                <w:color w:val="000000"/>
                <w:sz w:val="24"/>
                <w:szCs w:val="32"/>
              </w:rPr>
            </w:pPr>
            <w:r>
              <w:rPr>
                <w:rFonts w:hint="eastAsia"/>
                <w:b/>
                <w:bCs/>
                <w:color w:val="000000"/>
                <w:sz w:val="24"/>
                <w:szCs w:val="32"/>
              </w:rPr>
              <w:t>三、噪声环境影响和保护措施</w:t>
            </w:r>
          </w:p>
          <w:p>
            <w:pPr>
              <w:keepNext/>
              <w:keepLines/>
              <w:spacing w:line="360" w:lineRule="auto"/>
              <w:ind w:firstLine="472" w:firstLineChars="196"/>
              <w:outlineLvl w:val="2"/>
              <w:rPr>
                <w:b/>
                <w:bCs/>
                <w:color w:val="000000"/>
                <w:sz w:val="24"/>
                <w:szCs w:val="32"/>
              </w:rPr>
            </w:pPr>
            <w:r>
              <w:rPr>
                <w:rFonts w:hint="eastAsia"/>
                <w:b/>
                <w:bCs/>
                <w:color w:val="000000"/>
                <w:sz w:val="24"/>
                <w:szCs w:val="32"/>
              </w:rPr>
              <w:t>1、噪声源强</w:t>
            </w:r>
          </w:p>
          <w:p>
            <w:pPr>
              <w:pStyle w:val="218"/>
              <w:spacing w:line="360" w:lineRule="auto"/>
              <w:ind w:firstLineChars="0"/>
              <w:rPr>
                <w:color w:val="0D0D0D" w:themeColor="text1" w:themeTint="F2"/>
                <w:sz w:val="24"/>
                <w:lang w:val="de-DE"/>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本项目噪声源为无漆喷涂机、小型喷砂机以及无动力平车</w:t>
            </w:r>
            <w:r>
              <w:rPr>
                <w:color w:val="0D0D0D" w:themeColor="text1" w:themeTint="F2"/>
                <w:sz w:val="24"/>
                <w14:textFill>
                  <w14:solidFill>
                    <w14:schemeClr w14:val="tx1">
                      <w14:lumMod w14:val="95000"/>
                      <w14:lumOff w14:val="5000"/>
                    </w14:schemeClr>
                  </w14:solidFill>
                </w14:textFill>
              </w:rPr>
              <w:t>等设备运行时将产生噪声</w:t>
            </w:r>
            <w:r>
              <w:rPr>
                <w:rFonts w:hint="eastAsia"/>
                <w:color w:val="0D0D0D" w:themeColor="text1" w:themeTint="F2"/>
                <w:sz w:val="24"/>
                <w14:textFill>
                  <w14:solidFill>
                    <w14:schemeClr w14:val="tx1">
                      <w14:lumMod w14:val="95000"/>
                      <w14:lumOff w14:val="5000"/>
                    </w14:schemeClr>
                  </w14:solidFill>
                </w14:textFill>
              </w:rPr>
              <w:t>，</w:t>
            </w:r>
            <w:r>
              <w:rPr>
                <w:color w:val="0D0D0D" w:themeColor="text1" w:themeTint="F2"/>
                <w:sz w:val="24"/>
                <w14:textFill>
                  <w14:solidFill>
                    <w14:schemeClr w14:val="tx1">
                      <w14:lumMod w14:val="95000"/>
                      <w14:lumOff w14:val="5000"/>
                    </w14:schemeClr>
                  </w14:solidFill>
                </w14:textFill>
              </w:rPr>
              <w:t>本项目的</w:t>
            </w:r>
            <w:r>
              <w:rPr>
                <w:rFonts w:hint="eastAsia"/>
                <w:color w:val="0D0D0D" w:themeColor="text1" w:themeTint="F2"/>
                <w:sz w:val="24"/>
                <w14:textFill>
                  <w14:solidFill>
                    <w14:schemeClr w14:val="tx1">
                      <w14:lumMod w14:val="95000"/>
                      <w14:lumOff w14:val="5000"/>
                    </w14:schemeClr>
                  </w14:solidFill>
                </w14:textFill>
              </w:rPr>
              <w:t>主</w:t>
            </w:r>
            <w:r>
              <w:rPr>
                <w:color w:val="0D0D0D" w:themeColor="text1" w:themeTint="F2"/>
                <w:sz w:val="24"/>
                <w14:textFill>
                  <w14:solidFill>
                    <w14:schemeClr w14:val="tx1">
                      <w14:lumMod w14:val="95000"/>
                      <w14:lumOff w14:val="5000"/>
                    </w14:schemeClr>
                  </w14:solidFill>
                </w14:textFill>
              </w:rPr>
              <w:t>要设备噪声情况见表</w:t>
            </w:r>
            <w:r>
              <w:rPr>
                <w:rFonts w:hint="eastAsia"/>
                <w:color w:val="0D0D0D" w:themeColor="text1" w:themeTint="F2"/>
                <w:sz w:val="24"/>
                <w14:textFill>
                  <w14:solidFill>
                    <w14:schemeClr w14:val="tx1">
                      <w14:lumMod w14:val="95000"/>
                      <w14:lumOff w14:val="5000"/>
                    </w14:schemeClr>
                  </w14:solidFill>
                </w14:textFill>
              </w:rPr>
              <w:t>4-7</w:t>
            </w:r>
            <w:r>
              <w:rPr>
                <w:color w:val="0D0D0D" w:themeColor="text1" w:themeTint="F2"/>
                <w:sz w:val="24"/>
                <w14:textFill>
                  <w14:solidFill>
                    <w14:schemeClr w14:val="tx1">
                      <w14:lumMod w14:val="95000"/>
                      <w14:lumOff w14:val="5000"/>
                    </w14:schemeClr>
                  </w14:solidFill>
                </w14:textFill>
              </w:rPr>
              <w:t>。</w:t>
            </w:r>
          </w:p>
          <w:p>
            <w:pPr>
              <w:spacing w:before="120" w:beforeLines="50"/>
              <w:jc w:val="center"/>
              <w:rPr>
                <w:rFonts w:hAnsi="宋体"/>
                <w:b/>
                <w:color w:val="0D0D0D" w:themeColor="text1" w:themeTint="F2"/>
                <w:sz w:val="24"/>
                <w14:textFill>
                  <w14:solidFill>
                    <w14:schemeClr w14:val="tx1">
                      <w14:lumMod w14:val="95000"/>
                      <w14:lumOff w14:val="5000"/>
                    </w14:schemeClr>
                  </w14:solidFill>
                </w14:textFill>
              </w:rPr>
            </w:pPr>
            <w:r>
              <w:rPr>
                <w:rFonts w:hAnsi="宋体"/>
                <w:b/>
                <w:color w:val="0D0D0D" w:themeColor="text1" w:themeTint="F2"/>
                <w:sz w:val="24"/>
                <w14:textFill>
                  <w14:solidFill>
                    <w14:schemeClr w14:val="tx1">
                      <w14:lumMod w14:val="95000"/>
                      <w14:lumOff w14:val="5000"/>
                    </w14:schemeClr>
                  </w14:solidFill>
                </w14:textFill>
              </w:rPr>
              <w:t>表</w:t>
            </w:r>
            <w:r>
              <w:rPr>
                <w:rFonts w:hint="eastAsia" w:hAnsi="宋体"/>
                <w:b/>
                <w:color w:val="0D0D0D" w:themeColor="text1" w:themeTint="F2"/>
                <w:sz w:val="24"/>
                <w14:textFill>
                  <w14:solidFill>
                    <w14:schemeClr w14:val="tx1">
                      <w14:lumMod w14:val="95000"/>
                      <w14:lumOff w14:val="5000"/>
                    </w14:schemeClr>
                  </w14:solidFill>
                </w14:textFill>
              </w:rPr>
              <w:t>4-7</w:t>
            </w:r>
            <w:r>
              <w:rPr>
                <w:rFonts w:hAnsi="宋体"/>
                <w:b/>
                <w:color w:val="0D0D0D" w:themeColor="text1" w:themeTint="F2"/>
                <w:sz w:val="24"/>
                <w14:textFill>
                  <w14:solidFill>
                    <w14:schemeClr w14:val="tx1">
                      <w14:lumMod w14:val="95000"/>
                      <w14:lumOff w14:val="5000"/>
                    </w14:schemeClr>
                  </w14:solidFill>
                </w14:textFill>
              </w:rPr>
              <w:t xml:space="preserve"> </w:t>
            </w:r>
            <w:r>
              <w:rPr>
                <w:rFonts w:hint="eastAsia" w:hAnsi="宋体"/>
                <w:b/>
                <w:color w:val="0D0D0D" w:themeColor="text1" w:themeTint="F2"/>
                <w:sz w:val="24"/>
                <w14:textFill>
                  <w14:solidFill>
                    <w14:schemeClr w14:val="tx1">
                      <w14:lumMod w14:val="95000"/>
                      <w14:lumOff w14:val="5000"/>
                    </w14:schemeClr>
                  </w14:solidFill>
                </w14:textFill>
              </w:rPr>
              <w:t xml:space="preserve"> 噪声源强排放情况</w:t>
            </w:r>
          </w:p>
          <w:tbl>
            <w:tblPr>
              <w:tblStyle w:val="5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24"/>
              <w:gridCol w:w="992"/>
              <w:gridCol w:w="1135"/>
              <w:gridCol w:w="794"/>
              <w:gridCol w:w="730"/>
              <w:gridCol w:w="730"/>
              <w:gridCol w:w="733"/>
              <w:gridCol w:w="7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exact"/>
              </w:trPr>
              <w:tc>
                <w:tcPr>
                  <w:tcW w:w="1501" w:type="pct"/>
                  <w:vMerge w:val="restar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设备名称</w:t>
                  </w:r>
                </w:p>
              </w:tc>
              <w:tc>
                <w:tcPr>
                  <w:tcW w:w="590" w:type="pct"/>
                  <w:vMerge w:val="restar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设备数量</w:t>
                  </w:r>
                </w:p>
              </w:tc>
              <w:tc>
                <w:tcPr>
                  <w:tcW w:w="675" w:type="pct"/>
                  <w:vMerge w:val="restar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所在车间</w:t>
                  </w:r>
                </w:p>
              </w:tc>
              <w:tc>
                <w:tcPr>
                  <w:tcW w:w="1776" w:type="pct"/>
                  <w:gridSpan w:val="4"/>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距各向厂界距离m</w:t>
                  </w:r>
                </w:p>
              </w:tc>
              <w:tc>
                <w:tcPr>
                  <w:tcW w:w="456" w:type="pct"/>
                  <w:vMerge w:val="restar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A声功率</w:t>
                  </w:r>
                  <w:r>
                    <w:rPr>
                      <w:b/>
                      <w:color w:val="0D0D0D" w:themeColor="text1" w:themeTint="F2"/>
                      <w:szCs w:val="21"/>
                      <w14:textFill>
                        <w14:solidFill>
                          <w14:schemeClr w14:val="tx1">
                            <w14:lumMod w14:val="95000"/>
                            <w14:lumOff w14:val="5000"/>
                          </w14:schemeClr>
                        </w14:solidFill>
                      </w14:textFill>
                    </w:rPr>
                    <w:t>级</w:t>
                  </w:r>
                </w:p>
                <w:p>
                  <w:pPr>
                    <w:spacing w:line="300" w:lineRule="exact"/>
                    <w:jc w:val="center"/>
                    <w:rPr>
                      <w:rFonts w:eastAsia="黑体"/>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1" w:type="pct"/>
                  <w:vMerge w:val="continue"/>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p>
              </w:tc>
              <w:tc>
                <w:tcPr>
                  <w:tcW w:w="590" w:type="pct"/>
                  <w:vMerge w:val="continue"/>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p>
              </w:tc>
              <w:tc>
                <w:tcPr>
                  <w:tcW w:w="675" w:type="pct"/>
                  <w:vMerge w:val="continue"/>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p>
              </w:tc>
              <w:tc>
                <w:tcPr>
                  <w:tcW w:w="472" w:type="pc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东</w:t>
                  </w:r>
                </w:p>
              </w:tc>
              <w:tc>
                <w:tcPr>
                  <w:tcW w:w="434" w:type="pc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南</w:t>
                  </w:r>
                </w:p>
              </w:tc>
              <w:tc>
                <w:tcPr>
                  <w:tcW w:w="434" w:type="pc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西</w:t>
                  </w:r>
                </w:p>
              </w:tc>
              <w:tc>
                <w:tcPr>
                  <w:tcW w:w="436" w:type="pc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北</w:t>
                  </w:r>
                </w:p>
              </w:tc>
              <w:tc>
                <w:tcPr>
                  <w:tcW w:w="456" w:type="pct"/>
                  <w:vMerge w:val="continue"/>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1" w:type="pc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无漆喷涂机</w:t>
                  </w:r>
                </w:p>
              </w:tc>
              <w:tc>
                <w:tcPr>
                  <w:tcW w:w="590" w:type="pct"/>
                  <w:vAlign w:val="center"/>
                </w:tcPr>
                <w:p>
                  <w:pPr>
                    <w:widowControl/>
                    <w:jc w:val="center"/>
                    <w:rPr>
                      <w:color w:val="000000"/>
                      <w:kern w:val="0"/>
                      <w:szCs w:val="21"/>
                    </w:rPr>
                  </w:pPr>
                  <w:r>
                    <w:rPr>
                      <w:rFonts w:hint="eastAsia"/>
                      <w:color w:val="000000"/>
                      <w:kern w:val="0"/>
                      <w:szCs w:val="21"/>
                    </w:rPr>
                    <w:t>2</w:t>
                  </w:r>
                  <w:r>
                    <w:rPr>
                      <w:rFonts w:hint="eastAsia" w:ascii="宋体" w:hAnsi="宋体"/>
                      <w:color w:val="000000"/>
                      <w:kern w:val="0"/>
                      <w:szCs w:val="21"/>
                    </w:rPr>
                    <w:t>台</w:t>
                  </w:r>
                </w:p>
              </w:tc>
              <w:tc>
                <w:tcPr>
                  <w:tcW w:w="675" w:type="pct"/>
                  <w:vMerge w:val="restart"/>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2#生产车间</w:t>
                  </w:r>
                </w:p>
              </w:tc>
              <w:tc>
                <w:tcPr>
                  <w:tcW w:w="472" w:type="pct"/>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14</w:t>
                  </w:r>
                </w:p>
              </w:tc>
              <w:tc>
                <w:tcPr>
                  <w:tcW w:w="434" w:type="pct"/>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w:t>
                  </w:r>
                </w:p>
              </w:tc>
              <w:tc>
                <w:tcPr>
                  <w:tcW w:w="434" w:type="pct"/>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14</w:t>
                  </w:r>
                </w:p>
              </w:tc>
              <w:tc>
                <w:tcPr>
                  <w:tcW w:w="436" w:type="pct"/>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20</w:t>
                  </w:r>
                </w:p>
              </w:tc>
              <w:tc>
                <w:tcPr>
                  <w:tcW w:w="456" w:type="pct"/>
                  <w:vAlign w:val="center"/>
                </w:tcPr>
                <w:p>
                  <w:pPr>
                    <w:spacing w:line="300" w:lineRule="exact"/>
                    <w:jc w:val="center"/>
                    <w:rPr>
                      <w:bCs/>
                      <w:color w:val="0D0D0D" w:themeColor="text1" w:themeTint="F2"/>
                      <w:szCs w:val="21"/>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1" w:type="pc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小型喷砂机</w:t>
                  </w:r>
                </w:p>
              </w:tc>
              <w:tc>
                <w:tcPr>
                  <w:tcW w:w="590" w:type="pct"/>
                  <w:vAlign w:val="center"/>
                </w:tcPr>
                <w:p>
                  <w:pPr>
                    <w:widowControl/>
                    <w:jc w:val="center"/>
                    <w:rPr>
                      <w:color w:val="000000"/>
                      <w:kern w:val="0"/>
                      <w:szCs w:val="21"/>
                    </w:rPr>
                  </w:pPr>
                  <w:r>
                    <w:rPr>
                      <w:rFonts w:hint="eastAsia"/>
                      <w:color w:val="000000"/>
                      <w:kern w:val="0"/>
                      <w:szCs w:val="21"/>
                    </w:rPr>
                    <w:t>2</w:t>
                  </w:r>
                  <w:r>
                    <w:rPr>
                      <w:rFonts w:hint="eastAsia" w:ascii="宋体" w:hAnsi="宋体"/>
                      <w:color w:val="000000"/>
                      <w:kern w:val="0"/>
                      <w:szCs w:val="21"/>
                    </w:rPr>
                    <w:t>台</w:t>
                  </w:r>
                </w:p>
              </w:tc>
              <w:tc>
                <w:tcPr>
                  <w:tcW w:w="675" w:type="pct"/>
                  <w:vMerge w:val="continue"/>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p>
              </w:tc>
              <w:tc>
                <w:tcPr>
                  <w:tcW w:w="472" w:type="pct"/>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13</w:t>
                  </w:r>
                </w:p>
              </w:tc>
              <w:tc>
                <w:tcPr>
                  <w:tcW w:w="434" w:type="pct"/>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14</w:t>
                  </w:r>
                </w:p>
              </w:tc>
              <w:tc>
                <w:tcPr>
                  <w:tcW w:w="434" w:type="pct"/>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15</w:t>
                  </w:r>
                </w:p>
              </w:tc>
              <w:tc>
                <w:tcPr>
                  <w:tcW w:w="436" w:type="pct"/>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8</w:t>
                  </w:r>
                </w:p>
              </w:tc>
              <w:tc>
                <w:tcPr>
                  <w:tcW w:w="456" w:type="pct"/>
                  <w:vAlign w:val="center"/>
                </w:tcPr>
                <w:p>
                  <w:pPr>
                    <w:spacing w:line="300" w:lineRule="exact"/>
                    <w:jc w:val="center"/>
                    <w:rPr>
                      <w:bCs/>
                      <w:color w:val="0D0D0D" w:themeColor="text1" w:themeTint="F2"/>
                      <w:szCs w:val="21"/>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1" w:type="pc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无动力平车</w:t>
                  </w:r>
                </w:p>
              </w:tc>
              <w:tc>
                <w:tcPr>
                  <w:tcW w:w="590" w:type="pct"/>
                  <w:vAlign w:val="center"/>
                </w:tcPr>
                <w:p>
                  <w:pPr>
                    <w:widowControl/>
                    <w:jc w:val="center"/>
                    <w:rPr>
                      <w:color w:val="000000"/>
                      <w:kern w:val="0"/>
                      <w:szCs w:val="21"/>
                    </w:rPr>
                  </w:pPr>
                  <w:r>
                    <w:rPr>
                      <w:rFonts w:hint="eastAsia"/>
                      <w:color w:val="000000"/>
                      <w:kern w:val="0"/>
                      <w:szCs w:val="21"/>
                    </w:rPr>
                    <w:t>1台</w:t>
                  </w:r>
                </w:p>
              </w:tc>
              <w:tc>
                <w:tcPr>
                  <w:tcW w:w="675" w:type="pct"/>
                  <w:vMerge w:val="continue"/>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p>
              </w:tc>
              <w:tc>
                <w:tcPr>
                  <w:tcW w:w="472" w:type="pct"/>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16</w:t>
                  </w:r>
                </w:p>
              </w:tc>
              <w:tc>
                <w:tcPr>
                  <w:tcW w:w="434" w:type="pct"/>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5</w:t>
                  </w:r>
                </w:p>
              </w:tc>
              <w:tc>
                <w:tcPr>
                  <w:tcW w:w="434" w:type="pct"/>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12</w:t>
                  </w:r>
                </w:p>
              </w:tc>
              <w:tc>
                <w:tcPr>
                  <w:tcW w:w="436" w:type="pct"/>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17</w:t>
                  </w:r>
                </w:p>
              </w:tc>
              <w:tc>
                <w:tcPr>
                  <w:tcW w:w="456" w:type="pct"/>
                  <w:vAlign w:val="center"/>
                </w:tcPr>
                <w:p>
                  <w:pPr>
                    <w:spacing w:line="300" w:lineRule="exact"/>
                    <w:jc w:val="center"/>
                    <w:rPr>
                      <w:bCs/>
                      <w:color w:val="0D0D0D" w:themeColor="text1" w:themeTint="F2"/>
                      <w:szCs w:val="21"/>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501" w:type="pct"/>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风机</w:t>
                  </w:r>
                </w:p>
              </w:tc>
              <w:tc>
                <w:tcPr>
                  <w:tcW w:w="590" w:type="pct"/>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2台</w:t>
                  </w:r>
                </w:p>
              </w:tc>
              <w:tc>
                <w:tcPr>
                  <w:tcW w:w="675" w:type="pct"/>
                  <w:vMerge w:val="continue"/>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p>
              </w:tc>
              <w:tc>
                <w:tcPr>
                  <w:tcW w:w="472" w:type="pct"/>
                  <w:vAlign w:val="center"/>
                </w:tcPr>
                <w:p>
                  <w:pPr>
                    <w:spacing w:line="300" w:lineRule="exact"/>
                    <w:jc w:val="center"/>
                    <w:rPr>
                      <w:rFonts w:hint="eastAsia"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2</w:t>
                  </w:r>
                </w:p>
              </w:tc>
              <w:tc>
                <w:tcPr>
                  <w:tcW w:w="434"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11</w:t>
                  </w:r>
                </w:p>
              </w:tc>
              <w:tc>
                <w:tcPr>
                  <w:tcW w:w="434"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24</w:t>
                  </w:r>
                </w:p>
              </w:tc>
              <w:tc>
                <w:tcPr>
                  <w:tcW w:w="436"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11</w:t>
                  </w:r>
                </w:p>
              </w:tc>
              <w:tc>
                <w:tcPr>
                  <w:tcW w:w="456" w:type="pct"/>
                  <w:vAlign w:val="center"/>
                </w:tcPr>
                <w:p>
                  <w:pPr>
                    <w:spacing w:line="300" w:lineRule="exact"/>
                    <w:jc w:val="center"/>
                    <w:rPr>
                      <w:rFonts w:hint="default" w:eastAsia="宋体"/>
                      <w:bCs/>
                      <w:color w:val="0D0D0D" w:themeColor="text1" w:themeTint="F2"/>
                      <w:szCs w:val="21"/>
                      <w:lang w:val="en-US" w:eastAsia="zh-CN"/>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85</w:t>
                  </w:r>
                </w:p>
              </w:tc>
            </w:tr>
          </w:tbl>
          <w:p>
            <w:pPr>
              <w:spacing w:before="120" w:beforeLines="50" w:line="360" w:lineRule="auto"/>
              <w:ind w:firstLine="482" w:firstLineChars="200"/>
              <w:rPr>
                <w:b/>
                <w:color w:val="000000"/>
                <w:sz w:val="24"/>
              </w:rPr>
            </w:pPr>
            <w:r>
              <w:rPr>
                <w:rFonts w:hint="eastAsia"/>
                <w:b/>
                <w:color w:val="000000"/>
                <w:sz w:val="24"/>
              </w:rPr>
              <w:t>2、预测模式</w:t>
            </w:r>
          </w:p>
          <w:p>
            <w:pPr>
              <w:spacing w:line="360" w:lineRule="auto"/>
              <w:ind w:firstLine="480" w:firstLineChars="200"/>
              <w:jc w:val="left"/>
              <w:rPr>
                <w:sz w:val="24"/>
              </w:rPr>
            </w:pPr>
            <w:r>
              <w:rPr>
                <w:rFonts w:hint="eastAsia"/>
                <w:sz w:val="24"/>
              </w:rPr>
              <w:t>根据项目设备声源特征和声学环境的特点，视设备声源为点源，声场为半自由声场，依据《环境影响评价技术导则</w:t>
            </w:r>
            <w:r>
              <w:rPr>
                <w:sz w:val="24"/>
              </w:rPr>
              <w:t>—</w:t>
            </w:r>
            <w:r>
              <w:rPr>
                <w:rFonts w:hint="eastAsia"/>
                <w:sz w:val="24"/>
              </w:rPr>
              <w:t>声环境》（</w:t>
            </w:r>
            <w:r>
              <w:rPr>
                <w:sz w:val="24"/>
              </w:rPr>
              <w:t>HJ2.4-2009</w:t>
            </w:r>
            <w:r>
              <w:rPr>
                <w:rFonts w:hint="eastAsia"/>
                <w:sz w:val="24"/>
              </w:rPr>
              <w:t>），选用无指向性声源几何发散衰减预测模式预测车间外噪声。</w:t>
            </w:r>
          </w:p>
          <w:p>
            <w:pPr>
              <w:spacing w:line="360" w:lineRule="auto"/>
              <w:ind w:firstLine="480" w:firstLineChars="200"/>
              <w:jc w:val="left"/>
              <w:rPr>
                <w:sz w:val="24"/>
              </w:rPr>
            </w:pPr>
            <w:r>
              <w:rPr>
                <w:rFonts w:hint="eastAsia"/>
                <w:sz w:val="24"/>
              </w:rPr>
              <w:t>（1）点声源预测模式</w:t>
            </w:r>
            <w:r>
              <w:rPr>
                <w:sz w:val="24"/>
              </w:rPr>
              <w:t>:</w:t>
            </w:r>
          </w:p>
          <w:p>
            <w:pPr>
              <w:spacing w:line="360" w:lineRule="auto"/>
              <w:ind w:firstLine="480" w:firstLineChars="200"/>
              <w:jc w:val="center"/>
              <w:rPr>
                <w:sz w:val="24"/>
              </w:rPr>
            </w:pPr>
            <w:r>
              <w:rPr>
                <w:sz w:val="24"/>
              </w:rPr>
              <w:t>LA</w:t>
            </w:r>
            <w:r>
              <w:rPr>
                <w:rFonts w:hint="eastAsia"/>
                <w:sz w:val="24"/>
              </w:rPr>
              <w:t>（</w:t>
            </w:r>
            <w:r>
              <w:rPr>
                <w:sz w:val="24"/>
              </w:rPr>
              <w:t>r</w:t>
            </w:r>
            <w:r>
              <w:rPr>
                <w:rFonts w:hint="eastAsia"/>
                <w:sz w:val="24"/>
              </w:rPr>
              <w:t>）</w:t>
            </w:r>
            <w:r>
              <w:rPr>
                <w:sz w:val="24"/>
              </w:rPr>
              <w:t>=  LWA - 20lg</w:t>
            </w:r>
            <w:r>
              <w:rPr>
                <w:rFonts w:hint="eastAsia"/>
                <w:sz w:val="24"/>
              </w:rPr>
              <w:t>（</w:t>
            </w:r>
            <w:r>
              <w:rPr>
                <w:sz w:val="24"/>
              </w:rPr>
              <w:t>r</w:t>
            </w:r>
            <w:r>
              <w:rPr>
                <w:rFonts w:hint="eastAsia"/>
                <w:sz w:val="24"/>
              </w:rPr>
              <w:t>）</w:t>
            </w:r>
            <w:r>
              <w:rPr>
                <w:sz w:val="24"/>
              </w:rPr>
              <w:t>-8</w:t>
            </w:r>
          </w:p>
          <w:p>
            <w:pPr>
              <w:spacing w:line="360" w:lineRule="auto"/>
              <w:ind w:firstLine="480" w:firstLineChars="200"/>
              <w:jc w:val="left"/>
              <w:rPr>
                <w:sz w:val="24"/>
              </w:rPr>
            </w:pPr>
            <w:r>
              <w:rPr>
                <w:rFonts w:hint="eastAsia"/>
                <w:sz w:val="24"/>
              </w:rPr>
              <w:t>式中：</w:t>
            </w:r>
            <w:r>
              <w:rPr>
                <w:sz w:val="24"/>
              </w:rPr>
              <w:t>A(r)——</w:t>
            </w:r>
            <w:r>
              <w:rPr>
                <w:rFonts w:hint="eastAsia"/>
                <w:sz w:val="24"/>
              </w:rPr>
              <w:t>距噪声源</w:t>
            </w:r>
            <w:r>
              <w:rPr>
                <w:sz w:val="24"/>
              </w:rPr>
              <w:t>r m</w:t>
            </w:r>
            <w:r>
              <w:rPr>
                <w:rFonts w:hint="eastAsia"/>
                <w:sz w:val="24"/>
              </w:rPr>
              <w:t>处预测点的</w:t>
            </w:r>
            <w:r>
              <w:rPr>
                <w:sz w:val="24"/>
              </w:rPr>
              <w:t>A</w:t>
            </w:r>
            <w:r>
              <w:rPr>
                <w:rFonts w:hint="eastAsia"/>
                <w:sz w:val="24"/>
              </w:rPr>
              <w:t>声级（</w:t>
            </w:r>
            <w:r>
              <w:rPr>
                <w:sz w:val="24"/>
              </w:rPr>
              <w:t>dB(A)</w:t>
            </w:r>
            <w:r>
              <w:rPr>
                <w:rFonts w:hint="eastAsia"/>
                <w:sz w:val="24"/>
              </w:rPr>
              <w:t>）；</w:t>
            </w:r>
          </w:p>
          <w:p>
            <w:pPr>
              <w:spacing w:line="360" w:lineRule="auto"/>
              <w:ind w:firstLine="480" w:firstLineChars="200"/>
              <w:jc w:val="left"/>
              <w:rPr>
                <w:sz w:val="24"/>
              </w:rPr>
            </w:pPr>
            <w:r>
              <w:rPr>
                <w:rFonts w:hint="eastAsia"/>
                <w:sz w:val="24"/>
              </w:rPr>
              <w:t xml:space="preserve">      </w:t>
            </w:r>
            <w:r>
              <w:rPr>
                <w:sz w:val="24"/>
              </w:rPr>
              <w:t>LWA ——</w:t>
            </w:r>
            <w:r>
              <w:rPr>
                <w:rFonts w:hint="eastAsia"/>
                <w:sz w:val="24"/>
              </w:rPr>
              <w:t>点声源的</w:t>
            </w:r>
            <w:r>
              <w:rPr>
                <w:sz w:val="24"/>
              </w:rPr>
              <w:t>A</w:t>
            </w:r>
            <w:r>
              <w:rPr>
                <w:rFonts w:hint="eastAsia"/>
                <w:sz w:val="24"/>
              </w:rPr>
              <w:t>声级（</w:t>
            </w:r>
            <w:r>
              <w:rPr>
                <w:sz w:val="24"/>
              </w:rPr>
              <w:t>dB(A)</w:t>
            </w:r>
            <w:r>
              <w:rPr>
                <w:rFonts w:hint="eastAsia"/>
                <w:sz w:val="24"/>
              </w:rPr>
              <w:t>）；</w:t>
            </w:r>
          </w:p>
          <w:p>
            <w:pPr>
              <w:spacing w:line="360" w:lineRule="auto"/>
              <w:ind w:firstLine="480" w:firstLineChars="200"/>
              <w:jc w:val="left"/>
              <w:rPr>
                <w:sz w:val="24"/>
              </w:rPr>
            </w:pPr>
            <w:r>
              <w:rPr>
                <w:rFonts w:hint="eastAsia"/>
                <w:sz w:val="24"/>
              </w:rPr>
              <w:t xml:space="preserve">      </w:t>
            </w:r>
            <w:r>
              <w:rPr>
                <w:sz w:val="24"/>
              </w:rPr>
              <w:t>r  ——</w:t>
            </w:r>
            <w:r>
              <w:rPr>
                <w:rFonts w:hint="eastAsia"/>
                <w:sz w:val="24"/>
              </w:rPr>
              <w:t>点声源至预测点的距离（</w:t>
            </w:r>
            <w:r>
              <w:rPr>
                <w:sz w:val="24"/>
              </w:rPr>
              <w:t>m</w:t>
            </w:r>
            <w:r>
              <w:rPr>
                <w:rFonts w:hint="eastAsia"/>
                <w:sz w:val="24"/>
              </w:rPr>
              <w:t>）。</w:t>
            </w:r>
          </w:p>
          <w:p>
            <w:pPr>
              <w:spacing w:line="360" w:lineRule="auto"/>
              <w:ind w:firstLine="480" w:firstLineChars="200"/>
              <w:jc w:val="left"/>
              <w:rPr>
                <w:sz w:val="24"/>
              </w:rPr>
            </w:pPr>
            <w:r>
              <w:rPr>
                <w:rFonts w:hint="eastAsia"/>
                <w:sz w:val="24"/>
              </w:rPr>
              <w:t>（2）多声源叠加模式</w:t>
            </w:r>
            <w:r>
              <w:rPr>
                <w:sz w:val="24"/>
              </w:rPr>
              <w:t>:</w:t>
            </w:r>
          </w:p>
          <w:p>
            <w:pPr>
              <w:spacing w:line="360" w:lineRule="auto"/>
              <w:ind w:firstLine="480" w:firstLineChars="200"/>
              <w:jc w:val="center"/>
              <w:rPr>
                <w:sz w:val="24"/>
              </w:rPr>
            </w:pPr>
            <w:r>
              <w:rPr>
                <w:sz w:val="24"/>
              </w:rPr>
              <w:object>
                <v:shape id="_x0000_i1025" o:spt="75" type="#_x0000_t75" style="height:33.65pt;width:96.2pt;" o:ole="t" filled="f" o:preferrelative="t" stroked="f" coordsize="21600,21600">
                  <v:path/>
                  <v:fill on="f" focussize="0,0"/>
                  <v:stroke on="f" joinstyle="miter"/>
                  <v:imagedata r:id="rId16" o:title=""/>
                  <o:lock v:ext="edit" aspectratio="t"/>
                  <w10:wrap type="none"/>
                  <w10:anchorlock/>
                </v:shape>
                <o:OLEObject Type="Embed" ProgID="Equation.3" ShapeID="_x0000_i1025" DrawAspect="Content" ObjectID="_1468075725" r:id="rId15">
                  <o:LockedField>false</o:LockedField>
                </o:OLEObject>
              </w:object>
            </w:r>
          </w:p>
          <w:p>
            <w:pPr>
              <w:spacing w:line="360" w:lineRule="auto"/>
              <w:ind w:firstLine="480" w:firstLineChars="200"/>
              <w:jc w:val="left"/>
              <w:rPr>
                <w:sz w:val="24"/>
              </w:rPr>
            </w:pPr>
            <w:r>
              <w:rPr>
                <w:rFonts w:hint="eastAsia"/>
                <w:sz w:val="24"/>
              </w:rPr>
              <w:t>式中：</w:t>
            </w:r>
            <w:r>
              <w:rPr>
                <w:sz w:val="24"/>
              </w:rPr>
              <w:t>L0——</w:t>
            </w:r>
            <w:r>
              <w:rPr>
                <w:rFonts w:hint="eastAsia"/>
                <w:sz w:val="24"/>
              </w:rPr>
              <w:t>叠加后总声压级，</w:t>
            </w:r>
            <w:r>
              <w:rPr>
                <w:sz w:val="24"/>
              </w:rPr>
              <w:t>dB(A)</w:t>
            </w:r>
            <w:r>
              <w:rPr>
                <w:rFonts w:hint="eastAsia"/>
                <w:sz w:val="24"/>
              </w:rPr>
              <w:t>；</w:t>
            </w:r>
          </w:p>
          <w:p>
            <w:pPr>
              <w:spacing w:line="360" w:lineRule="auto"/>
              <w:ind w:firstLine="480" w:firstLineChars="200"/>
              <w:jc w:val="left"/>
              <w:rPr>
                <w:sz w:val="24"/>
              </w:rPr>
            </w:pPr>
            <w:r>
              <w:rPr>
                <w:sz w:val="24"/>
              </w:rPr>
              <w:t xml:space="preserve">     </w:t>
            </w:r>
            <w:r>
              <w:rPr>
                <w:rFonts w:hint="eastAsia"/>
                <w:sz w:val="24"/>
              </w:rPr>
              <w:t xml:space="preserve"> </w:t>
            </w:r>
            <w:r>
              <w:rPr>
                <w:sz w:val="24"/>
              </w:rPr>
              <w:t xml:space="preserve">n—— </w:t>
            </w:r>
            <w:r>
              <w:rPr>
                <w:rFonts w:hint="eastAsia"/>
                <w:sz w:val="24"/>
              </w:rPr>
              <w:t>声源级数；</w:t>
            </w:r>
          </w:p>
          <w:p>
            <w:pPr>
              <w:spacing w:line="360" w:lineRule="auto"/>
              <w:ind w:firstLine="480" w:firstLineChars="200"/>
              <w:jc w:val="left"/>
              <w:rPr>
                <w:sz w:val="24"/>
              </w:rPr>
            </w:pPr>
            <w:r>
              <w:rPr>
                <w:sz w:val="24"/>
              </w:rPr>
              <w:t xml:space="preserve">      Li ——</w:t>
            </w:r>
            <w:r>
              <w:rPr>
                <w:rFonts w:hint="eastAsia"/>
                <w:sz w:val="24"/>
              </w:rPr>
              <w:t>各声源对某点的声压值，</w:t>
            </w:r>
            <w:r>
              <w:rPr>
                <w:sz w:val="24"/>
              </w:rPr>
              <w:t>dB(A)</w:t>
            </w:r>
            <w:r>
              <w:rPr>
                <w:rFonts w:hint="eastAsia"/>
                <w:sz w:val="24"/>
              </w:rPr>
              <w:t>。</w:t>
            </w:r>
          </w:p>
          <w:p>
            <w:pPr>
              <w:keepNext/>
              <w:keepLines/>
              <w:spacing w:line="360" w:lineRule="auto"/>
              <w:ind w:firstLine="472" w:firstLineChars="196"/>
              <w:outlineLvl w:val="2"/>
              <w:rPr>
                <w:b/>
                <w:bCs/>
                <w:color w:val="000000"/>
                <w:sz w:val="24"/>
                <w:szCs w:val="32"/>
              </w:rPr>
            </w:pPr>
            <w:r>
              <w:rPr>
                <w:rFonts w:hint="eastAsia"/>
                <w:b/>
                <w:bCs/>
                <w:color w:val="000000"/>
                <w:sz w:val="24"/>
                <w:szCs w:val="32"/>
              </w:rPr>
              <w:t>3、</w:t>
            </w:r>
            <w:r>
              <w:rPr>
                <w:b/>
                <w:bCs/>
                <w:color w:val="000000"/>
                <w:sz w:val="24"/>
                <w:szCs w:val="32"/>
              </w:rPr>
              <w:t>预测结果评价</w:t>
            </w:r>
          </w:p>
          <w:p>
            <w:pPr>
              <w:widowControl/>
              <w:spacing w:line="360" w:lineRule="auto"/>
              <w:ind w:firstLine="480" w:firstLineChars="200"/>
              <w:jc w:val="left"/>
              <w:rPr>
                <w:color w:val="000000"/>
                <w:kern w:val="0"/>
                <w:sz w:val="24"/>
              </w:rPr>
            </w:pPr>
            <w:r>
              <w:rPr>
                <w:color w:val="000000"/>
                <w:kern w:val="0"/>
                <w:sz w:val="24"/>
              </w:rPr>
              <w:t>拟建项目运行时昼间的预测噪声排放值结果见表</w:t>
            </w:r>
            <w:r>
              <w:rPr>
                <w:rFonts w:hint="eastAsia"/>
                <w:color w:val="000000"/>
                <w:kern w:val="0"/>
                <w:sz w:val="24"/>
              </w:rPr>
              <w:t>4-8所示</w:t>
            </w:r>
            <w:r>
              <w:rPr>
                <w:color w:val="000000"/>
                <w:kern w:val="0"/>
                <w:sz w:val="24"/>
              </w:rPr>
              <w:t>。</w:t>
            </w:r>
          </w:p>
          <w:p>
            <w:pPr>
              <w:spacing w:before="120" w:beforeLines="50"/>
              <w:jc w:val="center"/>
              <w:rPr>
                <w:rFonts w:hAnsi="宋体"/>
                <w:b/>
                <w:sz w:val="24"/>
              </w:rPr>
            </w:pPr>
            <w:r>
              <w:rPr>
                <w:rFonts w:hAnsi="宋体"/>
                <w:b/>
                <w:sz w:val="24"/>
              </w:rPr>
              <w:t>表</w:t>
            </w:r>
            <w:r>
              <w:rPr>
                <w:rFonts w:hint="eastAsia" w:hAnsi="宋体"/>
                <w:b/>
                <w:sz w:val="24"/>
              </w:rPr>
              <w:t>4-8</w:t>
            </w:r>
            <w:r>
              <w:rPr>
                <w:rFonts w:hAnsi="宋体"/>
                <w:b/>
                <w:sz w:val="24"/>
              </w:rPr>
              <w:t xml:space="preserve"> </w:t>
            </w:r>
            <w:r>
              <w:rPr>
                <w:rFonts w:hint="eastAsia" w:hAnsi="宋体"/>
                <w:b/>
                <w:sz w:val="24"/>
              </w:rPr>
              <w:t xml:space="preserve"> 拟建项目设备产生的噪声对</w:t>
            </w:r>
            <w:r>
              <w:rPr>
                <w:rFonts w:hAnsi="宋体"/>
                <w:b/>
                <w:sz w:val="24"/>
              </w:rPr>
              <w:t>各预测点的影响值</w:t>
            </w:r>
            <w:r>
              <w:rPr>
                <w:rFonts w:hint="eastAsia" w:hAnsi="宋体"/>
                <w:b/>
                <w:sz w:val="24"/>
              </w:rPr>
              <w:t>一览</w:t>
            </w:r>
            <w:r>
              <w:rPr>
                <w:rFonts w:hAnsi="宋体"/>
                <w:b/>
                <w:sz w:val="24"/>
              </w:rPr>
              <w:t>表</w:t>
            </w:r>
          </w:p>
          <w:tbl>
            <w:tblPr>
              <w:tblStyle w:val="58"/>
              <w:tblW w:w="8412"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427"/>
              <w:gridCol w:w="1475"/>
              <w:gridCol w:w="1187"/>
              <w:gridCol w:w="991"/>
              <w:gridCol w:w="1276"/>
              <w:gridCol w:w="695"/>
              <w:gridCol w:w="584"/>
              <w:gridCol w:w="584"/>
              <w:gridCol w:w="606"/>
              <w:gridCol w:w="587"/>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253" w:type="pct"/>
                  <w:vMerge w:val="restart"/>
                  <w:vAlign w:val="center"/>
                </w:tcPr>
                <w:p>
                  <w:pPr>
                    <w:autoSpaceDN w:val="0"/>
                    <w:jc w:val="center"/>
                    <w:textAlignment w:val="center"/>
                    <w:rPr>
                      <w:b/>
                      <w:szCs w:val="21"/>
                    </w:rPr>
                  </w:pPr>
                  <w:r>
                    <w:rPr>
                      <w:b/>
                      <w:szCs w:val="21"/>
                    </w:rPr>
                    <w:t>序号</w:t>
                  </w:r>
                </w:p>
              </w:tc>
              <w:tc>
                <w:tcPr>
                  <w:tcW w:w="1583" w:type="pct"/>
                  <w:gridSpan w:val="2"/>
                  <w:vMerge w:val="restart"/>
                  <w:vAlign w:val="center"/>
                </w:tcPr>
                <w:p>
                  <w:pPr>
                    <w:autoSpaceDN w:val="0"/>
                    <w:jc w:val="center"/>
                    <w:textAlignment w:val="center"/>
                    <w:rPr>
                      <w:b/>
                      <w:szCs w:val="21"/>
                    </w:rPr>
                  </w:pPr>
                  <w:r>
                    <w:rPr>
                      <w:b/>
                      <w:szCs w:val="21"/>
                    </w:rPr>
                    <w:t>设备名称</w:t>
                  </w:r>
                </w:p>
              </w:tc>
              <w:tc>
                <w:tcPr>
                  <w:tcW w:w="589" w:type="pct"/>
                  <w:vMerge w:val="restart"/>
                  <w:vAlign w:val="center"/>
                </w:tcPr>
                <w:p>
                  <w:pPr>
                    <w:autoSpaceDN w:val="0"/>
                    <w:ind w:left="-105" w:leftChars="-50" w:right="-105" w:rightChars="-50"/>
                    <w:jc w:val="center"/>
                    <w:textAlignment w:val="center"/>
                    <w:rPr>
                      <w:b/>
                      <w:szCs w:val="21"/>
                    </w:rPr>
                  </w:pPr>
                  <w:r>
                    <w:rPr>
                      <w:b/>
                      <w:szCs w:val="21"/>
                    </w:rPr>
                    <w:t>单台源强dB（A）</w:t>
                  </w:r>
                </w:p>
              </w:tc>
              <w:tc>
                <w:tcPr>
                  <w:tcW w:w="758" w:type="pct"/>
                  <w:vMerge w:val="restart"/>
                  <w:vAlign w:val="center"/>
                </w:tcPr>
                <w:p>
                  <w:pPr>
                    <w:autoSpaceDN w:val="0"/>
                    <w:jc w:val="center"/>
                    <w:textAlignment w:val="center"/>
                    <w:rPr>
                      <w:b/>
                      <w:szCs w:val="21"/>
                    </w:rPr>
                  </w:pPr>
                  <w:r>
                    <w:rPr>
                      <w:b/>
                      <w:szCs w:val="21"/>
                    </w:rPr>
                    <w:t>经隔声减震后声级值dB（A）</w:t>
                  </w:r>
                </w:p>
              </w:tc>
              <w:tc>
                <w:tcPr>
                  <w:tcW w:w="411" w:type="pct"/>
                  <w:vMerge w:val="restart"/>
                  <w:vAlign w:val="center"/>
                </w:tcPr>
                <w:p>
                  <w:pPr>
                    <w:autoSpaceDN w:val="0"/>
                    <w:jc w:val="center"/>
                    <w:textAlignment w:val="center"/>
                    <w:rPr>
                      <w:b/>
                      <w:szCs w:val="21"/>
                    </w:rPr>
                  </w:pPr>
                  <w:r>
                    <w:rPr>
                      <w:b/>
                      <w:szCs w:val="21"/>
                    </w:rPr>
                    <w:t>设备</w:t>
                  </w:r>
                </w:p>
                <w:p>
                  <w:pPr>
                    <w:autoSpaceDN w:val="0"/>
                    <w:jc w:val="center"/>
                    <w:textAlignment w:val="center"/>
                    <w:rPr>
                      <w:b/>
                      <w:szCs w:val="21"/>
                    </w:rPr>
                  </w:pPr>
                  <w:r>
                    <w:rPr>
                      <w:b/>
                      <w:szCs w:val="21"/>
                    </w:rPr>
                    <w:t>数量</w:t>
                  </w:r>
                </w:p>
              </w:tc>
              <w:tc>
                <w:tcPr>
                  <w:tcW w:w="1403" w:type="pct"/>
                  <w:gridSpan w:val="4"/>
                  <w:vAlign w:val="center"/>
                </w:tcPr>
                <w:p>
                  <w:pPr>
                    <w:autoSpaceDN w:val="0"/>
                    <w:jc w:val="center"/>
                    <w:textAlignment w:val="center"/>
                    <w:rPr>
                      <w:b/>
                      <w:szCs w:val="21"/>
                    </w:rPr>
                  </w:pPr>
                  <w:r>
                    <w:rPr>
                      <w:b/>
                      <w:szCs w:val="21"/>
                    </w:rPr>
                    <w:t>噪声贡献值dB（A）</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253" w:type="pct"/>
                  <w:vMerge w:val="continue"/>
                  <w:vAlign w:val="center"/>
                </w:tcPr>
                <w:p>
                  <w:pPr>
                    <w:autoSpaceDN w:val="0"/>
                    <w:jc w:val="center"/>
                    <w:textAlignment w:val="center"/>
                    <w:rPr>
                      <w:b/>
                      <w:szCs w:val="21"/>
                    </w:rPr>
                  </w:pPr>
                </w:p>
              </w:tc>
              <w:tc>
                <w:tcPr>
                  <w:tcW w:w="1583" w:type="pct"/>
                  <w:gridSpan w:val="2"/>
                  <w:vMerge w:val="continue"/>
                  <w:vAlign w:val="center"/>
                </w:tcPr>
                <w:p>
                  <w:pPr>
                    <w:autoSpaceDN w:val="0"/>
                    <w:jc w:val="center"/>
                    <w:textAlignment w:val="center"/>
                    <w:rPr>
                      <w:b/>
                      <w:szCs w:val="21"/>
                    </w:rPr>
                  </w:pPr>
                </w:p>
              </w:tc>
              <w:tc>
                <w:tcPr>
                  <w:tcW w:w="589" w:type="pct"/>
                  <w:vMerge w:val="continue"/>
                  <w:vAlign w:val="center"/>
                </w:tcPr>
                <w:p>
                  <w:pPr>
                    <w:autoSpaceDN w:val="0"/>
                    <w:jc w:val="center"/>
                    <w:textAlignment w:val="center"/>
                    <w:rPr>
                      <w:b/>
                      <w:szCs w:val="21"/>
                    </w:rPr>
                  </w:pPr>
                </w:p>
              </w:tc>
              <w:tc>
                <w:tcPr>
                  <w:tcW w:w="758" w:type="pct"/>
                  <w:vMerge w:val="continue"/>
                  <w:vAlign w:val="center"/>
                </w:tcPr>
                <w:p>
                  <w:pPr>
                    <w:autoSpaceDN w:val="0"/>
                    <w:jc w:val="center"/>
                    <w:textAlignment w:val="center"/>
                    <w:rPr>
                      <w:b/>
                      <w:szCs w:val="21"/>
                    </w:rPr>
                  </w:pPr>
                </w:p>
              </w:tc>
              <w:tc>
                <w:tcPr>
                  <w:tcW w:w="411" w:type="pct"/>
                  <w:vMerge w:val="continue"/>
                  <w:vAlign w:val="center"/>
                </w:tcPr>
                <w:p>
                  <w:pPr>
                    <w:autoSpaceDN w:val="0"/>
                    <w:jc w:val="center"/>
                    <w:textAlignment w:val="center"/>
                    <w:rPr>
                      <w:b/>
                      <w:szCs w:val="21"/>
                    </w:rPr>
                  </w:pPr>
                </w:p>
              </w:tc>
              <w:tc>
                <w:tcPr>
                  <w:tcW w:w="347" w:type="pct"/>
                  <w:vAlign w:val="center"/>
                </w:tcPr>
                <w:p>
                  <w:pPr>
                    <w:autoSpaceDN w:val="0"/>
                    <w:jc w:val="center"/>
                    <w:textAlignment w:val="center"/>
                    <w:rPr>
                      <w:b/>
                      <w:szCs w:val="21"/>
                    </w:rPr>
                  </w:pPr>
                  <w:r>
                    <w:rPr>
                      <w:b/>
                      <w:szCs w:val="21"/>
                    </w:rPr>
                    <w:t>东</w:t>
                  </w:r>
                </w:p>
                <w:p>
                  <w:pPr>
                    <w:autoSpaceDN w:val="0"/>
                    <w:jc w:val="center"/>
                    <w:textAlignment w:val="center"/>
                    <w:rPr>
                      <w:b/>
                      <w:szCs w:val="21"/>
                    </w:rPr>
                  </w:pPr>
                  <w:r>
                    <w:rPr>
                      <w:b/>
                      <w:szCs w:val="21"/>
                    </w:rPr>
                    <w:t>厂界</w:t>
                  </w:r>
                </w:p>
              </w:tc>
              <w:tc>
                <w:tcPr>
                  <w:tcW w:w="347" w:type="pct"/>
                  <w:vAlign w:val="center"/>
                </w:tcPr>
                <w:p>
                  <w:pPr>
                    <w:autoSpaceDN w:val="0"/>
                    <w:jc w:val="center"/>
                    <w:textAlignment w:val="center"/>
                    <w:rPr>
                      <w:b/>
                      <w:szCs w:val="21"/>
                    </w:rPr>
                  </w:pPr>
                  <w:r>
                    <w:rPr>
                      <w:b/>
                      <w:szCs w:val="21"/>
                    </w:rPr>
                    <w:t>南</w:t>
                  </w:r>
                </w:p>
                <w:p>
                  <w:pPr>
                    <w:autoSpaceDN w:val="0"/>
                    <w:jc w:val="center"/>
                    <w:textAlignment w:val="center"/>
                    <w:rPr>
                      <w:b/>
                      <w:szCs w:val="21"/>
                    </w:rPr>
                  </w:pPr>
                  <w:r>
                    <w:rPr>
                      <w:b/>
                      <w:szCs w:val="21"/>
                    </w:rPr>
                    <w:t>厂界</w:t>
                  </w:r>
                </w:p>
              </w:tc>
              <w:tc>
                <w:tcPr>
                  <w:tcW w:w="360" w:type="pct"/>
                  <w:vAlign w:val="center"/>
                </w:tcPr>
                <w:p>
                  <w:pPr>
                    <w:autoSpaceDN w:val="0"/>
                    <w:jc w:val="center"/>
                    <w:textAlignment w:val="center"/>
                    <w:rPr>
                      <w:b/>
                      <w:szCs w:val="21"/>
                    </w:rPr>
                  </w:pPr>
                  <w:r>
                    <w:rPr>
                      <w:b/>
                      <w:szCs w:val="21"/>
                    </w:rPr>
                    <w:t>西</w:t>
                  </w:r>
                </w:p>
                <w:p>
                  <w:pPr>
                    <w:autoSpaceDN w:val="0"/>
                    <w:jc w:val="center"/>
                    <w:textAlignment w:val="center"/>
                    <w:rPr>
                      <w:b/>
                      <w:szCs w:val="21"/>
                    </w:rPr>
                  </w:pPr>
                  <w:r>
                    <w:rPr>
                      <w:b/>
                      <w:szCs w:val="21"/>
                    </w:rPr>
                    <w:t>厂界</w:t>
                  </w:r>
                </w:p>
              </w:tc>
              <w:tc>
                <w:tcPr>
                  <w:tcW w:w="348" w:type="pct"/>
                  <w:vAlign w:val="center"/>
                </w:tcPr>
                <w:p>
                  <w:pPr>
                    <w:autoSpaceDN w:val="0"/>
                    <w:jc w:val="center"/>
                    <w:textAlignment w:val="center"/>
                    <w:rPr>
                      <w:b/>
                      <w:szCs w:val="21"/>
                    </w:rPr>
                  </w:pPr>
                  <w:r>
                    <w:rPr>
                      <w:b/>
                      <w:szCs w:val="21"/>
                    </w:rPr>
                    <w:t>北</w:t>
                  </w:r>
                </w:p>
                <w:p>
                  <w:pPr>
                    <w:autoSpaceDN w:val="0"/>
                    <w:jc w:val="center"/>
                    <w:textAlignment w:val="center"/>
                    <w:rPr>
                      <w:b/>
                      <w:szCs w:val="21"/>
                    </w:rPr>
                  </w:pPr>
                  <w:r>
                    <w:rPr>
                      <w:b/>
                      <w:szCs w:val="21"/>
                    </w:rPr>
                    <w:t>厂界</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3" w:type="pct"/>
                  <w:vAlign w:val="center"/>
                </w:tcPr>
                <w:p>
                  <w:pPr>
                    <w:jc w:val="center"/>
                    <w:rPr>
                      <w:szCs w:val="21"/>
                    </w:rPr>
                  </w:pPr>
                  <w:r>
                    <w:rPr>
                      <w:szCs w:val="21"/>
                    </w:rPr>
                    <w:t>1</w:t>
                  </w:r>
                </w:p>
              </w:tc>
              <w:tc>
                <w:tcPr>
                  <w:tcW w:w="1583" w:type="pct"/>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无漆喷涂机</w:t>
                  </w:r>
                </w:p>
              </w:tc>
              <w:tc>
                <w:tcPr>
                  <w:tcW w:w="589" w:type="pct"/>
                  <w:vAlign w:val="center"/>
                </w:tcPr>
                <w:p>
                  <w:pPr>
                    <w:spacing w:line="300" w:lineRule="exact"/>
                    <w:jc w:val="center"/>
                    <w:rPr>
                      <w:bCs/>
                      <w:color w:val="0D0D0D" w:themeColor="text1" w:themeTint="F2"/>
                      <w:szCs w:val="21"/>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80</w:t>
                  </w:r>
                </w:p>
              </w:tc>
              <w:tc>
                <w:tcPr>
                  <w:tcW w:w="758" w:type="pct"/>
                  <w:vAlign w:val="center"/>
                </w:tcPr>
                <w:p>
                  <w:pPr>
                    <w:jc w:val="center"/>
                    <w:rPr>
                      <w:color w:val="000000"/>
                      <w:szCs w:val="21"/>
                    </w:rPr>
                  </w:pPr>
                  <w:r>
                    <w:rPr>
                      <w:rFonts w:hint="eastAsia"/>
                      <w:color w:val="000000"/>
                      <w:szCs w:val="21"/>
                    </w:rPr>
                    <w:t>60</w:t>
                  </w:r>
                </w:p>
              </w:tc>
              <w:tc>
                <w:tcPr>
                  <w:tcW w:w="411" w:type="pct"/>
                  <w:vAlign w:val="center"/>
                </w:tcPr>
                <w:p>
                  <w:pPr>
                    <w:widowControl/>
                    <w:jc w:val="center"/>
                    <w:rPr>
                      <w:color w:val="000000"/>
                      <w:kern w:val="0"/>
                      <w:szCs w:val="21"/>
                    </w:rPr>
                  </w:pPr>
                  <w:r>
                    <w:rPr>
                      <w:rFonts w:hint="eastAsia" w:ascii="宋体" w:hAnsi="宋体"/>
                      <w:color w:val="000000"/>
                      <w:kern w:val="0"/>
                      <w:szCs w:val="21"/>
                    </w:rPr>
                    <w:t>2台</w:t>
                  </w:r>
                </w:p>
              </w:tc>
              <w:tc>
                <w:tcPr>
                  <w:tcW w:w="347" w:type="pct"/>
                  <w:vAlign w:val="center"/>
                </w:tcPr>
                <w:p>
                  <w:pPr>
                    <w:jc w:val="center"/>
                    <w:rPr>
                      <w:szCs w:val="21"/>
                    </w:rPr>
                  </w:pPr>
                  <w:r>
                    <w:rPr>
                      <w:rFonts w:hint="eastAsia"/>
                      <w:szCs w:val="21"/>
                    </w:rPr>
                    <w:t>40.1</w:t>
                  </w:r>
                </w:p>
              </w:tc>
              <w:tc>
                <w:tcPr>
                  <w:tcW w:w="347" w:type="pct"/>
                  <w:vAlign w:val="center"/>
                </w:tcPr>
                <w:p>
                  <w:pPr>
                    <w:autoSpaceDN w:val="0"/>
                    <w:jc w:val="center"/>
                    <w:textAlignment w:val="center"/>
                    <w:rPr>
                      <w:szCs w:val="21"/>
                    </w:rPr>
                  </w:pPr>
                  <w:r>
                    <w:rPr>
                      <w:rFonts w:hint="eastAsia"/>
                      <w:szCs w:val="21"/>
                    </w:rPr>
                    <w:t>57.0</w:t>
                  </w:r>
                </w:p>
              </w:tc>
              <w:tc>
                <w:tcPr>
                  <w:tcW w:w="360" w:type="pct"/>
                  <w:vAlign w:val="center"/>
                </w:tcPr>
                <w:p>
                  <w:pPr>
                    <w:autoSpaceDN w:val="0"/>
                    <w:jc w:val="center"/>
                    <w:textAlignment w:val="center"/>
                    <w:rPr>
                      <w:szCs w:val="21"/>
                    </w:rPr>
                  </w:pPr>
                  <w:r>
                    <w:rPr>
                      <w:rFonts w:hint="eastAsia"/>
                      <w:szCs w:val="21"/>
                    </w:rPr>
                    <w:t>40.1</w:t>
                  </w:r>
                </w:p>
              </w:tc>
              <w:tc>
                <w:tcPr>
                  <w:tcW w:w="348" w:type="pct"/>
                  <w:vAlign w:val="center"/>
                </w:tcPr>
                <w:p>
                  <w:pPr>
                    <w:autoSpaceDN w:val="0"/>
                    <w:jc w:val="center"/>
                    <w:textAlignment w:val="center"/>
                    <w:rPr>
                      <w:szCs w:val="21"/>
                    </w:rPr>
                  </w:pPr>
                  <w:r>
                    <w:rPr>
                      <w:rFonts w:hint="eastAsia"/>
                      <w:szCs w:val="21"/>
                    </w:rPr>
                    <w:t>37.0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3" w:type="pct"/>
                  <w:vAlign w:val="center"/>
                </w:tcPr>
                <w:p>
                  <w:pPr>
                    <w:jc w:val="center"/>
                    <w:rPr>
                      <w:szCs w:val="21"/>
                    </w:rPr>
                  </w:pPr>
                  <w:r>
                    <w:rPr>
                      <w:rFonts w:hint="eastAsia"/>
                      <w:szCs w:val="21"/>
                    </w:rPr>
                    <w:t>2</w:t>
                  </w:r>
                </w:p>
              </w:tc>
              <w:tc>
                <w:tcPr>
                  <w:tcW w:w="1583" w:type="pct"/>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小型喷砂机</w:t>
                  </w:r>
                </w:p>
              </w:tc>
              <w:tc>
                <w:tcPr>
                  <w:tcW w:w="589" w:type="pct"/>
                  <w:vAlign w:val="center"/>
                </w:tcPr>
                <w:p>
                  <w:pPr>
                    <w:spacing w:line="300" w:lineRule="exact"/>
                    <w:jc w:val="center"/>
                    <w:rPr>
                      <w:bCs/>
                      <w:color w:val="0D0D0D" w:themeColor="text1" w:themeTint="F2"/>
                      <w:szCs w:val="21"/>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85</w:t>
                  </w:r>
                </w:p>
              </w:tc>
              <w:tc>
                <w:tcPr>
                  <w:tcW w:w="758" w:type="pct"/>
                  <w:vAlign w:val="center"/>
                </w:tcPr>
                <w:p>
                  <w:pPr>
                    <w:jc w:val="center"/>
                    <w:rPr>
                      <w:color w:val="000000"/>
                      <w:szCs w:val="21"/>
                    </w:rPr>
                  </w:pPr>
                  <w:r>
                    <w:rPr>
                      <w:rFonts w:hint="eastAsia"/>
                      <w:color w:val="000000"/>
                      <w:szCs w:val="21"/>
                    </w:rPr>
                    <w:t>65</w:t>
                  </w:r>
                </w:p>
              </w:tc>
              <w:tc>
                <w:tcPr>
                  <w:tcW w:w="411" w:type="pct"/>
                  <w:vAlign w:val="center"/>
                </w:tcPr>
                <w:p>
                  <w:pPr>
                    <w:widowControl/>
                    <w:jc w:val="center"/>
                    <w:rPr>
                      <w:color w:val="000000"/>
                      <w:kern w:val="0"/>
                      <w:szCs w:val="21"/>
                    </w:rPr>
                  </w:pPr>
                  <w:r>
                    <w:rPr>
                      <w:rFonts w:hint="eastAsia"/>
                      <w:color w:val="000000"/>
                      <w:kern w:val="0"/>
                      <w:szCs w:val="21"/>
                    </w:rPr>
                    <w:t>2</w:t>
                  </w:r>
                  <w:r>
                    <w:rPr>
                      <w:rFonts w:hint="eastAsia" w:ascii="宋体" w:hAnsi="宋体"/>
                      <w:color w:val="000000"/>
                      <w:kern w:val="0"/>
                      <w:szCs w:val="21"/>
                    </w:rPr>
                    <w:t>台</w:t>
                  </w:r>
                </w:p>
              </w:tc>
              <w:tc>
                <w:tcPr>
                  <w:tcW w:w="347" w:type="pct"/>
                  <w:vAlign w:val="center"/>
                </w:tcPr>
                <w:p>
                  <w:pPr>
                    <w:jc w:val="center"/>
                    <w:rPr>
                      <w:szCs w:val="21"/>
                    </w:rPr>
                  </w:pPr>
                  <w:r>
                    <w:rPr>
                      <w:rFonts w:hint="eastAsia"/>
                      <w:szCs w:val="21"/>
                    </w:rPr>
                    <w:t>45.7</w:t>
                  </w:r>
                </w:p>
              </w:tc>
              <w:tc>
                <w:tcPr>
                  <w:tcW w:w="347" w:type="pct"/>
                  <w:vAlign w:val="center"/>
                </w:tcPr>
                <w:p>
                  <w:pPr>
                    <w:autoSpaceDN w:val="0"/>
                    <w:jc w:val="center"/>
                    <w:textAlignment w:val="center"/>
                    <w:rPr>
                      <w:szCs w:val="21"/>
                    </w:rPr>
                  </w:pPr>
                  <w:r>
                    <w:rPr>
                      <w:rFonts w:hint="eastAsia"/>
                      <w:szCs w:val="21"/>
                    </w:rPr>
                    <w:t>45.1</w:t>
                  </w:r>
                </w:p>
              </w:tc>
              <w:tc>
                <w:tcPr>
                  <w:tcW w:w="360" w:type="pct"/>
                  <w:vAlign w:val="center"/>
                </w:tcPr>
                <w:p>
                  <w:pPr>
                    <w:autoSpaceDN w:val="0"/>
                    <w:jc w:val="center"/>
                    <w:textAlignment w:val="center"/>
                    <w:rPr>
                      <w:szCs w:val="21"/>
                    </w:rPr>
                  </w:pPr>
                  <w:r>
                    <w:rPr>
                      <w:rFonts w:hint="eastAsia"/>
                      <w:szCs w:val="21"/>
                    </w:rPr>
                    <w:t>44.5</w:t>
                  </w:r>
                </w:p>
              </w:tc>
              <w:tc>
                <w:tcPr>
                  <w:tcW w:w="348" w:type="pct"/>
                  <w:vAlign w:val="center"/>
                </w:tcPr>
                <w:p>
                  <w:pPr>
                    <w:autoSpaceDN w:val="0"/>
                    <w:jc w:val="center"/>
                    <w:textAlignment w:val="center"/>
                    <w:rPr>
                      <w:szCs w:val="21"/>
                    </w:rPr>
                  </w:pPr>
                  <w:r>
                    <w:rPr>
                      <w:rFonts w:hint="eastAsia"/>
                      <w:szCs w:val="21"/>
                    </w:rPr>
                    <w:t>49.9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3" w:type="pct"/>
                  <w:vAlign w:val="center"/>
                </w:tcPr>
                <w:p>
                  <w:pPr>
                    <w:jc w:val="center"/>
                    <w:rPr>
                      <w:szCs w:val="21"/>
                    </w:rPr>
                  </w:pPr>
                  <w:r>
                    <w:rPr>
                      <w:rFonts w:hint="eastAsia"/>
                      <w:szCs w:val="21"/>
                    </w:rPr>
                    <w:t>3</w:t>
                  </w:r>
                </w:p>
              </w:tc>
              <w:tc>
                <w:tcPr>
                  <w:tcW w:w="1583" w:type="pct"/>
                  <w:gridSpan w:val="2"/>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无动力平车</w:t>
                  </w:r>
                </w:p>
              </w:tc>
              <w:tc>
                <w:tcPr>
                  <w:tcW w:w="589" w:type="pct"/>
                  <w:vAlign w:val="center"/>
                </w:tcPr>
                <w:p>
                  <w:pPr>
                    <w:spacing w:line="300" w:lineRule="exact"/>
                    <w:jc w:val="center"/>
                    <w:rPr>
                      <w:bCs/>
                      <w:color w:val="0D0D0D" w:themeColor="text1" w:themeTint="F2"/>
                      <w:szCs w:val="21"/>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85</w:t>
                  </w:r>
                </w:p>
              </w:tc>
              <w:tc>
                <w:tcPr>
                  <w:tcW w:w="758" w:type="pct"/>
                  <w:vAlign w:val="center"/>
                </w:tcPr>
                <w:p>
                  <w:pPr>
                    <w:jc w:val="center"/>
                    <w:rPr>
                      <w:color w:val="000000"/>
                      <w:szCs w:val="21"/>
                    </w:rPr>
                  </w:pPr>
                  <w:r>
                    <w:rPr>
                      <w:rFonts w:hint="eastAsia"/>
                      <w:color w:val="000000"/>
                      <w:szCs w:val="21"/>
                    </w:rPr>
                    <w:t>65</w:t>
                  </w:r>
                </w:p>
              </w:tc>
              <w:tc>
                <w:tcPr>
                  <w:tcW w:w="411" w:type="pct"/>
                  <w:vAlign w:val="center"/>
                </w:tcPr>
                <w:p>
                  <w:pPr>
                    <w:widowControl/>
                    <w:jc w:val="center"/>
                    <w:rPr>
                      <w:color w:val="000000"/>
                      <w:kern w:val="0"/>
                      <w:szCs w:val="21"/>
                    </w:rPr>
                  </w:pPr>
                  <w:r>
                    <w:rPr>
                      <w:color w:val="000000"/>
                      <w:kern w:val="0"/>
                      <w:szCs w:val="21"/>
                    </w:rPr>
                    <w:t>1</w:t>
                  </w:r>
                  <w:r>
                    <w:rPr>
                      <w:rFonts w:hint="eastAsia" w:ascii="宋体" w:hAnsi="宋体"/>
                      <w:color w:val="000000"/>
                      <w:kern w:val="0"/>
                      <w:szCs w:val="21"/>
                    </w:rPr>
                    <w:t>台</w:t>
                  </w:r>
                </w:p>
              </w:tc>
              <w:tc>
                <w:tcPr>
                  <w:tcW w:w="347" w:type="pct"/>
                  <w:vAlign w:val="center"/>
                </w:tcPr>
                <w:p>
                  <w:pPr>
                    <w:jc w:val="center"/>
                    <w:rPr>
                      <w:szCs w:val="21"/>
                    </w:rPr>
                  </w:pPr>
                  <w:r>
                    <w:rPr>
                      <w:rFonts w:hint="eastAsia"/>
                      <w:szCs w:val="21"/>
                    </w:rPr>
                    <w:t>40.9</w:t>
                  </w:r>
                </w:p>
              </w:tc>
              <w:tc>
                <w:tcPr>
                  <w:tcW w:w="347" w:type="pct"/>
                  <w:vAlign w:val="center"/>
                </w:tcPr>
                <w:p>
                  <w:pPr>
                    <w:autoSpaceDN w:val="0"/>
                    <w:jc w:val="center"/>
                    <w:textAlignment w:val="center"/>
                    <w:rPr>
                      <w:szCs w:val="21"/>
                    </w:rPr>
                  </w:pPr>
                  <w:r>
                    <w:rPr>
                      <w:rFonts w:hint="eastAsia"/>
                      <w:szCs w:val="21"/>
                    </w:rPr>
                    <w:t>51.0</w:t>
                  </w:r>
                </w:p>
              </w:tc>
              <w:tc>
                <w:tcPr>
                  <w:tcW w:w="360" w:type="pct"/>
                  <w:vAlign w:val="center"/>
                </w:tcPr>
                <w:p>
                  <w:pPr>
                    <w:autoSpaceDN w:val="0"/>
                    <w:jc w:val="center"/>
                    <w:textAlignment w:val="center"/>
                    <w:rPr>
                      <w:szCs w:val="21"/>
                    </w:rPr>
                  </w:pPr>
                  <w:r>
                    <w:rPr>
                      <w:rFonts w:hint="eastAsia"/>
                      <w:szCs w:val="21"/>
                    </w:rPr>
                    <w:t>43.4</w:t>
                  </w:r>
                </w:p>
              </w:tc>
              <w:tc>
                <w:tcPr>
                  <w:tcW w:w="348" w:type="pct"/>
                  <w:vAlign w:val="center"/>
                </w:tcPr>
                <w:p>
                  <w:pPr>
                    <w:autoSpaceDN w:val="0"/>
                    <w:jc w:val="center"/>
                    <w:textAlignment w:val="center"/>
                    <w:rPr>
                      <w:szCs w:val="21"/>
                    </w:rPr>
                  </w:pPr>
                  <w:r>
                    <w:rPr>
                      <w:rFonts w:hint="eastAsia"/>
                      <w:szCs w:val="21"/>
                    </w:rPr>
                    <w:t>40.4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3" w:type="pct"/>
                  <w:vAlign w:val="center"/>
                </w:tcPr>
                <w:p>
                  <w:pPr>
                    <w:jc w:val="center"/>
                    <w:rPr>
                      <w:rFonts w:hint="eastAsia" w:eastAsia="宋体"/>
                      <w:szCs w:val="21"/>
                      <w:lang w:val="en-US" w:eastAsia="zh-CN"/>
                    </w:rPr>
                  </w:pPr>
                  <w:r>
                    <w:rPr>
                      <w:rFonts w:hint="eastAsia"/>
                      <w:szCs w:val="21"/>
                      <w:lang w:val="en-US" w:eastAsia="zh-CN"/>
                    </w:rPr>
                    <w:t>4</w:t>
                  </w:r>
                </w:p>
              </w:tc>
              <w:tc>
                <w:tcPr>
                  <w:tcW w:w="1583" w:type="pct"/>
                  <w:gridSpan w:val="2"/>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风机</w:t>
                  </w:r>
                </w:p>
              </w:tc>
              <w:tc>
                <w:tcPr>
                  <w:tcW w:w="589" w:type="pct"/>
                  <w:vAlign w:val="center"/>
                </w:tcPr>
                <w:p>
                  <w:pPr>
                    <w:spacing w:line="300" w:lineRule="exact"/>
                    <w:jc w:val="center"/>
                    <w:rPr>
                      <w:rFonts w:hint="default" w:eastAsia="宋体"/>
                      <w:bCs/>
                      <w:color w:val="0D0D0D" w:themeColor="text1" w:themeTint="F2"/>
                      <w:szCs w:val="21"/>
                      <w:lang w:val="en-US" w:eastAsia="zh-CN"/>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85</w:t>
                  </w:r>
                </w:p>
              </w:tc>
              <w:tc>
                <w:tcPr>
                  <w:tcW w:w="758" w:type="pct"/>
                  <w:vAlign w:val="center"/>
                </w:tcPr>
                <w:p>
                  <w:pPr>
                    <w:jc w:val="center"/>
                    <w:rPr>
                      <w:rFonts w:hint="default" w:eastAsia="宋体"/>
                      <w:color w:val="000000"/>
                      <w:szCs w:val="21"/>
                      <w:lang w:val="en-US" w:eastAsia="zh-CN"/>
                    </w:rPr>
                  </w:pPr>
                  <w:r>
                    <w:rPr>
                      <w:rFonts w:hint="eastAsia"/>
                      <w:color w:val="000000"/>
                      <w:szCs w:val="21"/>
                      <w:lang w:val="en-US" w:eastAsia="zh-CN"/>
                    </w:rPr>
                    <w:t>65</w:t>
                  </w:r>
                </w:p>
              </w:tc>
              <w:tc>
                <w:tcPr>
                  <w:tcW w:w="411" w:type="pct"/>
                  <w:vAlign w:val="center"/>
                </w:tcPr>
                <w:p>
                  <w:pPr>
                    <w:widowControl/>
                    <w:jc w:val="center"/>
                    <w:rPr>
                      <w:rFonts w:hint="default" w:eastAsia="宋体"/>
                      <w:color w:val="000000"/>
                      <w:kern w:val="0"/>
                      <w:szCs w:val="21"/>
                      <w:lang w:val="en-US" w:eastAsia="zh-CN"/>
                    </w:rPr>
                  </w:pPr>
                  <w:r>
                    <w:rPr>
                      <w:rFonts w:hint="eastAsia"/>
                      <w:color w:val="000000"/>
                      <w:kern w:val="0"/>
                      <w:szCs w:val="21"/>
                      <w:lang w:val="en-US" w:eastAsia="zh-CN"/>
                    </w:rPr>
                    <w:t>2台</w:t>
                  </w:r>
                </w:p>
              </w:tc>
              <w:tc>
                <w:tcPr>
                  <w:tcW w:w="347" w:type="pct"/>
                  <w:vAlign w:val="center"/>
                </w:tcPr>
                <w:p>
                  <w:pPr>
                    <w:jc w:val="center"/>
                    <w:rPr>
                      <w:rFonts w:hint="default" w:eastAsia="宋体"/>
                      <w:szCs w:val="21"/>
                      <w:lang w:val="en-US" w:eastAsia="zh-CN"/>
                    </w:rPr>
                  </w:pPr>
                  <w:r>
                    <w:rPr>
                      <w:rFonts w:hint="eastAsia"/>
                      <w:szCs w:val="21"/>
                      <w:lang w:val="en-US" w:eastAsia="zh-CN"/>
                    </w:rPr>
                    <w:t>62.0</w:t>
                  </w:r>
                </w:p>
              </w:tc>
              <w:tc>
                <w:tcPr>
                  <w:tcW w:w="347" w:type="pct"/>
                  <w:vAlign w:val="center"/>
                </w:tcPr>
                <w:p>
                  <w:pPr>
                    <w:autoSpaceDN w:val="0"/>
                    <w:jc w:val="center"/>
                    <w:textAlignment w:val="center"/>
                    <w:rPr>
                      <w:rFonts w:hint="default" w:eastAsia="宋体"/>
                      <w:szCs w:val="21"/>
                      <w:lang w:val="en-US" w:eastAsia="zh-CN"/>
                    </w:rPr>
                  </w:pPr>
                  <w:r>
                    <w:rPr>
                      <w:rFonts w:hint="eastAsia"/>
                      <w:szCs w:val="21"/>
                      <w:lang w:val="en-US" w:eastAsia="zh-CN"/>
                    </w:rPr>
                    <w:t>47.2</w:t>
                  </w:r>
                </w:p>
              </w:tc>
              <w:tc>
                <w:tcPr>
                  <w:tcW w:w="360" w:type="pct"/>
                  <w:vAlign w:val="center"/>
                </w:tcPr>
                <w:p>
                  <w:pPr>
                    <w:autoSpaceDN w:val="0"/>
                    <w:jc w:val="center"/>
                    <w:textAlignment w:val="center"/>
                    <w:rPr>
                      <w:rFonts w:hint="default" w:eastAsia="宋体"/>
                      <w:szCs w:val="21"/>
                      <w:lang w:val="en-US" w:eastAsia="zh-CN"/>
                    </w:rPr>
                  </w:pPr>
                  <w:r>
                    <w:rPr>
                      <w:rFonts w:hint="eastAsia"/>
                      <w:szCs w:val="21"/>
                      <w:lang w:val="en-US" w:eastAsia="zh-CN"/>
                    </w:rPr>
                    <w:t>19.9</w:t>
                  </w:r>
                </w:p>
              </w:tc>
              <w:tc>
                <w:tcPr>
                  <w:tcW w:w="348" w:type="pct"/>
                  <w:vAlign w:val="center"/>
                </w:tcPr>
                <w:p>
                  <w:pPr>
                    <w:autoSpaceDN w:val="0"/>
                    <w:jc w:val="center"/>
                    <w:textAlignment w:val="center"/>
                    <w:rPr>
                      <w:rFonts w:hint="default" w:eastAsia="宋体"/>
                      <w:szCs w:val="21"/>
                      <w:lang w:val="en-US" w:eastAsia="zh-CN"/>
                    </w:rPr>
                  </w:pPr>
                  <w:r>
                    <w:rPr>
                      <w:rFonts w:hint="eastAsia"/>
                      <w:szCs w:val="21"/>
                      <w:lang w:val="en-US" w:eastAsia="zh-CN"/>
                    </w:rPr>
                    <w:t>47.2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343" w:hRule="atLeast"/>
                <w:jc w:val="center"/>
              </w:trPr>
              <w:tc>
                <w:tcPr>
                  <w:tcW w:w="3596" w:type="pct"/>
                  <w:gridSpan w:val="6"/>
                  <w:vAlign w:val="center"/>
                </w:tcPr>
                <w:p>
                  <w:pPr>
                    <w:autoSpaceDN w:val="0"/>
                    <w:jc w:val="center"/>
                    <w:textAlignment w:val="center"/>
                    <w:rPr>
                      <w:szCs w:val="21"/>
                    </w:rPr>
                  </w:pPr>
                  <w:r>
                    <w:rPr>
                      <w:szCs w:val="21"/>
                    </w:rPr>
                    <w:t>贡献值</w:t>
                  </w:r>
                </w:p>
              </w:tc>
              <w:tc>
                <w:tcPr>
                  <w:tcW w:w="347" w:type="pct"/>
                  <w:vAlign w:val="center"/>
                </w:tcPr>
                <w:p>
                  <w:pPr>
                    <w:autoSpaceDN w:val="0"/>
                    <w:jc w:val="center"/>
                    <w:textAlignment w:val="center"/>
                    <w:rPr>
                      <w:rFonts w:hint="default" w:eastAsia="宋体"/>
                      <w:szCs w:val="21"/>
                      <w:lang w:val="en-US" w:eastAsia="zh-CN"/>
                    </w:rPr>
                  </w:pPr>
                  <w:r>
                    <w:rPr>
                      <w:rFonts w:hint="eastAsia"/>
                      <w:szCs w:val="21"/>
                      <w:lang w:val="en-US" w:eastAsia="zh-CN"/>
                    </w:rPr>
                    <w:t>62.2</w:t>
                  </w:r>
                </w:p>
              </w:tc>
              <w:tc>
                <w:tcPr>
                  <w:tcW w:w="347" w:type="pct"/>
                  <w:vAlign w:val="center"/>
                </w:tcPr>
                <w:p>
                  <w:pPr>
                    <w:autoSpaceDN w:val="0"/>
                    <w:jc w:val="center"/>
                    <w:textAlignment w:val="center"/>
                    <w:rPr>
                      <w:rFonts w:hint="default" w:eastAsia="宋体"/>
                      <w:szCs w:val="21"/>
                      <w:lang w:val="en-US" w:eastAsia="zh-CN"/>
                    </w:rPr>
                  </w:pPr>
                  <w:r>
                    <w:rPr>
                      <w:rFonts w:hint="eastAsia"/>
                      <w:szCs w:val="21"/>
                      <w:lang w:val="en-US" w:eastAsia="zh-CN"/>
                    </w:rPr>
                    <w:t>58.5</w:t>
                  </w:r>
                </w:p>
              </w:tc>
              <w:tc>
                <w:tcPr>
                  <w:tcW w:w="360" w:type="pct"/>
                  <w:vAlign w:val="center"/>
                </w:tcPr>
                <w:p>
                  <w:pPr>
                    <w:autoSpaceDN w:val="0"/>
                    <w:jc w:val="center"/>
                    <w:textAlignment w:val="center"/>
                    <w:rPr>
                      <w:rFonts w:hint="default" w:eastAsia="宋体"/>
                      <w:szCs w:val="21"/>
                      <w:lang w:val="en-US" w:eastAsia="zh-CN"/>
                    </w:rPr>
                  </w:pPr>
                  <w:r>
                    <w:rPr>
                      <w:rFonts w:hint="eastAsia"/>
                      <w:szCs w:val="21"/>
                      <w:lang w:val="en-US" w:eastAsia="zh-CN"/>
                    </w:rPr>
                    <w:t>48.5</w:t>
                  </w:r>
                </w:p>
              </w:tc>
              <w:tc>
                <w:tcPr>
                  <w:tcW w:w="348" w:type="pct"/>
                  <w:vAlign w:val="center"/>
                </w:tcPr>
                <w:p>
                  <w:pPr>
                    <w:autoSpaceDN w:val="0"/>
                    <w:jc w:val="center"/>
                    <w:textAlignment w:val="center"/>
                    <w:rPr>
                      <w:rFonts w:hint="default" w:eastAsia="宋体"/>
                      <w:szCs w:val="21"/>
                      <w:lang w:val="en-US" w:eastAsia="zh-CN"/>
                    </w:rPr>
                  </w:pPr>
                  <w:r>
                    <w:rPr>
                      <w:rFonts w:hint="eastAsia"/>
                      <w:szCs w:val="21"/>
                      <w:lang w:val="en-US" w:eastAsia="zh-CN"/>
                    </w:rPr>
                    <w:t>52.2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3596" w:type="pct"/>
                  <w:gridSpan w:val="6"/>
                  <w:vAlign w:val="center"/>
                </w:tcPr>
                <w:p>
                  <w:pPr>
                    <w:autoSpaceDN w:val="0"/>
                    <w:jc w:val="center"/>
                    <w:textAlignment w:val="center"/>
                    <w:rPr>
                      <w:szCs w:val="21"/>
                    </w:rPr>
                  </w:pPr>
                  <w:r>
                    <w:rPr>
                      <w:rFonts w:hint="eastAsia"/>
                      <w:szCs w:val="21"/>
                    </w:rPr>
                    <w:t>背景值</w:t>
                  </w:r>
                </w:p>
              </w:tc>
              <w:tc>
                <w:tcPr>
                  <w:tcW w:w="347" w:type="pct"/>
                  <w:vAlign w:val="center"/>
                </w:tcPr>
                <w:p>
                  <w:pPr>
                    <w:autoSpaceDN w:val="0"/>
                    <w:jc w:val="center"/>
                    <w:textAlignment w:val="center"/>
                    <w:rPr>
                      <w:rFonts w:hint="default" w:eastAsia="宋体"/>
                      <w:szCs w:val="21"/>
                      <w:lang w:val="en-US" w:eastAsia="zh-CN"/>
                    </w:rPr>
                  </w:pPr>
                  <w:r>
                    <w:rPr>
                      <w:rFonts w:hint="eastAsia"/>
                      <w:szCs w:val="21"/>
                      <w:lang w:val="en-US" w:eastAsia="zh-CN"/>
                    </w:rPr>
                    <w:t>52.1</w:t>
                  </w:r>
                </w:p>
              </w:tc>
              <w:tc>
                <w:tcPr>
                  <w:tcW w:w="347" w:type="pct"/>
                  <w:vAlign w:val="center"/>
                </w:tcPr>
                <w:p>
                  <w:pPr>
                    <w:autoSpaceDN w:val="0"/>
                    <w:jc w:val="center"/>
                    <w:textAlignment w:val="center"/>
                    <w:rPr>
                      <w:rFonts w:hint="default" w:eastAsia="宋体"/>
                      <w:szCs w:val="21"/>
                      <w:lang w:val="en-US" w:eastAsia="zh-CN"/>
                    </w:rPr>
                  </w:pPr>
                  <w:r>
                    <w:rPr>
                      <w:rFonts w:hint="eastAsia"/>
                      <w:szCs w:val="21"/>
                      <w:lang w:val="en-US" w:eastAsia="zh-CN"/>
                    </w:rPr>
                    <w:t>51.7</w:t>
                  </w:r>
                </w:p>
              </w:tc>
              <w:tc>
                <w:tcPr>
                  <w:tcW w:w="360" w:type="pct"/>
                  <w:vAlign w:val="center"/>
                </w:tcPr>
                <w:p>
                  <w:pPr>
                    <w:autoSpaceDN w:val="0"/>
                    <w:jc w:val="center"/>
                    <w:textAlignment w:val="center"/>
                    <w:rPr>
                      <w:rFonts w:hint="default" w:eastAsia="宋体"/>
                      <w:szCs w:val="21"/>
                      <w:lang w:val="en-US" w:eastAsia="zh-CN"/>
                    </w:rPr>
                  </w:pPr>
                  <w:r>
                    <w:rPr>
                      <w:rFonts w:hint="eastAsia"/>
                      <w:szCs w:val="21"/>
                      <w:lang w:val="en-US" w:eastAsia="zh-CN"/>
                    </w:rPr>
                    <w:t>58.1</w:t>
                  </w:r>
                </w:p>
              </w:tc>
              <w:tc>
                <w:tcPr>
                  <w:tcW w:w="348" w:type="pct"/>
                  <w:vAlign w:val="center"/>
                </w:tcPr>
                <w:p>
                  <w:pPr>
                    <w:autoSpaceDN w:val="0"/>
                    <w:jc w:val="center"/>
                    <w:textAlignment w:val="center"/>
                    <w:rPr>
                      <w:rFonts w:hint="default" w:eastAsia="宋体"/>
                      <w:szCs w:val="21"/>
                      <w:lang w:val="en-US" w:eastAsia="zh-CN"/>
                    </w:rPr>
                  </w:pPr>
                  <w:r>
                    <w:rPr>
                      <w:rFonts w:hint="eastAsia"/>
                      <w:szCs w:val="21"/>
                      <w:lang w:val="en-US" w:eastAsia="zh-CN"/>
                    </w:rPr>
                    <w:t>53.2</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3596" w:type="pct"/>
                  <w:gridSpan w:val="6"/>
                  <w:vAlign w:val="center"/>
                </w:tcPr>
                <w:p>
                  <w:pPr>
                    <w:autoSpaceDN w:val="0"/>
                    <w:jc w:val="center"/>
                    <w:textAlignment w:val="center"/>
                    <w:rPr>
                      <w:szCs w:val="21"/>
                    </w:rPr>
                  </w:pPr>
                  <w:r>
                    <w:rPr>
                      <w:rFonts w:hint="eastAsia"/>
                      <w:szCs w:val="21"/>
                    </w:rPr>
                    <w:t>叠加值</w:t>
                  </w:r>
                </w:p>
              </w:tc>
              <w:tc>
                <w:tcPr>
                  <w:tcW w:w="347" w:type="pct"/>
                  <w:vAlign w:val="center"/>
                </w:tcPr>
                <w:p>
                  <w:pPr>
                    <w:autoSpaceDN w:val="0"/>
                    <w:jc w:val="center"/>
                    <w:textAlignment w:val="center"/>
                    <w:rPr>
                      <w:rFonts w:hint="default" w:eastAsia="宋体"/>
                      <w:szCs w:val="21"/>
                      <w:lang w:val="en-US" w:eastAsia="zh-CN"/>
                    </w:rPr>
                  </w:pPr>
                  <w:r>
                    <w:rPr>
                      <w:rFonts w:hint="eastAsia"/>
                      <w:szCs w:val="21"/>
                      <w:lang w:val="en-US" w:eastAsia="zh-CN"/>
                    </w:rPr>
                    <w:t>62.6</w:t>
                  </w:r>
                </w:p>
              </w:tc>
              <w:tc>
                <w:tcPr>
                  <w:tcW w:w="347" w:type="pct"/>
                  <w:vAlign w:val="center"/>
                </w:tcPr>
                <w:p>
                  <w:pPr>
                    <w:autoSpaceDN w:val="0"/>
                    <w:jc w:val="center"/>
                    <w:textAlignment w:val="center"/>
                    <w:rPr>
                      <w:rFonts w:hint="default" w:eastAsia="宋体"/>
                      <w:szCs w:val="21"/>
                      <w:lang w:val="en-US" w:eastAsia="zh-CN"/>
                    </w:rPr>
                  </w:pPr>
                  <w:r>
                    <w:rPr>
                      <w:rFonts w:hint="eastAsia"/>
                      <w:szCs w:val="21"/>
                      <w:lang w:val="en-US" w:eastAsia="zh-CN"/>
                    </w:rPr>
                    <w:t>59.3</w:t>
                  </w:r>
                </w:p>
              </w:tc>
              <w:tc>
                <w:tcPr>
                  <w:tcW w:w="360" w:type="pct"/>
                  <w:vAlign w:val="center"/>
                </w:tcPr>
                <w:p>
                  <w:pPr>
                    <w:autoSpaceDN w:val="0"/>
                    <w:jc w:val="center"/>
                    <w:textAlignment w:val="center"/>
                    <w:rPr>
                      <w:rFonts w:hint="default" w:eastAsia="宋体"/>
                      <w:szCs w:val="21"/>
                      <w:lang w:val="en-US" w:eastAsia="zh-CN"/>
                    </w:rPr>
                  </w:pPr>
                  <w:r>
                    <w:rPr>
                      <w:rFonts w:hint="eastAsia"/>
                      <w:szCs w:val="21"/>
                      <w:lang w:val="en-US" w:eastAsia="zh-CN"/>
                    </w:rPr>
                    <w:t>58.6</w:t>
                  </w:r>
                </w:p>
              </w:tc>
              <w:tc>
                <w:tcPr>
                  <w:tcW w:w="348" w:type="pct"/>
                  <w:vAlign w:val="center"/>
                </w:tcPr>
                <w:p>
                  <w:pPr>
                    <w:autoSpaceDN w:val="0"/>
                    <w:jc w:val="center"/>
                    <w:textAlignment w:val="center"/>
                    <w:rPr>
                      <w:rFonts w:hint="default" w:eastAsia="宋体"/>
                      <w:szCs w:val="21"/>
                      <w:lang w:val="en-US" w:eastAsia="zh-CN"/>
                    </w:rPr>
                  </w:pPr>
                  <w:r>
                    <w:rPr>
                      <w:rFonts w:hint="eastAsia"/>
                      <w:szCs w:val="21"/>
                      <w:lang w:val="en-US" w:eastAsia="zh-CN"/>
                    </w:rPr>
                    <w:t>55.8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1130" w:type="pct"/>
                  <w:gridSpan w:val="2"/>
                  <w:vAlign w:val="center"/>
                </w:tcPr>
                <w:p>
                  <w:pPr>
                    <w:autoSpaceDN w:val="0"/>
                    <w:jc w:val="center"/>
                    <w:textAlignment w:val="center"/>
                    <w:rPr>
                      <w:szCs w:val="21"/>
                    </w:rPr>
                  </w:pPr>
                  <w:r>
                    <w:rPr>
                      <w:szCs w:val="21"/>
                    </w:rPr>
                    <w:t>标准值</w:t>
                  </w:r>
                </w:p>
              </w:tc>
              <w:tc>
                <w:tcPr>
                  <w:tcW w:w="2466" w:type="pct"/>
                  <w:gridSpan w:val="4"/>
                  <w:vAlign w:val="center"/>
                </w:tcPr>
                <w:p>
                  <w:pPr>
                    <w:autoSpaceDN w:val="0"/>
                    <w:jc w:val="center"/>
                    <w:textAlignment w:val="center"/>
                    <w:rPr>
                      <w:szCs w:val="21"/>
                    </w:rPr>
                  </w:pPr>
                  <w:r>
                    <w:rPr>
                      <w:szCs w:val="21"/>
                    </w:rPr>
                    <w:t>昼间</w:t>
                  </w:r>
                </w:p>
              </w:tc>
              <w:tc>
                <w:tcPr>
                  <w:tcW w:w="347" w:type="pct"/>
                  <w:vAlign w:val="center"/>
                </w:tcPr>
                <w:p>
                  <w:pPr>
                    <w:autoSpaceDN w:val="0"/>
                    <w:jc w:val="center"/>
                    <w:textAlignment w:val="center"/>
                    <w:rPr>
                      <w:szCs w:val="21"/>
                    </w:rPr>
                  </w:pPr>
                  <w:r>
                    <w:rPr>
                      <w:szCs w:val="21"/>
                    </w:rPr>
                    <w:t>6</w:t>
                  </w:r>
                  <w:r>
                    <w:rPr>
                      <w:rFonts w:hint="eastAsia"/>
                      <w:szCs w:val="21"/>
                    </w:rPr>
                    <w:t>5</w:t>
                  </w:r>
                </w:p>
              </w:tc>
              <w:tc>
                <w:tcPr>
                  <w:tcW w:w="347" w:type="pct"/>
                  <w:vAlign w:val="center"/>
                </w:tcPr>
                <w:p>
                  <w:pPr>
                    <w:autoSpaceDN w:val="0"/>
                    <w:jc w:val="center"/>
                    <w:textAlignment w:val="center"/>
                    <w:rPr>
                      <w:szCs w:val="21"/>
                    </w:rPr>
                  </w:pPr>
                  <w:r>
                    <w:rPr>
                      <w:szCs w:val="21"/>
                    </w:rPr>
                    <w:t>6</w:t>
                  </w:r>
                  <w:r>
                    <w:rPr>
                      <w:rFonts w:hint="eastAsia"/>
                      <w:szCs w:val="21"/>
                    </w:rPr>
                    <w:t>5</w:t>
                  </w:r>
                </w:p>
              </w:tc>
              <w:tc>
                <w:tcPr>
                  <w:tcW w:w="360" w:type="pct"/>
                  <w:vAlign w:val="center"/>
                </w:tcPr>
                <w:p>
                  <w:pPr>
                    <w:autoSpaceDN w:val="0"/>
                    <w:jc w:val="center"/>
                    <w:textAlignment w:val="center"/>
                    <w:rPr>
                      <w:szCs w:val="21"/>
                    </w:rPr>
                  </w:pPr>
                  <w:r>
                    <w:rPr>
                      <w:szCs w:val="21"/>
                    </w:rPr>
                    <w:t>6</w:t>
                  </w:r>
                  <w:r>
                    <w:rPr>
                      <w:rFonts w:hint="eastAsia"/>
                      <w:szCs w:val="21"/>
                    </w:rPr>
                    <w:t>5</w:t>
                  </w:r>
                </w:p>
              </w:tc>
              <w:tc>
                <w:tcPr>
                  <w:tcW w:w="348" w:type="pct"/>
                  <w:vAlign w:val="center"/>
                </w:tcPr>
                <w:p>
                  <w:pPr>
                    <w:autoSpaceDN w:val="0"/>
                    <w:jc w:val="center"/>
                    <w:textAlignment w:val="center"/>
                    <w:rPr>
                      <w:szCs w:val="21"/>
                    </w:rPr>
                  </w:pPr>
                  <w:r>
                    <w:rPr>
                      <w:rFonts w:hint="eastAsia"/>
                      <w:szCs w:val="21"/>
                    </w:rPr>
                    <w:t>65</w:t>
                  </w:r>
                </w:p>
              </w:tc>
            </w:tr>
          </w:tbl>
          <w:p>
            <w:pPr>
              <w:widowControl/>
              <w:spacing w:line="360" w:lineRule="auto"/>
              <w:ind w:firstLine="480" w:firstLineChars="200"/>
              <w:jc w:val="left"/>
              <w:rPr>
                <w:color w:val="000000"/>
                <w:kern w:val="0"/>
                <w:sz w:val="24"/>
              </w:rPr>
            </w:pPr>
            <w:r>
              <w:rPr>
                <w:color w:val="000000"/>
                <w:kern w:val="0"/>
                <w:sz w:val="24"/>
              </w:rPr>
              <w:t>由</w:t>
            </w:r>
            <w:r>
              <w:rPr>
                <w:rFonts w:hint="eastAsia"/>
                <w:color w:val="000000"/>
                <w:kern w:val="0"/>
                <w:sz w:val="24"/>
              </w:rPr>
              <w:t>上表</w:t>
            </w:r>
            <w:r>
              <w:rPr>
                <w:color w:val="000000"/>
                <w:kern w:val="0"/>
                <w:sz w:val="24"/>
              </w:rPr>
              <w:t>可知，由于本项目大部分噪声源均布置在室内，且主要噪声设备位于厂房内。本项目运行后厂界边界噪声预</w:t>
            </w:r>
            <w:r>
              <w:rPr>
                <w:color w:val="0D0D0D"/>
                <w:kern w:val="0"/>
                <w:sz w:val="24"/>
              </w:rPr>
              <w:t>测排放值为</w:t>
            </w:r>
            <w:r>
              <w:rPr>
                <w:rFonts w:hint="eastAsia"/>
                <w:color w:val="0D0D0D"/>
                <w:kern w:val="0"/>
                <w:sz w:val="24"/>
              </w:rPr>
              <w:t>5</w:t>
            </w:r>
            <w:r>
              <w:rPr>
                <w:rFonts w:hint="eastAsia"/>
                <w:color w:val="0D0D0D"/>
                <w:kern w:val="0"/>
                <w:sz w:val="24"/>
                <w:lang w:val="en-US" w:eastAsia="zh-CN"/>
              </w:rPr>
              <w:t>5.8</w:t>
            </w:r>
            <w:r>
              <w:rPr>
                <w:color w:val="0D0D0D"/>
                <w:kern w:val="0"/>
                <w:sz w:val="24"/>
              </w:rPr>
              <w:t>～</w:t>
            </w:r>
            <w:r>
              <w:rPr>
                <w:rFonts w:hint="eastAsia"/>
                <w:color w:val="0D0D0D"/>
                <w:kern w:val="0"/>
                <w:sz w:val="24"/>
                <w:lang w:val="en-US" w:eastAsia="zh-CN"/>
              </w:rPr>
              <w:t>62.6</w:t>
            </w:r>
            <w:r>
              <w:rPr>
                <w:color w:val="0D0D0D"/>
                <w:kern w:val="0"/>
                <w:sz w:val="24"/>
              </w:rPr>
              <w:t>dB(A)，故本项目实施后其昼间噪声排放可以达到</w:t>
            </w:r>
            <w:r>
              <w:rPr>
                <w:rFonts w:hint="eastAsia"/>
                <w:color w:val="0D0D0D"/>
                <w:kern w:val="0"/>
                <w:sz w:val="24"/>
              </w:rPr>
              <w:t>GB12348-2008厂界东侧、北侧噪声《工业企业厂界环境噪声排放标准》中的3类标准；厂区南侧、西侧噪声《工业企业厂界环境噪声排放标准》中的4类标准。</w:t>
            </w:r>
            <w:r>
              <w:rPr>
                <w:color w:val="000000"/>
                <w:kern w:val="0"/>
                <w:sz w:val="24"/>
              </w:rPr>
              <w:t>项目生产采用单班制运作，夜间不生产，因此夜间不对周边声环境产生影响。</w:t>
            </w:r>
          </w:p>
          <w:p>
            <w:pPr>
              <w:widowControl/>
              <w:spacing w:line="360" w:lineRule="auto"/>
              <w:ind w:firstLine="480" w:firstLineChars="200"/>
              <w:jc w:val="left"/>
              <w:rPr>
                <w:kern w:val="0"/>
                <w:sz w:val="24"/>
              </w:rPr>
            </w:pPr>
            <w:r>
              <w:rPr>
                <w:color w:val="000000"/>
                <w:kern w:val="0"/>
                <w:sz w:val="24"/>
              </w:rPr>
              <w:t>根据预测结果，拟建项目正常运营时，其厂界环境噪声能做到达标排放，因此</w:t>
            </w:r>
            <w:r>
              <w:rPr>
                <w:kern w:val="0"/>
                <w:sz w:val="24"/>
              </w:rPr>
              <w:t>拟建项目实施后对周围声环境的影响很小。</w:t>
            </w:r>
          </w:p>
          <w:p>
            <w:pPr>
              <w:autoSpaceDE w:val="0"/>
              <w:autoSpaceDN w:val="0"/>
              <w:adjustRightInd w:val="0"/>
              <w:spacing w:line="360" w:lineRule="auto"/>
              <w:ind w:firstLine="482" w:firstLineChars="200"/>
              <w:jc w:val="left"/>
              <w:rPr>
                <w:b/>
                <w:color w:val="000000"/>
                <w:kern w:val="0"/>
                <w:sz w:val="24"/>
              </w:rPr>
            </w:pPr>
            <w:r>
              <w:rPr>
                <w:rFonts w:hint="eastAsia"/>
                <w:b/>
                <w:color w:val="000000"/>
                <w:kern w:val="0"/>
                <w:sz w:val="24"/>
              </w:rPr>
              <w:t>4、噪声污染防治措施</w:t>
            </w:r>
          </w:p>
          <w:p>
            <w:pPr>
              <w:spacing w:line="360" w:lineRule="auto"/>
              <w:ind w:firstLine="480" w:firstLineChars="200"/>
              <w:rPr>
                <w:color w:val="000000"/>
                <w:sz w:val="24"/>
              </w:rPr>
            </w:pPr>
            <w:r>
              <w:rPr>
                <w:color w:val="000000"/>
                <w:sz w:val="24"/>
              </w:rPr>
              <w:t>本项目噪声源经相应的降噪措施处理后通过建筑物门窗、墙壁的吸收、屏蔽及阻挡作用，将会大幅度地衰减。具体可采取的治理措施如下：</w:t>
            </w:r>
          </w:p>
          <w:p>
            <w:pPr>
              <w:spacing w:line="360" w:lineRule="auto"/>
              <w:ind w:firstLine="480" w:firstLineChars="200"/>
              <w:rPr>
                <w:color w:val="000000"/>
                <w:sz w:val="24"/>
              </w:rPr>
            </w:pPr>
            <w:r>
              <w:rPr>
                <w:color w:val="000000"/>
                <w:sz w:val="24"/>
              </w:rPr>
              <w:t>（1）合理布局：项目将高噪声设备尽量布置在厂区中部，通过距离衰减减轻噪声对外环境的影响。</w:t>
            </w:r>
          </w:p>
          <w:p>
            <w:pPr>
              <w:spacing w:line="360" w:lineRule="auto"/>
              <w:ind w:firstLine="480" w:firstLineChars="200"/>
              <w:rPr>
                <w:color w:val="000000"/>
                <w:sz w:val="24"/>
              </w:rPr>
            </w:pPr>
            <w:r>
              <w:rPr>
                <w:color w:val="000000"/>
                <w:sz w:val="24"/>
              </w:rPr>
              <w:t>（2）选择低噪声设备：项目在满足工艺设计的前提下，尽量选用满足国际标准的低噪声、低振动型号的设备，降低噪声源强。</w:t>
            </w:r>
          </w:p>
          <w:p>
            <w:pPr>
              <w:spacing w:line="360" w:lineRule="auto"/>
              <w:ind w:firstLine="480" w:firstLineChars="200"/>
              <w:rPr>
                <w:color w:val="000000"/>
                <w:sz w:val="24"/>
              </w:rPr>
            </w:pPr>
            <w:r>
              <w:rPr>
                <w:color w:val="000000"/>
                <w:sz w:val="24"/>
              </w:rPr>
              <w:t>（3）隔声、减震或加消声器：建设单位根据噪声产生的性质可分为机械运动噪声，根据其产生的性质和机理不同分别采用了隔声、减振等方式进行了降噪处理。通过安装减震垫或者隔声门窗来达到降低噪声的目的。</w:t>
            </w:r>
          </w:p>
          <w:p>
            <w:pPr>
              <w:spacing w:line="360" w:lineRule="auto"/>
              <w:ind w:firstLine="480" w:firstLineChars="200"/>
              <w:rPr>
                <w:color w:val="000000"/>
                <w:sz w:val="24"/>
              </w:rPr>
            </w:pPr>
            <w:r>
              <w:rPr>
                <w:color w:val="000000"/>
                <w:sz w:val="24"/>
              </w:rPr>
              <w:t>（4）强化生产管理：确保降噪设施的有效运行，并加强对生产设备的保养、检修与润滑，保证设备处于良好的运转状态。</w:t>
            </w:r>
          </w:p>
          <w:p>
            <w:pPr>
              <w:spacing w:line="360" w:lineRule="auto"/>
              <w:ind w:firstLine="480" w:firstLineChars="200"/>
              <w:rPr>
                <w:color w:val="000000"/>
                <w:sz w:val="24"/>
              </w:rPr>
            </w:pPr>
            <w:r>
              <w:rPr>
                <w:color w:val="000000"/>
                <w:sz w:val="24"/>
              </w:rPr>
              <w:t>经上述治理措施后，可满足保护操作工人的身心健康需要，加上围墙隔音及距离衰减，能够做到厂界达标。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shd w:val="clear" w:color="auto" w:fill="auto"/>
          </w:tcPr>
          <w:p>
            <w:pPr>
              <w:tabs>
                <w:tab w:val="left" w:pos="1077"/>
              </w:tabs>
              <w:rPr>
                <w:rFonts w:cs="宋体"/>
                <w:color w:val="000000"/>
                <w:sz w:val="24"/>
              </w:rPr>
            </w:pPr>
          </w:p>
        </w:tc>
        <w:tc>
          <w:tcPr>
            <w:tcW w:w="8629" w:type="dxa"/>
            <w:shd w:val="clear" w:color="auto" w:fill="auto"/>
          </w:tcPr>
          <w:p>
            <w:pPr>
              <w:keepNext/>
              <w:keepLines/>
              <w:spacing w:before="120" w:beforeLines="50" w:line="360" w:lineRule="auto"/>
              <w:ind w:firstLine="354" w:firstLineChars="147"/>
              <w:outlineLvl w:val="2"/>
              <w:rPr>
                <w:b/>
                <w:bCs/>
                <w:color w:val="000000"/>
                <w:sz w:val="24"/>
                <w:szCs w:val="32"/>
              </w:rPr>
            </w:pPr>
            <w:r>
              <w:rPr>
                <w:rFonts w:hint="eastAsia"/>
                <w:b/>
                <w:bCs/>
                <w:color w:val="000000"/>
                <w:sz w:val="24"/>
                <w:szCs w:val="32"/>
              </w:rPr>
              <w:t>四、固体废物环境影响和保护措施</w:t>
            </w:r>
          </w:p>
          <w:p>
            <w:pPr>
              <w:spacing w:line="360" w:lineRule="auto"/>
              <w:ind w:firstLine="482" w:firstLineChars="200"/>
              <w:rPr>
                <w:b/>
                <w:color w:val="000000"/>
                <w:sz w:val="24"/>
              </w:rPr>
            </w:pPr>
            <w:r>
              <w:rPr>
                <w:rFonts w:hint="eastAsia"/>
                <w:b/>
                <w:color w:val="000000"/>
                <w:sz w:val="24"/>
              </w:rPr>
              <w:t>1、固体废物产生情况</w:t>
            </w:r>
          </w:p>
          <w:p>
            <w:pPr>
              <w:spacing w:line="360" w:lineRule="auto"/>
              <w:ind w:firstLine="480" w:firstLineChars="200"/>
              <w:rPr>
                <w:color w:val="000000"/>
                <w:sz w:val="24"/>
              </w:rPr>
            </w:pPr>
            <w:r>
              <w:rPr>
                <w:color w:val="000000"/>
                <w:sz w:val="24"/>
              </w:rPr>
              <w:t>本项目固体废物主要分为：一般工业固体废物、危险废物。其中一般工业固体废物包括废钢砂</w:t>
            </w:r>
            <w:r>
              <w:rPr>
                <w:rFonts w:hint="eastAsia"/>
                <w:color w:val="000000"/>
                <w:sz w:val="24"/>
              </w:rPr>
              <w:t>以及布袋除尘器</w:t>
            </w:r>
            <w:r>
              <w:rPr>
                <w:bCs/>
                <w:color w:val="000000"/>
                <w:sz w:val="24"/>
              </w:rPr>
              <w:t>收集的粉尘等</w:t>
            </w:r>
            <w:r>
              <w:rPr>
                <w:color w:val="000000"/>
                <w:sz w:val="24"/>
              </w:rPr>
              <w:t>；危险废物包括废过滤棉及漆渣</w:t>
            </w:r>
            <w:r>
              <w:rPr>
                <w:rFonts w:hint="eastAsia"/>
                <w:color w:val="000000"/>
                <w:sz w:val="24"/>
              </w:rPr>
              <w:t>、</w:t>
            </w:r>
            <w:r>
              <w:rPr>
                <w:color w:val="000000"/>
                <w:sz w:val="24"/>
              </w:rPr>
              <w:t>废漆桶</w:t>
            </w:r>
            <w:r>
              <w:rPr>
                <w:rFonts w:hint="eastAsia"/>
                <w:color w:val="000000"/>
                <w:sz w:val="24"/>
              </w:rPr>
              <w:t>、</w:t>
            </w:r>
            <w:r>
              <w:rPr>
                <w:color w:val="000000"/>
                <w:sz w:val="24"/>
              </w:rPr>
              <w:t>废活性炭</w:t>
            </w:r>
            <w:r>
              <w:rPr>
                <w:rFonts w:hint="eastAsia"/>
                <w:color w:val="000000"/>
                <w:sz w:val="24"/>
              </w:rPr>
              <w:t>、</w:t>
            </w:r>
            <w:r>
              <w:rPr>
                <w:color w:val="000000"/>
                <w:sz w:val="24"/>
              </w:rPr>
              <w:t>废润滑油</w:t>
            </w:r>
            <w:r>
              <w:rPr>
                <w:rFonts w:hint="eastAsia"/>
                <w:color w:val="000000"/>
                <w:sz w:val="24"/>
              </w:rPr>
              <w:t>、废</w:t>
            </w:r>
            <w:r>
              <w:rPr>
                <w:color w:val="000000"/>
                <w:sz w:val="24"/>
              </w:rPr>
              <w:t>含油抹布手套</w:t>
            </w:r>
            <w:r>
              <w:rPr>
                <w:rFonts w:hint="eastAsia"/>
                <w:color w:val="000000"/>
                <w:sz w:val="24"/>
              </w:rPr>
              <w:t>以及废润滑油桶</w:t>
            </w:r>
            <w:r>
              <w:rPr>
                <w:color w:val="000000"/>
                <w:sz w:val="24"/>
              </w:rPr>
              <w:t>等。</w:t>
            </w:r>
          </w:p>
          <w:p>
            <w:pPr>
              <w:spacing w:line="360" w:lineRule="auto"/>
              <w:ind w:firstLine="480" w:firstLineChars="200"/>
              <w:rPr>
                <w:color w:val="000000"/>
                <w:sz w:val="24"/>
              </w:rPr>
            </w:pPr>
            <w:r>
              <w:rPr>
                <w:color w:val="000000"/>
                <w:sz w:val="24"/>
              </w:rPr>
              <w:t>（1）一般工业固废</w:t>
            </w:r>
          </w:p>
          <w:p>
            <w:pPr>
              <w:spacing w:line="360" w:lineRule="auto"/>
              <w:ind w:firstLine="480" w:firstLineChars="200"/>
              <w:rPr>
                <w:color w:val="000000"/>
                <w:kern w:val="0"/>
                <w:sz w:val="24"/>
                <w:szCs w:val="21"/>
              </w:rPr>
            </w:pPr>
            <w:r>
              <w:rPr>
                <w:color w:val="000000"/>
                <w:kern w:val="0"/>
                <w:sz w:val="24"/>
                <w:szCs w:val="21"/>
              </w:rPr>
              <w:fldChar w:fldCharType="begin"/>
            </w:r>
            <w:r>
              <w:rPr>
                <w:color w:val="000000"/>
                <w:kern w:val="0"/>
                <w:sz w:val="24"/>
                <w:szCs w:val="21"/>
              </w:rPr>
              <w:instrText xml:space="preserve"> = 1 \* GB3 </w:instrText>
            </w:r>
            <w:r>
              <w:rPr>
                <w:color w:val="000000"/>
                <w:kern w:val="0"/>
                <w:sz w:val="24"/>
                <w:szCs w:val="21"/>
              </w:rPr>
              <w:fldChar w:fldCharType="separate"/>
            </w:r>
            <w:r>
              <w:rPr>
                <w:rFonts w:hint="eastAsia" w:cs="宋体"/>
                <w:color w:val="000000"/>
                <w:kern w:val="0"/>
                <w:sz w:val="24"/>
                <w:szCs w:val="21"/>
              </w:rPr>
              <w:t>①</w:t>
            </w:r>
            <w:r>
              <w:rPr>
                <w:color w:val="000000"/>
                <w:kern w:val="0"/>
                <w:sz w:val="24"/>
                <w:szCs w:val="21"/>
              </w:rPr>
              <w:fldChar w:fldCharType="end"/>
            </w:r>
            <w:r>
              <w:rPr>
                <w:color w:val="000000"/>
                <w:sz w:val="24"/>
              </w:rPr>
              <w:t>废钢砂</w:t>
            </w:r>
            <w:r>
              <w:rPr>
                <w:color w:val="000000"/>
                <w:kern w:val="0"/>
                <w:sz w:val="24"/>
                <w:szCs w:val="21"/>
              </w:rPr>
              <w:t>：项目</w:t>
            </w:r>
            <w:r>
              <w:rPr>
                <w:rFonts w:hint="eastAsia"/>
                <w:color w:val="000000"/>
                <w:kern w:val="0"/>
                <w:sz w:val="24"/>
                <w:szCs w:val="21"/>
              </w:rPr>
              <w:t>喷砂</w:t>
            </w:r>
            <w:r>
              <w:rPr>
                <w:color w:val="000000"/>
                <w:kern w:val="0"/>
                <w:sz w:val="24"/>
                <w:szCs w:val="21"/>
              </w:rPr>
              <w:t>工序会产生废钢砂</w:t>
            </w:r>
            <w:r>
              <w:rPr>
                <w:rFonts w:hint="eastAsia"/>
                <w:color w:val="000000"/>
                <w:kern w:val="0"/>
                <w:sz w:val="24"/>
                <w:szCs w:val="21"/>
              </w:rPr>
              <w:t>，</w:t>
            </w:r>
            <w:r>
              <w:rPr>
                <w:sz w:val="24"/>
              </w:rPr>
              <w:t>为一般固废</w:t>
            </w:r>
            <w:r>
              <w:rPr>
                <w:rFonts w:hint="eastAsia"/>
                <w:sz w:val="24"/>
              </w:rPr>
              <w:t>，</w:t>
            </w:r>
            <w:r>
              <w:rPr>
                <w:color w:val="000000"/>
                <w:kern w:val="0"/>
                <w:sz w:val="24"/>
                <w:szCs w:val="21"/>
              </w:rPr>
              <w:t>产生量</w:t>
            </w:r>
            <w:r>
              <w:rPr>
                <w:rFonts w:hint="eastAsia"/>
                <w:color w:val="000000"/>
                <w:kern w:val="0"/>
                <w:sz w:val="24"/>
                <w:szCs w:val="21"/>
              </w:rPr>
              <w:t>约28.4t/a</w:t>
            </w:r>
            <w:r>
              <w:rPr>
                <w:color w:val="000000"/>
                <w:kern w:val="0"/>
                <w:sz w:val="24"/>
                <w:szCs w:val="21"/>
              </w:rPr>
              <w:t>，</w:t>
            </w:r>
            <w:r>
              <w:rPr>
                <w:rFonts w:hint="eastAsia"/>
                <w:color w:val="000000"/>
                <w:kern w:val="0"/>
                <w:sz w:val="24"/>
                <w:szCs w:val="21"/>
              </w:rPr>
              <w:t>集中收集后外售</w:t>
            </w:r>
            <w:r>
              <w:rPr>
                <w:color w:val="000000"/>
                <w:kern w:val="0"/>
                <w:sz w:val="24"/>
                <w:szCs w:val="21"/>
              </w:rPr>
              <w:t xml:space="preserve"> </w:t>
            </w:r>
            <w:r>
              <w:rPr>
                <w:rFonts w:hint="eastAsia"/>
                <w:color w:val="000000"/>
                <w:kern w:val="0"/>
                <w:sz w:val="24"/>
                <w:szCs w:val="21"/>
              </w:rPr>
              <w:t>。</w:t>
            </w:r>
          </w:p>
          <w:p>
            <w:pPr>
              <w:widowControl/>
              <w:spacing w:line="360" w:lineRule="auto"/>
              <w:ind w:firstLine="480" w:firstLineChars="200"/>
              <w:rPr>
                <w:snapToGrid w:val="0"/>
                <w:color w:val="0D0D0D" w:themeColor="text1" w:themeTint="F2"/>
                <w:sz w:val="24"/>
                <w14:textFill>
                  <w14:solidFill>
                    <w14:schemeClr w14:val="tx1">
                      <w14:lumMod w14:val="95000"/>
                      <w14:lumOff w14:val="5000"/>
                    </w14:schemeClr>
                  </w14:solidFill>
                </w14:textFill>
              </w:rPr>
            </w:pPr>
            <w:r>
              <w:rPr>
                <w:rFonts w:hint="eastAsia" w:ascii="宋体" w:hAnsi="宋体"/>
                <w:color w:val="000000"/>
                <w:sz w:val="24"/>
                <w:szCs w:val="21"/>
              </w:rPr>
              <w:t>②</w:t>
            </w:r>
            <w:r>
              <w:rPr>
                <w:rFonts w:hint="eastAsia"/>
                <w:color w:val="000000"/>
                <w:kern w:val="0"/>
                <w:sz w:val="24"/>
                <w:szCs w:val="21"/>
              </w:rPr>
              <w:t>布袋</w:t>
            </w:r>
            <w:r>
              <w:rPr>
                <w:color w:val="000000"/>
                <w:kern w:val="0"/>
                <w:sz w:val="24"/>
                <w:szCs w:val="21"/>
              </w:rPr>
              <w:t>除尘器收集的粉尘</w:t>
            </w:r>
            <w:r>
              <w:rPr>
                <w:rFonts w:hint="eastAsia"/>
                <w:sz w:val="24"/>
              </w:rPr>
              <w:t>：</w:t>
            </w:r>
            <w:r>
              <w:rPr>
                <w:rFonts w:hint="eastAsia"/>
                <w:snapToGrid w:val="0"/>
                <w:color w:val="0D0D0D"/>
                <w:sz w:val="24"/>
              </w:rPr>
              <w:t>布袋除尘器截</w:t>
            </w:r>
            <w:r>
              <w:rPr>
                <w:rFonts w:hint="eastAsia"/>
                <w:snapToGrid w:val="0"/>
                <w:color w:val="0D0D0D" w:themeColor="text1" w:themeTint="F2"/>
                <w:sz w:val="24"/>
                <w14:textFill>
                  <w14:solidFill>
                    <w14:schemeClr w14:val="tx1">
                      <w14:lumMod w14:val="95000"/>
                      <w14:lumOff w14:val="5000"/>
                    </w14:schemeClr>
                  </w14:solidFill>
                </w14:textFill>
              </w:rPr>
              <w:t>留粉尘约10.84 t/a，</w:t>
            </w:r>
            <w:r>
              <w:rPr>
                <w:color w:val="0D0D0D" w:themeColor="text1" w:themeTint="F2"/>
                <w:sz w:val="24"/>
                <w14:textFill>
                  <w14:solidFill>
                    <w14:schemeClr w14:val="tx1">
                      <w14:lumMod w14:val="95000"/>
                      <w14:lumOff w14:val="5000"/>
                    </w14:schemeClr>
                  </w14:solidFill>
                </w14:textFill>
              </w:rPr>
              <w:t>为一般固废</w:t>
            </w:r>
            <w:r>
              <w:rPr>
                <w:rFonts w:hint="eastAsia"/>
                <w:color w:val="0D0D0D" w:themeColor="text1" w:themeTint="F2"/>
                <w:sz w:val="24"/>
                <w14:textFill>
                  <w14:solidFill>
                    <w14:schemeClr w14:val="tx1">
                      <w14:lumMod w14:val="95000"/>
                      <w14:lumOff w14:val="5000"/>
                    </w14:schemeClr>
                  </w14:solidFill>
                </w14:textFill>
              </w:rPr>
              <w:t>，</w:t>
            </w:r>
            <w:r>
              <w:rPr>
                <w:rFonts w:hint="eastAsia"/>
                <w:snapToGrid w:val="0"/>
                <w:color w:val="0D0D0D" w:themeColor="text1" w:themeTint="F2"/>
                <w:sz w:val="24"/>
                <w14:textFill>
                  <w14:solidFill>
                    <w14:schemeClr w14:val="tx1">
                      <w14:lumMod w14:val="95000"/>
                      <w14:lumOff w14:val="5000"/>
                    </w14:schemeClr>
                  </w14:solidFill>
                </w14:textFill>
              </w:rPr>
              <w:t>集中收集后外售。</w:t>
            </w:r>
          </w:p>
          <w:p>
            <w:pPr>
              <w:spacing w:line="360" w:lineRule="auto"/>
              <w:ind w:firstLine="480" w:firstLineChars="200"/>
              <w:rPr>
                <w:color w:val="000000"/>
                <w:kern w:val="0"/>
                <w:sz w:val="24"/>
                <w:szCs w:val="21"/>
              </w:rPr>
            </w:pPr>
            <w:r>
              <w:rPr>
                <w:color w:val="000000"/>
                <w:kern w:val="0"/>
                <w:sz w:val="24"/>
                <w:szCs w:val="21"/>
              </w:rPr>
              <w:t>（2）危险废物</w:t>
            </w:r>
          </w:p>
          <w:p>
            <w:pPr>
              <w:spacing w:line="360" w:lineRule="auto"/>
              <w:ind w:firstLine="480" w:firstLineChars="200"/>
              <w:rPr>
                <w:color w:val="000000"/>
                <w:sz w:val="24"/>
              </w:rPr>
            </w:pPr>
            <w:r>
              <w:rPr>
                <w:rFonts w:hint="eastAsia" w:ascii="宋体" w:hAnsi="宋体"/>
                <w:color w:val="000000"/>
                <w:sz w:val="24"/>
              </w:rPr>
              <w:t>①</w:t>
            </w:r>
            <w:r>
              <w:rPr>
                <w:color w:val="000000"/>
                <w:sz w:val="24"/>
              </w:rPr>
              <w:t>废过滤棉及漆渣：</w:t>
            </w:r>
            <w:r>
              <w:rPr>
                <w:rFonts w:hint="eastAsia"/>
                <w:color w:val="0D0D0D"/>
                <w:sz w:val="24"/>
              </w:rPr>
              <w:t>处理有机废气使用的过滤棉需定期更换，产生量约5.25</w:t>
            </w:r>
            <w:r>
              <w:rPr>
                <w:color w:val="000000"/>
                <w:sz w:val="24"/>
              </w:rPr>
              <w:t xml:space="preserve"> t/a，</w:t>
            </w:r>
            <w:r>
              <w:rPr>
                <w:rFonts w:hint="eastAsia"/>
                <w:color w:val="000000"/>
                <w:sz w:val="24"/>
              </w:rPr>
              <w:t>其中包括漆渣1.89 t/a，</w:t>
            </w:r>
            <w:r>
              <w:rPr>
                <w:color w:val="000000"/>
                <w:sz w:val="24"/>
              </w:rPr>
              <w:t>属于危险废物，</w:t>
            </w:r>
            <w:r>
              <w:rPr>
                <w:sz w:val="24"/>
              </w:rPr>
              <w:t>废物代码为</w:t>
            </w:r>
            <w:r>
              <w:rPr>
                <w:color w:val="0D0D0D"/>
                <w:sz w:val="24"/>
              </w:rPr>
              <w:t>HW</w:t>
            </w:r>
            <w:r>
              <w:rPr>
                <w:rFonts w:hint="eastAsia"/>
                <w:color w:val="0D0D0D"/>
                <w:sz w:val="24"/>
              </w:rPr>
              <w:t>49</w:t>
            </w:r>
            <w:r>
              <w:rPr>
                <w:color w:val="0D0D0D"/>
                <w:sz w:val="24"/>
              </w:rPr>
              <w:t>（900-0</w:t>
            </w:r>
            <w:r>
              <w:rPr>
                <w:rFonts w:hint="eastAsia"/>
                <w:color w:val="0D0D0D"/>
                <w:sz w:val="24"/>
              </w:rPr>
              <w:t>41</w:t>
            </w:r>
            <w:r>
              <w:rPr>
                <w:color w:val="0D0D0D"/>
                <w:sz w:val="24"/>
              </w:rPr>
              <w:t>-</w:t>
            </w:r>
            <w:r>
              <w:rPr>
                <w:rFonts w:hint="eastAsia"/>
                <w:color w:val="0D0D0D"/>
                <w:sz w:val="24"/>
              </w:rPr>
              <w:t>4</w:t>
            </w:r>
            <w:r>
              <w:rPr>
                <w:color w:val="0D0D0D"/>
                <w:sz w:val="24"/>
              </w:rPr>
              <w:t>9）</w:t>
            </w:r>
            <w:r>
              <w:rPr>
                <w:color w:val="000000"/>
                <w:sz w:val="24"/>
              </w:rPr>
              <w:t>，</w:t>
            </w:r>
            <w:r>
              <w:rPr>
                <w:sz w:val="24"/>
              </w:rPr>
              <w:t>集中收集后委托有资质的单位处理</w:t>
            </w:r>
            <w:r>
              <w:rPr>
                <w:rFonts w:hint="eastAsia"/>
                <w:color w:val="000000"/>
                <w:sz w:val="24"/>
              </w:rPr>
              <w:t>。</w:t>
            </w:r>
          </w:p>
          <w:p>
            <w:pPr>
              <w:spacing w:line="360" w:lineRule="auto"/>
              <w:ind w:firstLine="480" w:firstLineChars="200"/>
              <w:rPr>
                <w:color w:val="0D0D0D"/>
                <w:sz w:val="24"/>
              </w:rPr>
            </w:pPr>
            <w:r>
              <w:rPr>
                <w:rFonts w:hint="eastAsia" w:ascii="宋体" w:hAnsi="宋体"/>
                <w:color w:val="000000"/>
                <w:sz w:val="24"/>
              </w:rPr>
              <w:t>②废漆桶：</w:t>
            </w:r>
            <w:r>
              <w:rPr>
                <w:color w:val="000000"/>
                <w:sz w:val="24"/>
              </w:rPr>
              <w:t>项目喷漆产生的废漆桶，约</w:t>
            </w:r>
            <w:r>
              <w:rPr>
                <w:rFonts w:hint="eastAsia"/>
                <w:color w:val="000000"/>
                <w:sz w:val="24"/>
              </w:rPr>
              <w:t>1.02</w:t>
            </w:r>
            <w:r>
              <w:rPr>
                <w:color w:val="000000"/>
                <w:sz w:val="24"/>
              </w:rPr>
              <w:t xml:space="preserve"> t/a，属于危险废物，</w:t>
            </w:r>
            <w:r>
              <w:rPr>
                <w:sz w:val="24"/>
              </w:rPr>
              <w:t>废物</w:t>
            </w:r>
            <w:r>
              <w:rPr>
                <w:color w:val="0D0D0D"/>
                <w:sz w:val="24"/>
              </w:rPr>
              <w:t>代码为HW</w:t>
            </w:r>
            <w:r>
              <w:rPr>
                <w:rFonts w:hint="eastAsia"/>
                <w:color w:val="0D0D0D"/>
                <w:sz w:val="24"/>
              </w:rPr>
              <w:t>49</w:t>
            </w:r>
            <w:r>
              <w:rPr>
                <w:color w:val="0D0D0D"/>
                <w:sz w:val="24"/>
              </w:rPr>
              <w:t>（900-0</w:t>
            </w:r>
            <w:r>
              <w:rPr>
                <w:rFonts w:hint="eastAsia"/>
                <w:color w:val="0D0D0D"/>
                <w:sz w:val="24"/>
              </w:rPr>
              <w:t>41</w:t>
            </w:r>
            <w:r>
              <w:rPr>
                <w:color w:val="0D0D0D"/>
                <w:sz w:val="24"/>
              </w:rPr>
              <w:t>-</w:t>
            </w:r>
            <w:r>
              <w:rPr>
                <w:rFonts w:hint="eastAsia"/>
                <w:color w:val="0D0D0D"/>
                <w:sz w:val="24"/>
              </w:rPr>
              <w:t>4</w:t>
            </w:r>
            <w:r>
              <w:rPr>
                <w:color w:val="0D0D0D"/>
                <w:sz w:val="24"/>
              </w:rPr>
              <w:t>9），需交资质单位处理。</w:t>
            </w:r>
          </w:p>
          <w:p>
            <w:pPr>
              <w:spacing w:line="360" w:lineRule="auto"/>
              <w:ind w:firstLine="480" w:firstLineChars="200"/>
              <w:rPr>
                <w:b/>
                <w:sz w:val="24"/>
              </w:rPr>
            </w:pPr>
            <w:r>
              <w:rPr>
                <w:rFonts w:hint="eastAsia" w:ascii="宋体" w:hAnsi="宋体"/>
                <w:color w:val="000000"/>
                <w:sz w:val="24"/>
              </w:rPr>
              <w:t>③</w:t>
            </w:r>
            <w:r>
              <w:rPr>
                <w:rFonts w:ascii="宋体" w:hAnsi="宋体"/>
                <w:color w:val="000000"/>
                <w:sz w:val="24"/>
              </w:rPr>
              <w:t>废活性炭</w:t>
            </w:r>
            <w:r>
              <w:rPr>
                <w:sz w:val="24"/>
              </w:rPr>
              <w:t>：</w:t>
            </w:r>
            <w:r>
              <w:rPr>
                <w:rFonts w:hint="eastAsia"/>
                <w:sz w:val="24"/>
              </w:rPr>
              <w:t>本项目</w:t>
            </w:r>
            <w:r>
              <w:rPr>
                <w:rFonts w:hint="eastAsia"/>
                <w:color w:val="000000"/>
                <w:kern w:val="0"/>
                <w:sz w:val="24"/>
              </w:rPr>
              <w:t>生产线喷漆以及晾干废气</w:t>
            </w:r>
            <w:r>
              <w:rPr>
                <w:rFonts w:hint="eastAsia"/>
                <w:sz w:val="24"/>
              </w:rPr>
              <w:t>经过</w:t>
            </w:r>
            <w:r>
              <w:rPr>
                <w:kern w:val="0"/>
                <w:sz w:val="24"/>
              </w:rPr>
              <w:t>过滤棉</w:t>
            </w:r>
            <w:r>
              <w:rPr>
                <w:rFonts w:hint="eastAsia"/>
                <w:kern w:val="0"/>
                <w:sz w:val="24"/>
              </w:rPr>
              <w:t>+活性炭+RCO处理后排放。</w:t>
            </w:r>
            <w:r>
              <w:rPr>
                <w:rFonts w:hint="eastAsia"/>
                <w:sz w:val="24"/>
              </w:rPr>
              <w:t>以上废气经活性炭吸附，当快达到饱和时停止吸附，浓缩后的废气脱附后进入RCO催化燃烧系统处理后外排。项目活性炭吸附有机废气后再脱附，能更大限度提高活性炭的活性，可延缓活性炭的寿命。</w:t>
            </w:r>
          </w:p>
          <w:p>
            <w:pPr>
              <w:widowControl/>
              <w:spacing w:line="360" w:lineRule="auto"/>
              <w:ind w:firstLine="480" w:firstLineChars="200"/>
              <w:rPr>
                <w:sz w:val="24"/>
              </w:rPr>
            </w:pPr>
            <w:r>
              <w:rPr>
                <w:rFonts w:hint="eastAsia"/>
                <w:sz w:val="24"/>
              </w:rPr>
              <w:t>项目非甲烷总烃废气通过活性炭吸附装置处理，项目需吸附的有机废气量为1.5t/a，活性炭吸附能力均以0.2g/g 计，则本项目理论需要活性炭的使用量为7.5t/a，则废活性炭产生量约9.0t/a（含有机废气1.5t/a）</w:t>
            </w:r>
            <w:r>
              <w:rPr>
                <w:sz w:val="24"/>
              </w:rPr>
              <w:t>。属于危险废物，废物类别：HW49（900-041-49），需交资质单位处理。</w:t>
            </w:r>
          </w:p>
          <w:p>
            <w:pPr>
              <w:spacing w:line="360" w:lineRule="auto"/>
              <w:ind w:firstLine="480" w:firstLineChars="200"/>
              <w:rPr>
                <w:sz w:val="24"/>
                <w:shd w:val="clear" w:color="auto" w:fill="FFFFFF"/>
              </w:rPr>
            </w:pPr>
            <w:r>
              <w:rPr>
                <w:rFonts w:hint="eastAsia" w:ascii="宋体" w:hAnsi="宋体"/>
                <w:sz w:val="24"/>
                <w:shd w:val="clear" w:color="auto" w:fill="FFFFFF"/>
              </w:rPr>
              <w:t>④</w:t>
            </w:r>
            <w:r>
              <w:rPr>
                <w:sz w:val="24"/>
                <w:shd w:val="clear" w:color="auto" w:fill="FFFFFF"/>
              </w:rPr>
              <w:t>废</w:t>
            </w:r>
            <w:r>
              <w:rPr>
                <w:rFonts w:hint="eastAsia"/>
                <w:sz w:val="24"/>
                <w:shd w:val="clear" w:color="auto" w:fill="FFFFFF"/>
                <w:lang w:val="en-US" w:eastAsia="zh-CN"/>
              </w:rPr>
              <w:t>润滑</w:t>
            </w:r>
            <w:r>
              <w:rPr>
                <w:rFonts w:hint="eastAsia"/>
                <w:sz w:val="24"/>
                <w:shd w:val="clear" w:color="auto" w:fill="FFFFFF"/>
              </w:rPr>
              <w:t>油</w:t>
            </w:r>
            <w:r>
              <w:rPr>
                <w:sz w:val="24"/>
                <w:shd w:val="clear" w:color="auto" w:fill="FFFFFF"/>
              </w:rPr>
              <w:t>：</w:t>
            </w:r>
            <w:r>
              <w:rPr>
                <w:rFonts w:hint="eastAsia"/>
                <w:sz w:val="24"/>
                <w:shd w:val="clear" w:color="auto" w:fill="FFFFFF"/>
              </w:rPr>
              <w:t>本</w:t>
            </w:r>
            <w:r>
              <w:rPr>
                <w:sz w:val="24"/>
                <w:shd w:val="clear" w:color="auto" w:fill="FFFFFF"/>
              </w:rPr>
              <w:t>项目</w:t>
            </w:r>
            <w:r>
              <w:rPr>
                <w:rFonts w:hint="eastAsia"/>
                <w:sz w:val="24"/>
                <w:shd w:val="clear" w:color="auto" w:fill="FFFFFF"/>
              </w:rPr>
              <w:t>运营过程中机械维护检修产生废机油，产生量约0.2 t/a，属于危险废物，危废类别</w:t>
            </w:r>
            <w:r>
              <w:rPr>
                <w:sz w:val="24"/>
                <w:shd w:val="clear" w:color="auto" w:fill="FFFFFF"/>
              </w:rPr>
              <w:t>HW</w:t>
            </w:r>
            <w:r>
              <w:rPr>
                <w:rFonts w:hint="eastAsia"/>
                <w:sz w:val="24"/>
                <w:shd w:val="clear" w:color="auto" w:fill="FFFFFF"/>
              </w:rPr>
              <w:t>08（</w:t>
            </w:r>
            <w:r>
              <w:rPr>
                <w:sz w:val="24"/>
                <w:shd w:val="clear" w:color="auto" w:fill="FFFFFF"/>
              </w:rPr>
              <w:t>900-</w:t>
            </w:r>
            <w:r>
              <w:rPr>
                <w:rFonts w:hint="eastAsia"/>
                <w:sz w:val="24"/>
                <w:shd w:val="clear" w:color="auto" w:fill="FFFFFF"/>
              </w:rPr>
              <w:t>249</w:t>
            </w:r>
            <w:r>
              <w:rPr>
                <w:sz w:val="24"/>
                <w:shd w:val="clear" w:color="auto" w:fill="FFFFFF"/>
              </w:rPr>
              <w:t>-</w:t>
            </w:r>
            <w:r>
              <w:rPr>
                <w:rFonts w:hint="eastAsia"/>
                <w:sz w:val="24"/>
                <w:shd w:val="clear" w:color="auto" w:fill="FFFFFF"/>
              </w:rPr>
              <w:t>08），交由有资质的单位处理。</w:t>
            </w:r>
          </w:p>
          <w:p>
            <w:pPr>
              <w:spacing w:line="360" w:lineRule="auto"/>
              <w:ind w:firstLine="480" w:firstLineChars="200"/>
              <w:rPr>
                <w:color w:val="000000"/>
                <w:sz w:val="24"/>
              </w:rPr>
            </w:pPr>
            <w:r>
              <w:rPr>
                <w:rFonts w:hint="eastAsia" w:ascii="宋体" w:hAnsi="宋体"/>
                <w:color w:val="000000"/>
                <w:sz w:val="24"/>
              </w:rPr>
              <w:t>⑤</w:t>
            </w:r>
            <w:r>
              <w:rPr>
                <w:rFonts w:hint="eastAsia"/>
                <w:color w:val="000000"/>
                <w:sz w:val="24"/>
              </w:rPr>
              <w:t>废含油手套、抹布：废含油手套、抹布年产生量为0.01 t/a，属于危险废物</w:t>
            </w:r>
            <w:r>
              <w:rPr>
                <w:sz w:val="24"/>
              </w:rPr>
              <w:t>（编号：</w:t>
            </w:r>
            <w:r>
              <w:rPr>
                <w:rFonts w:hint="eastAsia"/>
                <w:color w:val="0D0D0D"/>
                <w:sz w:val="24"/>
              </w:rPr>
              <w:t>900-041-49</w:t>
            </w:r>
            <w:r>
              <w:rPr>
                <w:sz w:val="24"/>
              </w:rPr>
              <w:t>）</w:t>
            </w:r>
            <w:r>
              <w:rPr>
                <w:rFonts w:hint="eastAsia"/>
                <w:color w:val="0D0D0D"/>
                <w:sz w:val="24"/>
              </w:rPr>
              <w:t>，与其他危险废物一起集中收集，交由有资质的单位处理</w:t>
            </w:r>
            <w:r>
              <w:rPr>
                <w:rFonts w:hint="eastAsia"/>
                <w:color w:val="000000"/>
                <w:sz w:val="24"/>
              </w:rPr>
              <w:t>。</w:t>
            </w:r>
          </w:p>
          <w:p>
            <w:pPr>
              <w:spacing w:line="360" w:lineRule="auto"/>
              <w:ind w:firstLine="480" w:firstLineChars="200"/>
              <w:rPr>
                <w:color w:val="000000"/>
                <w:sz w:val="24"/>
              </w:rPr>
            </w:pPr>
            <w:r>
              <w:rPr>
                <w:rFonts w:hint="eastAsia"/>
                <w:color w:val="000000"/>
                <w:sz w:val="24"/>
              </w:rPr>
              <w:fldChar w:fldCharType="begin"/>
            </w:r>
            <w:r>
              <w:rPr>
                <w:rFonts w:hint="eastAsia"/>
                <w:color w:val="000000"/>
                <w:sz w:val="24"/>
              </w:rPr>
              <w:instrText xml:space="preserve"> = 6 \* GB3 \* MERGEFORMAT </w:instrText>
            </w:r>
            <w:r>
              <w:rPr>
                <w:rFonts w:hint="eastAsia"/>
                <w:color w:val="000000"/>
                <w:sz w:val="24"/>
              </w:rPr>
              <w:fldChar w:fldCharType="separate"/>
            </w:r>
            <w:r>
              <w:t>⑥</w:t>
            </w:r>
            <w:r>
              <w:rPr>
                <w:rFonts w:hint="eastAsia"/>
                <w:color w:val="000000"/>
                <w:sz w:val="24"/>
              </w:rPr>
              <w:fldChar w:fldCharType="end"/>
            </w:r>
            <w:r>
              <w:rPr>
                <w:rFonts w:hint="eastAsia"/>
                <w:color w:val="000000"/>
                <w:sz w:val="24"/>
              </w:rPr>
              <w:t>废</w:t>
            </w:r>
            <w:r>
              <w:rPr>
                <w:rFonts w:hint="eastAsia"/>
                <w:color w:val="000000"/>
                <w:sz w:val="24"/>
                <w:lang w:val="en-US" w:eastAsia="zh-CN"/>
              </w:rPr>
              <w:t>润滑</w:t>
            </w:r>
            <w:r>
              <w:rPr>
                <w:rFonts w:hint="eastAsia"/>
                <w:color w:val="000000"/>
                <w:sz w:val="24"/>
              </w:rPr>
              <w:t>油桶：本项目运营过程中会产生少量废机油桶，年产生量约为0.02t/a，属于危险废物，废物类别：HW49（900-041-49），交由有资质的单位处理。</w:t>
            </w:r>
          </w:p>
          <w:p>
            <w:pPr>
              <w:spacing w:line="360" w:lineRule="auto"/>
              <w:ind w:firstLine="480" w:firstLineChars="200"/>
              <w:rPr>
                <w:color w:val="000000"/>
                <w:sz w:val="24"/>
              </w:rPr>
            </w:pPr>
            <w:r>
              <w:rPr>
                <w:color w:val="000000"/>
                <w:sz w:val="24"/>
              </w:rPr>
              <w:t>根据环境保护部2017年第43号公告《建设项目危险废物环境影响评价指南》，针对危险废物列明危险废物的名称、数量、类别、形态、危险特性和污染防治措施等内容，具体见下表</w:t>
            </w:r>
            <w:r>
              <w:rPr>
                <w:rFonts w:hint="eastAsia"/>
                <w:color w:val="000000"/>
                <w:sz w:val="24"/>
              </w:rPr>
              <w:t>。</w:t>
            </w:r>
          </w:p>
          <w:p>
            <w:pPr>
              <w:widowControl/>
              <w:spacing w:before="120" w:beforeLines="50"/>
              <w:jc w:val="center"/>
              <w:rPr>
                <w:b/>
                <w:color w:val="000000"/>
                <w:kern w:val="0"/>
                <w:sz w:val="24"/>
              </w:rPr>
            </w:pPr>
            <w:r>
              <w:rPr>
                <w:b/>
                <w:color w:val="000000"/>
                <w:kern w:val="0"/>
                <w:sz w:val="24"/>
              </w:rPr>
              <w:t>表</w:t>
            </w:r>
            <w:r>
              <w:rPr>
                <w:rFonts w:hint="eastAsia"/>
                <w:b/>
                <w:color w:val="000000"/>
                <w:kern w:val="0"/>
                <w:sz w:val="24"/>
              </w:rPr>
              <w:t>4</w:t>
            </w:r>
            <w:r>
              <w:rPr>
                <w:b/>
                <w:color w:val="000000"/>
                <w:kern w:val="0"/>
                <w:sz w:val="24"/>
              </w:rPr>
              <w:t>-</w:t>
            </w:r>
            <w:r>
              <w:rPr>
                <w:rFonts w:hint="eastAsia"/>
                <w:b/>
                <w:color w:val="000000"/>
                <w:kern w:val="0"/>
                <w:sz w:val="24"/>
              </w:rPr>
              <w:t>9</w:t>
            </w:r>
            <w:r>
              <w:rPr>
                <w:b/>
                <w:color w:val="000000"/>
                <w:kern w:val="0"/>
                <w:sz w:val="24"/>
              </w:rPr>
              <w:t xml:space="preserve"> 本项目</w:t>
            </w:r>
            <w:r>
              <w:rPr>
                <w:rFonts w:hint="eastAsia"/>
                <w:b/>
                <w:color w:val="000000"/>
                <w:kern w:val="0"/>
                <w:sz w:val="24"/>
              </w:rPr>
              <w:t>固体</w:t>
            </w:r>
            <w:r>
              <w:rPr>
                <w:b/>
                <w:color w:val="000000"/>
                <w:kern w:val="0"/>
                <w:sz w:val="24"/>
              </w:rPr>
              <w:t>废物特性、产生量情况、污染防治措施情况一览表</w:t>
            </w:r>
          </w:p>
          <w:tbl>
            <w:tblPr>
              <w:tblStyle w:val="5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46"/>
              <w:gridCol w:w="760"/>
              <w:gridCol w:w="638"/>
              <w:gridCol w:w="882"/>
              <w:gridCol w:w="1199"/>
              <w:gridCol w:w="588"/>
              <w:gridCol w:w="873"/>
              <w:gridCol w:w="588"/>
              <w:gridCol w:w="588"/>
              <w:gridCol w:w="698"/>
              <w:gridCol w:w="11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6" w:type="dxa"/>
                  <w:vAlign w:val="center"/>
                </w:tcPr>
                <w:p>
                  <w:pPr>
                    <w:jc w:val="center"/>
                    <w:rPr>
                      <w:b/>
                      <w:szCs w:val="21"/>
                    </w:rPr>
                  </w:pPr>
                  <w:r>
                    <w:rPr>
                      <w:rFonts w:hint="eastAsia"/>
                      <w:b/>
                      <w:szCs w:val="21"/>
                    </w:rPr>
                    <w:t>序号</w:t>
                  </w:r>
                </w:p>
              </w:tc>
              <w:tc>
                <w:tcPr>
                  <w:tcW w:w="760" w:type="dxa"/>
                  <w:vAlign w:val="center"/>
                </w:tcPr>
                <w:p>
                  <w:pPr>
                    <w:jc w:val="center"/>
                    <w:rPr>
                      <w:b/>
                      <w:szCs w:val="21"/>
                    </w:rPr>
                  </w:pPr>
                  <w:r>
                    <w:rPr>
                      <w:rFonts w:hint="eastAsia"/>
                      <w:b/>
                      <w:szCs w:val="21"/>
                    </w:rPr>
                    <w:t>名称</w:t>
                  </w:r>
                </w:p>
              </w:tc>
              <w:tc>
                <w:tcPr>
                  <w:tcW w:w="638" w:type="dxa"/>
                  <w:vAlign w:val="center"/>
                </w:tcPr>
                <w:p>
                  <w:pPr>
                    <w:jc w:val="center"/>
                    <w:rPr>
                      <w:b/>
                      <w:szCs w:val="21"/>
                    </w:rPr>
                  </w:pPr>
                  <w:r>
                    <w:rPr>
                      <w:rFonts w:hint="eastAsia"/>
                      <w:b/>
                      <w:szCs w:val="21"/>
                    </w:rPr>
                    <w:t>来源</w:t>
                  </w:r>
                </w:p>
              </w:tc>
              <w:tc>
                <w:tcPr>
                  <w:tcW w:w="882" w:type="dxa"/>
                  <w:vAlign w:val="center"/>
                </w:tcPr>
                <w:p>
                  <w:pPr>
                    <w:jc w:val="center"/>
                    <w:rPr>
                      <w:b/>
                      <w:szCs w:val="21"/>
                    </w:rPr>
                  </w:pPr>
                  <w:r>
                    <w:rPr>
                      <w:rFonts w:hint="eastAsia"/>
                      <w:b/>
                      <w:szCs w:val="21"/>
                    </w:rPr>
                    <w:t>废物类别</w:t>
                  </w:r>
                </w:p>
              </w:tc>
              <w:tc>
                <w:tcPr>
                  <w:tcW w:w="1199" w:type="dxa"/>
                  <w:vAlign w:val="center"/>
                </w:tcPr>
                <w:p>
                  <w:pPr>
                    <w:jc w:val="center"/>
                    <w:rPr>
                      <w:b/>
                      <w:szCs w:val="21"/>
                    </w:rPr>
                  </w:pPr>
                  <w:r>
                    <w:rPr>
                      <w:rFonts w:hint="eastAsia"/>
                      <w:b/>
                      <w:szCs w:val="21"/>
                    </w:rPr>
                    <w:t>废物代码</w:t>
                  </w:r>
                </w:p>
              </w:tc>
              <w:tc>
                <w:tcPr>
                  <w:tcW w:w="588" w:type="dxa"/>
                  <w:vAlign w:val="center"/>
                </w:tcPr>
                <w:p>
                  <w:pPr>
                    <w:jc w:val="center"/>
                    <w:rPr>
                      <w:b/>
                      <w:szCs w:val="21"/>
                    </w:rPr>
                  </w:pPr>
                  <w:r>
                    <w:rPr>
                      <w:rFonts w:hint="eastAsia"/>
                      <w:b/>
                      <w:szCs w:val="21"/>
                    </w:rPr>
                    <w:t>形态</w:t>
                  </w:r>
                </w:p>
              </w:tc>
              <w:tc>
                <w:tcPr>
                  <w:tcW w:w="873" w:type="dxa"/>
                  <w:vAlign w:val="center"/>
                </w:tcPr>
                <w:p>
                  <w:pPr>
                    <w:jc w:val="center"/>
                    <w:rPr>
                      <w:b/>
                      <w:szCs w:val="21"/>
                    </w:rPr>
                  </w:pPr>
                  <w:r>
                    <w:rPr>
                      <w:rFonts w:hint="eastAsia"/>
                      <w:b/>
                      <w:szCs w:val="21"/>
                    </w:rPr>
                    <w:t>产生量（t/a）</w:t>
                  </w:r>
                </w:p>
              </w:tc>
              <w:tc>
                <w:tcPr>
                  <w:tcW w:w="588" w:type="dxa"/>
                  <w:vAlign w:val="center"/>
                </w:tcPr>
                <w:p>
                  <w:pPr>
                    <w:jc w:val="center"/>
                    <w:rPr>
                      <w:b/>
                      <w:szCs w:val="21"/>
                    </w:rPr>
                  </w:pPr>
                  <w:r>
                    <w:rPr>
                      <w:rFonts w:hint="eastAsia"/>
                      <w:b/>
                      <w:szCs w:val="21"/>
                    </w:rPr>
                    <w:t>主要成分</w:t>
                  </w:r>
                </w:p>
              </w:tc>
              <w:tc>
                <w:tcPr>
                  <w:tcW w:w="588" w:type="dxa"/>
                  <w:vAlign w:val="center"/>
                </w:tcPr>
                <w:p>
                  <w:pPr>
                    <w:jc w:val="center"/>
                    <w:rPr>
                      <w:b/>
                      <w:szCs w:val="21"/>
                    </w:rPr>
                  </w:pPr>
                  <w:r>
                    <w:rPr>
                      <w:rFonts w:hint="eastAsia"/>
                      <w:b/>
                      <w:szCs w:val="21"/>
                    </w:rPr>
                    <w:t>有害成分</w:t>
                  </w:r>
                </w:p>
              </w:tc>
              <w:tc>
                <w:tcPr>
                  <w:tcW w:w="698" w:type="dxa"/>
                  <w:vAlign w:val="center"/>
                </w:tcPr>
                <w:p>
                  <w:pPr>
                    <w:jc w:val="center"/>
                    <w:rPr>
                      <w:b/>
                      <w:szCs w:val="21"/>
                    </w:rPr>
                  </w:pPr>
                  <w:r>
                    <w:rPr>
                      <w:rFonts w:hint="eastAsia"/>
                      <w:b/>
                      <w:szCs w:val="21"/>
                    </w:rPr>
                    <w:t>危险特性</w:t>
                  </w:r>
                </w:p>
              </w:tc>
              <w:tc>
                <w:tcPr>
                  <w:tcW w:w="1145" w:type="dxa"/>
                  <w:vAlign w:val="center"/>
                </w:tcPr>
                <w:p>
                  <w:pPr>
                    <w:jc w:val="center"/>
                    <w:rPr>
                      <w:b/>
                      <w:szCs w:val="21"/>
                    </w:rPr>
                  </w:pPr>
                  <w:r>
                    <w:rPr>
                      <w:rFonts w:hint="eastAsia"/>
                      <w:b/>
                      <w:szCs w:val="21"/>
                    </w:rPr>
                    <w:t>拟采取的利用或处置方式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6" w:type="dxa"/>
                  <w:vAlign w:val="center"/>
                </w:tcPr>
                <w:p>
                  <w:pPr>
                    <w:jc w:val="center"/>
                    <w:rPr>
                      <w:szCs w:val="21"/>
                    </w:rPr>
                  </w:pPr>
                  <w:r>
                    <w:rPr>
                      <w:rFonts w:hint="eastAsia"/>
                      <w:szCs w:val="21"/>
                    </w:rPr>
                    <w:t>1</w:t>
                  </w:r>
                </w:p>
              </w:tc>
              <w:tc>
                <w:tcPr>
                  <w:tcW w:w="760" w:type="dxa"/>
                  <w:vAlign w:val="center"/>
                </w:tcPr>
                <w:p>
                  <w:pPr>
                    <w:jc w:val="center"/>
                    <w:rPr>
                      <w:szCs w:val="21"/>
                    </w:rPr>
                  </w:pPr>
                  <w:r>
                    <w:rPr>
                      <w:rFonts w:hint="eastAsia"/>
                      <w:szCs w:val="21"/>
                    </w:rPr>
                    <w:t>废钢砂</w:t>
                  </w:r>
                </w:p>
              </w:tc>
              <w:tc>
                <w:tcPr>
                  <w:tcW w:w="638" w:type="dxa"/>
                  <w:vAlign w:val="center"/>
                </w:tcPr>
                <w:p>
                  <w:pPr>
                    <w:jc w:val="center"/>
                    <w:rPr>
                      <w:szCs w:val="21"/>
                    </w:rPr>
                  </w:pPr>
                  <w:r>
                    <w:rPr>
                      <w:rFonts w:hint="eastAsia"/>
                      <w:szCs w:val="21"/>
                    </w:rPr>
                    <w:t>喷砂</w:t>
                  </w:r>
                </w:p>
              </w:tc>
              <w:tc>
                <w:tcPr>
                  <w:tcW w:w="882" w:type="dxa"/>
                  <w:vAlign w:val="center"/>
                </w:tcPr>
                <w:p>
                  <w:pPr>
                    <w:jc w:val="center"/>
                    <w:rPr>
                      <w:szCs w:val="21"/>
                    </w:rPr>
                  </w:pPr>
                  <w:r>
                    <w:rPr>
                      <w:rFonts w:hint="eastAsia"/>
                      <w:szCs w:val="21"/>
                    </w:rPr>
                    <w:t>/</w:t>
                  </w:r>
                </w:p>
              </w:tc>
              <w:tc>
                <w:tcPr>
                  <w:tcW w:w="1199" w:type="dxa"/>
                  <w:vAlign w:val="center"/>
                </w:tcPr>
                <w:p>
                  <w:pPr>
                    <w:jc w:val="center"/>
                    <w:rPr>
                      <w:szCs w:val="21"/>
                    </w:rPr>
                  </w:pPr>
                  <w:r>
                    <w:rPr>
                      <w:rFonts w:hint="eastAsia"/>
                      <w:szCs w:val="21"/>
                    </w:rPr>
                    <w:t>/</w:t>
                  </w:r>
                </w:p>
              </w:tc>
              <w:tc>
                <w:tcPr>
                  <w:tcW w:w="588" w:type="dxa"/>
                  <w:vAlign w:val="center"/>
                </w:tcPr>
                <w:p>
                  <w:pPr>
                    <w:jc w:val="center"/>
                    <w:rPr>
                      <w:szCs w:val="21"/>
                    </w:rPr>
                  </w:pPr>
                  <w:r>
                    <w:rPr>
                      <w:rFonts w:hint="eastAsia"/>
                      <w:szCs w:val="21"/>
                    </w:rPr>
                    <w:t>固</w:t>
                  </w:r>
                </w:p>
              </w:tc>
              <w:tc>
                <w:tcPr>
                  <w:tcW w:w="873" w:type="dxa"/>
                  <w:vAlign w:val="center"/>
                </w:tcPr>
                <w:p>
                  <w:pPr>
                    <w:jc w:val="center"/>
                    <w:rPr>
                      <w:szCs w:val="21"/>
                    </w:rPr>
                  </w:pPr>
                  <w:r>
                    <w:rPr>
                      <w:rFonts w:hint="eastAsia"/>
                      <w:szCs w:val="21"/>
                    </w:rPr>
                    <w:t>28.4</w:t>
                  </w:r>
                </w:p>
              </w:tc>
              <w:tc>
                <w:tcPr>
                  <w:tcW w:w="588" w:type="dxa"/>
                  <w:vAlign w:val="center"/>
                </w:tcPr>
                <w:p>
                  <w:pPr>
                    <w:jc w:val="center"/>
                    <w:rPr>
                      <w:b/>
                      <w:szCs w:val="21"/>
                    </w:rPr>
                  </w:pPr>
                  <w:r>
                    <w:rPr>
                      <w:rFonts w:hint="eastAsia"/>
                      <w:b/>
                      <w:szCs w:val="21"/>
                    </w:rPr>
                    <w:t>/</w:t>
                  </w:r>
                </w:p>
              </w:tc>
              <w:tc>
                <w:tcPr>
                  <w:tcW w:w="588" w:type="dxa"/>
                  <w:vAlign w:val="center"/>
                </w:tcPr>
                <w:p>
                  <w:pPr>
                    <w:jc w:val="center"/>
                    <w:rPr>
                      <w:szCs w:val="21"/>
                    </w:rPr>
                  </w:pPr>
                  <w:r>
                    <w:rPr>
                      <w:rFonts w:hint="eastAsia"/>
                      <w:szCs w:val="21"/>
                    </w:rPr>
                    <w:t>/</w:t>
                  </w:r>
                </w:p>
              </w:tc>
              <w:tc>
                <w:tcPr>
                  <w:tcW w:w="698" w:type="dxa"/>
                  <w:vAlign w:val="center"/>
                </w:tcPr>
                <w:p>
                  <w:pPr>
                    <w:jc w:val="center"/>
                    <w:rPr>
                      <w:szCs w:val="21"/>
                    </w:rPr>
                  </w:pPr>
                  <w:r>
                    <w:rPr>
                      <w:rFonts w:hint="eastAsia"/>
                      <w:szCs w:val="21"/>
                    </w:rPr>
                    <w:t>/</w:t>
                  </w:r>
                </w:p>
              </w:tc>
              <w:tc>
                <w:tcPr>
                  <w:tcW w:w="1145" w:type="dxa"/>
                  <w:vMerge w:val="restart"/>
                  <w:vAlign w:val="center"/>
                </w:tcPr>
                <w:p>
                  <w:pPr>
                    <w:jc w:val="center"/>
                    <w:rPr>
                      <w:szCs w:val="21"/>
                    </w:rPr>
                  </w:pPr>
                  <w:r>
                    <w:rPr>
                      <w:rFonts w:hint="eastAsia"/>
                      <w:szCs w:val="21"/>
                    </w:rPr>
                    <w:t>集中收集后外售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6" w:type="dxa"/>
                  <w:vAlign w:val="center"/>
                </w:tcPr>
                <w:p>
                  <w:pPr>
                    <w:jc w:val="center"/>
                    <w:rPr>
                      <w:szCs w:val="21"/>
                    </w:rPr>
                  </w:pPr>
                  <w:r>
                    <w:rPr>
                      <w:rFonts w:hint="eastAsia"/>
                      <w:szCs w:val="21"/>
                    </w:rPr>
                    <w:t>2</w:t>
                  </w:r>
                </w:p>
              </w:tc>
              <w:tc>
                <w:tcPr>
                  <w:tcW w:w="760" w:type="dxa"/>
                  <w:vAlign w:val="center"/>
                </w:tcPr>
                <w:p>
                  <w:pPr>
                    <w:jc w:val="center"/>
                    <w:rPr>
                      <w:szCs w:val="21"/>
                    </w:rPr>
                  </w:pPr>
                  <w:r>
                    <w:rPr>
                      <w:rFonts w:hint="eastAsia"/>
                      <w:szCs w:val="21"/>
                    </w:rPr>
                    <w:t>除尘器收集的粉尘</w:t>
                  </w:r>
                </w:p>
              </w:tc>
              <w:tc>
                <w:tcPr>
                  <w:tcW w:w="638" w:type="dxa"/>
                  <w:vMerge w:val="restart"/>
                  <w:vAlign w:val="center"/>
                </w:tcPr>
                <w:p>
                  <w:pPr>
                    <w:jc w:val="center"/>
                    <w:rPr>
                      <w:szCs w:val="21"/>
                    </w:rPr>
                  </w:pPr>
                  <w:r>
                    <w:rPr>
                      <w:rFonts w:hint="eastAsia"/>
                      <w:szCs w:val="21"/>
                    </w:rPr>
                    <w:t>废气处理</w:t>
                  </w:r>
                </w:p>
              </w:tc>
              <w:tc>
                <w:tcPr>
                  <w:tcW w:w="882" w:type="dxa"/>
                  <w:vAlign w:val="center"/>
                </w:tcPr>
                <w:p>
                  <w:pPr>
                    <w:jc w:val="center"/>
                    <w:rPr>
                      <w:szCs w:val="21"/>
                    </w:rPr>
                  </w:pPr>
                  <w:r>
                    <w:rPr>
                      <w:rFonts w:hint="eastAsia"/>
                      <w:szCs w:val="21"/>
                    </w:rPr>
                    <w:t>/</w:t>
                  </w:r>
                </w:p>
              </w:tc>
              <w:tc>
                <w:tcPr>
                  <w:tcW w:w="1199" w:type="dxa"/>
                  <w:vAlign w:val="center"/>
                </w:tcPr>
                <w:p>
                  <w:pPr>
                    <w:jc w:val="center"/>
                    <w:rPr>
                      <w:szCs w:val="21"/>
                    </w:rPr>
                  </w:pPr>
                  <w:r>
                    <w:rPr>
                      <w:rFonts w:hint="eastAsia"/>
                      <w:szCs w:val="21"/>
                    </w:rPr>
                    <w:t>/</w:t>
                  </w:r>
                </w:p>
              </w:tc>
              <w:tc>
                <w:tcPr>
                  <w:tcW w:w="588" w:type="dxa"/>
                  <w:vAlign w:val="center"/>
                </w:tcPr>
                <w:p>
                  <w:pPr>
                    <w:jc w:val="center"/>
                    <w:rPr>
                      <w:szCs w:val="21"/>
                    </w:rPr>
                  </w:pPr>
                  <w:r>
                    <w:rPr>
                      <w:rFonts w:hint="eastAsia"/>
                      <w:szCs w:val="21"/>
                    </w:rPr>
                    <w:t>固</w:t>
                  </w:r>
                </w:p>
              </w:tc>
              <w:tc>
                <w:tcPr>
                  <w:tcW w:w="873" w:type="dxa"/>
                  <w:vAlign w:val="center"/>
                </w:tcPr>
                <w:p>
                  <w:pPr>
                    <w:jc w:val="center"/>
                    <w:rPr>
                      <w:szCs w:val="21"/>
                    </w:rPr>
                  </w:pPr>
                  <w:r>
                    <w:rPr>
                      <w:rFonts w:hint="eastAsia"/>
                      <w:szCs w:val="21"/>
                    </w:rPr>
                    <w:t>10.84</w:t>
                  </w:r>
                </w:p>
              </w:tc>
              <w:tc>
                <w:tcPr>
                  <w:tcW w:w="588" w:type="dxa"/>
                  <w:vAlign w:val="center"/>
                </w:tcPr>
                <w:p>
                  <w:pPr>
                    <w:jc w:val="center"/>
                    <w:rPr>
                      <w:szCs w:val="21"/>
                    </w:rPr>
                  </w:pPr>
                  <w:r>
                    <w:rPr>
                      <w:rFonts w:hint="eastAsia"/>
                      <w:szCs w:val="21"/>
                    </w:rPr>
                    <w:t>/</w:t>
                  </w:r>
                </w:p>
              </w:tc>
              <w:tc>
                <w:tcPr>
                  <w:tcW w:w="588" w:type="dxa"/>
                  <w:vAlign w:val="center"/>
                </w:tcPr>
                <w:p>
                  <w:pPr>
                    <w:jc w:val="center"/>
                    <w:rPr>
                      <w:szCs w:val="21"/>
                    </w:rPr>
                  </w:pPr>
                  <w:r>
                    <w:rPr>
                      <w:rFonts w:hint="eastAsia"/>
                      <w:szCs w:val="21"/>
                    </w:rPr>
                    <w:t>/</w:t>
                  </w:r>
                </w:p>
              </w:tc>
              <w:tc>
                <w:tcPr>
                  <w:tcW w:w="698" w:type="dxa"/>
                  <w:vAlign w:val="center"/>
                </w:tcPr>
                <w:p>
                  <w:pPr>
                    <w:jc w:val="center"/>
                    <w:rPr>
                      <w:szCs w:val="21"/>
                    </w:rPr>
                  </w:pPr>
                  <w:r>
                    <w:rPr>
                      <w:rFonts w:hint="eastAsia"/>
                      <w:szCs w:val="21"/>
                    </w:rPr>
                    <w:t>/</w:t>
                  </w:r>
                </w:p>
              </w:tc>
              <w:tc>
                <w:tcPr>
                  <w:tcW w:w="1145" w:type="dxa"/>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6" w:type="dxa"/>
                  <w:vAlign w:val="center"/>
                </w:tcPr>
                <w:p>
                  <w:pPr>
                    <w:jc w:val="center"/>
                    <w:rPr>
                      <w:szCs w:val="21"/>
                    </w:rPr>
                  </w:pPr>
                  <w:r>
                    <w:rPr>
                      <w:rFonts w:hint="eastAsia"/>
                      <w:szCs w:val="21"/>
                    </w:rPr>
                    <w:t>3</w:t>
                  </w:r>
                </w:p>
              </w:tc>
              <w:tc>
                <w:tcPr>
                  <w:tcW w:w="760" w:type="dxa"/>
                  <w:vAlign w:val="center"/>
                </w:tcPr>
                <w:p>
                  <w:pPr>
                    <w:jc w:val="center"/>
                    <w:rPr>
                      <w:szCs w:val="21"/>
                    </w:rPr>
                  </w:pPr>
                  <w:r>
                    <w:rPr>
                      <w:rFonts w:hint="eastAsia"/>
                      <w:szCs w:val="21"/>
                    </w:rPr>
                    <w:t>废过滤棉及漆渣</w:t>
                  </w:r>
                </w:p>
              </w:tc>
              <w:tc>
                <w:tcPr>
                  <w:tcW w:w="638" w:type="dxa"/>
                  <w:vMerge w:val="continue"/>
                  <w:vAlign w:val="center"/>
                </w:tcPr>
                <w:p>
                  <w:pPr>
                    <w:jc w:val="center"/>
                    <w:rPr>
                      <w:szCs w:val="21"/>
                    </w:rPr>
                  </w:pPr>
                </w:p>
              </w:tc>
              <w:tc>
                <w:tcPr>
                  <w:tcW w:w="882" w:type="dxa"/>
                  <w:vAlign w:val="center"/>
                </w:tcPr>
                <w:p>
                  <w:pPr>
                    <w:jc w:val="center"/>
                    <w:rPr>
                      <w:szCs w:val="21"/>
                    </w:rPr>
                  </w:pPr>
                  <w:r>
                    <w:rPr>
                      <w:rFonts w:hint="eastAsia"/>
                      <w:szCs w:val="21"/>
                    </w:rPr>
                    <w:t>HW49</w:t>
                  </w:r>
                </w:p>
              </w:tc>
              <w:tc>
                <w:tcPr>
                  <w:tcW w:w="1199" w:type="dxa"/>
                  <w:vAlign w:val="center"/>
                </w:tcPr>
                <w:p>
                  <w:pPr>
                    <w:jc w:val="center"/>
                    <w:rPr>
                      <w:szCs w:val="21"/>
                    </w:rPr>
                  </w:pPr>
                  <w:r>
                    <w:rPr>
                      <w:szCs w:val="21"/>
                    </w:rPr>
                    <w:t>900-0</w:t>
                  </w:r>
                  <w:r>
                    <w:rPr>
                      <w:rFonts w:hint="eastAsia"/>
                      <w:szCs w:val="21"/>
                    </w:rPr>
                    <w:t>41</w:t>
                  </w:r>
                  <w:r>
                    <w:rPr>
                      <w:szCs w:val="21"/>
                    </w:rPr>
                    <w:t>-</w:t>
                  </w:r>
                  <w:r>
                    <w:rPr>
                      <w:rFonts w:hint="eastAsia"/>
                      <w:szCs w:val="21"/>
                    </w:rPr>
                    <w:t>4</w:t>
                  </w:r>
                  <w:r>
                    <w:rPr>
                      <w:szCs w:val="21"/>
                    </w:rPr>
                    <w:t>9</w:t>
                  </w:r>
                </w:p>
              </w:tc>
              <w:tc>
                <w:tcPr>
                  <w:tcW w:w="588" w:type="dxa"/>
                  <w:vAlign w:val="center"/>
                </w:tcPr>
                <w:p>
                  <w:pPr>
                    <w:jc w:val="center"/>
                    <w:rPr>
                      <w:szCs w:val="21"/>
                    </w:rPr>
                  </w:pPr>
                  <w:r>
                    <w:rPr>
                      <w:rFonts w:hint="eastAsia"/>
                      <w:szCs w:val="21"/>
                    </w:rPr>
                    <w:t>固</w:t>
                  </w:r>
                </w:p>
              </w:tc>
              <w:tc>
                <w:tcPr>
                  <w:tcW w:w="873" w:type="dxa"/>
                  <w:vAlign w:val="center"/>
                </w:tcPr>
                <w:p>
                  <w:pPr>
                    <w:jc w:val="center"/>
                    <w:rPr>
                      <w:szCs w:val="21"/>
                    </w:rPr>
                  </w:pPr>
                  <w:r>
                    <w:rPr>
                      <w:rFonts w:hint="eastAsia"/>
                      <w:szCs w:val="21"/>
                    </w:rPr>
                    <w:t>5.25</w:t>
                  </w:r>
                </w:p>
              </w:tc>
              <w:tc>
                <w:tcPr>
                  <w:tcW w:w="588" w:type="dxa"/>
                  <w:vAlign w:val="center"/>
                </w:tcPr>
                <w:p>
                  <w:pPr>
                    <w:jc w:val="center"/>
                    <w:rPr>
                      <w:szCs w:val="21"/>
                    </w:rPr>
                  </w:pPr>
                  <w:r>
                    <w:rPr>
                      <w:rFonts w:hint="eastAsia"/>
                      <w:szCs w:val="21"/>
                    </w:rPr>
                    <w:t>有机废气</w:t>
                  </w:r>
                </w:p>
              </w:tc>
              <w:tc>
                <w:tcPr>
                  <w:tcW w:w="588" w:type="dxa"/>
                  <w:vAlign w:val="center"/>
                </w:tcPr>
                <w:p>
                  <w:pPr>
                    <w:jc w:val="center"/>
                    <w:rPr>
                      <w:szCs w:val="21"/>
                    </w:rPr>
                  </w:pPr>
                  <w:r>
                    <w:rPr>
                      <w:rFonts w:hint="eastAsia"/>
                      <w:szCs w:val="21"/>
                    </w:rPr>
                    <w:t>有机废气</w:t>
                  </w:r>
                </w:p>
              </w:tc>
              <w:tc>
                <w:tcPr>
                  <w:tcW w:w="698" w:type="dxa"/>
                  <w:vAlign w:val="center"/>
                </w:tcPr>
                <w:p>
                  <w:pPr>
                    <w:jc w:val="center"/>
                    <w:rPr>
                      <w:szCs w:val="21"/>
                    </w:rPr>
                  </w:pPr>
                  <w:r>
                    <w:rPr>
                      <w:color w:val="000000"/>
                      <w:szCs w:val="21"/>
                    </w:rPr>
                    <w:t>毒性/易燃性</w:t>
                  </w:r>
                </w:p>
              </w:tc>
              <w:tc>
                <w:tcPr>
                  <w:tcW w:w="1145" w:type="dxa"/>
                  <w:vMerge w:val="restart"/>
                  <w:vAlign w:val="center"/>
                </w:tcPr>
                <w:p>
                  <w:pPr>
                    <w:jc w:val="center"/>
                    <w:rPr>
                      <w:szCs w:val="21"/>
                    </w:rPr>
                  </w:pPr>
                  <w:r>
                    <w:rPr>
                      <w:color w:val="000000"/>
                      <w:kern w:val="0"/>
                      <w:szCs w:val="21"/>
                    </w:rPr>
                    <w:t>专用包装桶（袋）存放于危废暂存库，定期委托资质单位处置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6" w:type="dxa"/>
                  <w:vAlign w:val="center"/>
                </w:tcPr>
                <w:p>
                  <w:pPr>
                    <w:jc w:val="center"/>
                    <w:rPr>
                      <w:szCs w:val="21"/>
                    </w:rPr>
                  </w:pPr>
                  <w:r>
                    <w:rPr>
                      <w:rFonts w:hint="eastAsia"/>
                      <w:szCs w:val="21"/>
                    </w:rPr>
                    <w:t>4</w:t>
                  </w:r>
                </w:p>
              </w:tc>
              <w:tc>
                <w:tcPr>
                  <w:tcW w:w="760" w:type="dxa"/>
                  <w:vAlign w:val="center"/>
                </w:tcPr>
                <w:p>
                  <w:pPr>
                    <w:jc w:val="center"/>
                    <w:rPr>
                      <w:szCs w:val="21"/>
                    </w:rPr>
                  </w:pPr>
                  <w:r>
                    <w:rPr>
                      <w:rFonts w:hint="eastAsia"/>
                      <w:szCs w:val="21"/>
                    </w:rPr>
                    <w:t>废活性炭</w:t>
                  </w:r>
                </w:p>
              </w:tc>
              <w:tc>
                <w:tcPr>
                  <w:tcW w:w="638" w:type="dxa"/>
                  <w:vMerge w:val="continue"/>
                  <w:vAlign w:val="center"/>
                </w:tcPr>
                <w:p>
                  <w:pPr>
                    <w:jc w:val="center"/>
                    <w:rPr>
                      <w:szCs w:val="21"/>
                    </w:rPr>
                  </w:pPr>
                </w:p>
              </w:tc>
              <w:tc>
                <w:tcPr>
                  <w:tcW w:w="882" w:type="dxa"/>
                  <w:vAlign w:val="center"/>
                </w:tcPr>
                <w:p>
                  <w:pPr>
                    <w:jc w:val="center"/>
                    <w:rPr>
                      <w:szCs w:val="21"/>
                    </w:rPr>
                  </w:pPr>
                  <w:r>
                    <w:rPr>
                      <w:rFonts w:hint="eastAsia"/>
                      <w:szCs w:val="21"/>
                    </w:rPr>
                    <w:t>HW49</w:t>
                  </w:r>
                </w:p>
              </w:tc>
              <w:tc>
                <w:tcPr>
                  <w:tcW w:w="1199" w:type="dxa"/>
                  <w:vAlign w:val="center"/>
                </w:tcPr>
                <w:p>
                  <w:pPr>
                    <w:jc w:val="center"/>
                    <w:rPr>
                      <w:szCs w:val="21"/>
                    </w:rPr>
                  </w:pPr>
                  <w:r>
                    <w:rPr>
                      <w:szCs w:val="21"/>
                    </w:rPr>
                    <w:t>900-0</w:t>
                  </w:r>
                  <w:r>
                    <w:rPr>
                      <w:rFonts w:hint="eastAsia"/>
                      <w:szCs w:val="21"/>
                    </w:rPr>
                    <w:t>41</w:t>
                  </w:r>
                  <w:r>
                    <w:rPr>
                      <w:szCs w:val="21"/>
                    </w:rPr>
                    <w:t>-</w:t>
                  </w:r>
                  <w:r>
                    <w:rPr>
                      <w:rFonts w:hint="eastAsia"/>
                      <w:szCs w:val="21"/>
                    </w:rPr>
                    <w:t>4</w:t>
                  </w:r>
                  <w:r>
                    <w:rPr>
                      <w:szCs w:val="21"/>
                    </w:rPr>
                    <w:t>9</w:t>
                  </w:r>
                </w:p>
              </w:tc>
              <w:tc>
                <w:tcPr>
                  <w:tcW w:w="588" w:type="dxa"/>
                  <w:vAlign w:val="center"/>
                </w:tcPr>
                <w:p>
                  <w:pPr>
                    <w:jc w:val="center"/>
                    <w:rPr>
                      <w:szCs w:val="21"/>
                    </w:rPr>
                  </w:pPr>
                  <w:r>
                    <w:rPr>
                      <w:rFonts w:hint="eastAsia"/>
                      <w:szCs w:val="21"/>
                    </w:rPr>
                    <w:t>固</w:t>
                  </w:r>
                </w:p>
              </w:tc>
              <w:tc>
                <w:tcPr>
                  <w:tcW w:w="873" w:type="dxa"/>
                  <w:vAlign w:val="center"/>
                </w:tcPr>
                <w:p>
                  <w:pPr>
                    <w:jc w:val="center"/>
                    <w:rPr>
                      <w:rFonts w:hint="default" w:eastAsia="宋体"/>
                      <w:szCs w:val="21"/>
                      <w:lang w:val="en-US" w:eastAsia="zh-CN"/>
                    </w:rPr>
                  </w:pPr>
                  <w:r>
                    <w:rPr>
                      <w:rFonts w:hint="eastAsia"/>
                      <w:szCs w:val="21"/>
                      <w:lang w:val="en-US" w:eastAsia="zh-CN"/>
                    </w:rPr>
                    <w:t>9.0</w:t>
                  </w:r>
                </w:p>
              </w:tc>
              <w:tc>
                <w:tcPr>
                  <w:tcW w:w="588" w:type="dxa"/>
                  <w:vAlign w:val="center"/>
                </w:tcPr>
                <w:p>
                  <w:pPr>
                    <w:jc w:val="center"/>
                    <w:rPr>
                      <w:szCs w:val="21"/>
                    </w:rPr>
                  </w:pPr>
                  <w:r>
                    <w:rPr>
                      <w:rFonts w:hint="eastAsia"/>
                      <w:szCs w:val="21"/>
                    </w:rPr>
                    <w:t>有机废气</w:t>
                  </w:r>
                </w:p>
              </w:tc>
              <w:tc>
                <w:tcPr>
                  <w:tcW w:w="588" w:type="dxa"/>
                  <w:vAlign w:val="center"/>
                </w:tcPr>
                <w:p>
                  <w:pPr>
                    <w:jc w:val="center"/>
                    <w:rPr>
                      <w:szCs w:val="21"/>
                    </w:rPr>
                  </w:pPr>
                  <w:r>
                    <w:rPr>
                      <w:rFonts w:hint="eastAsia"/>
                      <w:szCs w:val="21"/>
                    </w:rPr>
                    <w:t>有机废气</w:t>
                  </w:r>
                </w:p>
              </w:tc>
              <w:tc>
                <w:tcPr>
                  <w:tcW w:w="698" w:type="dxa"/>
                  <w:vAlign w:val="center"/>
                </w:tcPr>
                <w:p>
                  <w:pPr>
                    <w:jc w:val="center"/>
                    <w:rPr>
                      <w:szCs w:val="21"/>
                    </w:rPr>
                  </w:pPr>
                  <w:r>
                    <w:rPr>
                      <w:color w:val="000000"/>
                      <w:szCs w:val="21"/>
                    </w:rPr>
                    <w:t>毒性/易燃性</w:t>
                  </w:r>
                </w:p>
              </w:tc>
              <w:tc>
                <w:tcPr>
                  <w:tcW w:w="1145" w:type="dxa"/>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6" w:type="dxa"/>
                  <w:vAlign w:val="center"/>
                </w:tcPr>
                <w:p>
                  <w:pPr>
                    <w:jc w:val="center"/>
                    <w:rPr>
                      <w:szCs w:val="21"/>
                    </w:rPr>
                  </w:pPr>
                  <w:r>
                    <w:rPr>
                      <w:rFonts w:hint="eastAsia"/>
                      <w:szCs w:val="21"/>
                    </w:rPr>
                    <w:t>5</w:t>
                  </w:r>
                </w:p>
              </w:tc>
              <w:tc>
                <w:tcPr>
                  <w:tcW w:w="760" w:type="dxa"/>
                  <w:vAlign w:val="center"/>
                </w:tcPr>
                <w:p>
                  <w:pPr>
                    <w:jc w:val="center"/>
                    <w:rPr>
                      <w:szCs w:val="21"/>
                    </w:rPr>
                  </w:pPr>
                  <w:r>
                    <w:rPr>
                      <w:rFonts w:hint="eastAsia"/>
                      <w:szCs w:val="21"/>
                    </w:rPr>
                    <w:t>废漆桶</w:t>
                  </w:r>
                </w:p>
              </w:tc>
              <w:tc>
                <w:tcPr>
                  <w:tcW w:w="638" w:type="dxa"/>
                  <w:vAlign w:val="center"/>
                </w:tcPr>
                <w:p>
                  <w:pPr>
                    <w:jc w:val="center"/>
                    <w:rPr>
                      <w:szCs w:val="21"/>
                    </w:rPr>
                  </w:pPr>
                  <w:r>
                    <w:rPr>
                      <w:szCs w:val="21"/>
                    </w:rPr>
                    <w:t>喷漆</w:t>
                  </w:r>
                </w:p>
              </w:tc>
              <w:tc>
                <w:tcPr>
                  <w:tcW w:w="882" w:type="dxa"/>
                  <w:vAlign w:val="center"/>
                </w:tcPr>
                <w:p>
                  <w:pPr>
                    <w:jc w:val="center"/>
                    <w:rPr>
                      <w:szCs w:val="21"/>
                    </w:rPr>
                  </w:pPr>
                  <w:r>
                    <w:rPr>
                      <w:rFonts w:hint="eastAsia"/>
                      <w:szCs w:val="21"/>
                    </w:rPr>
                    <w:t>HW49</w:t>
                  </w:r>
                </w:p>
              </w:tc>
              <w:tc>
                <w:tcPr>
                  <w:tcW w:w="1199" w:type="dxa"/>
                  <w:vAlign w:val="center"/>
                </w:tcPr>
                <w:p>
                  <w:pPr>
                    <w:jc w:val="center"/>
                    <w:rPr>
                      <w:szCs w:val="21"/>
                    </w:rPr>
                  </w:pPr>
                  <w:r>
                    <w:rPr>
                      <w:szCs w:val="21"/>
                    </w:rPr>
                    <w:t>900-0</w:t>
                  </w:r>
                  <w:r>
                    <w:rPr>
                      <w:rFonts w:hint="eastAsia"/>
                      <w:szCs w:val="21"/>
                    </w:rPr>
                    <w:t>41</w:t>
                  </w:r>
                  <w:r>
                    <w:rPr>
                      <w:szCs w:val="21"/>
                    </w:rPr>
                    <w:t>-</w:t>
                  </w:r>
                  <w:r>
                    <w:rPr>
                      <w:rFonts w:hint="eastAsia"/>
                      <w:szCs w:val="21"/>
                    </w:rPr>
                    <w:t>4</w:t>
                  </w:r>
                  <w:r>
                    <w:rPr>
                      <w:szCs w:val="21"/>
                    </w:rPr>
                    <w:t>9</w:t>
                  </w:r>
                </w:p>
              </w:tc>
              <w:tc>
                <w:tcPr>
                  <w:tcW w:w="588" w:type="dxa"/>
                  <w:vAlign w:val="center"/>
                </w:tcPr>
                <w:p>
                  <w:pPr>
                    <w:jc w:val="center"/>
                    <w:rPr>
                      <w:szCs w:val="21"/>
                    </w:rPr>
                  </w:pPr>
                  <w:r>
                    <w:rPr>
                      <w:rFonts w:hint="eastAsia"/>
                      <w:szCs w:val="21"/>
                    </w:rPr>
                    <w:t>固</w:t>
                  </w:r>
                </w:p>
              </w:tc>
              <w:tc>
                <w:tcPr>
                  <w:tcW w:w="873" w:type="dxa"/>
                  <w:vAlign w:val="center"/>
                </w:tcPr>
                <w:p>
                  <w:pPr>
                    <w:jc w:val="center"/>
                    <w:rPr>
                      <w:szCs w:val="21"/>
                    </w:rPr>
                  </w:pPr>
                  <w:r>
                    <w:rPr>
                      <w:rFonts w:hint="eastAsia"/>
                      <w:szCs w:val="21"/>
                    </w:rPr>
                    <w:t>1.02</w:t>
                  </w:r>
                </w:p>
              </w:tc>
              <w:tc>
                <w:tcPr>
                  <w:tcW w:w="588" w:type="dxa"/>
                  <w:vAlign w:val="center"/>
                </w:tcPr>
                <w:p>
                  <w:pPr>
                    <w:jc w:val="center"/>
                    <w:rPr>
                      <w:szCs w:val="21"/>
                    </w:rPr>
                  </w:pPr>
                  <w:r>
                    <w:rPr>
                      <w:rFonts w:hint="eastAsia"/>
                      <w:szCs w:val="21"/>
                    </w:rPr>
                    <w:t>有机废气</w:t>
                  </w:r>
                </w:p>
              </w:tc>
              <w:tc>
                <w:tcPr>
                  <w:tcW w:w="588" w:type="dxa"/>
                  <w:vAlign w:val="center"/>
                </w:tcPr>
                <w:p>
                  <w:pPr>
                    <w:jc w:val="center"/>
                    <w:rPr>
                      <w:szCs w:val="21"/>
                    </w:rPr>
                  </w:pPr>
                  <w:r>
                    <w:rPr>
                      <w:rFonts w:hint="eastAsia"/>
                      <w:szCs w:val="21"/>
                    </w:rPr>
                    <w:t>有机废气</w:t>
                  </w:r>
                </w:p>
              </w:tc>
              <w:tc>
                <w:tcPr>
                  <w:tcW w:w="698" w:type="dxa"/>
                  <w:vAlign w:val="center"/>
                </w:tcPr>
                <w:p>
                  <w:pPr>
                    <w:jc w:val="center"/>
                    <w:rPr>
                      <w:szCs w:val="21"/>
                    </w:rPr>
                  </w:pPr>
                  <w:r>
                    <w:rPr>
                      <w:color w:val="000000"/>
                      <w:szCs w:val="21"/>
                    </w:rPr>
                    <w:t>毒性/易燃性</w:t>
                  </w:r>
                </w:p>
              </w:tc>
              <w:tc>
                <w:tcPr>
                  <w:tcW w:w="1145" w:type="dxa"/>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446" w:type="dxa"/>
                  <w:vAlign w:val="center"/>
                </w:tcPr>
                <w:p>
                  <w:pPr>
                    <w:jc w:val="center"/>
                    <w:rPr>
                      <w:szCs w:val="21"/>
                    </w:rPr>
                  </w:pPr>
                  <w:r>
                    <w:rPr>
                      <w:rFonts w:hint="eastAsia"/>
                      <w:szCs w:val="21"/>
                    </w:rPr>
                    <w:t>6</w:t>
                  </w:r>
                </w:p>
              </w:tc>
              <w:tc>
                <w:tcPr>
                  <w:tcW w:w="760" w:type="dxa"/>
                  <w:vAlign w:val="center"/>
                </w:tcPr>
                <w:p>
                  <w:pPr>
                    <w:jc w:val="center"/>
                    <w:rPr>
                      <w:szCs w:val="21"/>
                    </w:rPr>
                  </w:pPr>
                  <w:r>
                    <w:rPr>
                      <w:szCs w:val="21"/>
                    </w:rPr>
                    <w:t>废</w:t>
                  </w:r>
                  <w:r>
                    <w:rPr>
                      <w:rFonts w:hint="eastAsia"/>
                      <w:szCs w:val="21"/>
                    </w:rPr>
                    <w:t>润滑油</w:t>
                  </w:r>
                </w:p>
              </w:tc>
              <w:tc>
                <w:tcPr>
                  <w:tcW w:w="638" w:type="dxa"/>
                  <w:vMerge w:val="restart"/>
                  <w:vAlign w:val="center"/>
                </w:tcPr>
                <w:p>
                  <w:pPr>
                    <w:jc w:val="center"/>
                    <w:rPr>
                      <w:szCs w:val="21"/>
                    </w:rPr>
                  </w:pPr>
                  <w:r>
                    <w:rPr>
                      <w:szCs w:val="21"/>
                    </w:rPr>
                    <w:t>设备维护</w:t>
                  </w:r>
                </w:p>
              </w:tc>
              <w:tc>
                <w:tcPr>
                  <w:tcW w:w="882" w:type="dxa"/>
                  <w:vAlign w:val="center"/>
                </w:tcPr>
                <w:p>
                  <w:pPr>
                    <w:jc w:val="center"/>
                    <w:rPr>
                      <w:szCs w:val="21"/>
                    </w:rPr>
                  </w:pPr>
                  <w:r>
                    <w:rPr>
                      <w:szCs w:val="21"/>
                    </w:rPr>
                    <w:t>HW</w:t>
                  </w:r>
                  <w:r>
                    <w:rPr>
                      <w:rFonts w:hint="eastAsia"/>
                      <w:szCs w:val="21"/>
                    </w:rPr>
                    <w:t>08</w:t>
                  </w:r>
                </w:p>
              </w:tc>
              <w:tc>
                <w:tcPr>
                  <w:tcW w:w="1199" w:type="dxa"/>
                  <w:vAlign w:val="center"/>
                </w:tcPr>
                <w:p>
                  <w:pPr>
                    <w:jc w:val="center"/>
                    <w:rPr>
                      <w:szCs w:val="21"/>
                    </w:rPr>
                  </w:pPr>
                  <w:r>
                    <w:rPr>
                      <w:szCs w:val="21"/>
                    </w:rPr>
                    <w:t>900-2</w:t>
                  </w:r>
                  <w:r>
                    <w:rPr>
                      <w:rFonts w:hint="eastAsia"/>
                      <w:szCs w:val="21"/>
                    </w:rPr>
                    <w:t>17</w:t>
                  </w:r>
                  <w:r>
                    <w:rPr>
                      <w:szCs w:val="21"/>
                    </w:rPr>
                    <w:t>-</w:t>
                  </w:r>
                  <w:r>
                    <w:rPr>
                      <w:rFonts w:hint="eastAsia"/>
                      <w:szCs w:val="21"/>
                    </w:rPr>
                    <w:t>08</w:t>
                  </w:r>
                </w:p>
              </w:tc>
              <w:tc>
                <w:tcPr>
                  <w:tcW w:w="588" w:type="dxa"/>
                  <w:vAlign w:val="center"/>
                </w:tcPr>
                <w:p>
                  <w:pPr>
                    <w:jc w:val="center"/>
                    <w:rPr>
                      <w:szCs w:val="21"/>
                    </w:rPr>
                  </w:pPr>
                  <w:r>
                    <w:rPr>
                      <w:rFonts w:hint="eastAsia"/>
                      <w:szCs w:val="21"/>
                    </w:rPr>
                    <w:t>液</w:t>
                  </w:r>
                </w:p>
              </w:tc>
              <w:tc>
                <w:tcPr>
                  <w:tcW w:w="873" w:type="dxa"/>
                  <w:vAlign w:val="center"/>
                </w:tcPr>
                <w:p>
                  <w:pPr>
                    <w:jc w:val="center"/>
                    <w:rPr>
                      <w:szCs w:val="21"/>
                    </w:rPr>
                  </w:pPr>
                  <w:r>
                    <w:rPr>
                      <w:rFonts w:hint="eastAsia"/>
                      <w:szCs w:val="21"/>
                    </w:rPr>
                    <w:t>0.2</w:t>
                  </w:r>
                </w:p>
              </w:tc>
              <w:tc>
                <w:tcPr>
                  <w:tcW w:w="588" w:type="dxa"/>
                  <w:vAlign w:val="center"/>
                </w:tcPr>
                <w:p>
                  <w:pPr>
                    <w:jc w:val="center"/>
                    <w:rPr>
                      <w:szCs w:val="21"/>
                    </w:rPr>
                  </w:pPr>
                  <w:r>
                    <w:rPr>
                      <w:szCs w:val="21"/>
                    </w:rPr>
                    <w:t>润滑油</w:t>
                  </w:r>
                </w:p>
              </w:tc>
              <w:tc>
                <w:tcPr>
                  <w:tcW w:w="588" w:type="dxa"/>
                  <w:vAlign w:val="center"/>
                </w:tcPr>
                <w:p>
                  <w:pPr>
                    <w:jc w:val="center"/>
                    <w:rPr>
                      <w:szCs w:val="21"/>
                    </w:rPr>
                  </w:pPr>
                  <w:r>
                    <w:rPr>
                      <w:szCs w:val="21"/>
                    </w:rPr>
                    <w:t>润滑油</w:t>
                  </w:r>
                </w:p>
              </w:tc>
              <w:tc>
                <w:tcPr>
                  <w:tcW w:w="698" w:type="dxa"/>
                  <w:vAlign w:val="center"/>
                </w:tcPr>
                <w:p>
                  <w:pPr>
                    <w:jc w:val="center"/>
                    <w:rPr>
                      <w:szCs w:val="21"/>
                    </w:rPr>
                  </w:pPr>
                  <w:r>
                    <w:rPr>
                      <w:color w:val="000000"/>
                      <w:szCs w:val="21"/>
                    </w:rPr>
                    <w:t>毒性/易燃性</w:t>
                  </w:r>
                </w:p>
              </w:tc>
              <w:tc>
                <w:tcPr>
                  <w:tcW w:w="1145" w:type="dxa"/>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6" w:type="dxa"/>
                  <w:vAlign w:val="center"/>
                </w:tcPr>
                <w:p>
                  <w:pPr>
                    <w:jc w:val="center"/>
                    <w:rPr>
                      <w:szCs w:val="21"/>
                    </w:rPr>
                  </w:pPr>
                  <w:r>
                    <w:rPr>
                      <w:rFonts w:hint="eastAsia"/>
                      <w:szCs w:val="21"/>
                    </w:rPr>
                    <w:t>7</w:t>
                  </w:r>
                </w:p>
              </w:tc>
              <w:tc>
                <w:tcPr>
                  <w:tcW w:w="760" w:type="dxa"/>
                  <w:vAlign w:val="center"/>
                </w:tcPr>
                <w:p>
                  <w:pPr>
                    <w:jc w:val="center"/>
                    <w:rPr>
                      <w:szCs w:val="21"/>
                    </w:rPr>
                  </w:pPr>
                  <w:r>
                    <w:rPr>
                      <w:rFonts w:hint="eastAsia"/>
                      <w:color w:val="000000"/>
                      <w:szCs w:val="21"/>
                    </w:rPr>
                    <w:t>废含油手套、抹布</w:t>
                  </w:r>
                </w:p>
              </w:tc>
              <w:tc>
                <w:tcPr>
                  <w:tcW w:w="638" w:type="dxa"/>
                  <w:vMerge w:val="continue"/>
                  <w:vAlign w:val="center"/>
                </w:tcPr>
                <w:p>
                  <w:pPr>
                    <w:jc w:val="center"/>
                    <w:rPr>
                      <w:szCs w:val="21"/>
                    </w:rPr>
                  </w:pPr>
                </w:p>
              </w:tc>
              <w:tc>
                <w:tcPr>
                  <w:tcW w:w="882" w:type="dxa"/>
                  <w:vAlign w:val="center"/>
                </w:tcPr>
                <w:p>
                  <w:pPr>
                    <w:jc w:val="center"/>
                    <w:rPr>
                      <w:szCs w:val="21"/>
                    </w:rPr>
                  </w:pPr>
                  <w:r>
                    <w:rPr>
                      <w:rFonts w:hint="eastAsia"/>
                      <w:szCs w:val="21"/>
                    </w:rPr>
                    <w:t>/</w:t>
                  </w:r>
                </w:p>
              </w:tc>
              <w:tc>
                <w:tcPr>
                  <w:tcW w:w="1199" w:type="dxa"/>
                  <w:vAlign w:val="center"/>
                </w:tcPr>
                <w:p>
                  <w:pPr>
                    <w:jc w:val="center"/>
                    <w:rPr>
                      <w:szCs w:val="21"/>
                    </w:rPr>
                  </w:pPr>
                  <w:r>
                    <w:rPr>
                      <w:rFonts w:hint="eastAsia"/>
                      <w:szCs w:val="21"/>
                    </w:rPr>
                    <w:t>900-041-49</w:t>
                  </w:r>
                </w:p>
              </w:tc>
              <w:tc>
                <w:tcPr>
                  <w:tcW w:w="588" w:type="dxa"/>
                  <w:vAlign w:val="center"/>
                </w:tcPr>
                <w:p>
                  <w:pPr>
                    <w:jc w:val="center"/>
                    <w:rPr>
                      <w:szCs w:val="21"/>
                    </w:rPr>
                  </w:pPr>
                  <w:r>
                    <w:rPr>
                      <w:rFonts w:hint="eastAsia"/>
                      <w:szCs w:val="21"/>
                    </w:rPr>
                    <w:t>固</w:t>
                  </w:r>
                </w:p>
              </w:tc>
              <w:tc>
                <w:tcPr>
                  <w:tcW w:w="873" w:type="dxa"/>
                  <w:vAlign w:val="center"/>
                </w:tcPr>
                <w:p>
                  <w:pPr>
                    <w:jc w:val="center"/>
                    <w:rPr>
                      <w:szCs w:val="21"/>
                    </w:rPr>
                  </w:pPr>
                  <w:r>
                    <w:rPr>
                      <w:rFonts w:hint="eastAsia"/>
                      <w:szCs w:val="21"/>
                    </w:rPr>
                    <w:t>0.01</w:t>
                  </w:r>
                </w:p>
              </w:tc>
              <w:tc>
                <w:tcPr>
                  <w:tcW w:w="588" w:type="dxa"/>
                  <w:vAlign w:val="center"/>
                </w:tcPr>
                <w:p>
                  <w:pPr>
                    <w:jc w:val="center"/>
                    <w:rPr>
                      <w:szCs w:val="21"/>
                    </w:rPr>
                  </w:pPr>
                  <w:r>
                    <w:rPr>
                      <w:szCs w:val="21"/>
                    </w:rPr>
                    <w:t>润滑油</w:t>
                  </w:r>
                </w:p>
              </w:tc>
              <w:tc>
                <w:tcPr>
                  <w:tcW w:w="588" w:type="dxa"/>
                  <w:vAlign w:val="center"/>
                </w:tcPr>
                <w:p>
                  <w:pPr>
                    <w:jc w:val="center"/>
                    <w:rPr>
                      <w:szCs w:val="21"/>
                    </w:rPr>
                  </w:pPr>
                  <w:r>
                    <w:rPr>
                      <w:szCs w:val="21"/>
                    </w:rPr>
                    <w:t>润滑油</w:t>
                  </w:r>
                </w:p>
              </w:tc>
              <w:tc>
                <w:tcPr>
                  <w:tcW w:w="698" w:type="dxa"/>
                  <w:vAlign w:val="center"/>
                </w:tcPr>
                <w:p>
                  <w:pPr>
                    <w:jc w:val="center"/>
                    <w:rPr>
                      <w:szCs w:val="21"/>
                    </w:rPr>
                  </w:pPr>
                  <w:r>
                    <w:rPr>
                      <w:rFonts w:hint="eastAsia"/>
                      <w:szCs w:val="21"/>
                    </w:rPr>
                    <w:t>毒性/感染性</w:t>
                  </w:r>
                </w:p>
              </w:tc>
              <w:tc>
                <w:tcPr>
                  <w:tcW w:w="1145" w:type="dxa"/>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446" w:type="dxa"/>
                  <w:vAlign w:val="center"/>
                </w:tcPr>
                <w:p>
                  <w:pPr>
                    <w:jc w:val="center"/>
                    <w:rPr>
                      <w:szCs w:val="21"/>
                    </w:rPr>
                  </w:pPr>
                  <w:bookmarkStart w:id="1" w:name="_Toc62011226"/>
                  <w:bookmarkStart w:id="2" w:name="_Toc85978818"/>
                  <w:bookmarkStart w:id="3" w:name="_Toc87096201"/>
                  <w:r>
                    <w:rPr>
                      <w:rFonts w:hint="eastAsia"/>
                      <w:szCs w:val="21"/>
                    </w:rPr>
                    <w:t>8</w:t>
                  </w:r>
                </w:p>
              </w:tc>
              <w:tc>
                <w:tcPr>
                  <w:tcW w:w="760" w:type="dxa"/>
                  <w:vAlign w:val="center"/>
                </w:tcPr>
                <w:p>
                  <w:pPr>
                    <w:jc w:val="center"/>
                    <w:rPr>
                      <w:color w:val="000000"/>
                      <w:szCs w:val="21"/>
                    </w:rPr>
                  </w:pPr>
                  <w:r>
                    <w:rPr>
                      <w:rFonts w:hint="eastAsia"/>
                      <w:color w:val="000000"/>
                      <w:szCs w:val="21"/>
                    </w:rPr>
                    <w:t>废润滑油桶</w:t>
                  </w:r>
                </w:p>
              </w:tc>
              <w:tc>
                <w:tcPr>
                  <w:tcW w:w="638" w:type="dxa"/>
                  <w:vMerge w:val="continue"/>
                  <w:vAlign w:val="center"/>
                </w:tcPr>
                <w:p>
                  <w:pPr>
                    <w:jc w:val="center"/>
                    <w:rPr>
                      <w:szCs w:val="21"/>
                    </w:rPr>
                  </w:pPr>
                </w:p>
              </w:tc>
              <w:tc>
                <w:tcPr>
                  <w:tcW w:w="882" w:type="dxa"/>
                  <w:vAlign w:val="center"/>
                </w:tcPr>
                <w:p>
                  <w:pPr>
                    <w:jc w:val="center"/>
                    <w:rPr>
                      <w:szCs w:val="21"/>
                    </w:rPr>
                  </w:pPr>
                  <w:r>
                    <w:rPr>
                      <w:rFonts w:hint="eastAsia"/>
                      <w:szCs w:val="21"/>
                    </w:rPr>
                    <w:t>HW49</w:t>
                  </w:r>
                </w:p>
              </w:tc>
              <w:tc>
                <w:tcPr>
                  <w:tcW w:w="1199" w:type="dxa"/>
                  <w:vAlign w:val="center"/>
                </w:tcPr>
                <w:p>
                  <w:pPr>
                    <w:jc w:val="center"/>
                    <w:rPr>
                      <w:szCs w:val="21"/>
                    </w:rPr>
                  </w:pPr>
                  <w:r>
                    <w:rPr>
                      <w:szCs w:val="21"/>
                    </w:rPr>
                    <w:t>900-0</w:t>
                  </w:r>
                  <w:r>
                    <w:rPr>
                      <w:rFonts w:hint="eastAsia"/>
                      <w:szCs w:val="21"/>
                    </w:rPr>
                    <w:t>41</w:t>
                  </w:r>
                  <w:r>
                    <w:rPr>
                      <w:szCs w:val="21"/>
                    </w:rPr>
                    <w:t>-</w:t>
                  </w:r>
                  <w:r>
                    <w:rPr>
                      <w:rFonts w:hint="eastAsia"/>
                      <w:szCs w:val="21"/>
                    </w:rPr>
                    <w:t>4</w:t>
                  </w:r>
                  <w:r>
                    <w:rPr>
                      <w:szCs w:val="21"/>
                    </w:rPr>
                    <w:t>9</w:t>
                  </w:r>
                </w:p>
              </w:tc>
              <w:tc>
                <w:tcPr>
                  <w:tcW w:w="588" w:type="dxa"/>
                  <w:vAlign w:val="center"/>
                </w:tcPr>
                <w:p>
                  <w:pPr>
                    <w:jc w:val="center"/>
                    <w:rPr>
                      <w:szCs w:val="21"/>
                    </w:rPr>
                  </w:pPr>
                  <w:r>
                    <w:rPr>
                      <w:rFonts w:hint="eastAsia"/>
                      <w:szCs w:val="21"/>
                    </w:rPr>
                    <w:t>固</w:t>
                  </w:r>
                </w:p>
              </w:tc>
              <w:tc>
                <w:tcPr>
                  <w:tcW w:w="873" w:type="dxa"/>
                  <w:vAlign w:val="center"/>
                </w:tcPr>
                <w:p>
                  <w:pPr>
                    <w:jc w:val="center"/>
                    <w:rPr>
                      <w:szCs w:val="21"/>
                    </w:rPr>
                  </w:pPr>
                  <w:r>
                    <w:rPr>
                      <w:rFonts w:hint="eastAsia"/>
                      <w:szCs w:val="21"/>
                    </w:rPr>
                    <w:t>0.02</w:t>
                  </w:r>
                </w:p>
              </w:tc>
              <w:tc>
                <w:tcPr>
                  <w:tcW w:w="588" w:type="dxa"/>
                  <w:vAlign w:val="center"/>
                </w:tcPr>
                <w:p>
                  <w:pPr>
                    <w:jc w:val="center"/>
                    <w:rPr>
                      <w:szCs w:val="21"/>
                    </w:rPr>
                  </w:pPr>
                  <w:r>
                    <w:rPr>
                      <w:szCs w:val="21"/>
                    </w:rPr>
                    <w:t>润滑油</w:t>
                  </w:r>
                </w:p>
              </w:tc>
              <w:tc>
                <w:tcPr>
                  <w:tcW w:w="588" w:type="dxa"/>
                  <w:vAlign w:val="center"/>
                </w:tcPr>
                <w:p>
                  <w:pPr>
                    <w:jc w:val="center"/>
                    <w:rPr>
                      <w:szCs w:val="21"/>
                    </w:rPr>
                  </w:pPr>
                  <w:r>
                    <w:rPr>
                      <w:szCs w:val="21"/>
                    </w:rPr>
                    <w:t>润滑油</w:t>
                  </w:r>
                </w:p>
              </w:tc>
              <w:tc>
                <w:tcPr>
                  <w:tcW w:w="698" w:type="dxa"/>
                  <w:vAlign w:val="center"/>
                </w:tcPr>
                <w:p>
                  <w:pPr>
                    <w:jc w:val="center"/>
                    <w:rPr>
                      <w:szCs w:val="21"/>
                    </w:rPr>
                  </w:pPr>
                  <w:r>
                    <w:rPr>
                      <w:color w:val="000000"/>
                      <w:szCs w:val="21"/>
                    </w:rPr>
                    <w:t>毒性/易燃性</w:t>
                  </w:r>
                </w:p>
              </w:tc>
              <w:tc>
                <w:tcPr>
                  <w:tcW w:w="1145" w:type="dxa"/>
                  <w:vMerge w:val="continue"/>
                  <w:vAlign w:val="center"/>
                </w:tcPr>
                <w:p>
                  <w:pPr>
                    <w:jc w:val="center"/>
                    <w:rPr>
                      <w:szCs w:val="21"/>
                    </w:rPr>
                  </w:pPr>
                </w:p>
              </w:tc>
            </w:tr>
          </w:tbl>
          <w:p>
            <w:pPr>
              <w:snapToGrid w:val="0"/>
              <w:spacing w:before="120" w:beforeLines="50" w:line="360" w:lineRule="auto"/>
              <w:ind w:firstLine="472" w:firstLineChars="196"/>
              <w:outlineLvl w:val="3"/>
              <w:rPr>
                <w:b/>
                <w:color w:val="000000"/>
                <w:sz w:val="24"/>
              </w:rPr>
            </w:pPr>
            <w:r>
              <w:rPr>
                <w:rFonts w:hint="eastAsia"/>
                <w:b/>
                <w:color w:val="000000"/>
                <w:sz w:val="24"/>
              </w:rPr>
              <w:t>2、一般固废</w:t>
            </w:r>
            <w:bookmarkEnd w:id="1"/>
            <w:bookmarkEnd w:id="2"/>
            <w:bookmarkEnd w:id="3"/>
            <w:r>
              <w:rPr>
                <w:rFonts w:hint="eastAsia"/>
                <w:b/>
                <w:color w:val="000000"/>
                <w:sz w:val="24"/>
              </w:rPr>
              <w:t>环境影响分析</w:t>
            </w:r>
            <w:r>
              <w:rPr>
                <w:rFonts w:hint="eastAsia"/>
                <w:b/>
                <w:bCs/>
                <w:color w:val="000000"/>
                <w:sz w:val="24"/>
              </w:rPr>
              <w:t>和保护措施</w:t>
            </w:r>
          </w:p>
          <w:p>
            <w:pPr>
              <w:autoSpaceDE w:val="0"/>
              <w:autoSpaceDN w:val="0"/>
              <w:adjustRightInd w:val="0"/>
              <w:spacing w:line="360" w:lineRule="auto"/>
              <w:ind w:firstLine="480" w:firstLineChars="200"/>
              <w:jc w:val="left"/>
              <w:rPr>
                <w:color w:val="000000"/>
                <w:kern w:val="0"/>
                <w:sz w:val="24"/>
              </w:rPr>
            </w:pPr>
            <w:r>
              <w:rPr>
                <w:color w:val="000000"/>
                <w:kern w:val="0"/>
                <w:sz w:val="24"/>
              </w:rPr>
              <w:t>项目产生的一般工业固废为</w:t>
            </w:r>
            <w:r>
              <w:rPr>
                <w:color w:val="000000"/>
                <w:sz w:val="24"/>
              </w:rPr>
              <w:t>废钢砂及</w:t>
            </w:r>
            <w:r>
              <w:rPr>
                <w:rFonts w:hint="eastAsia"/>
                <w:color w:val="000000"/>
                <w:sz w:val="24"/>
              </w:rPr>
              <w:t>布袋除尘器</w:t>
            </w:r>
            <w:r>
              <w:rPr>
                <w:bCs/>
                <w:color w:val="000000"/>
                <w:sz w:val="24"/>
              </w:rPr>
              <w:t>收集的粉尘等</w:t>
            </w:r>
            <w:r>
              <w:rPr>
                <w:color w:val="000000"/>
                <w:kern w:val="0"/>
                <w:sz w:val="24"/>
              </w:rPr>
              <w:t>，暂存于项目一般固废仓库，</w:t>
            </w:r>
            <w:r>
              <w:rPr>
                <w:rFonts w:hint="eastAsia"/>
                <w:color w:val="000000"/>
                <w:kern w:val="0"/>
                <w:sz w:val="24"/>
              </w:rPr>
              <w:t>收集后外售，</w:t>
            </w:r>
            <w:r>
              <w:rPr>
                <w:color w:val="000000"/>
                <w:kern w:val="0"/>
                <w:sz w:val="24"/>
              </w:rPr>
              <w:t>对环境影响较小。</w:t>
            </w:r>
          </w:p>
          <w:p>
            <w:pPr>
              <w:autoSpaceDE w:val="0"/>
              <w:autoSpaceDN w:val="0"/>
              <w:adjustRightInd w:val="0"/>
              <w:spacing w:line="360" w:lineRule="auto"/>
              <w:ind w:firstLine="480" w:firstLineChars="200"/>
              <w:jc w:val="left"/>
              <w:rPr>
                <w:color w:val="000000"/>
                <w:kern w:val="0"/>
                <w:sz w:val="24"/>
              </w:rPr>
            </w:pPr>
            <w:r>
              <w:rPr>
                <w:color w:val="000000"/>
                <w:kern w:val="0"/>
                <w:sz w:val="24"/>
              </w:rPr>
              <w:t>一般工业固废临时堆放场应根据</w:t>
            </w:r>
            <w:r>
              <w:rPr>
                <w:color w:val="000000"/>
                <w:sz w:val="24"/>
              </w:rPr>
              <w:t>《一般工业固体废物贮存</w:t>
            </w:r>
            <w:r>
              <w:rPr>
                <w:rFonts w:hint="eastAsia"/>
                <w:color w:val="000000"/>
                <w:sz w:val="24"/>
              </w:rPr>
              <w:t>和填埋</w:t>
            </w:r>
            <w:r>
              <w:rPr>
                <w:color w:val="000000"/>
                <w:sz w:val="24"/>
              </w:rPr>
              <w:t>污染控制标准》（GB18599-2020）</w:t>
            </w:r>
            <w:r>
              <w:rPr>
                <w:color w:val="000000"/>
                <w:kern w:val="0"/>
                <w:sz w:val="24"/>
              </w:rPr>
              <w:t>中的要求规范化建设，固废临时贮存场应满足如下要求：</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①</w:t>
            </w:r>
            <w:r>
              <w:rPr>
                <w:color w:val="000000"/>
                <w:kern w:val="0"/>
                <w:sz w:val="24"/>
              </w:rPr>
              <w:t>临时堆放场应选在防渗性能好的地基上天然基础层地表距地下水位的距离不得小于1.5m。临时堆放场四周应建有围墙，防止固废流失以及造成粉尘污染。</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②</w:t>
            </w:r>
            <w:r>
              <w:rPr>
                <w:color w:val="000000"/>
                <w:kern w:val="0"/>
                <w:sz w:val="24"/>
              </w:rPr>
              <w:t>临时堆放场应建有防雨淋、防渗透措施。本项目储存在钢结构仓库内，地面进行硬化，可以满足防雨淋、防渗透要求。</w:t>
            </w:r>
          </w:p>
          <w:p>
            <w:pPr>
              <w:autoSpaceDE w:val="0"/>
              <w:autoSpaceDN w:val="0"/>
              <w:adjustRightInd w:val="0"/>
              <w:spacing w:line="360" w:lineRule="auto"/>
              <w:ind w:firstLine="480" w:firstLineChars="200"/>
              <w:jc w:val="left"/>
              <w:rPr>
                <w:color w:val="000000"/>
                <w:kern w:val="0"/>
                <w:sz w:val="24"/>
              </w:rPr>
            </w:pPr>
            <w:r>
              <w:rPr>
                <w:rFonts w:hint="eastAsia" w:cs="宋体"/>
                <w:color w:val="000000"/>
                <w:kern w:val="0"/>
                <w:sz w:val="24"/>
              </w:rPr>
              <w:t>③</w:t>
            </w:r>
            <w:r>
              <w:rPr>
                <w:color w:val="000000"/>
                <w:kern w:val="0"/>
                <w:sz w:val="24"/>
              </w:rPr>
              <w:t>为了便于管理，临时堆放场应按GB15562.2-1995《环境保护图形标识—固体废物贮存（处置）场》设置环境保护图形标志。</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企业在生产过程中，应加强现有一般固废库的管理，定点收集堆存，并及时处理，不会对环境造成不利影响。</w:t>
            </w:r>
          </w:p>
          <w:p>
            <w:pPr>
              <w:snapToGrid w:val="0"/>
              <w:spacing w:line="360" w:lineRule="auto"/>
              <w:ind w:firstLine="472" w:firstLineChars="196"/>
              <w:outlineLvl w:val="3"/>
              <w:rPr>
                <w:b/>
                <w:color w:val="000000"/>
                <w:sz w:val="24"/>
              </w:rPr>
            </w:pPr>
            <w:r>
              <w:rPr>
                <w:rFonts w:hint="eastAsia"/>
                <w:b/>
                <w:color w:val="000000"/>
                <w:sz w:val="24"/>
              </w:rPr>
              <w:t>3、危险废物环境影响分析</w:t>
            </w:r>
            <w:r>
              <w:rPr>
                <w:rFonts w:hint="eastAsia"/>
                <w:b/>
                <w:bCs/>
                <w:color w:val="000000"/>
                <w:sz w:val="24"/>
              </w:rPr>
              <w:t>和保护措施</w:t>
            </w:r>
          </w:p>
          <w:p>
            <w:pPr>
              <w:autoSpaceDE w:val="0"/>
              <w:autoSpaceDN w:val="0"/>
              <w:adjustRightInd w:val="0"/>
              <w:spacing w:line="360" w:lineRule="auto"/>
              <w:ind w:firstLine="480" w:firstLineChars="200"/>
              <w:jc w:val="left"/>
              <w:rPr>
                <w:color w:val="000000"/>
                <w:kern w:val="0"/>
                <w:sz w:val="24"/>
              </w:rPr>
            </w:pPr>
            <w:r>
              <w:rPr>
                <w:color w:val="000000"/>
                <w:sz w:val="24"/>
              </w:rPr>
              <w:t>本项目</w:t>
            </w:r>
            <w:r>
              <w:rPr>
                <w:color w:val="262626" w:themeColor="text1" w:themeTint="D9"/>
                <w:sz w:val="24"/>
                <w14:textFill>
                  <w14:solidFill>
                    <w14:schemeClr w14:val="tx1">
                      <w14:lumMod w14:val="85000"/>
                      <w14:lumOff w14:val="15000"/>
                    </w14:schemeClr>
                  </w14:solidFill>
                </w14:textFill>
              </w:rPr>
              <w:t>产生的危险废物分别按照废物特性</w:t>
            </w:r>
            <w:r>
              <w:rPr>
                <w:color w:val="262626" w:themeColor="text1" w:themeTint="D9"/>
                <w:kern w:val="0"/>
                <w:sz w:val="24"/>
                <w14:textFill>
                  <w14:solidFill>
                    <w14:schemeClr w14:val="tx1">
                      <w14:lumMod w14:val="85000"/>
                      <w14:lumOff w14:val="15000"/>
                    </w14:schemeClr>
                  </w14:solidFill>
                </w14:textFill>
              </w:rPr>
              <w:t>采用专门的容器收集后暂存于项目危废仓库，定期交资质单位处理。</w:t>
            </w:r>
            <w:r>
              <w:rPr>
                <w:rFonts w:hint="eastAsia"/>
                <w:color w:val="262626" w:themeColor="text1" w:themeTint="D9"/>
                <w:kern w:val="0"/>
                <w:sz w:val="24"/>
                <w14:textFill>
                  <w14:solidFill>
                    <w14:schemeClr w14:val="tx1">
                      <w14:lumMod w14:val="85000"/>
                      <w14:lumOff w14:val="15000"/>
                    </w14:schemeClr>
                  </w14:solidFill>
                </w14:textFill>
              </w:rPr>
              <w:t>原有</w:t>
            </w:r>
            <w:r>
              <w:rPr>
                <w:color w:val="262626" w:themeColor="text1" w:themeTint="D9"/>
                <w:kern w:val="0"/>
                <w:sz w:val="24"/>
                <w14:textFill>
                  <w14:solidFill>
                    <w14:schemeClr w14:val="tx1">
                      <w14:lumMod w14:val="85000"/>
                      <w14:lumOff w14:val="15000"/>
                    </w14:schemeClr>
                  </w14:solidFill>
                </w14:textFill>
              </w:rPr>
              <w:t>项目</w:t>
            </w:r>
            <w:r>
              <w:rPr>
                <w:rFonts w:hint="eastAsia"/>
                <w:color w:val="262626" w:themeColor="text1" w:themeTint="D9"/>
                <w:kern w:val="0"/>
                <w:sz w:val="24"/>
                <w14:textFill>
                  <w14:solidFill>
                    <w14:schemeClr w14:val="tx1">
                      <w14:lumMod w14:val="85000"/>
                      <w14:lumOff w14:val="15000"/>
                    </w14:schemeClr>
                  </w14:solidFill>
                </w14:textFill>
              </w:rPr>
              <w:t>有</w:t>
            </w:r>
            <w:r>
              <w:rPr>
                <w:color w:val="262626" w:themeColor="text1" w:themeTint="D9"/>
                <w:kern w:val="0"/>
                <w:sz w:val="24"/>
                <w14:textFill>
                  <w14:solidFill>
                    <w14:schemeClr w14:val="tx1">
                      <w14:lumMod w14:val="85000"/>
                      <w14:lumOff w14:val="15000"/>
                    </w14:schemeClr>
                  </w14:solidFill>
                </w14:textFill>
              </w:rPr>
              <w:t>1间危废暂存间，位于</w:t>
            </w:r>
            <w:r>
              <w:rPr>
                <w:rFonts w:hint="eastAsia"/>
                <w:color w:val="262626" w:themeColor="text1" w:themeTint="D9"/>
                <w:kern w:val="0"/>
                <w:sz w:val="24"/>
                <w14:textFill>
                  <w14:solidFill>
                    <w14:schemeClr w14:val="tx1">
                      <w14:lumMod w14:val="85000"/>
                      <w14:lumOff w14:val="15000"/>
                    </w14:schemeClr>
                  </w14:solidFill>
                </w14:textFill>
              </w:rPr>
              <w:t>厂区东</w:t>
            </w:r>
            <w:r>
              <w:rPr>
                <w:color w:val="262626" w:themeColor="text1" w:themeTint="D9"/>
                <w:kern w:val="0"/>
                <w:sz w:val="24"/>
                <w14:textFill>
                  <w14:solidFill>
                    <w14:schemeClr w14:val="tx1">
                      <w14:lumMod w14:val="85000"/>
                      <w14:lumOff w14:val="15000"/>
                    </w14:schemeClr>
                  </w14:solidFill>
                </w14:textFill>
              </w:rPr>
              <w:t>南</w:t>
            </w:r>
            <w:r>
              <w:rPr>
                <w:rFonts w:hint="eastAsia"/>
                <w:color w:val="262626" w:themeColor="text1" w:themeTint="D9"/>
                <w:kern w:val="0"/>
                <w:sz w:val="24"/>
                <w14:textFill>
                  <w14:solidFill>
                    <w14:schemeClr w14:val="tx1">
                      <w14:lumMod w14:val="85000"/>
                      <w14:lumOff w14:val="15000"/>
                    </w14:schemeClr>
                  </w14:solidFill>
                </w14:textFill>
              </w:rPr>
              <w:t>角</w:t>
            </w:r>
            <w:r>
              <w:rPr>
                <w:color w:val="262626" w:themeColor="text1" w:themeTint="D9"/>
                <w:kern w:val="0"/>
                <w:sz w:val="24"/>
                <w14:textFill>
                  <w14:solidFill>
                    <w14:schemeClr w14:val="tx1">
                      <w14:lumMod w14:val="85000"/>
                      <w14:lumOff w14:val="15000"/>
                    </w14:schemeClr>
                  </w14:solidFill>
                </w14:textFill>
              </w:rPr>
              <w:t>，占地面积约</w:t>
            </w:r>
            <w:r>
              <w:rPr>
                <w:rFonts w:hint="eastAsia"/>
                <w:color w:val="262626" w:themeColor="text1" w:themeTint="D9"/>
                <w:kern w:val="0"/>
                <w:sz w:val="24"/>
                <w14:textFill>
                  <w14:solidFill>
                    <w14:schemeClr w14:val="tx1">
                      <w14:lumMod w14:val="85000"/>
                      <w14:lumOff w14:val="15000"/>
                    </w14:schemeClr>
                  </w14:solidFill>
                </w14:textFill>
              </w:rPr>
              <w:t>10</w:t>
            </w:r>
            <w:r>
              <w:rPr>
                <w:color w:val="262626" w:themeColor="text1" w:themeTint="D9"/>
                <w:kern w:val="0"/>
                <w:sz w:val="24"/>
                <w14:textFill>
                  <w14:solidFill>
                    <w14:schemeClr w14:val="tx1">
                      <w14:lumMod w14:val="85000"/>
                      <w14:lumOff w14:val="15000"/>
                    </w14:schemeClr>
                  </w14:solidFill>
                </w14:textFill>
              </w:rPr>
              <w:t>0</w:t>
            </w:r>
            <w:r>
              <w:rPr>
                <w:rFonts w:hint="eastAsia"/>
                <w:color w:val="262626" w:themeColor="text1" w:themeTint="D9"/>
                <w:kern w:val="0"/>
                <w:sz w:val="24"/>
                <w14:textFill>
                  <w14:solidFill>
                    <w14:schemeClr w14:val="tx1">
                      <w14:lumMod w14:val="85000"/>
                      <w14:lumOff w14:val="15000"/>
                    </w14:schemeClr>
                  </w14:solidFill>
                </w14:textFill>
              </w:rPr>
              <w:t xml:space="preserve"> </w:t>
            </w:r>
            <w:r>
              <w:rPr>
                <w:color w:val="262626" w:themeColor="text1" w:themeTint="D9"/>
                <w:kern w:val="0"/>
                <w:sz w:val="24"/>
                <w14:textFill>
                  <w14:solidFill>
                    <w14:schemeClr w14:val="tx1">
                      <w14:lumMod w14:val="85000"/>
                      <w14:lumOff w14:val="15000"/>
                    </w14:schemeClr>
                  </w14:solidFill>
                </w14:textFill>
              </w:rPr>
              <w:t>m</w:t>
            </w:r>
            <w:r>
              <w:rPr>
                <w:color w:val="262626" w:themeColor="text1" w:themeTint="D9"/>
                <w:kern w:val="0"/>
                <w:sz w:val="24"/>
                <w:vertAlign w:val="superscript"/>
                <w14:textFill>
                  <w14:solidFill>
                    <w14:schemeClr w14:val="tx1">
                      <w14:lumMod w14:val="85000"/>
                      <w14:lumOff w14:val="15000"/>
                    </w14:schemeClr>
                  </w14:solidFill>
                </w14:textFill>
              </w:rPr>
              <w:t>2</w:t>
            </w:r>
            <w:r>
              <w:rPr>
                <w:color w:val="262626" w:themeColor="text1" w:themeTint="D9"/>
                <w:kern w:val="0"/>
                <w:sz w:val="24"/>
                <w14:textFill>
                  <w14:solidFill>
                    <w14:schemeClr w14:val="tx1">
                      <w14:lumMod w14:val="85000"/>
                      <w14:lumOff w14:val="15000"/>
                    </w14:schemeClr>
                  </w14:solidFill>
                </w14:textFill>
              </w:rPr>
              <w:t>，</w:t>
            </w:r>
            <w:r>
              <w:rPr>
                <w:rFonts w:hint="eastAsia"/>
                <w:color w:val="262626" w:themeColor="text1" w:themeTint="D9"/>
                <w:kern w:val="0"/>
                <w:sz w:val="24"/>
                <w14:textFill>
                  <w14:solidFill>
                    <w14:schemeClr w14:val="tx1">
                      <w14:lumMod w14:val="85000"/>
                      <w14:lumOff w14:val="15000"/>
                    </w14:schemeClr>
                  </w14:solidFill>
                </w14:textFill>
              </w:rPr>
              <w:t>现有存储空间满足危废储存，</w:t>
            </w:r>
            <w:r>
              <w:rPr>
                <w:color w:val="262626" w:themeColor="text1" w:themeTint="D9"/>
                <w:kern w:val="0"/>
                <w:sz w:val="24"/>
                <w14:textFill>
                  <w14:solidFill>
                    <w14:schemeClr w14:val="tx1">
                      <w14:lumMod w14:val="85000"/>
                      <w14:lumOff w14:val="15000"/>
                    </w14:schemeClr>
                  </w14:solidFill>
                </w14:textFill>
              </w:rPr>
              <w:t>建设满足《危险废物贮存污染控制标准》（GB18597-2001）的要求。危险废物按照不同</w:t>
            </w:r>
            <w:r>
              <w:rPr>
                <w:color w:val="000000"/>
                <w:kern w:val="0"/>
                <w:sz w:val="24"/>
              </w:rPr>
              <w:t>的类别和性质，分别存放于专门的容器中。</w:t>
            </w:r>
          </w:p>
          <w:p>
            <w:pPr>
              <w:spacing w:line="360" w:lineRule="auto"/>
              <w:ind w:firstLine="480"/>
              <w:jc w:val="left"/>
              <w:rPr>
                <w:color w:val="000000"/>
                <w:kern w:val="0"/>
                <w:sz w:val="24"/>
              </w:rPr>
            </w:pPr>
            <w:r>
              <w:rPr>
                <w:rFonts w:hint="eastAsia"/>
                <w:color w:val="000000"/>
                <w:kern w:val="0"/>
                <w:sz w:val="24"/>
              </w:rPr>
              <w:t>（1）危险废物贮存环境影响分析</w:t>
            </w:r>
          </w:p>
          <w:p>
            <w:pPr>
              <w:autoSpaceDE w:val="0"/>
              <w:autoSpaceDN w:val="0"/>
              <w:adjustRightInd w:val="0"/>
              <w:spacing w:line="360" w:lineRule="auto"/>
              <w:ind w:firstLine="480" w:firstLineChars="200"/>
              <w:jc w:val="left"/>
              <w:rPr>
                <w:color w:val="000000"/>
                <w:kern w:val="0"/>
                <w:sz w:val="24"/>
              </w:rPr>
            </w:pPr>
            <w:r>
              <w:rPr>
                <w:color w:val="000000"/>
                <w:sz w:val="24"/>
              </w:rPr>
              <w:t>本项目危险废物在厂内贮存时，执行《危险废物贮存污染控制标准》（GB18597-2001）及修改单中相关规定，规范建设危废</w:t>
            </w:r>
            <w:r>
              <w:rPr>
                <w:rFonts w:hint="eastAsia"/>
                <w:color w:val="000000"/>
                <w:sz w:val="24"/>
              </w:rPr>
              <w:t>暂存间</w:t>
            </w:r>
            <w:r>
              <w:rPr>
                <w:color w:val="000000"/>
                <w:sz w:val="24"/>
              </w:rPr>
              <w:t>，具体措施如下：</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1 \* GB3 </w:instrText>
            </w:r>
            <w:r>
              <w:rPr>
                <w:color w:val="000000"/>
                <w:kern w:val="0"/>
                <w:sz w:val="24"/>
              </w:rPr>
              <w:fldChar w:fldCharType="separate"/>
            </w:r>
            <w:r>
              <w:rPr>
                <w:rFonts w:hint="eastAsia" w:cs="宋体"/>
                <w:color w:val="000000"/>
                <w:kern w:val="0"/>
                <w:sz w:val="24"/>
              </w:rPr>
              <w:t>①</w:t>
            </w:r>
            <w:r>
              <w:rPr>
                <w:color w:val="000000"/>
                <w:kern w:val="0"/>
                <w:sz w:val="24"/>
              </w:rPr>
              <w:fldChar w:fldCharType="end"/>
            </w:r>
            <w:r>
              <w:rPr>
                <w:color w:val="000000"/>
                <w:sz w:val="24"/>
              </w:rPr>
              <w:t>危废</w:t>
            </w:r>
            <w:r>
              <w:rPr>
                <w:rFonts w:hint="eastAsia"/>
                <w:color w:val="000000"/>
                <w:sz w:val="24"/>
              </w:rPr>
              <w:t>暂存间</w:t>
            </w:r>
            <w:r>
              <w:rPr>
                <w:color w:val="000000"/>
                <w:kern w:val="0"/>
                <w:sz w:val="24"/>
              </w:rPr>
              <w:t>应建有堵截泄漏的裙脚，地面与裙脚要用坚固、防渗材料建造，地面与裙角所围建的容积不低于总储量的1/5；应有隔离设施和防风、防晒、防雨设施；</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2 \* GB3 </w:instrText>
            </w:r>
            <w:r>
              <w:rPr>
                <w:color w:val="000000"/>
                <w:kern w:val="0"/>
                <w:sz w:val="24"/>
              </w:rPr>
              <w:fldChar w:fldCharType="separate"/>
            </w:r>
            <w:r>
              <w:rPr>
                <w:rFonts w:hint="eastAsia" w:cs="宋体"/>
                <w:color w:val="000000"/>
                <w:kern w:val="0"/>
                <w:sz w:val="24"/>
              </w:rPr>
              <w:t>②</w:t>
            </w:r>
            <w:r>
              <w:rPr>
                <w:color w:val="000000"/>
                <w:kern w:val="0"/>
                <w:sz w:val="24"/>
              </w:rPr>
              <w:fldChar w:fldCharType="end"/>
            </w:r>
            <w:r>
              <w:rPr>
                <w:color w:val="000000"/>
                <w:kern w:val="0"/>
                <w:sz w:val="24"/>
              </w:rPr>
              <w:t>贮存设施基础必须做防渗处理，防渗层为至少1m厚粘土层（渗透系数≤10</w:t>
            </w:r>
            <w:r>
              <w:rPr>
                <w:color w:val="000000"/>
                <w:kern w:val="0"/>
                <w:sz w:val="24"/>
                <w:vertAlign w:val="superscript"/>
              </w:rPr>
              <w:t>-7</w:t>
            </w:r>
            <w:r>
              <w:rPr>
                <w:color w:val="000000"/>
                <w:kern w:val="0"/>
                <w:sz w:val="24"/>
              </w:rPr>
              <w:t>cm/s），或2mm厚高密度聚乙烯，或至少2mm厚的其它人工材料，渗透系数≤10</w:t>
            </w:r>
            <w:r>
              <w:rPr>
                <w:color w:val="000000"/>
                <w:kern w:val="0"/>
                <w:sz w:val="24"/>
                <w:vertAlign w:val="superscript"/>
              </w:rPr>
              <w:t>-10</w:t>
            </w:r>
            <w:r>
              <w:rPr>
                <w:color w:val="000000"/>
                <w:kern w:val="0"/>
                <w:sz w:val="24"/>
              </w:rPr>
              <w:t xml:space="preserve"> cm/s。</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3 \* GB3 </w:instrText>
            </w:r>
            <w:r>
              <w:rPr>
                <w:color w:val="000000"/>
                <w:kern w:val="0"/>
                <w:sz w:val="24"/>
              </w:rPr>
              <w:fldChar w:fldCharType="separate"/>
            </w:r>
            <w:r>
              <w:rPr>
                <w:rFonts w:hint="eastAsia" w:cs="宋体"/>
                <w:color w:val="000000"/>
                <w:kern w:val="0"/>
                <w:sz w:val="24"/>
              </w:rPr>
              <w:t>③</w:t>
            </w:r>
            <w:r>
              <w:rPr>
                <w:color w:val="000000"/>
                <w:kern w:val="0"/>
                <w:sz w:val="24"/>
              </w:rPr>
              <w:fldChar w:fldCharType="end"/>
            </w:r>
            <w:r>
              <w:rPr>
                <w:color w:val="000000"/>
                <w:sz w:val="24"/>
              </w:rPr>
              <w:t>盛装危险废物的容器应根据危险废物的不同特性而设计，采用不易破损、变形、老化且能有效地防止渗漏、扩散的装置，危险废物包装执行《危险货物运输包装通用技术条件》（GB12463-2009）、《危险货物运输包装标志》（GB190-2009）</w:t>
            </w:r>
            <w:r>
              <w:rPr>
                <w:color w:val="000000"/>
                <w:kern w:val="0"/>
                <w:sz w:val="24"/>
              </w:rPr>
              <w:t>；</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4 \* GB3 </w:instrText>
            </w:r>
            <w:r>
              <w:rPr>
                <w:color w:val="000000"/>
                <w:kern w:val="0"/>
                <w:sz w:val="24"/>
              </w:rPr>
              <w:fldChar w:fldCharType="separate"/>
            </w:r>
            <w:r>
              <w:rPr>
                <w:rFonts w:hint="eastAsia" w:cs="宋体"/>
                <w:color w:val="000000"/>
                <w:kern w:val="0"/>
                <w:sz w:val="24"/>
              </w:rPr>
              <w:t>④</w:t>
            </w:r>
            <w:r>
              <w:rPr>
                <w:color w:val="000000"/>
                <w:kern w:val="0"/>
                <w:sz w:val="24"/>
              </w:rPr>
              <w:fldChar w:fldCharType="end"/>
            </w:r>
            <w:r>
              <w:rPr>
                <w:color w:val="000000"/>
                <w:kern w:val="0"/>
                <w:sz w:val="24"/>
              </w:rPr>
              <w:t>存放危废为液体的仓库内必须有泄漏液体收集装置（例如托盘、导流沟、收集池，导流沟、收集池四周壁及底部同样要求防腐防渗），存放危废为具有挥发性气体的仓库内必须有导出口及气体净化装置；</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5 \* GB3 </w:instrText>
            </w:r>
            <w:r>
              <w:rPr>
                <w:color w:val="000000"/>
                <w:kern w:val="0"/>
                <w:sz w:val="24"/>
              </w:rPr>
              <w:fldChar w:fldCharType="separate"/>
            </w:r>
            <w:r>
              <w:rPr>
                <w:rFonts w:hint="eastAsia" w:cs="宋体"/>
                <w:color w:val="000000"/>
                <w:kern w:val="0"/>
                <w:sz w:val="24"/>
              </w:rPr>
              <w:t>⑤</w:t>
            </w:r>
            <w:r>
              <w:rPr>
                <w:color w:val="000000"/>
                <w:kern w:val="0"/>
                <w:sz w:val="24"/>
              </w:rPr>
              <w:fldChar w:fldCharType="end"/>
            </w:r>
            <w:r>
              <w:rPr>
                <w:color w:val="000000"/>
                <w:kern w:val="0"/>
                <w:sz w:val="24"/>
              </w:rPr>
              <w:t>装载液体、半固体危险废物的容器内须留足够空间，容器顶部与液体表面之间保留100毫米以上的空间。用以存放装载液体、半固体危险废物容器的地方，必须有耐腐蚀的硬化地面，且表面无裂隙。</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6 \* GB3 </w:instrText>
            </w:r>
            <w:r>
              <w:rPr>
                <w:color w:val="000000"/>
                <w:kern w:val="0"/>
                <w:sz w:val="24"/>
              </w:rPr>
              <w:fldChar w:fldCharType="separate"/>
            </w:r>
            <w:r>
              <w:rPr>
                <w:rFonts w:hint="eastAsia" w:cs="宋体"/>
                <w:color w:val="000000"/>
                <w:kern w:val="0"/>
                <w:sz w:val="24"/>
              </w:rPr>
              <w:t>⑥</w:t>
            </w:r>
            <w:r>
              <w:rPr>
                <w:color w:val="000000"/>
                <w:kern w:val="0"/>
                <w:sz w:val="24"/>
              </w:rPr>
              <w:fldChar w:fldCharType="end"/>
            </w:r>
            <w:r>
              <w:rPr>
                <w:color w:val="000000"/>
                <w:kern w:val="0"/>
                <w:sz w:val="24"/>
              </w:rPr>
              <w:t>危险废物要注重“四防”，即防风、防雨、防晒、防渗漏，危废库建设时应采用混凝土、砖或经防腐处理的钢材等作为建材材料建成的相对封闭式场所，并设通风口；外部配套建设雨水导排系统，防止雨水进入危废暂存库内。</w:t>
            </w:r>
          </w:p>
          <w:p>
            <w:pPr>
              <w:autoSpaceDE w:val="0"/>
              <w:autoSpaceDN w:val="0"/>
              <w:adjustRightInd w:val="0"/>
              <w:spacing w:line="360" w:lineRule="auto"/>
              <w:ind w:firstLine="480" w:firstLineChars="200"/>
              <w:jc w:val="left"/>
              <w:rPr>
                <w:color w:val="000000"/>
                <w:kern w:val="0"/>
                <w:sz w:val="24"/>
              </w:rPr>
            </w:pPr>
            <w:r>
              <w:rPr>
                <w:color w:val="000000"/>
                <w:kern w:val="0"/>
                <w:sz w:val="24"/>
              </w:rPr>
              <w:fldChar w:fldCharType="begin"/>
            </w:r>
            <w:r>
              <w:rPr>
                <w:color w:val="000000"/>
                <w:kern w:val="0"/>
                <w:sz w:val="24"/>
              </w:rPr>
              <w:instrText xml:space="preserve"> = 7 \* GB3 </w:instrText>
            </w:r>
            <w:r>
              <w:rPr>
                <w:color w:val="000000"/>
                <w:kern w:val="0"/>
                <w:sz w:val="24"/>
              </w:rPr>
              <w:fldChar w:fldCharType="separate"/>
            </w:r>
            <w:r>
              <w:rPr>
                <w:rFonts w:hint="eastAsia" w:cs="宋体"/>
                <w:color w:val="000000"/>
                <w:kern w:val="0"/>
                <w:sz w:val="24"/>
              </w:rPr>
              <w:t>⑦</w:t>
            </w:r>
            <w:r>
              <w:rPr>
                <w:color w:val="000000"/>
                <w:kern w:val="0"/>
                <w:sz w:val="24"/>
              </w:rPr>
              <w:fldChar w:fldCharType="end"/>
            </w:r>
            <w:r>
              <w:rPr>
                <w:color w:val="000000"/>
                <w:sz w:val="24"/>
              </w:rPr>
              <w:t>危废</w:t>
            </w:r>
            <w:r>
              <w:rPr>
                <w:rFonts w:hint="eastAsia"/>
                <w:color w:val="000000"/>
                <w:sz w:val="24"/>
              </w:rPr>
              <w:t>暂存间</w:t>
            </w:r>
            <w:r>
              <w:rPr>
                <w:color w:val="000000"/>
                <w:kern w:val="0"/>
                <w:sz w:val="24"/>
              </w:rPr>
              <w:t>门上要张贴包含所有危废的标识、标牌，仓库内对应墙上有标志标识，无法装入常用容器的危险废物可用防漏胶袋等盛装，包装桶、袋上有标签，危废仓库管理责任制要上墙。</w:t>
            </w:r>
          </w:p>
          <w:p>
            <w:pPr>
              <w:autoSpaceDE w:val="0"/>
              <w:autoSpaceDN w:val="0"/>
              <w:adjustRightInd w:val="0"/>
              <w:spacing w:line="360" w:lineRule="auto"/>
              <w:ind w:firstLine="480" w:firstLineChars="200"/>
              <w:jc w:val="left"/>
              <w:rPr>
                <w:color w:val="000000"/>
                <w:kern w:val="0"/>
                <w:sz w:val="24"/>
              </w:rPr>
            </w:pPr>
            <w:r>
              <w:rPr>
                <w:color w:val="000000"/>
                <w:sz w:val="24"/>
              </w:rPr>
              <w:fldChar w:fldCharType="begin"/>
            </w:r>
            <w:r>
              <w:rPr>
                <w:color w:val="000000"/>
                <w:sz w:val="24"/>
              </w:rPr>
              <w:instrText xml:space="preserve"> = 8 \* GB3 </w:instrText>
            </w:r>
            <w:r>
              <w:rPr>
                <w:color w:val="000000"/>
                <w:sz w:val="24"/>
              </w:rPr>
              <w:fldChar w:fldCharType="separate"/>
            </w:r>
            <w:r>
              <w:rPr>
                <w:rFonts w:hint="eastAsia" w:cs="宋体"/>
                <w:color w:val="000000"/>
                <w:sz w:val="24"/>
              </w:rPr>
              <w:t>⑧</w:t>
            </w:r>
            <w:r>
              <w:rPr>
                <w:color w:val="000000"/>
                <w:sz w:val="24"/>
              </w:rPr>
              <w:fldChar w:fldCharType="end"/>
            </w:r>
            <w:r>
              <w:rPr>
                <w:color w:val="000000"/>
                <w:sz w:val="24"/>
              </w:rPr>
              <w:t>危废</w:t>
            </w:r>
            <w:r>
              <w:rPr>
                <w:rFonts w:hint="eastAsia"/>
                <w:color w:val="000000"/>
                <w:sz w:val="24"/>
              </w:rPr>
              <w:t>暂存间</w:t>
            </w:r>
            <w:r>
              <w:rPr>
                <w:color w:val="000000"/>
                <w:sz w:val="24"/>
              </w:rPr>
              <w:t>需上锁防盗，制定严格的暂存保管措施，专人负责。</w:t>
            </w:r>
          </w:p>
          <w:p>
            <w:pPr>
              <w:autoSpaceDE w:val="0"/>
              <w:autoSpaceDN w:val="0"/>
              <w:adjustRightInd w:val="0"/>
              <w:spacing w:line="360" w:lineRule="auto"/>
              <w:ind w:firstLine="480" w:firstLineChars="200"/>
              <w:jc w:val="left"/>
              <w:rPr>
                <w:color w:val="000000"/>
                <w:sz w:val="24"/>
              </w:rPr>
            </w:pPr>
            <w:r>
              <w:rPr>
                <w:color w:val="000000"/>
                <w:kern w:val="0"/>
                <w:sz w:val="24"/>
              </w:rPr>
              <w:fldChar w:fldCharType="begin"/>
            </w:r>
            <w:r>
              <w:rPr>
                <w:color w:val="000000"/>
                <w:kern w:val="0"/>
                <w:sz w:val="24"/>
              </w:rPr>
              <w:instrText xml:space="preserve"> = 9 \* GB3 </w:instrText>
            </w:r>
            <w:r>
              <w:rPr>
                <w:color w:val="000000"/>
                <w:kern w:val="0"/>
                <w:sz w:val="24"/>
              </w:rPr>
              <w:fldChar w:fldCharType="separate"/>
            </w:r>
            <w:r>
              <w:rPr>
                <w:rFonts w:hint="eastAsia" w:cs="宋体"/>
                <w:color w:val="000000"/>
                <w:kern w:val="0"/>
                <w:sz w:val="24"/>
              </w:rPr>
              <w:t>⑨</w:t>
            </w:r>
            <w:r>
              <w:rPr>
                <w:color w:val="000000"/>
                <w:kern w:val="0"/>
                <w:sz w:val="24"/>
              </w:rPr>
              <w:fldChar w:fldCharType="end"/>
            </w:r>
            <w:r>
              <w:rPr>
                <w:color w:val="000000"/>
                <w:kern w:val="0"/>
                <w:sz w:val="24"/>
              </w:rPr>
              <w:t>危险废物定期交由有资质的处置单位接收处理，转运过程严格按照有关规定，实行联单制度。</w:t>
            </w:r>
          </w:p>
          <w:p>
            <w:pPr>
              <w:autoSpaceDE w:val="0"/>
              <w:autoSpaceDN w:val="0"/>
              <w:adjustRightInd w:val="0"/>
              <w:spacing w:line="360" w:lineRule="auto"/>
              <w:ind w:firstLine="480" w:firstLineChars="200"/>
              <w:jc w:val="left"/>
              <w:rPr>
                <w:color w:val="000000"/>
                <w:kern w:val="0"/>
                <w:sz w:val="24"/>
              </w:rPr>
            </w:pPr>
            <w:r>
              <w:rPr>
                <w:color w:val="000000"/>
                <w:kern w:val="0"/>
                <w:sz w:val="24"/>
              </w:rPr>
              <w:t>采取上述措施后，能够确保本项目危险废物在厂内贮存时得到有效的处置，对环境影响较小。</w:t>
            </w:r>
          </w:p>
          <w:p>
            <w:pPr>
              <w:spacing w:line="360" w:lineRule="auto"/>
              <w:ind w:firstLine="480"/>
              <w:jc w:val="left"/>
              <w:rPr>
                <w:color w:val="000000"/>
                <w:kern w:val="0"/>
                <w:sz w:val="24"/>
              </w:rPr>
            </w:pPr>
            <w:r>
              <w:rPr>
                <w:rFonts w:hint="eastAsia"/>
                <w:color w:val="000000"/>
                <w:kern w:val="0"/>
                <w:sz w:val="24"/>
              </w:rPr>
              <w:t>（</w:t>
            </w:r>
            <w:r>
              <w:rPr>
                <w:color w:val="000000"/>
                <w:kern w:val="0"/>
                <w:sz w:val="24"/>
              </w:rPr>
              <w:t>2</w:t>
            </w:r>
            <w:r>
              <w:rPr>
                <w:rFonts w:hint="eastAsia"/>
                <w:color w:val="000000"/>
                <w:kern w:val="0"/>
                <w:sz w:val="24"/>
              </w:rPr>
              <w:t>）危险废物运输及转移过程环境影响分析</w:t>
            </w:r>
          </w:p>
          <w:p>
            <w:pPr>
              <w:spacing w:line="360" w:lineRule="auto"/>
              <w:ind w:firstLine="480"/>
              <w:jc w:val="left"/>
              <w:rPr>
                <w:color w:val="000000"/>
                <w:kern w:val="0"/>
                <w:sz w:val="24"/>
              </w:rPr>
            </w:pPr>
            <w:r>
              <w:rPr>
                <w:rFonts w:hint="eastAsia"/>
                <w:color w:val="000000"/>
                <w:kern w:val="0"/>
                <w:sz w:val="24"/>
              </w:rPr>
              <w:t>危险废物外运时严格按照国家环境保护总局令第</w:t>
            </w:r>
            <w:r>
              <w:rPr>
                <w:color w:val="000000"/>
                <w:kern w:val="0"/>
                <w:sz w:val="24"/>
              </w:rPr>
              <w:t xml:space="preserve">5 </w:t>
            </w:r>
            <w:r>
              <w:rPr>
                <w:rFonts w:hint="eastAsia"/>
                <w:color w:val="000000"/>
                <w:kern w:val="0"/>
                <w:sz w:val="24"/>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pPr>
              <w:spacing w:line="360" w:lineRule="auto"/>
              <w:ind w:firstLine="480"/>
              <w:jc w:val="left"/>
              <w:rPr>
                <w:color w:val="000000"/>
                <w:kern w:val="0"/>
                <w:sz w:val="24"/>
              </w:rPr>
            </w:pPr>
            <w:r>
              <w:rPr>
                <w:rFonts w:hint="eastAsia"/>
                <w:color w:val="000000"/>
                <w:kern w:val="0"/>
                <w:sz w:val="24"/>
              </w:rPr>
              <w:t>综上所述，项目运输过程做好相关工作对外环境的影响是可以控制的。</w:t>
            </w:r>
          </w:p>
          <w:p>
            <w:pPr>
              <w:spacing w:line="360" w:lineRule="auto"/>
              <w:ind w:firstLine="480"/>
              <w:jc w:val="left"/>
              <w:rPr>
                <w:color w:val="000000"/>
                <w:kern w:val="0"/>
                <w:sz w:val="24"/>
              </w:rPr>
            </w:pPr>
            <w:r>
              <w:rPr>
                <w:color w:val="000000"/>
                <w:kern w:val="0"/>
                <w:sz w:val="24"/>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Pr>
                <w:rFonts w:hint="eastAsia"/>
                <w:color w:val="000000"/>
                <w:kern w:val="0"/>
                <w:sz w:val="24"/>
              </w:rPr>
              <w:t>。</w:t>
            </w:r>
            <w:r>
              <w:rPr>
                <w:color w:val="000000"/>
                <w:kern w:val="0"/>
                <w:sz w:val="24"/>
              </w:rPr>
              <w:t xml:space="preserve"> </w:t>
            </w:r>
          </w:p>
          <w:p>
            <w:pPr>
              <w:autoSpaceDE w:val="0"/>
              <w:autoSpaceDN w:val="0"/>
              <w:adjustRightInd w:val="0"/>
              <w:spacing w:before="120" w:beforeLines="50" w:line="360" w:lineRule="auto"/>
              <w:ind w:firstLine="480" w:firstLineChars="200"/>
              <w:jc w:val="left"/>
              <w:rPr>
                <w:color w:val="000000"/>
                <w:kern w:val="0"/>
                <w:sz w:val="24"/>
              </w:rPr>
            </w:pPr>
            <w:r>
              <w:rPr>
                <w:rFonts w:hint="eastAsia"/>
                <w:color w:val="000000"/>
                <w:kern w:val="0"/>
                <w:sz w:val="24"/>
              </w:rPr>
              <w:t>（3）委托利用或者处置的环境影响分析</w:t>
            </w:r>
          </w:p>
          <w:p>
            <w:pPr>
              <w:autoSpaceDE w:val="0"/>
              <w:autoSpaceDN w:val="0"/>
              <w:adjustRightInd w:val="0"/>
              <w:spacing w:line="360" w:lineRule="auto"/>
              <w:ind w:firstLine="480" w:firstLineChars="200"/>
              <w:jc w:val="left"/>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根据安徽省环境保护厅公布的《安徽省危险废物经营许可证汇总统计表》，本次评价分析项目产生的危险废物有资质单位有能力接纳并利用、处置的部分单位如下：</w:t>
            </w:r>
          </w:p>
          <w:p>
            <w:pPr>
              <w:jc w:val="center"/>
              <w:rPr>
                <w:b/>
                <w:color w:val="000000"/>
                <w:sz w:val="24"/>
              </w:rPr>
            </w:pPr>
            <w:r>
              <w:rPr>
                <w:rFonts w:hint="eastAsia"/>
                <w:b/>
                <w:color w:val="000000"/>
                <w:sz w:val="24"/>
              </w:rPr>
              <w:t>表4-10 危险废物处置单位一览表</w:t>
            </w:r>
          </w:p>
          <w:tbl>
            <w:tblPr>
              <w:tblStyle w:val="58"/>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1498"/>
              <w:gridCol w:w="1128"/>
              <w:gridCol w:w="50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0" w:type="dxa"/>
                  <w:shd w:val="clear" w:color="auto" w:fill="auto"/>
                  <w:vAlign w:val="center"/>
                </w:tcPr>
                <w:p>
                  <w:pPr>
                    <w:pStyle w:val="1037"/>
                    <w:widowControl w:val="0"/>
                    <w:adjustRightInd w:val="0"/>
                    <w:snapToGrid w:val="0"/>
                    <w:ind w:left="-63" w:leftChars="-30" w:right="-63" w:rightChars="-30" w:firstLine="0" w:firstLineChars="0"/>
                    <w:jc w:val="center"/>
                    <w:rPr>
                      <w:b/>
                      <w:bCs/>
                      <w:sz w:val="21"/>
                      <w:szCs w:val="21"/>
                    </w:rPr>
                  </w:pPr>
                  <w:r>
                    <w:rPr>
                      <w:rFonts w:hint="eastAsia"/>
                      <w:b/>
                      <w:bCs/>
                      <w:sz w:val="21"/>
                      <w:szCs w:val="21"/>
                    </w:rPr>
                    <w:t>市县</w:t>
                  </w:r>
                </w:p>
              </w:tc>
              <w:tc>
                <w:tcPr>
                  <w:tcW w:w="1499" w:type="dxa"/>
                  <w:shd w:val="clear" w:color="auto" w:fill="auto"/>
                  <w:vAlign w:val="center"/>
                </w:tcPr>
                <w:p>
                  <w:pPr>
                    <w:pStyle w:val="1037"/>
                    <w:widowControl w:val="0"/>
                    <w:adjustRightInd w:val="0"/>
                    <w:snapToGrid w:val="0"/>
                    <w:ind w:left="-63" w:leftChars="-30" w:right="-63" w:rightChars="-30" w:firstLine="0" w:firstLineChars="0"/>
                    <w:jc w:val="center"/>
                    <w:rPr>
                      <w:b/>
                      <w:bCs/>
                      <w:sz w:val="21"/>
                      <w:szCs w:val="21"/>
                    </w:rPr>
                  </w:pPr>
                  <w:r>
                    <w:rPr>
                      <w:rFonts w:hint="eastAsia"/>
                      <w:b/>
                      <w:bCs/>
                      <w:sz w:val="21"/>
                      <w:szCs w:val="21"/>
                    </w:rPr>
                    <w:t>企业名称</w:t>
                  </w:r>
                </w:p>
              </w:tc>
              <w:tc>
                <w:tcPr>
                  <w:tcW w:w="1128" w:type="dxa"/>
                  <w:shd w:val="clear" w:color="auto" w:fill="auto"/>
                  <w:vAlign w:val="center"/>
                </w:tcPr>
                <w:p>
                  <w:pPr>
                    <w:pStyle w:val="1037"/>
                    <w:widowControl w:val="0"/>
                    <w:adjustRightInd w:val="0"/>
                    <w:snapToGrid w:val="0"/>
                    <w:ind w:left="-63" w:leftChars="-30" w:right="-63" w:rightChars="-30" w:firstLine="0" w:firstLineChars="0"/>
                    <w:jc w:val="center"/>
                    <w:rPr>
                      <w:b/>
                      <w:bCs/>
                      <w:sz w:val="21"/>
                      <w:szCs w:val="21"/>
                    </w:rPr>
                  </w:pPr>
                  <w:r>
                    <w:rPr>
                      <w:rFonts w:hint="eastAsia"/>
                      <w:b/>
                      <w:bCs/>
                      <w:sz w:val="21"/>
                      <w:szCs w:val="21"/>
                    </w:rPr>
                    <w:t>许可证编号</w:t>
                  </w:r>
                </w:p>
              </w:tc>
              <w:tc>
                <w:tcPr>
                  <w:tcW w:w="5093" w:type="dxa"/>
                  <w:shd w:val="clear" w:color="auto" w:fill="auto"/>
                  <w:vAlign w:val="center"/>
                </w:tcPr>
                <w:p>
                  <w:pPr>
                    <w:pStyle w:val="1037"/>
                    <w:widowControl w:val="0"/>
                    <w:adjustRightInd w:val="0"/>
                    <w:snapToGrid w:val="0"/>
                    <w:ind w:left="-63" w:leftChars="-30" w:right="-63" w:rightChars="-30" w:firstLine="0" w:firstLineChars="0"/>
                    <w:jc w:val="center"/>
                    <w:rPr>
                      <w:b/>
                      <w:bCs/>
                      <w:sz w:val="21"/>
                      <w:szCs w:val="21"/>
                    </w:rPr>
                  </w:pPr>
                  <w:r>
                    <w:rPr>
                      <w:rFonts w:hint="eastAsia"/>
                      <w:b/>
                      <w:bCs/>
                      <w:sz w:val="21"/>
                      <w:szCs w:val="21"/>
                    </w:rPr>
                    <w:t>核准经营范围、类别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0"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99"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芜湖致源环保科技有限公司</w:t>
                  </w:r>
                </w:p>
              </w:tc>
              <w:tc>
                <w:tcPr>
                  <w:tcW w:w="1128"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sz w:val="21"/>
                      <w:szCs w:val="21"/>
                    </w:rPr>
                    <w:t>340203002</w:t>
                  </w:r>
                </w:p>
              </w:tc>
              <w:tc>
                <w:tcPr>
                  <w:tcW w:w="5093"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HW08废矿物油与含矿物油废物、HW09油水烃水混合物或乳化液，HW12染料涂料废物，HW17表面处理废物，HW49其他废物。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0"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99"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芜湖海创环保科技有限责任公司</w:t>
                  </w:r>
                </w:p>
              </w:tc>
              <w:tc>
                <w:tcPr>
                  <w:tcW w:w="1128"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sz w:val="21"/>
                      <w:szCs w:val="21"/>
                    </w:rPr>
                    <w:t>340222002</w:t>
                  </w:r>
                </w:p>
              </w:tc>
              <w:tc>
                <w:tcPr>
                  <w:tcW w:w="5093"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HW02、HW04、HW06、HW08、HW09、HW11、HW12、HW13、HW17、HW18、HW22 、HW31、HW34、HW39、HW45、HW48、HW49等17大类，283小类。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0"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99"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安徽优环再生资源利用有限公司</w:t>
                  </w:r>
                </w:p>
              </w:tc>
              <w:tc>
                <w:tcPr>
                  <w:tcW w:w="1128"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sz w:val="21"/>
                      <w:szCs w:val="21"/>
                    </w:rPr>
                    <w:t>340271001</w:t>
                  </w:r>
                </w:p>
              </w:tc>
              <w:tc>
                <w:tcPr>
                  <w:tcW w:w="5093"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HW06、HW08、HW09、HW11、HW12、HW13、HW16、HW17、HW18、HW22、HW32 、HW34、HW35、HW48、HW49、HW50等16大类、108小类。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90"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马鞍山市</w:t>
                  </w:r>
                </w:p>
              </w:tc>
              <w:tc>
                <w:tcPr>
                  <w:tcW w:w="1499"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rFonts w:hint="eastAsia"/>
                      <w:sz w:val="21"/>
                      <w:szCs w:val="21"/>
                    </w:rPr>
                    <w:t>马鞍山澳新环保科技有限公司</w:t>
                  </w:r>
                </w:p>
              </w:tc>
              <w:tc>
                <w:tcPr>
                  <w:tcW w:w="1128" w:type="dxa"/>
                  <w:shd w:val="clear" w:color="auto" w:fill="auto"/>
                  <w:vAlign w:val="center"/>
                </w:tcPr>
                <w:p>
                  <w:pPr>
                    <w:pStyle w:val="1037"/>
                    <w:widowControl w:val="0"/>
                    <w:adjustRightInd w:val="0"/>
                    <w:snapToGrid w:val="0"/>
                    <w:ind w:left="-63" w:leftChars="-30" w:right="-63" w:rightChars="-30" w:firstLine="0" w:firstLineChars="0"/>
                    <w:jc w:val="center"/>
                    <w:rPr>
                      <w:sz w:val="21"/>
                      <w:szCs w:val="21"/>
                    </w:rPr>
                  </w:pPr>
                  <w:r>
                    <w:rPr>
                      <w:sz w:val="21"/>
                      <w:szCs w:val="21"/>
                    </w:rPr>
                    <w:t>340504001</w:t>
                  </w:r>
                </w:p>
              </w:tc>
              <w:tc>
                <w:tcPr>
                  <w:tcW w:w="5093" w:type="dxa"/>
                  <w:shd w:val="clear" w:color="auto" w:fill="auto"/>
                  <w:vAlign w:val="center"/>
                </w:tcPr>
                <w:p>
                  <w:pPr>
                    <w:pStyle w:val="1037"/>
                    <w:widowControl w:val="0"/>
                    <w:adjustRightInd w:val="0"/>
                    <w:snapToGrid w:val="0"/>
                    <w:ind w:left="-63" w:leftChars="-30" w:right="-63" w:rightChars="-30" w:firstLine="412"/>
                    <w:jc w:val="center"/>
                    <w:rPr>
                      <w:sz w:val="21"/>
                      <w:szCs w:val="21"/>
                    </w:rPr>
                  </w:pPr>
                  <w:r>
                    <w:rPr>
                      <w:rFonts w:hint="eastAsia"/>
                      <w:sz w:val="21"/>
                      <w:szCs w:val="21"/>
                    </w:rPr>
                    <w:t>HW01-HW06、HW08、HW09、HW11-HW14、HW16-HW18、HW21-HW23、HW29、 HW31-HW40、HW45、HW46、HW48-HW50焚烧10000吨/年（含医疗废物1000吨）、物化处理13000吨/年、固化、稳定化及安全填埋10100吨/年。</w:t>
                  </w:r>
                </w:p>
              </w:tc>
            </w:tr>
          </w:tbl>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从上表可以看出，本项目产生的危险固体废物在安徽省内有多家适合的资质单位进行处理处置。</w:t>
            </w: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综上所述，本评价认为，在落实上述危险废物管理要求后，项目各类危废从收集、转运、运输、处理处置环节均可以得到有效的控制，能够确保妥善处置，不会对区域环境造成较大不利影响</w:t>
            </w:r>
            <w:r>
              <w:rPr>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shd w:val="clear" w:color="auto" w:fill="auto"/>
          </w:tcPr>
          <w:p>
            <w:pPr>
              <w:tabs>
                <w:tab w:val="left" w:pos="1077"/>
              </w:tabs>
              <w:rPr>
                <w:rFonts w:cs="宋体"/>
                <w:color w:val="000000"/>
                <w:sz w:val="24"/>
              </w:rPr>
            </w:pPr>
          </w:p>
        </w:tc>
        <w:tc>
          <w:tcPr>
            <w:tcW w:w="8629" w:type="dxa"/>
            <w:shd w:val="clear" w:color="auto" w:fill="auto"/>
          </w:tcPr>
          <w:p>
            <w:pPr>
              <w:autoSpaceDE w:val="0"/>
              <w:autoSpaceDN w:val="0"/>
              <w:adjustRightInd w:val="0"/>
              <w:spacing w:before="120" w:beforeLines="50" w:line="360" w:lineRule="auto"/>
              <w:ind w:firstLine="482" w:firstLineChars="200"/>
              <w:jc w:val="left"/>
              <w:rPr>
                <w:b/>
                <w:bCs/>
                <w:color w:val="000000"/>
                <w:sz w:val="24"/>
                <w:szCs w:val="32"/>
              </w:rPr>
            </w:pPr>
            <w:r>
              <w:rPr>
                <w:rFonts w:hint="eastAsia" w:cs="宋体"/>
                <w:b/>
                <w:bCs/>
                <w:color w:val="000000"/>
                <w:sz w:val="24"/>
              </w:rPr>
              <w:t>五、地下水、土壤</w:t>
            </w:r>
            <w:r>
              <w:rPr>
                <w:rFonts w:hint="eastAsia"/>
                <w:b/>
                <w:bCs/>
                <w:color w:val="000000"/>
                <w:sz w:val="24"/>
                <w:szCs w:val="32"/>
              </w:rPr>
              <w:t>环境影响和保护措施</w:t>
            </w:r>
          </w:p>
          <w:p>
            <w:pPr>
              <w:spacing w:line="360" w:lineRule="auto"/>
              <w:ind w:firstLine="482" w:firstLineChars="200"/>
              <w:rPr>
                <w:b/>
                <w:color w:val="000000"/>
                <w:sz w:val="24"/>
              </w:rPr>
            </w:pPr>
            <w:bookmarkStart w:id="4" w:name="_Toc355948545"/>
            <w:bookmarkStart w:id="5" w:name="_Toc350338948"/>
            <w:bookmarkStart w:id="6" w:name="_Toc364165777"/>
            <w:r>
              <w:rPr>
                <w:rFonts w:hint="eastAsia"/>
                <w:b/>
                <w:color w:val="000000"/>
                <w:sz w:val="24"/>
              </w:rPr>
              <w:t>1、污染源及污染途径</w:t>
            </w:r>
          </w:p>
          <w:p>
            <w:pPr>
              <w:spacing w:line="360" w:lineRule="auto"/>
              <w:ind w:firstLine="480" w:firstLineChars="200"/>
              <w:rPr>
                <w:color w:val="000000"/>
                <w:sz w:val="24"/>
              </w:rPr>
            </w:pPr>
            <w:r>
              <w:rPr>
                <w:color w:val="000000"/>
                <w:sz w:val="24"/>
              </w:rPr>
              <w:t>本项目建设完整的“雨污分流、清污分流、污污分流”排水系统，雨水排入雨水管网。</w:t>
            </w:r>
            <w:r>
              <w:rPr>
                <w:rFonts w:hint="eastAsia"/>
                <w:color w:val="000000"/>
                <w:sz w:val="24"/>
              </w:rPr>
              <w:t>生活</w:t>
            </w:r>
            <w:r>
              <w:rPr>
                <w:color w:val="000000"/>
                <w:sz w:val="24"/>
              </w:rPr>
              <w:t>污水经化粪池预处理后接入滨江污水处理厂</w:t>
            </w:r>
            <w:r>
              <w:rPr>
                <w:rFonts w:hint="eastAsia"/>
                <w:color w:val="000000"/>
                <w:sz w:val="24"/>
              </w:rPr>
              <w:t>。正常情况下，不会形成地表漫流，对土壤环境的潜在影响主要是垂直入渗透。</w:t>
            </w:r>
          </w:p>
          <w:p>
            <w:pPr>
              <w:spacing w:line="360" w:lineRule="auto"/>
              <w:ind w:firstLine="480"/>
              <w:jc w:val="left"/>
              <w:rPr>
                <w:b/>
                <w:color w:val="000000"/>
                <w:sz w:val="24"/>
              </w:rPr>
            </w:pPr>
            <w:r>
              <w:rPr>
                <w:rFonts w:hint="eastAsia"/>
                <w:b/>
                <w:color w:val="000000"/>
                <w:sz w:val="24"/>
              </w:rPr>
              <w:t>2、</w:t>
            </w:r>
            <w:r>
              <w:rPr>
                <w:b/>
                <w:color w:val="000000"/>
                <w:sz w:val="24"/>
              </w:rPr>
              <w:t>污染防治措施。</w:t>
            </w:r>
          </w:p>
          <w:p>
            <w:pPr>
              <w:keepNext/>
              <w:keepLines/>
              <w:spacing w:line="360" w:lineRule="auto"/>
              <w:ind w:firstLine="354" w:firstLineChars="147"/>
              <w:outlineLvl w:val="2"/>
              <w:rPr>
                <w:b/>
                <w:bCs/>
                <w:color w:val="000000"/>
                <w:sz w:val="24"/>
                <w:szCs w:val="32"/>
              </w:rPr>
            </w:pPr>
            <w:r>
              <w:rPr>
                <w:rFonts w:hint="eastAsia"/>
                <w:b/>
                <w:bCs/>
                <w:color w:val="000000"/>
                <w:sz w:val="24"/>
                <w:szCs w:val="32"/>
              </w:rPr>
              <w:t>（1）</w:t>
            </w:r>
            <w:r>
              <w:rPr>
                <w:b/>
                <w:bCs/>
                <w:color w:val="000000"/>
                <w:sz w:val="24"/>
                <w:szCs w:val="32"/>
              </w:rPr>
              <w:t>源头控制措施</w:t>
            </w:r>
          </w:p>
          <w:p>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xml:space="preserve">= 1 \* GB3</w:instrText>
            </w:r>
            <w:r>
              <w:rPr>
                <w:color w:val="000000"/>
                <w:sz w:val="24"/>
              </w:rPr>
              <w:instrText xml:space="preserve"> </w:instrText>
            </w:r>
            <w:r>
              <w:rPr>
                <w:color w:val="000000"/>
                <w:sz w:val="24"/>
              </w:rPr>
              <w:fldChar w:fldCharType="separate"/>
            </w:r>
            <w:r>
              <w:rPr>
                <w:rFonts w:hint="eastAsia"/>
                <w:color w:val="000000"/>
                <w:sz w:val="24"/>
              </w:rPr>
              <w:t>①</w:t>
            </w:r>
            <w:r>
              <w:rPr>
                <w:color w:val="000000"/>
                <w:sz w:val="24"/>
              </w:rPr>
              <w:fldChar w:fldCharType="end"/>
            </w:r>
            <w:r>
              <w:rPr>
                <w:color w:val="000000"/>
                <w:sz w:val="24"/>
              </w:rPr>
              <w:t>严格按照国家相关规范要求，对厂区内各污水处理设备等采取相应措施，以防止和降低污染物的跑、冒、滴、漏，将污染物泄漏的环境风险事故降到最低程度。</w:t>
            </w:r>
          </w:p>
          <w:p>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xml:space="preserve">= 2 \* GB3</w:instrText>
            </w:r>
            <w:r>
              <w:rPr>
                <w:color w:val="000000"/>
                <w:sz w:val="24"/>
              </w:rPr>
              <w:instrText xml:space="preserve"> </w:instrText>
            </w:r>
            <w:r>
              <w:rPr>
                <w:color w:val="000000"/>
                <w:sz w:val="24"/>
              </w:rPr>
              <w:fldChar w:fldCharType="separate"/>
            </w:r>
            <w:r>
              <w:rPr>
                <w:rFonts w:hint="eastAsia"/>
                <w:color w:val="000000"/>
                <w:sz w:val="24"/>
              </w:rPr>
              <w:t>②</w:t>
            </w:r>
            <w:r>
              <w:rPr>
                <w:color w:val="000000"/>
                <w:sz w:val="24"/>
              </w:rPr>
              <w:fldChar w:fldCharType="end"/>
            </w:r>
            <w:r>
              <w:rPr>
                <w:color w:val="000000"/>
                <w:sz w:val="24"/>
              </w:rPr>
              <w:t>设备和管线尽量采用“可视化”原则，即尽可能地上敷设和放置，做到污染物“早发现、早处理”，以减少由于埋地泄漏而可能造成的地下水污染。对地下管道、管道内外均采用防腐处理，定期对管道进行检漏，对出现泄漏处的土壤进行换土。</w:t>
            </w:r>
          </w:p>
          <w:p>
            <w:pPr>
              <w:spacing w:line="360" w:lineRule="auto"/>
              <w:ind w:firstLine="480"/>
              <w:jc w:val="left"/>
              <w:rPr>
                <w:color w:val="000000"/>
                <w:sz w:val="24"/>
              </w:rPr>
            </w:pPr>
            <w:r>
              <w:rPr>
                <w:color w:val="000000"/>
                <w:sz w:val="24"/>
              </w:rPr>
              <w:fldChar w:fldCharType="begin"/>
            </w:r>
            <w:r>
              <w:rPr>
                <w:color w:val="000000"/>
                <w:sz w:val="24"/>
              </w:rPr>
              <w:instrText xml:space="preserve"> </w:instrText>
            </w:r>
            <w:r>
              <w:rPr>
                <w:rFonts w:hint="eastAsia"/>
                <w:color w:val="000000"/>
                <w:sz w:val="24"/>
              </w:rPr>
              <w:instrText xml:space="preserve">= 3 \* GB3</w:instrText>
            </w:r>
            <w:r>
              <w:rPr>
                <w:color w:val="000000"/>
                <w:sz w:val="24"/>
              </w:rPr>
              <w:instrText xml:space="preserve"> </w:instrText>
            </w:r>
            <w:r>
              <w:rPr>
                <w:color w:val="000000"/>
                <w:sz w:val="24"/>
              </w:rPr>
              <w:fldChar w:fldCharType="separate"/>
            </w:r>
            <w:r>
              <w:rPr>
                <w:rFonts w:hint="eastAsia"/>
                <w:color w:val="000000"/>
                <w:sz w:val="24"/>
              </w:rPr>
              <w:t>③</w:t>
            </w:r>
            <w:r>
              <w:rPr>
                <w:color w:val="000000"/>
                <w:sz w:val="24"/>
              </w:rPr>
              <w:fldChar w:fldCharType="end"/>
            </w:r>
            <w:r>
              <w:rPr>
                <w:color w:val="000000"/>
                <w:sz w:val="24"/>
              </w:rPr>
              <w:t>严格固体废物管理，不接触外界降水，使其不产生淋滤液，严防污染物泄漏到地下水中。</w:t>
            </w:r>
          </w:p>
          <w:p>
            <w:pPr>
              <w:keepNext/>
              <w:keepLines/>
              <w:spacing w:line="360" w:lineRule="auto"/>
              <w:ind w:firstLine="354" w:firstLineChars="147"/>
              <w:outlineLvl w:val="2"/>
              <w:rPr>
                <w:b/>
                <w:bCs/>
                <w:color w:val="000000"/>
                <w:sz w:val="24"/>
                <w:szCs w:val="32"/>
              </w:rPr>
            </w:pPr>
            <w:r>
              <w:rPr>
                <w:rFonts w:hint="eastAsia"/>
                <w:b/>
                <w:bCs/>
                <w:color w:val="000000"/>
                <w:sz w:val="24"/>
                <w:szCs w:val="32"/>
              </w:rPr>
              <w:t>（2）</w:t>
            </w:r>
            <w:r>
              <w:rPr>
                <w:b/>
                <w:bCs/>
                <w:color w:val="000000"/>
                <w:sz w:val="24"/>
                <w:szCs w:val="32"/>
              </w:rPr>
              <w:t>分区防渗措施</w:t>
            </w:r>
          </w:p>
          <w:bookmarkEnd w:id="4"/>
          <w:bookmarkEnd w:id="5"/>
          <w:bookmarkEnd w:id="6"/>
          <w:p>
            <w:pPr>
              <w:adjustRightInd w:val="0"/>
              <w:spacing w:line="360" w:lineRule="auto"/>
              <w:ind w:firstLine="480" w:firstLineChars="200"/>
              <w:rPr>
                <w:color w:val="000000"/>
                <w:sz w:val="24"/>
              </w:rPr>
            </w:pPr>
            <w:r>
              <w:rPr>
                <w:color w:val="000000"/>
                <w:sz w:val="24"/>
              </w:rPr>
              <w:t>针对可能对地下水造成影响的各环节，按照“考虑重点，辐射全面”的防腐防渗原则，按照《环境影响评价技术导则 地下水环境》（HJ610-2016）中提出的根据建设项目场地天然包气带防污性能、污染控制难易程度和污染物特性，防渗技术要求进行划分。项目厂内不同区域实施分区防治，污染区划分为一般防渗区、重点防渗区、简单防渗区，</w:t>
            </w:r>
            <w:r>
              <w:rPr>
                <w:color w:val="000000"/>
                <w:kern w:val="0"/>
                <w:sz w:val="24"/>
              </w:rPr>
              <w:t>对项目厂区防渗分区情况进行统计，见</w:t>
            </w:r>
            <w:r>
              <w:rPr>
                <w:rFonts w:hint="eastAsia"/>
                <w:color w:val="000000"/>
                <w:kern w:val="0"/>
                <w:sz w:val="24"/>
              </w:rPr>
              <w:t>4</w:t>
            </w:r>
            <w:r>
              <w:rPr>
                <w:color w:val="000000"/>
                <w:kern w:val="0"/>
                <w:sz w:val="24"/>
              </w:rPr>
              <w:t>-</w:t>
            </w:r>
            <w:r>
              <w:rPr>
                <w:rFonts w:hint="eastAsia"/>
                <w:color w:val="000000"/>
                <w:kern w:val="0"/>
                <w:sz w:val="24"/>
              </w:rPr>
              <w:t>11。</w:t>
            </w:r>
          </w:p>
          <w:p>
            <w:pPr>
              <w:autoSpaceDE w:val="0"/>
              <w:autoSpaceDN w:val="0"/>
              <w:adjustRightInd w:val="0"/>
              <w:spacing w:before="120" w:beforeLines="50"/>
              <w:jc w:val="center"/>
              <w:rPr>
                <w:b/>
                <w:color w:val="000000"/>
                <w:sz w:val="24"/>
              </w:rPr>
            </w:pPr>
            <w:r>
              <w:rPr>
                <w:b/>
                <w:color w:val="000000"/>
                <w:sz w:val="24"/>
              </w:rPr>
              <w:t>表</w:t>
            </w:r>
            <w:r>
              <w:rPr>
                <w:rFonts w:hint="eastAsia"/>
                <w:b/>
                <w:color w:val="000000"/>
                <w:sz w:val="24"/>
              </w:rPr>
              <w:t>4-11</w:t>
            </w:r>
            <w:r>
              <w:rPr>
                <w:b/>
                <w:color w:val="000000"/>
                <w:sz w:val="24"/>
              </w:rPr>
              <w:t xml:space="preserve">  地下水污染防治分区</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177"/>
              <w:gridCol w:w="899"/>
              <w:gridCol w:w="1281"/>
              <w:gridCol w:w="1664"/>
              <w:gridCol w:w="13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90" w:type="pct"/>
                  <w:vAlign w:val="center"/>
                </w:tcPr>
                <w:p>
                  <w:pPr>
                    <w:adjustRightInd w:val="0"/>
                    <w:jc w:val="center"/>
                    <w:rPr>
                      <w:b/>
                      <w:color w:val="000000"/>
                      <w:kern w:val="0"/>
                      <w:szCs w:val="21"/>
                    </w:rPr>
                  </w:pPr>
                  <w:r>
                    <w:rPr>
                      <w:b/>
                      <w:color w:val="000000"/>
                      <w:kern w:val="0"/>
                      <w:szCs w:val="21"/>
                    </w:rPr>
                    <w:t>场区内建构筑物</w:t>
                  </w:r>
                </w:p>
              </w:tc>
              <w:tc>
                <w:tcPr>
                  <w:tcW w:w="535" w:type="pct"/>
                  <w:vAlign w:val="center"/>
                </w:tcPr>
                <w:p>
                  <w:pPr>
                    <w:adjustRightInd w:val="0"/>
                    <w:ind w:left="-105" w:leftChars="-50" w:right="-105" w:rightChars="-50"/>
                    <w:jc w:val="center"/>
                    <w:rPr>
                      <w:b/>
                      <w:color w:val="000000"/>
                      <w:kern w:val="0"/>
                      <w:szCs w:val="21"/>
                    </w:rPr>
                  </w:pPr>
                  <w:r>
                    <w:rPr>
                      <w:b/>
                      <w:color w:val="000000"/>
                      <w:kern w:val="0"/>
                      <w:szCs w:val="21"/>
                    </w:rPr>
                    <w:t>包气带防</w:t>
                  </w:r>
                </w:p>
                <w:p>
                  <w:pPr>
                    <w:adjustRightInd w:val="0"/>
                    <w:ind w:left="-105" w:leftChars="-50" w:right="-105" w:rightChars="-50"/>
                    <w:jc w:val="center"/>
                    <w:rPr>
                      <w:b/>
                      <w:color w:val="000000"/>
                      <w:kern w:val="0"/>
                      <w:szCs w:val="21"/>
                    </w:rPr>
                  </w:pPr>
                  <w:r>
                    <w:rPr>
                      <w:b/>
                      <w:color w:val="000000"/>
                      <w:kern w:val="0"/>
                      <w:szCs w:val="21"/>
                    </w:rPr>
                    <w:t>污性能</w:t>
                  </w:r>
                </w:p>
              </w:tc>
              <w:tc>
                <w:tcPr>
                  <w:tcW w:w="762" w:type="pct"/>
                  <w:vAlign w:val="center"/>
                </w:tcPr>
                <w:p>
                  <w:pPr>
                    <w:adjustRightInd w:val="0"/>
                    <w:ind w:left="-105" w:leftChars="-50" w:right="-105" w:rightChars="-50"/>
                    <w:jc w:val="center"/>
                    <w:rPr>
                      <w:b/>
                      <w:color w:val="000000"/>
                      <w:kern w:val="0"/>
                      <w:szCs w:val="21"/>
                    </w:rPr>
                  </w:pPr>
                  <w:r>
                    <w:rPr>
                      <w:b/>
                      <w:color w:val="000000"/>
                      <w:kern w:val="0"/>
                      <w:szCs w:val="21"/>
                    </w:rPr>
                    <w:t>污染控制</w:t>
                  </w:r>
                </w:p>
                <w:p>
                  <w:pPr>
                    <w:adjustRightInd w:val="0"/>
                    <w:ind w:left="-105" w:leftChars="-50" w:right="-105" w:rightChars="-50"/>
                    <w:jc w:val="center"/>
                    <w:rPr>
                      <w:b/>
                      <w:color w:val="000000"/>
                      <w:kern w:val="0"/>
                      <w:szCs w:val="21"/>
                    </w:rPr>
                  </w:pPr>
                  <w:r>
                    <w:rPr>
                      <w:b/>
                      <w:color w:val="000000"/>
                      <w:kern w:val="0"/>
                      <w:szCs w:val="21"/>
                    </w:rPr>
                    <w:t>难易程度</w:t>
                  </w:r>
                </w:p>
              </w:tc>
              <w:tc>
                <w:tcPr>
                  <w:tcW w:w="990" w:type="pct"/>
                  <w:vAlign w:val="center"/>
                </w:tcPr>
                <w:p>
                  <w:pPr>
                    <w:adjustRightInd w:val="0"/>
                    <w:ind w:left="-105" w:leftChars="-50" w:right="-105" w:rightChars="-50"/>
                    <w:jc w:val="center"/>
                    <w:rPr>
                      <w:b/>
                      <w:color w:val="000000"/>
                      <w:kern w:val="0"/>
                      <w:szCs w:val="21"/>
                    </w:rPr>
                  </w:pPr>
                  <w:r>
                    <w:rPr>
                      <w:b/>
                      <w:color w:val="000000"/>
                      <w:kern w:val="0"/>
                      <w:szCs w:val="21"/>
                    </w:rPr>
                    <w:t>污染物类型</w:t>
                  </w:r>
                </w:p>
              </w:tc>
              <w:tc>
                <w:tcPr>
                  <w:tcW w:w="823" w:type="pct"/>
                  <w:vAlign w:val="center"/>
                </w:tcPr>
                <w:p>
                  <w:pPr>
                    <w:adjustRightInd w:val="0"/>
                    <w:jc w:val="center"/>
                    <w:rPr>
                      <w:b/>
                      <w:color w:val="000000"/>
                      <w:kern w:val="0"/>
                      <w:szCs w:val="21"/>
                    </w:rPr>
                  </w:pPr>
                  <w:r>
                    <w:rPr>
                      <w:b/>
                      <w:color w:val="000000"/>
                      <w:kern w:val="0"/>
                      <w:szCs w:val="21"/>
                    </w:rPr>
                    <w:t>防渗分区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90" w:type="pct"/>
                  <w:vAlign w:val="center"/>
                </w:tcPr>
                <w:p>
                  <w:pPr>
                    <w:adjustRightInd w:val="0"/>
                    <w:jc w:val="center"/>
                    <w:rPr>
                      <w:color w:val="000000"/>
                      <w:kern w:val="0"/>
                      <w:szCs w:val="21"/>
                    </w:rPr>
                  </w:pPr>
                  <w:r>
                    <w:rPr>
                      <w:rFonts w:hint="eastAsia"/>
                      <w:color w:val="000000"/>
                      <w:szCs w:val="21"/>
                    </w:rPr>
                    <w:t>原料区以及喷砂室</w:t>
                  </w:r>
                </w:p>
              </w:tc>
              <w:tc>
                <w:tcPr>
                  <w:tcW w:w="535" w:type="pct"/>
                  <w:vAlign w:val="center"/>
                </w:tcPr>
                <w:p>
                  <w:pPr>
                    <w:adjustRightInd w:val="0"/>
                    <w:jc w:val="center"/>
                    <w:rPr>
                      <w:color w:val="000000"/>
                      <w:kern w:val="0"/>
                      <w:szCs w:val="21"/>
                    </w:rPr>
                  </w:pPr>
                  <w:r>
                    <w:rPr>
                      <w:color w:val="000000"/>
                      <w:kern w:val="0"/>
                      <w:szCs w:val="21"/>
                    </w:rPr>
                    <w:t>中</w:t>
                  </w:r>
                </w:p>
              </w:tc>
              <w:tc>
                <w:tcPr>
                  <w:tcW w:w="762" w:type="pct"/>
                  <w:vAlign w:val="center"/>
                </w:tcPr>
                <w:p>
                  <w:pPr>
                    <w:adjustRightInd w:val="0"/>
                    <w:jc w:val="center"/>
                    <w:rPr>
                      <w:color w:val="000000"/>
                      <w:kern w:val="0"/>
                      <w:szCs w:val="21"/>
                    </w:rPr>
                  </w:pPr>
                  <w:r>
                    <w:rPr>
                      <w:color w:val="000000"/>
                      <w:kern w:val="0"/>
                      <w:szCs w:val="21"/>
                    </w:rPr>
                    <w:t>易</w:t>
                  </w:r>
                </w:p>
              </w:tc>
              <w:tc>
                <w:tcPr>
                  <w:tcW w:w="990" w:type="pct"/>
                  <w:vAlign w:val="center"/>
                </w:tcPr>
                <w:p>
                  <w:pPr>
                    <w:adjustRightInd w:val="0"/>
                    <w:jc w:val="center"/>
                    <w:rPr>
                      <w:color w:val="000000"/>
                      <w:kern w:val="0"/>
                      <w:szCs w:val="21"/>
                    </w:rPr>
                  </w:pPr>
                  <w:r>
                    <w:rPr>
                      <w:color w:val="000000"/>
                      <w:kern w:val="0"/>
                      <w:szCs w:val="21"/>
                    </w:rPr>
                    <w:t>其他类型</w:t>
                  </w:r>
                </w:p>
              </w:tc>
              <w:tc>
                <w:tcPr>
                  <w:tcW w:w="823" w:type="pct"/>
                  <w:vAlign w:val="center"/>
                </w:tcPr>
                <w:p>
                  <w:pPr>
                    <w:adjustRightInd w:val="0"/>
                    <w:jc w:val="center"/>
                    <w:rPr>
                      <w:color w:val="000000"/>
                      <w:kern w:val="0"/>
                      <w:szCs w:val="21"/>
                    </w:rPr>
                  </w:pPr>
                  <w:r>
                    <w:rPr>
                      <w:color w:val="000000"/>
                      <w:kern w:val="0"/>
                      <w:szCs w:val="21"/>
                    </w:rPr>
                    <w:t>一般防渗区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90" w:type="pct"/>
                  <w:vAlign w:val="center"/>
                </w:tcPr>
                <w:p>
                  <w:pPr>
                    <w:adjustRightInd w:val="0"/>
                    <w:jc w:val="center"/>
                    <w:rPr>
                      <w:color w:val="000000"/>
                      <w:szCs w:val="21"/>
                    </w:rPr>
                  </w:pPr>
                  <w:r>
                    <w:rPr>
                      <w:rFonts w:hint="eastAsia"/>
                      <w:color w:val="000000"/>
                      <w:szCs w:val="21"/>
                    </w:rPr>
                    <w:t>喷漆室</w:t>
                  </w:r>
                </w:p>
              </w:tc>
              <w:tc>
                <w:tcPr>
                  <w:tcW w:w="535" w:type="pct"/>
                  <w:vAlign w:val="center"/>
                </w:tcPr>
                <w:p>
                  <w:pPr>
                    <w:adjustRightInd w:val="0"/>
                    <w:jc w:val="center"/>
                    <w:rPr>
                      <w:color w:val="000000"/>
                      <w:kern w:val="0"/>
                      <w:szCs w:val="21"/>
                    </w:rPr>
                  </w:pPr>
                  <w:r>
                    <w:rPr>
                      <w:color w:val="000000"/>
                      <w:kern w:val="0"/>
                      <w:szCs w:val="21"/>
                    </w:rPr>
                    <w:t>中</w:t>
                  </w:r>
                </w:p>
              </w:tc>
              <w:tc>
                <w:tcPr>
                  <w:tcW w:w="762" w:type="pct"/>
                  <w:vAlign w:val="center"/>
                </w:tcPr>
                <w:p>
                  <w:pPr>
                    <w:adjustRightInd w:val="0"/>
                    <w:jc w:val="center"/>
                    <w:rPr>
                      <w:color w:val="000000"/>
                      <w:kern w:val="0"/>
                      <w:szCs w:val="21"/>
                    </w:rPr>
                  </w:pPr>
                  <w:r>
                    <w:rPr>
                      <w:color w:val="000000"/>
                      <w:kern w:val="0"/>
                      <w:szCs w:val="21"/>
                    </w:rPr>
                    <w:t>难</w:t>
                  </w:r>
                </w:p>
              </w:tc>
              <w:tc>
                <w:tcPr>
                  <w:tcW w:w="990" w:type="pct"/>
                  <w:vAlign w:val="center"/>
                </w:tcPr>
                <w:p>
                  <w:pPr>
                    <w:adjustRightInd w:val="0"/>
                    <w:ind w:left="-105" w:leftChars="-50" w:right="-105" w:rightChars="-50"/>
                    <w:jc w:val="center"/>
                    <w:rPr>
                      <w:color w:val="000000"/>
                      <w:kern w:val="0"/>
                      <w:szCs w:val="21"/>
                    </w:rPr>
                  </w:pPr>
                  <w:r>
                    <w:rPr>
                      <w:color w:val="000000"/>
                      <w:kern w:val="0"/>
                      <w:szCs w:val="21"/>
                    </w:rPr>
                    <w:t>持久性有机污染物</w:t>
                  </w:r>
                </w:p>
              </w:tc>
              <w:tc>
                <w:tcPr>
                  <w:tcW w:w="823" w:type="pct"/>
                  <w:vAlign w:val="center"/>
                </w:tcPr>
                <w:p>
                  <w:pPr>
                    <w:adjustRightInd w:val="0"/>
                    <w:jc w:val="center"/>
                    <w:rPr>
                      <w:color w:val="000000"/>
                      <w:kern w:val="0"/>
                      <w:szCs w:val="21"/>
                    </w:rPr>
                  </w:pPr>
                  <w:r>
                    <w:rPr>
                      <w:color w:val="000000"/>
                      <w:kern w:val="0"/>
                      <w:szCs w:val="21"/>
                    </w:rPr>
                    <w:t>重点防渗区</w:t>
                  </w:r>
                </w:p>
              </w:tc>
            </w:tr>
          </w:tbl>
          <w:p>
            <w:pPr>
              <w:adjustRightInd w:val="0"/>
              <w:snapToGrid w:val="0"/>
              <w:spacing w:line="360" w:lineRule="auto"/>
              <w:ind w:firstLine="480" w:firstLineChars="200"/>
              <w:rPr>
                <w:color w:val="000000"/>
                <w:kern w:val="0"/>
                <w:sz w:val="24"/>
              </w:rPr>
            </w:pPr>
            <w:r>
              <w:rPr>
                <w:color w:val="000000"/>
                <w:kern w:val="0"/>
                <w:sz w:val="24"/>
              </w:rPr>
              <w:t>本项目针对可能对地下水造成影响的各环节，按照“考虑重点、辐射全（GB/T50934-2013）、</w:t>
            </w:r>
            <w:r>
              <w:rPr>
                <w:color w:val="000000"/>
                <w:sz w:val="24"/>
              </w:rPr>
              <w:t>《一般工业固体废物贮存</w:t>
            </w:r>
            <w:r>
              <w:rPr>
                <w:rFonts w:hint="eastAsia"/>
                <w:color w:val="000000"/>
                <w:sz w:val="24"/>
              </w:rPr>
              <w:t>和填埋</w:t>
            </w:r>
            <w:r>
              <w:rPr>
                <w:color w:val="000000"/>
                <w:sz w:val="24"/>
              </w:rPr>
              <w:t>污染控制标准》（GB18599-2020）</w:t>
            </w:r>
            <w:r>
              <w:rPr>
                <w:color w:val="000000"/>
                <w:kern w:val="0"/>
                <w:sz w:val="24"/>
              </w:rPr>
              <w:t>、《危险废物贮存污染控制标准》（GB 18597-2001）（修订）和《危险废物填埋污染控制标准》（GB18598-2019）等标准，将全厂划分为重点防渗区</w:t>
            </w:r>
            <w:r>
              <w:rPr>
                <w:rFonts w:hint="eastAsia"/>
                <w:color w:val="000000"/>
                <w:kern w:val="0"/>
                <w:sz w:val="24"/>
              </w:rPr>
              <w:t>和</w:t>
            </w:r>
            <w:r>
              <w:rPr>
                <w:color w:val="000000"/>
                <w:kern w:val="0"/>
                <w:sz w:val="24"/>
              </w:rPr>
              <w:t>一般防渗区。</w:t>
            </w:r>
          </w:p>
          <w:p>
            <w:pPr>
              <w:spacing w:line="460" w:lineRule="exact"/>
              <w:ind w:firstLine="480" w:firstLineChars="200"/>
              <w:rPr>
                <w:color w:val="000000"/>
                <w:sz w:val="24"/>
              </w:rPr>
            </w:pPr>
            <w:r>
              <w:rPr>
                <w:color w:val="000000"/>
                <w:sz w:val="24"/>
              </w:rPr>
              <w:fldChar w:fldCharType="begin"/>
            </w:r>
            <w:r>
              <w:rPr>
                <w:color w:val="000000"/>
                <w:sz w:val="24"/>
              </w:rPr>
              <w:instrText xml:space="preserve"> = 1 \* GB3 </w:instrText>
            </w:r>
            <w:r>
              <w:rPr>
                <w:color w:val="000000"/>
                <w:sz w:val="24"/>
              </w:rPr>
              <w:fldChar w:fldCharType="separate"/>
            </w:r>
            <w:r>
              <w:rPr>
                <w:rFonts w:hint="eastAsia" w:cs="宋体"/>
                <w:color w:val="000000"/>
                <w:sz w:val="24"/>
              </w:rPr>
              <w:t>①</w:t>
            </w:r>
            <w:r>
              <w:rPr>
                <w:color w:val="000000"/>
                <w:sz w:val="24"/>
              </w:rPr>
              <w:fldChar w:fldCharType="end"/>
            </w:r>
            <w:r>
              <w:rPr>
                <w:color w:val="000000"/>
                <w:sz w:val="24"/>
              </w:rPr>
              <w:t>重点防渗区</w:t>
            </w:r>
          </w:p>
          <w:p>
            <w:pPr>
              <w:spacing w:line="460" w:lineRule="exact"/>
              <w:ind w:firstLine="480" w:firstLineChars="200"/>
              <w:rPr>
                <w:color w:val="000000"/>
                <w:sz w:val="24"/>
              </w:rPr>
            </w:pPr>
            <w:r>
              <w:rPr>
                <w:color w:val="000000"/>
                <w:sz w:val="24"/>
              </w:rPr>
              <w:t>重点污染防治区主要</w:t>
            </w:r>
            <w:r>
              <w:rPr>
                <w:rFonts w:hint="eastAsia"/>
                <w:color w:val="000000"/>
                <w:sz w:val="24"/>
              </w:rPr>
              <w:t>是喷漆室</w:t>
            </w:r>
            <w:r>
              <w:rPr>
                <w:color w:val="000000"/>
                <w:sz w:val="24"/>
              </w:rPr>
              <w:t>，防渗措施：底部采用10cm厚三合土处理，上层再用10</w:t>
            </w:r>
            <w:r>
              <w:rPr>
                <w:rFonts w:hint="eastAsia"/>
                <w:color w:val="000000"/>
                <w:sz w:val="24"/>
              </w:rPr>
              <w:t>~</w:t>
            </w:r>
            <w:r>
              <w:rPr>
                <w:color w:val="000000"/>
                <w:sz w:val="24"/>
              </w:rPr>
              <w:t>15cm水泥硬化，表层涂环氧树脂环氧树脂，以达到防腐、防渗漏目的，等效黏土防渗层Mb≥6.0m，渗透系数≤1.0×10</w:t>
            </w:r>
            <w:r>
              <w:rPr>
                <w:color w:val="000000"/>
                <w:sz w:val="24"/>
                <w:vertAlign w:val="superscript"/>
              </w:rPr>
              <w:t>-7</w:t>
            </w:r>
            <w:r>
              <w:rPr>
                <w:color w:val="000000"/>
                <w:sz w:val="24"/>
              </w:rPr>
              <w:t>cm/s。</w:t>
            </w:r>
          </w:p>
          <w:p>
            <w:pPr>
              <w:pStyle w:val="218"/>
              <w:numPr>
                <w:ilvl w:val="0"/>
                <w:numId w:val="2"/>
              </w:numPr>
              <w:spacing w:line="460" w:lineRule="exact"/>
              <w:ind w:firstLineChars="0"/>
              <w:rPr>
                <w:color w:val="000000"/>
                <w:sz w:val="24"/>
              </w:rPr>
            </w:pPr>
            <w:r>
              <w:rPr>
                <w:color w:val="000000"/>
                <w:sz w:val="24"/>
              </w:rPr>
              <w:t>一般防渗区</w:t>
            </w:r>
          </w:p>
          <w:p>
            <w:pPr>
              <w:spacing w:line="460" w:lineRule="exact"/>
              <w:ind w:firstLine="480" w:firstLineChars="200"/>
              <w:rPr>
                <w:color w:val="000000"/>
                <w:sz w:val="24"/>
              </w:rPr>
            </w:pPr>
            <w:r>
              <w:rPr>
                <w:color w:val="000000"/>
                <w:sz w:val="24"/>
              </w:rPr>
              <w:t>主要包括</w:t>
            </w:r>
            <w:r>
              <w:rPr>
                <w:rFonts w:hint="eastAsia"/>
                <w:color w:val="000000"/>
                <w:sz w:val="24"/>
              </w:rPr>
              <w:t>原料区以及喷砂室</w:t>
            </w:r>
            <w:r>
              <w:rPr>
                <w:color w:val="000000"/>
                <w:sz w:val="24"/>
              </w:rPr>
              <w:t>等，防渗措施：水泥硬化处理，采取10</w:t>
            </w:r>
            <w:r>
              <w:rPr>
                <w:rFonts w:hint="eastAsia"/>
                <w:color w:val="000000"/>
                <w:sz w:val="24"/>
              </w:rPr>
              <w:t xml:space="preserve"> </w:t>
            </w:r>
            <w:r>
              <w:rPr>
                <w:color w:val="000000"/>
                <w:sz w:val="24"/>
              </w:rPr>
              <w:t>cm</w:t>
            </w:r>
            <w:r>
              <w:rPr>
                <w:rFonts w:hint="eastAsia"/>
                <w:color w:val="000000"/>
                <w:sz w:val="24"/>
              </w:rPr>
              <w:t>厚</w:t>
            </w:r>
            <w:r>
              <w:rPr>
                <w:color w:val="000000"/>
                <w:sz w:val="24"/>
              </w:rPr>
              <w:t>三合土铺底，再铺15</w:t>
            </w:r>
            <w:r>
              <w:rPr>
                <w:rFonts w:hint="eastAsia"/>
                <w:color w:val="000000"/>
                <w:sz w:val="24"/>
              </w:rPr>
              <w:t>~</w:t>
            </w:r>
            <w:r>
              <w:rPr>
                <w:color w:val="000000"/>
                <w:sz w:val="24"/>
              </w:rPr>
              <w:t>20</w:t>
            </w:r>
            <w:r>
              <w:rPr>
                <w:rFonts w:hint="eastAsia"/>
                <w:color w:val="000000"/>
                <w:sz w:val="24"/>
              </w:rPr>
              <w:t xml:space="preserve"> </w:t>
            </w:r>
            <w:r>
              <w:rPr>
                <w:color w:val="000000"/>
                <w:sz w:val="24"/>
              </w:rPr>
              <w:t>cm的水泥进行硬化。</w:t>
            </w:r>
          </w:p>
          <w:p>
            <w:pPr>
              <w:spacing w:line="460" w:lineRule="exact"/>
              <w:ind w:firstLine="480" w:firstLineChars="200"/>
              <w:rPr>
                <w:color w:val="000000"/>
                <w:sz w:val="24"/>
              </w:rPr>
            </w:pPr>
            <w:r>
              <w:rPr>
                <w:color w:val="000000"/>
                <w:sz w:val="24"/>
              </w:rPr>
              <w:t>本项目地下水分区防渗措施见表</w:t>
            </w:r>
            <w:r>
              <w:rPr>
                <w:rFonts w:hint="eastAsia"/>
                <w:color w:val="000000"/>
                <w:sz w:val="24"/>
              </w:rPr>
              <w:t>4</w:t>
            </w:r>
            <w:r>
              <w:rPr>
                <w:color w:val="000000"/>
                <w:sz w:val="24"/>
              </w:rPr>
              <w:t>-</w:t>
            </w:r>
            <w:r>
              <w:rPr>
                <w:rFonts w:hint="eastAsia"/>
                <w:color w:val="000000"/>
                <w:sz w:val="24"/>
              </w:rPr>
              <w:t>12</w:t>
            </w:r>
            <w:r>
              <w:rPr>
                <w:color w:val="000000"/>
                <w:sz w:val="24"/>
              </w:rPr>
              <w:t>。</w:t>
            </w:r>
          </w:p>
          <w:p>
            <w:pPr>
              <w:autoSpaceDE w:val="0"/>
              <w:autoSpaceDN w:val="0"/>
              <w:adjustRightInd w:val="0"/>
              <w:spacing w:before="120" w:beforeLines="50"/>
              <w:jc w:val="center"/>
              <w:rPr>
                <w:b/>
                <w:color w:val="000000"/>
                <w:sz w:val="24"/>
              </w:rPr>
            </w:pPr>
            <w:r>
              <w:rPr>
                <w:b/>
                <w:color w:val="000000"/>
                <w:sz w:val="24"/>
              </w:rPr>
              <w:t>表</w:t>
            </w:r>
            <w:r>
              <w:rPr>
                <w:rFonts w:hint="eastAsia"/>
                <w:b/>
                <w:color w:val="000000"/>
                <w:sz w:val="24"/>
              </w:rPr>
              <w:t>4</w:t>
            </w:r>
            <w:r>
              <w:rPr>
                <w:b/>
                <w:color w:val="000000"/>
                <w:sz w:val="24"/>
              </w:rPr>
              <w:t>-</w:t>
            </w:r>
            <w:r>
              <w:rPr>
                <w:rFonts w:hint="eastAsia"/>
                <w:b/>
                <w:color w:val="000000"/>
                <w:sz w:val="24"/>
              </w:rPr>
              <w:t>12</w:t>
            </w:r>
            <w:r>
              <w:rPr>
                <w:b/>
                <w:color w:val="000000"/>
                <w:sz w:val="24"/>
              </w:rPr>
              <w:t xml:space="preserve">  地下水分区防渗措施一览表</w:t>
            </w:r>
          </w:p>
          <w:tbl>
            <w:tblPr>
              <w:tblStyle w:val="5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1"/>
              <w:gridCol w:w="1648"/>
              <w:gridCol w:w="3469"/>
              <w:gridCol w:w="25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trPr>
              <w:tc>
                <w:tcPr>
                  <w:tcW w:w="691" w:type="dxa"/>
                  <w:shd w:val="clear" w:color="auto" w:fill="auto"/>
                  <w:noWrap/>
                  <w:vAlign w:val="center"/>
                </w:tcPr>
                <w:p>
                  <w:pPr>
                    <w:widowControl/>
                    <w:ind w:left="-105" w:leftChars="-50" w:right="-105" w:rightChars="-50"/>
                    <w:jc w:val="center"/>
                    <w:rPr>
                      <w:b/>
                      <w:color w:val="000000"/>
                      <w:kern w:val="0"/>
                      <w:szCs w:val="21"/>
                    </w:rPr>
                  </w:pPr>
                  <w:r>
                    <w:rPr>
                      <w:b/>
                      <w:color w:val="000000"/>
                      <w:kern w:val="0"/>
                      <w:szCs w:val="21"/>
                    </w:rPr>
                    <w:t>污染区</w:t>
                  </w:r>
                </w:p>
              </w:tc>
              <w:tc>
                <w:tcPr>
                  <w:tcW w:w="1648" w:type="dxa"/>
                  <w:shd w:val="clear" w:color="auto" w:fill="auto"/>
                  <w:noWrap/>
                  <w:vAlign w:val="center"/>
                </w:tcPr>
                <w:p>
                  <w:pPr>
                    <w:widowControl/>
                    <w:ind w:left="-50" w:right="-50"/>
                    <w:jc w:val="center"/>
                    <w:rPr>
                      <w:b/>
                      <w:color w:val="000000"/>
                      <w:kern w:val="0"/>
                      <w:szCs w:val="21"/>
                    </w:rPr>
                  </w:pPr>
                  <w:r>
                    <w:rPr>
                      <w:b/>
                      <w:color w:val="000000"/>
                      <w:kern w:val="0"/>
                      <w:szCs w:val="21"/>
                    </w:rPr>
                    <w:t>构筑物名称</w:t>
                  </w:r>
                </w:p>
              </w:tc>
              <w:tc>
                <w:tcPr>
                  <w:tcW w:w="3469" w:type="dxa"/>
                  <w:shd w:val="clear" w:color="auto" w:fill="auto"/>
                  <w:noWrap/>
                  <w:vAlign w:val="center"/>
                </w:tcPr>
                <w:p>
                  <w:pPr>
                    <w:widowControl/>
                    <w:ind w:left="-50" w:right="-50"/>
                    <w:jc w:val="center"/>
                    <w:rPr>
                      <w:b/>
                      <w:color w:val="000000"/>
                      <w:kern w:val="0"/>
                      <w:szCs w:val="21"/>
                    </w:rPr>
                  </w:pPr>
                  <w:r>
                    <w:rPr>
                      <w:b/>
                      <w:color w:val="000000"/>
                      <w:kern w:val="0"/>
                      <w:szCs w:val="21"/>
                    </w:rPr>
                    <w:t>防腐</w:t>
                  </w:r>
                  <w:r>
                    <w:rPr>
                      <w:b/>
                      <w:color w:val="000000"/>
                      <w:szCs w:val="21"/>
                    </w:rPr>
                    <w:t>防渗</w:t>
                  </w:r>
                  <w:r>
                    <w:rPr>
                      <w:b/>
                      <w:color w:val="000000"/>
                      <w:kern w:val="0"/>
                      <w:szCs w:val="21"/>
                    </w:rPr>
                    <w:t>措施</w:t>
                  </w:r>
                </w:p>
              </w:tc>
              <w:tc>
                <w:tcPr>
                  <w:tcW w:w="2597" w:type="dxa"/>
                  <w:vAlign w:val="center"/>
                </w:tcPr>
                <w:p>
                  <w:pPr>
                    <w:widowControl/>
                    <w:ind w:left="-50" w:right="-50"/>
                    <w:jc w:val="center"/>
                    <w:rPr>
                      <w:b/>
                      <w:color w:val="000000"/>
                      <w:kern w:val="0"/>
                      <w:szCs w:val="21"/>
                    </w:rPr>
                  </w:pPr>
                  <w:r>
                    <w:rPr>
                      <w:b/>
                      <w:color w:val="000000"/>
                      <w:kern w:val="0"/>
                      <w:szCs w:val="21"/>
                    </w:rPr>
                    <w:t>防渗技术要求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91" w:type="dxa"/>
                  <w:shd w:val="clear" w:color="auto" w:fill="auto"/>
                  <w:noWrap/>
                  <w:vAlign w:val="center"/>
                </w:tcPr>
                <w:p>
                  <w:pPr>
                    <w:widowControl/>
                    <w:ind w:left="-105" w:leftChars="-50" w:right="-105" w:rightChars="-50"/>
                    <w:jc w:val="center"/>
                    <w:rPr>
                      <w:color w:val="000000"/>
                      <w:kern w:val="0"/>
                      <w:szCs w:val="21"/>
                    </w:rPr>
                  </w:pPr>
                  <w:r>
                    <w:rPr>
                      <w:color w:val="000000"/>
                      <w:kern w:val="0"/>
                      <w:szCs w:val="21"/>
                    </w:rPr>
                    <w:t>一般</w:t>
                  </w:r>
                </w:p>
                <w:p>
                  <w:pPr>
                    <w:widowControl/>
                    <w:ind w:left="-105" w:leftChars="-50" w:right="-105" w:rightChars="-50"/>
                    <w:jc w:val="center"/>
                    <w:rPr>
                      <w:color w:val="000000"/>
                      <w:kern w:val="0"/>
                      <w:szCs w:val="21"/>
                    </w:rPr>
                  </w:pPr>
                  <w:r>
                    <w:rPr>
                      <w:color w:val="000000"/>
                      <w:kern w:val="0"/>
                      <w:szCs w:val="21"/>
                    </w:rPr>
                    <w:t>防渗区</w:t>
                  </w:r>
                </w:p>
              </w:tc>
              <w:tc>
                <w:tcPr>
                  <w:tcW w:w="1648" w:type="dxa"/>
                  <w:shd w:val="clear" w:color="auto" w:fill="auto"/>
                  <w:noWrap/>
                  <w:vAlign w:val="center"/>
                </w:tcPr>
                <w:p>
                  <w:pPr>
                    <w:adjustRightInd w:val="0"/>
                    <w:jc w:val="center"/>
                    <w:rPr>
                      <w:color w:val="000000"/>
                      <w:kern w:val="0"/>
                      <w:szCs w:val="21"/>
                    </w:rPr>
                  </w:pPr>
                  <w:r>
                    <w:rPr>
                      <w:rFonts w:hint="eastAsia"/>
                      <w:color w:val="000000"/>
                      <w:szCs w:val="21"/>
                    </w:rPr>
                    <w:t>喷砂室、原料区</w:t>
                  </w:r>
                </w:p>
              </w:tc>
              <w:tc>
                <w:tcPr>
                  <w:tcW w:w="3469" w:type="dxa"/>
                  <w:shd w:val="clear" w:color="auto" w:fill="auto"/>
                  <w:noWrap/>
                  <w:vAlign w:val="center"/>
                </w:tcPr>
                <w:p>
                  <w:pPr>
                    <w:widowControl/>
                    <w:ind w:left="-105" w:leftChars="-50" w:right="-105" w:rightChars="-50"/>
                    <w:jc w:val="center"/>
                    <w:rPr>
                      <w:color w:val="000000"/>
                      <w:kern w:val="0"/>
                      <w:szCs w:val="21"/>
                    </w:rPr>
                  </w:pPr>
                  <w:r>
                    <w:rPr>
                      <w:color w:val="000000"/>
                      <w:szCs w:val="21"/>
                    </w:rPr>
                    <w:t>水泥硬化处理，采取10cm后三合土铺底，再铺15-20cm的水泥进行硬化</w:t>
                  </w:r>
                </w:p>
              </w:tc>
              <w:tc>
                <w:tcPr>
                  <w:tcW w:w="2597" w:type="dxa"/>
                  <w:vAlign w:val="center"/>
                </w:tcPr>
                <w:p>
                  <w:pPr>
                    <w:widowControl/>
                    <w:ind w:left="-105" w:leftChars="-50" w:right="-105" w:rightChars="-50"/>
                    <w:jc w:val="center"/>
                    <w:rPr>
                      <w:color w:val="000000"/>
                      <w:kern w:val="0"/>
                      <w:szCs w:val="21"/>
                    </w:rPr>
                  </w:pPr>
                  <w:r>
                    <w:rPr>
                      <w:color w:val="000000"/>
                      <w:kern w:val="0"/>
                      <w:szCs w:val="21"/>
                    </w:rPr>
                    <w:t>等效黏土防渗层Mb≥1.5m，K≤10</w:t>
                  </w:r>
                  <w:r>
                    <w:rPr>
                      <w:color w:val="000000"/>
                      <w:kern w:val="0"/>
                      <w:szCs w:val="21"/>
                      <w:vertAlign w:val="superscript"/>
                    </w:rPr>
                    <w:t>-7</w:t>
                  </w:r>
                  <w:r>
                    <w:rPr>
                      <w:color w:val="000000"/>
                      <w:kern w:val="0"/>
                      <w:szCs w:val="21"/>
                    </w:rPr>
                    <w:t>cm/s；或参照GB16889执行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2" w:hRule="atLeast"/>
              </w:trPr>
              <w:tc>
                <w:tcPr>
                  <w:tcW w:w="691" w:type="dxa"/>
                  <w:shd w:val="clear" w:color="auto" w:fill="auto"/>
                  <w:noWrap/>
                  <w:vAlign w:val="center"/>
                </w:tcPr>
                <w:p>
                  <w:pPr>
                    <w:ind w:left="-105" w:leftChars="-50" w:right="-105" w:rightChars="-50"/>
                    <w:jc w:val="center"/>
                    <w:rPr>
                      <w:color w:val="000000"/>
                      <w:szCs w:val="21"/>
                    </w:rPr>
                  </w:pPr>
                  <w:r>
                    <w:rPr>
                      <w:color w:val="000000"/>
                      <w:szCs w:val="21"/>
                    </w:rPr>
                    <w:t>重点</w:t>
                  </w:r>
                </w:p>
                <w:p>
                  <w:pPr>
                    <w:ind w:left="-105" w:leftChars="-50" w:right="-105" w:rightChars="-50"/>
                    <w:jc w:val="center"/>
                    <w:rPr>
                      <w:color w:val="000000"/>
                      <w:kern w:val="0"/>
                      <w:szCs w:val="21"/>
                    </w:rPr>
                  </w:pPr>
                  <w:r>
                    <w:rPr>
                      <w:color w:val="000000"/>
                      <w:szCs w:val="21"/>
                    </w:rPr>
                    <w:t>防渗区</w:t>
                  </w:r>
                </w:p>
              </w:tc>
              <w:tc>
                <w:tcPr>
                  <w:tcW w:w="1648" w:type="dxa"/>
                  <w:shd w:val="clear" w:color="auto" w:fill="auto"/>
                  <w:noWrap/>
                  <w:vAlign w:val="center"/>
                </w:tcPr>
                <w:p>
                  <w:pPr>
                    <w:adjustRightInd w:val="0"/>
                    <w:jc w:val="center"/>
                    <w:rPr>
                      <w:color w:val="000000"/>
                      <w:szCs w:val="21"/>
                    </w:rPr>
                  </w:pPr>
                  <w:r>
                    <w:rPr>
                      <w:rFonts w:hint="eastAsia"/>
                      <w:color w:val="000000"/>
                      <w:szCs w:val="21"/>
                    </w:rPr>
                    <w:t>喷漆室</w:t>
                  </w:r>
                </w:p>
              </w:tc>
              <w:tc>
                <w:tcPr>
                  <w:tcW w:w="3469" w:type="dxa"/>
                  <w:shd w:val="clear" w:color="auto" w:fill="auto"/>
                  <w:noWrap/>
                  <w:vAlign w:val="center"/>
                </w:tcPr>
                <w:p>
                  <w:pPr>
                    <w:adjustRightInd w:val="0"/>
                    <w:ind w:left="-50" w:right="-50"/>
                    <w:jc w:val="center"/>
                    <w:rPr>
                      <w:color w:val="000000"/>
                      <w:kern w:val="0"/>
                      <w:szCs w:val="21"/>
                    </w:rPr>
                  </w:pPr>
                  <w:r>
                    <w:rPr>
                      <w:color w:val="000000"/>
                      <w:szCs w:val="21"/>
                    </w:rPr>
                    <w:t>底部采用10cm厚三合土处理，上层再用10-15cm水泥硬化，表层涂环氧树脂环氧树脂</w:t>
                  </w:r>
                </w:p>
              </w:tc>
              <w:tc>
                <w:tcPr>
                  <w:tcW w:w="2597" w:type="dxa"/>
                  <w:vAlign w:val="center"/>
                </w:tcPr>
                <w:p>
                  <w:pPr>
                    <w:ind w:left="-50" w:right="-50"/>
                    <w:jc w:val="center"/>
                    <w:rPr>
                      <w:color w:val="000000"/>
                      <w:kern w:val="0"/>
                      <w:szCs w:val="21"/>
                    </w:rPr>
                  </w:pPr>
                  <w:r>
                    <w:rPr>
                      <w:color w:val="000000"/>
                      <w:kern w:val="0"/>
                      <w:szCs w:val="21"/>
                    </w:rPr>
                    <w:t>等效黏土防渗层Mb≥6.0m，K≤10</w:t>
                  </w:r>
                  <w:r>
                    <w:rPr>
                      <w:color w:val="000000"/>
                      <w:kern w:val="0"/>
                      <w:szCs w:val="21"/>
                      <w:vertAlign w:val="superscript"/>
                    </w:rPr>
                    <w:t>-7</w:t>
                  </w:r>
                  <w:r>
                    <w:rPr>
                      <w:color w:val="000000"/>
                      <w:kern w:val="0"/>
                      <w:szCs w:val="21"/>
                    </w:rPr>
                    <w:t>cm/s；或参照GB18598执行</w:t>
                  </w:r>
                </w:p>
              </w:tc>
            </w:tr>
          </w:tbl>
          <w:p>
            <w:pPr>
              <w:widowControl/>
              <w:tabs>
                <w:tab w:val="left" w:pos="660"/>
              </w:tabs>
              <w:spacing w:line="360" w:lineRule="auto"/>
              <w:ind w:firstLine="480" w:firstLineChars="200"/>
              <w:jc w:val="left"/>
              <w:rPr>
                <w:color w:val="000000"/>
                <w:sz w:val="24"/>
              </w:rPr>
            </w:pPr>
            <w:r>
              <w:rPr>
                <w:color w:val="000000"/>
                <w:sz w:val="24"/>
              </w:rPr>
              <w:t>在采取以上分区防渗措施后，可有效预防项目对地下水和土壤污染的发生</w:t>
            </w:r>
            <w:r>
              <w:rPr>
                <w:rFonts w:hint="eastAsia"/>
                <w:color w:val="000000"/>
                <w:sz w:val="24"/>
              </w:rPr>
              <w:t>。</w:t>
            </w:r>
          </w:p>
          <w:p>
            <w:pPr>
              <w:keepNext/>
              <w:keepLines/>
              <w:spacing w:line="360" w:lineRule="auto"/>
              <w:ind w:firstLine="354" w:firstLineChars="147"/>
              <w:outlineLvl w:val="2"/>
              <w:rPr>
                <w:b/>
                <w:bCs/>
                <w:color w:val="000000"/>
                <w:sz w:val="24"/>
                <w:szCs w:val="32"/>
              </w:rPr>
            </w:pPr>
            <w:r>
              <w:rPr>
                <w:rFonts w:hint="eastAsia"/>
                <w:b/>
                <w:bCs/>
                <w:color w:val="000000"/>
                <w:sz w:val="24"/>
                <w:szCs w:val="32"/>
              </w:rPr>
              <w:t>（3）</w:t>
            </w:r>
            <w:r>
              <w:rPr>
                <w:b/>
                <w:bCs/>
                <w:color w:val="000000"/>
                <w:sz w:val="24"/>
                <w:szCs w:val="32"/>
              </w:rPr>
              <w:t>地下水污染监控</w:t>
            </w:r>
          </w:p>
          <w:p>
            <w:pPr>
              <w:adjustRightInd w:val="0"/>
              <w:snapToGrid w:val="0"/>
              <w:spacing w:line="360" w:lineRule="auto"/>
              <w:ind w:firstLine="480" w:firstLineChars="200"/>
              <w:rPr>
                <w:color w:val="000000"/>
                <w:kern w:val="0"/>
                <w:sz w:val="24"/>
              </w:rPr>
            </w:pPr>
            <w:r>
              <w:rPr>
                <w:color w:val="000000"/>
                <w:kern w:val="0"/>
                <w:sz w:val="24"/>
              </w:rPr>
              <w:t>建立厂区地下水环境监控体系，包括建立地下水监控制度和环境管理体系、制定监测计划、配备必要的检测仪器和设备，以便及时发现问题，及时采取措施。若发现地下水中污染物超标，则应加大监测频率，并及时排查污染源并采取应对措施。</w:t>
            </w:r>
          </w:p>
          <w:p>
            <w:pPr>
              <w:keepNext/>
              <w:keepLines/>
              <w:spacing w:line="360" w:lineRule="auto"/>
              <w:ind w:firstLine="354" w:firstLineChars="147"/>
              <w:outlineLvl w:val="2"/>
              <w:rPr>
                <w:b/>
                <w:bCs/>
                <w:color w:val="000000"/>
                <w:sz w:val="24"/>
                <w:szCs w:val="32"/>
              </w:rPr>
            </w:pPr>
            <w:r>
              <w:rPr>
                <w:rFonts w:hint="eastAsia"/>
                <w:b/>
                <w:bCs/>
                <w:color w:val="000000"/>
                <w:sz w:val="24"/>
                <w:szCs w:val="32"/>
              </w:rPr>
              <w:t>（4）</w:t>
            </w:r>
            <w:r>
              <w:rPr>
                <w:b/>
                <w:bCs/>
                <w:color w:val="000000"/>
                <w:sz w:val="24"/>
                <w:szCs w:val="32"/>
              </w:rPr>
              <w:t>地下水污染应急预案</w:t>
            </w:r>
          </w:p>
          <w:p>
            <w:pPr>
              <w:adjustRightInd w:val="0"/>
              <w:snapToGrid w:val="0"/>
              <w:spacing w:line="360" w:lineRule="auto"/>
              <w:ind w:firstLine="480" w:firstLineChars="200"/>
              <w:rPr>
                <w:color w:val="000000"/>
                <w:kern w:val="0"/>
                <w:sz w:val="24"/>
              </w:rPr>
            </w:pPr>
            <w:r>
              <w:rPr>
                <w:color w:val="000000"/>
                <w:kern w:val="0"/>
                <w:sz w:val="24"/>
              </w:rPr>
              <w:t>在厂区建设和运行期间应制定地下水污染应急预案，并在发现厂区区域地下水监测井受到污染时立刻启动应急预案，采取应急措施防止污染扩散，防止周边生态环境受到影响。地下水污染应急预案应包括：如发现地下水污染事故，应立即向厂区环保部门及行政管理部门报告，调查并确认污染源位置。</w:t>
            </w:r>
          </w:p>
          <w:p>
            <w:pPr>
              <w:adjustRightInd w:val="0"/>
              <w:snapToGrid w:val="0"/>
              <w:spacing w:line="360" w:lineRule="auto"/>
              <w:ind w:firstLine="480" w:firstLineChars="200"/>
              <w:rPr>
                <w:color w:val="000000"/>
                <w:kern w:val="0"/>
                <w:sz w:val="24"/>
              </w:rPr>
            </w:pPr>
            <w:r>
              <w:rPr>
                <w:color w:val="000000"/>
                <w:kern w:val="0"/>
                <w:sz w:val="24"/>
              </w:rPr>
              <w:t>若存在污染物泄漏情况，查明泄漏污染源位置后，应首先堵住泄漏源，利用围堰或收液槽收容，然后收集、转移到事故池进行处理。如果已渗入地下水，应将污染区的地下水抽出并送到事故应急池中，防止污染物在地下继续扩散。</w:t>
            </w:r>
          </w:p>
          <w:p>
            <w:pPr>
              <w:adjustRightInd w:val="0"/>
              <w:snapToGrid w:val="0"/>
              <w:spacing w:line="360" w:lineRule="auto"/>
              <w:ind w:firstLine="480" w:firstLineChars="200"/>
              <w:rPr>
                <w:color w:val="000000"/>
                <w:kern w:val="0"/>
                <w:sz w:val="24"/>
              </w:rPr>
            </w:pPr>
            <w:r>
              <w:rPr>
                <w:color w:val="000000"/>
                <w:kern w:val="0"/>
                <w:sz w:val="24"/>
              </w:rPr>
              <w:t>立即对重污染区采取有效的修复措施，包括开挖并移走重污染土壤做危险废物处置，回填新鲜土壤；对重污染区的地下水通过检测井抽出并送至事故应急池中，防止污染物在地下继续扩散。</w:t>
            </w:r>
          </w:p>
          <w:p>
            <w:pPr>
              <w:adjustRightInd w:val="0"/>
              <w:snapToGrid w:val="0"/>
              <w:spacing w:line="360" w:lineRule="auto"/>
              <w:ind w:firstLine="480" w:firstLineChars="200"/>
              <w:rPr>
                <w:color w:val="000000"/>
                <w:kern w:val="0"/>
                <w:sz w:val="24"/>
              </w:rPr>
            </w:pPr>
            <w:r>
              <w:rPr>
                <w:color w:val="000000"/>
                <w:kern w:val="0"/>
                <w:sz w:val="24"/>
              </w:rPr>
              <w:t>地下水污染应急监测。若发现监测水质异常，应加密监测频次，改为每周监测一次，并立即启动应急响应，上报环境保护部门，同时检测相应的地下水风险源的防渗措施是否失效或遭受破坏，及时处理被污染的地下水，确保影响程度降到最低。</w:t>
            </w:r>
          </w:p>
          <w:p>
            <w:pPr>
              <w:adjustRightInd w:val="0"/>
              <w:snapToGrid w:val="0"/>
              <w:spacing w:line="360" w:lineRule="auto"/>
              <w:ind w:firstLine="480" w:firstLineChars="200"/>
              <w:rPr>
                <w:color w:val="000000"/>
                <w:kern w:val="0"/>
                <w:sz w:val="24"/>
              </w:rPr>
            </w:pPr>
            <w:r>
              <w:rPr>
                <w:rFonts w:hint="eastAsia"/>
                <w:color w:val="000000"/>
                <w:kern w:val="0"/>
                <w:sz w:val="24"/>
              </w:rPr>
              <w:t>（5）跟踪监测</w:t>
            </w:r>
          </w:p>
          <w:p>
            <w:pPr>
              <w:adjustRightInd w:val="0"/>
              <w:snapToGrid w:val="0"/>
              <w:spacing w:line="360" w:lineRule="auto"/>
              <w:ind w:firstLine="480" w:firstLineChars="200"/>
              <w:rPr>
                <w:rFonts w:hAnsi="宋体"/>
                <w:sz w:val="24"/>
              </w:rPr>
            </w:pPr>
            <w:r>
              <w:rPr>
                <w:rFonts w:hint="eastAsia" w:ascii="宋体" w:hAnsi="宋体"/>
                <w:sz w:val="24"/>
              </w:rPr>
              <w:t>①</w:t>
            </w:r>
            <w:r>
              <w:rPr>
                <w:rFonts w:hint="eastAsia" w:hAnsi="宋体"/>
                <w:sz w:val="24"/>
              </w:rPr>
              <w:t>地下水跟踪监测</w:t>
            </w:r>
          </w:p>
          <w:p>
            <w:pPr>
              <w:adjustRightInd w:val="0"/>
              <w:snapToGrid w:val="0"/>
              <w:spacing w:line="360" w:lineRule="auto"/>
              <w:ind w:firstLine="480" w:firstLineChars="200"/>
              <w:rPr>
                <w:sz w:val="24"/>
              </w:rPr>
            </w:pPr>
            <w:r>
              <w:rPr>
                <w:rFonts w:hint="eastAsia" w:hAnsi="宋体"/>
                <w:sz w:val="24"/>
              </w:rPr>
              <w:t>根据《环境影响评价技术导则-地下水环境》（HJ610-2016）附</w:t>
            </w:r>
            <w:r>
              <w:rPr>
                <w:sz w:val="24"/>
              </w:rPr>
              <w:t>录A，本项目为</w:t>
            </w:r>
            <w:r>
              <w:rPr>
                <w:rFonts w:hint="eastAsia"/>
                <w:sz w:val="24"/>
              </w:rPr>
              <w:t>“I金属制品</w:t>
            </w:r>
            <w:r>
              <w:rPr>
                <w:sz w:val="24"/>
              </w:rPr>
              <w:t>，</w:t>
            </w:r>
            <w:r>
              <w:rPr>
                <w:rFonts w:hint="eastAsia"/>
                <w:sz w:val="24"/>
              </w:rPr>
              <w:t>53</w:t>
            </w:r>
            <w:r>
              <w:rPr>
                <w:sz w:val="24"/>
              </w:rPr>
              <w:t>、</w:t>
            </w:r>
            <w:r>
              <w:rPr>
                <w:rFonts w:hint="eastAsia"/>
                <w:sz w:val="24"/>
              </w:rPr>
              <w:t>金属制品加工制造”</w:t>
            </w:r>
            <w:r>
              <w:rPr>
                <w:sz w:val="24"/>
              </w:rPr>
              <w:t>中的</w:t>
            </w:r>
            <w:r>
              <w:rPr>
                <w:rFonts w:hint="eastAsia"/>
                <w:sz w:val="24"/>
              </w:rPr>
              <w:t>“</w:t>
            </w:r>
            <w:r>
              <w:rPr>
                <w:sz w:val="24"/>
              </w:rPr>
              <w:t>其他</w:t>
            </w:r>
            <w:r>
              <w:rPr>
                <w:rFonts w:hint="eastAsia"/>
                <w:sz w:val="24"/>
              </w:rPr>
              <w:t>”</w:t>
            </w:r>
            <w:r>
              <w:rPr>
                <w:sz w:val="24"/>
              </w:rPr>
              <w:t>，属于Ⅳ类</w:t>
            </w:r>
            <w:r>
              <w:rPr>
                <w:rFonts w:hint="eastAsia"/>
                <w:sz w:val="24"/>
              </w:rPr>
              <w:t>项目，</w:t>
            </w:r>
            <w:r>
              <w:rPr>
                <w:sz w:val="24"/>
              </w:rPr>
              <w:t>Ⅳ类建设</w:t>
            </w:r>
            <w:r>
              <w:rPr>
                <w:rFonts w:hint="eastAsia"/>
                <w:sz w:val="24"/>
              </w:rPr>
              <w:t>项目不开展地下水环境影响评价，不用进行地下水的跟踪监测。</w:t>
            </w:r>
          </w:p>
          <w:p>
            <w:pPr>
              <w:spacing w:line="360" w:lineRule="auto"/>
              <w:ind w:firstLine="480" w:firstLineChars="200"/>
              <w:rPr>
                <w:rFonts w:hAnsi="宋体"/>
                <w:sz w:val="24"/>
              </w:rPr>
            </w:pPr>
            <w:r>
              <w:rPr>
                <w:rFonts w:hint="eastAsia" w:ascii="宋体" w:hAnsi="宋体"/>
                <w:sz w:val="24"/>
              </w:rPr>
              <w:t>②</w:t>
            </w:r>
            <w:r>
              <w:rPr>
                <w:rFonts w:hint="eastAsia" w:hAnsi="宋体"/>
                <w:sz w:val="24"/>
              </w:rPr>
              <w:t>土壤跟踪监测</w:t>
            </w:r>
          </w:p>
          <w:p>
            <w:pPr>
              <w:spacing w:line="360" w:lineRule="auto"/>
              <w:ind w:firstLine="480" w:firstLineChars="200"/>
              <w:rPr>
                <w:color w:val="000000" w:themeColor="text1"/>
                <w:sz w:val="24"/>
                <w14:textFill>
                  <w14:solidFill>
                    <w14:schemeClr w14:val="tx1"/>
                  </w14:solidFill>
                </w14:textFill>
              </w:rPr>
            </w:pPr>
            <w:r>
              <w:rPr>
                <w:rFonts w:hint="eastAsia" w:hAnsi="宋体"/>
                <w:sz w:val="24"/>
              </w:rPr>
              <w:t>根据《环境影响评价技术导则-土壤环境（试行）》（HJ</w:t>
            </w:r>
            <w:r>
              <w:rPr>
                <w:rFonts w:hAnsi="宋体"/>
                <w:sz w:val="24"/>
              </w:rPr>
              <w:t>964</w:t>
            </w:r>
            <w:r>
              <w:rPr>
                <w:rFonts w:hint="eastAsia" w:hAnsi="宋体"/>
                <w:sz w:val="24"/>
              </w:rPr>
              <w:t>-2018）附</w:t>
            </w:r>
            <w:r>
              <w:rPr>
                <w:sz w:val="24"/>
              </w:rPr>
              <w:t>录A，本项目属于</w:t>
            </w:r>
            <w:r>
              <w:rPr>
                <w:rFonts w:hint="eastAsia"/>
                <w:sz w:val="24"/>
              </w:rPr>
              <w:t>“制造业—金属制品”</w:t>
            </w:r>
            <w:r>
              <w:rPr>
                <w:sz w:val="24"/>
              </w:rPr>
              <w:t>，属于</w:t>
            </w:r>
            <w:r>
              <w:rPr>
                <w:rFonts w:hint="eastAsia" w:ascii="宋体" w:hAnsi="宋体"/>
                <w:sz w:val="24"/>
              </w:rPr>
              <w:t>Ⅰ</w:t>
            </w:r>
            <w:r>
              <w:rPr>
                <w:sz w:val="24"/>
              </w:rPr>
              <w:t>类</w:t>
            </w:r>
            <w:r>
              <w:rPr>
                <w:rFonts w:hint="eastAsia"/>
                <w:sz w:val="24"/>
              </w:rPr>
              <w:t>项目</w:t>
            </w:r>
            <w:r>
              <w:rPr>
                <w:rFonts w:hint="eastAsia"/>
                <w:color w:val="000000" w:themeColor="text1"/>
                <w:sz w:val="24"/>
                <w14:textFill>
                  <w14:solidFill>
                    <w14:schemeClr w14:val="tx1"/>
                  </w14:solidFill>
                </w14:textFill>
              </w:rPr>
              <w:t>。</w:t>
            </w:r>
          </w:p>
          <w:p>
            <w:pPr>
              <w:spacing w:before="120" w:beforeLines="50"/>
              <w:ind w:firstLine="482"/>
              <w:jc w:val="center"/>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表4-13  污染影响型敏感程度分级表</w:t>
            </w:r>
          </w:p>
          <w:tbl>
            <w:tblPr>
              <w:tblStyle w:val="58"/>
              <w:tblW w:w="8997"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28" w:type="dxa"/>
                <w:bottom w:w="0" w:type="dxa"/>
                <w:right w:w="28" w:type="dxa"/>
              </w:tblCellMar>
            </w:tblPr>
            <w:tblGrid>
              <w:gridCol w:w="2793"/>
              <w:gridCol w:w="6204"/>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69" w:hRule="atLeast"/>
                <w:jc w:val="center"/>
              </w:trPr>
              <w:tc>
                <w:tcPr>
                  <w:tcW w:w="2793" w:type="dxa"/>
                  <w:vAlign w:val="center"/>
                </w:tcPr>
                <w:p>
                  <w:pPr>
                    <w:pStyle w:val="587"/>
                    <w:autoSpaceDE w:val="0"/>
                    <w:autoSpaceDN w:val="0"/>
                    <w:spacing w:line="240" w:lineRule="auto"/>
                    <w:ind w:firstLine="422"/>
                    <w:jc w:val="center"/>
                    <w:textAlignment w:val="bottom"/>
                    <w:rPr>
                      <w:rFonts w:hint="default"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敏感程度</w:t>
                  </w:r>
                </w:p>
              </w:tc>
              <w:tc>
                <w:tcPr>
                  <w:tcW w:w="6204" w:type="dxa"/>
                  <w:vAlign w:val="center"/>
                </w:tcPr>
                <w:p>
                  <w:pPr>
                    <w:pStyle w:val="587"/>
                    <w:autoSpaceDE w:val="0"/>
                    <w:autoSpaceDN w:val="0"/>
                    <w:spacing w:line="240" w:lineRule="auto"/>
                    <w:ind w:firstLine="422"/>
                    <w:jc w:val="center"/>
                    <w:textAlignment w:val="bottom"/>
                    <w:rPr>
                      <w:rFonts w:hint="default"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评价工作分级判据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69" w:hRule="atLeast"/>
                <w:jc w:val="center"/>
              </w:trPr>
              <w:tc>
                <w:tcPr>
                  <w:tcW w:w="2793" w:type="dxa"/>
                  <w:vAlign w:val="center"/>
                </w:tcPr>
                <w:p>
                  <w:pPr>
                    <w:pStyle w:val="587"/>
                    <w:autoSpaceDE w:val="0"/>
                    <w:autoSpaceDN w:val="0"/>
                    <w:spacing w:line="240" w:lineRule="auto"/>
                    <w:ind w:firstLine="420"/>
                    <w:jc w:val="center"/>
                    <w:textAlignment w:val="bottom"/>
                    <w:rPr>
                      <w:rFonts w:hint="default"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敏感</w:t>
                  </w:r>
                </w:p>
              </w:tc>
              <w:tc>
                <w:tcPr>
                  <w:tcW w:w="6204" w:type="dxa"/>
                  <w:vAlign w:val="center"/>
                </w:tcPr>
                <w:p>
                  <w:pPr>
                    <w:pStyle w:val="330"/>
                    <w:autoSpaceDE w:val="0"/>
                    <w:autoSpaceDN w:val="0"/>
                    <w:spacing w:line="240" w:lineRule="auto"/>
                    <w:ind w:firstLine="420"/>
                    <w:jc w:val="center"/>
                    <w:textAlignment w:val="bottom"/>
                    <w:rPr>
                      <w:rFonts w:hint="default"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建设项目周边存在耕地、园地、牧草地、饮用水水源地或居民、学校、医院、疗养院、养老院等土壤环境敏感目标的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69" w:hRule="atLeast"/>
                <w:jc w:val="center"/>
              </w:trPr>
              <w:tc>
                <w:tcPr>
                  <w:tcW w:w="2793" w:type="dxa"/>
                  <w:vAlign w:val="center"/>
                </w:tcPr>
                <w:p>
                  <w:pPr>
                    <w:pStyle w:val="587"/>
                    <w:autoSpaceDE w:val="0"/>
                    <w:autoSpaceDN w:val="0"/>
                    <w:spacing w:line="240" w:lineRule="auto"/>
                    <w:ind w:firstLine="420"/>
                    <w:jc w:val="center"/>
                    <w:textAlignment w:val="bottom"/>
                    <w:rPr>
                      <w:rFonts w:hint="default"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较敏感</w:t>
                  </w:r>
                </w:p>
              </w:tc>
              <w:tc>
                <w:tcPr>
                  <w:tcW w:w="6204" w:type="dxa"/>
                  <w:vAlign w:val="center"/>
                </w:tcPr>
                <w:p>
                  <w:pPr>
                    <w:pStyle w:val="330"/>
                    <w:autoSpaceDE w:val="0"/>
                    <w:autoSpaceDN w:val="0"/>
                    <w:spacing w:line="240" w:lineRule="auto"/>
                    <w:ind w:firstLine="420"/>
                    <w:jc w:val="center"/>
                    <w:textAlignment w:val="bottom"/>
                    <w:rPr>
                      <w:rFonts w:hint="default"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建设项目周边存在其他土壤环境敏感目标的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cantSplit/>
                <w:trHeight w:val="369" w:hRule="atLeast"/>
                <w:jc w:val="center"/>
              </w:trPr>
              <w:tc>
                <w:tcPr>
                  <w:tcW w:w="2793" w:type="dxa"/>
                  <w:vAlign w:val="center"/>
                </w:tcPr>
                <w:p>
                  <w:pPr>
                    <w:pStyle w:val="587"/>
                    <w:autoSpaceDE w:val="0"/>
                    <w:autoSpaceDN w:val="0"/>
                    <w:spacing w:line="240" w:lineRule="auto"/>
                    <w:ind w:firstLine="420"/>
                    <w:jc w:val="center"/>
                    <w:textAlignment w:val="bottom"/>
                    <w:rPr>
                      <w:rFonts w:hint="default"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不敏感</w:t>
                  </w:r>
                </w:p>
              </w:tc>
              <w:tc>
                <w:tcPr>
                  <w:tcW w:w="6204" w:type="dxa"/>
                  <w:vAlign w:val="center"/>
                </w:tcPr>
                <w:p>
                  <w:pPr>
                    <w:pStyle w:val="330"/>
                    <w:autoSpaceDE w:val="0"/>
                    <w:autoSpaceDN w:val="0"/>
                    <w:spacing w:line="240" w:lineRule="auto"/>
                    <w:ind w:firstLine="420"/>
                    <w:jc w:val="center"/>
                    <w:textAlignment w:val="bottom"/>
                    <w:rPr>
                      <w:rFonts w:hint="default"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其他情况</w:t>
                  </w:r>
                </w:p>
              </w:tc>
            </w:tr>
          </w:tbl>
          <w:p>
            <w:pPr>
              <w:spacing w:before="120" w:beforeLines="50"/>
              <w:ind w:firstLine="482"/>
              <w:jc w:val="center"/>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表4-14  污染影响型评价工作划分表</w:t>
            </w:r>
          </w:p>
          <w:tbl>
            <w:tblPr>
              <w:tblStyle w:val="5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7"/>
              <w:gridCol w:w="707"/>
              <w:gridCol w:w="707"/>
              <w:gridCol w:w="708"/>
              <w:gridCol w:w="707"/>
              <w:gridCol w:w="707"/>
              <w:gridCol w:w="708"/>
              <w:gridCol w:w="707"/>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58" w:type="dxa"/>
                  <w:vMerge w:val="restart"/>
                  <w:tcBorders>
                    <w:top w:val="single" w:color="auto" w:sz="12" w:space="0"/>
                    <w:left w:val="nil"/>
                    <w:tl2br w:val="single" w:color="auto" w:sz="4" w:space="0"/>
                  </w:tcBorders>
                  <w:vAlign w:val="center"/>
                </w:tcPr>
                <w:p>
                  <w:pPr>
                    <w:jc w:val="right"/>
                    <w:rPr>
                      <w:b/>
                      <w:color w:val="000000" w:themeColor="text1"/>
                      <w:szCs w:val="21"/>
                      <w14:textFill>
                        <w14:solidFill>
                          <w14:schemeClr w14:val="tx1"/>
                        </w14:solidFill>
                      </w14:textFill>
                    </w:rPr>
                  </w:pPr>
                  <w:r>
                    <w:rPr>
                      <w:rFonts w:hAnsi="宋体"/>
                      <w:b/>
                      <w:color w:val="000000" w:themeColor="text1"/>
                      <w:szCs w:val="21"/>
                      <w14:textFill>
                        <w14:solidFill>
                          <w14:schemeClr w14:val="tx1"/>
                        </w14:solidFill>
                      </w14:textFill>
                    </w:rPr>
                    <w:t>项目类别</w:t>
                  </w:r>
                </w:p>
                <w:p>
                  <w:pPr>
                    <w:rPr>
                      <w:b/>
                      <w:color w:val="000000" w:themeColor="text1"/>
                      <w:szCs w:val="21"/>
                      <w14:textFill>
                        <w14:solidFill>
                          <w14:schemeClr w14:val="tx1"/>
                        </w14:solidFill>
                      </w14:textFill>
                    </w:rPr>
                  </w:pPr>
                  <w:r>
                    <w:rPr>
                      <w:rFonts w:hAnsi="宋体"/>
                      <w:b/>
                      <w:color w:val="000000" w:themeColor="text1"/>
                      <w:szCs w:val="21"/>
                      <w14:textFill>
                        <w14:solidFill>
                          <w14:schemeClr w14:val="tx1"/>
                        </w14:solidFill>
                      </w14:textFill>
                    </w:rPr>
                    <w:t>环境敏感程度</w:t>
                  </w:r>
                </w:p>
              </w:tc>
              <w:tc>
                <w:tcPr>
                  <w:tcW w:w="2245" w:type="dxa"/>
                  <w:gridSpan w:val="3"/>
                  <w:tcBorders>
                    <w:top w:val="single" w:color="auto" w:sz="12" w:space="0"/>
                  </w:tcBorders>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I</w:t>
                  </w:r>
                  <w:r>
                    <w:rPr>
                      <w:rFonts w:hAnsi="宋体"/>
                      <w:b/>
                      <w:color w:val="000000" w:themeColor="text1"/>
                      <w:szCs w:val="21"/>
                      <w14:textFill>
                        <w14:solidFill>
                          <w14:schemeClr w14:val="tx1"/>
                        </w14:solidFill>
                      </w14:textFill>
                    </w:rPr>
                    <w:t>类项目</w:t>
                  </w:r>
                </w:p>
              </w:tc>
              <w:tc>
                <w:tcPr>
                  <w:tcW w:w="2245" w:type="dxa"/>
                  <w:gridSpan w:val="3"/>
                  <w:tcBorders>
                    <w:top w:val="single" w:color="auto" w:sz="12" w:space="0"/>
                  </w:tcBorders>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II</w:t>
                  </w:r>
                  <w:r>
                    <w:rPr>
                      <w:rFonts w:hAnsi="宋体"/>
                      <w:b/>
                      <w:color w:val="000000" w:themeColor="text1"/>
                      <w:szCs w:val="21"/>
                      <w14:textFill>
                        <w14:solidFill>
                          <w14:schemeClr w14:val="tx1"/>
                        </w14:solidFill>
                      </w14:textFill>
                    </w:rPr>
                    <w:t>类项目</w:t>
                  </w:r>
                </w:p>
              </w:tc>
              <w:tc>
                <w:tcPr>
                  <w:tcW w:w="2245" w:type="dxa"/>
                  <w:gridSpan w:val="3"/>
                  <w:tcBorders>
                    <w:top w:val="single" w:color="auto" w:sz="12" w:space="0"/>
                    <w:right w:val="nil"/>
                  </w:tcBorders>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III</w:t>
                  </w:r>
                  <w:r>
                    <w:rPr>
                      <w:rFonts w:hAnsi="宋体"/>
                      <w:b/>
                      <w:color w:val="000000" w:themeColor="text1"/>
                      <w:szCs w:val="21"/>
                      <w14:textFill>
                        <w14:solidFill>
                          <w14:schemeClr w14:val="tx1"/>
                        </w14:solidFill>
                      </w14:textFill>
                    </w:rPr>
                    <w:t>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2258" w:type="dxa"/>
                  <w:vMerge w:val="continue"/>
                  <w:tcBorders>
                    <w:left w:val="nil"/>
                    <w:tl2br w:val="single" w:color="auto" w:sz="4" w:space="0"/>
                  </w:tcBorders>
                  <w:vAlign w:val="center"/>
                </w:tcPr>
                <w:p>
                  <w:pPr>
                    <w:jc w:val="right"/>
                    <w:rPr>
                      <w:rFonts w:hAnsi="宋体"/>
                      <w:b/>
                      <w:color w:val="000000" w:themeColor="text1"/>
                      <w:szCs w:val="21"/>
                      <w14:textFill>
                        <w14:solidFill>
                          <w14:schemeClr w14:val="tx1"/>
                        </w14:solidFill>
                      </w14:textFill>
                    </w:rPr>
                  </w:pPr>
                </w:p>
              </w:tc>
              <w:tc>
                <w:tcPr>
                  <w:tcW w:w="748" w:type="dxa"/>
                  <w:tcBorders>
                    <w:top w:val="single" w:color="auto" w:sz="4" w:space="0"/>
                  </w:tcBorders>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大</w:t>
                  </w:r>
                </w:p>
              </w:tc>
              <w:tc>
                <w:tcPr>
                  <w:tcW w:w="748" w:type="dxa"/>
                  <w:tcBorders>
                    <w:top w:val="single" w:color="auto" w:sz="4" w:space="0"/>
                  </w:tcBorders>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中</w:t>
                  </w:r>
                </w:p>
              </w:tc>
              <w:tc>
                <w:tcPr>
                  <w:tcW w:w="749" w:type="dxa"/>
                  <w:tcBorders>
                    <w:top w:val="single" w:color="auto" w:sz="4" w:space="0"/>
                  </w:tcBorders>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小</w:t>
                  </w:r>
                </w:p>
              </w:tc>
              <w:tc>
                <w:tcPr>
                  <w:tcW w:w="748" w:type="dxa"/>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大</w:t>
                  </w:r>
                </w:p>
              </w:tc>
              <w:tc>
                <w:tcPr>
                  <w:tcW w:w="748" w:type="dxa"/>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中</w:t>
                  </w:r>
                </w:p>
              </w:tc>
              <w:tc>
                <w:tcPr>
                  <w:tcW w:w="749" w:type="dxa"/>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小</w:t>
                  </w:r>
                </w:p>
              </w:tc>
              <w:tc>
                <w:tcPr>
                  <w:tcW w:w="748" w:type="dxa"/>
                  <w:tcBorders>
                    <w:right w:val="nil"/>
                  </w:tcBorders>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大</w:t>
                  </w:r>
                </w:p>
              </w:tc>
              <w:tc>
                <w:tcPr>
                  <w:tcW w:w="748" w:type="dxa"/>
                  <w:tcBorders>
                    <w:right w:val="nil"/>
                  </w:tcBorders>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中</w:t>
                  </w:r>
                </w:p>
              </w:tc>
              <w:tc>
                <w:tcPr>
                  <w:tcW w:w="749" w:type="dxa"/>
                  <w:tcBorders>
                    <w:right w:val="nil"/>
                  </w:tcBorders>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258" w:type="dxa"/>
                  <w:tcBorders>
                    <w:left w:val="nil"/>
                  </w:tcBorders>
                  <w:vAlign w:val="center"/>
                </w:tcPr>
                <w:p>
                  <w:pPr>
                    <w:jc w:val="center"/>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敏感</w:t>
                  </w:r>
                </w:p>
              </w:tc>
              <w:tc>
                <w:tcPr>
                  <w:tcW w:w="7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一级</w:t>
                  </w:r>
                </w:p>
              </w:tc>
              <w:tc>
                <w:tcPr>
                  <w:tcW w:w="7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一级</w:t>
                  </w:r>
                </w:p>
              </w:tc>
              <w:tc>
                <w:tcPr>
                  <w:tcW w:w="749"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一级</w:t>
                  </w:r>
                </w:p>
              </w:tc>
              <w:tc>
                <w:tcPr>
                  <w:tcW w:w="7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二级</w:t>
                  </w:r>
                </w:p>
              </w:tc>
              <w:tc>
                <w:tcPr>
                  <w:tcW w:w="7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二级</w:t>
                  </w:r>
                </w:p>
              </w:tc>
              <w:tc>
                <w:tcPr>
                  <w:tcW w:w="749"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二级</w:t>
                  </w:r>
                </w:p>
              </w:tc>
              <w:tc>
                <w:tcPr>
                  <w:tcW w:w="748" w:type="dxa"/>
                  <w:tcBorders>
                    <w:right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三级</w:t>
                  </w:r>
                </w:p>
              </w:tc>
              <w:tc>
                <w:tcPr>
                  <w:tcW w:w="748" w:type="dxa"/>
                  <w:tcBorders>
                    <w:right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三级</w:t>
                  </w:r>
                </w:p>
              </w:tc>
              <w:tc>
                <w:tcPr>
                  <w:tcW w:w="749" w:type="dxa"/>
                  <w:tcBorders>
                    <w:right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2258" w:type="dxa"/>
                  <w:tcBorders>
                    <w:left w:val="nil"/>
                  </w:tcBorders>
                  <w:vAlign w:val="center"/>
                </w:tcPr>
                <w:p>
                  <w:pPr>
                    <w:jc w:val="center"/>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较敏感</w:t>
                  </w:r>
                </w:p>
              </w:tc>
              <w:tc>
                <w:tcPr>
                  <w:tcW w:w="7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一级</w:t>
                  </w:r>
                </w:p>
              </w:tc>
              <w:tc>
                <w:tcPr>
                  <w:tcW w:w="7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二级</w:t>
                  </w:r>
                </w:p>
              </w:tc>
              <w:tc>
                <w:tcPr>
                  <w:tcW w:w="749" w:type="dxa"/>
                  <w:tcBorders>
                    <w:bottom w:val="single" w:color="auto" w:sz="4" w:space="0"/>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二级</w:t>
                  </w:r>
                </w:p>
              </w:tc>
              <w:tc>
                <w:tcPr>
                  <w:tcW w:w="7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二级</w:t>
                  </w:r>
                </w:p>
              </w:tc>
              <w:tc>
                <w:tcPr>
                  <w:tcW w:w="7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二级</w:t>
                  </w:r>
                </w:p>
              </w:tc>
              <w:tc>
                <w:tcPr>
                  <w:tcW w:w="749"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三级</w:t>
                  </w:r>
                </w:p>
              </w:tc>
              <w:tc>
                <w:tcPr>
                  <w:tcW w:w="748" w:type="dxa"/>
                  <w:tcBorders>
                    <w:right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三级</w:t>
                  </w:r>
                </w:p>
              </w:tc>
              <w:tc>
                <w:tcPr>
                  <w:tcW w:w="748" w:type="dxa"/>
                  <w:tcBorders>
                    <w:right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三级</w:t>
                  </w:r>
                </w:p>
              </w:tc>
              <w:tc>
                <w:tcPr>
                  <w:tcW w:w="749" w:type="dxa"/>
                  <w:tcBorders>
                    <w:right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2258" w:type="dxa"/>
                  <w:tcBorders>
                    <w:left w:val="nil"/>
                  </w:tcBorders>
                  <w:shd w:val="clear" w:color="auto" w:fill="auto"/>
                  <w:vAlign w:val="center"/>
                </w:tcPr>
                <w:p>
                  <w:pPr>
                    <w:jc w:val="center"/>
                    <w:rPr>
                      <w:color w:val="000000" w:themeColor="text1"/>
                      <w:szCs w:val="21"/>
                      <w14:textFill>
                        <w14:solidFill>
                          <w14:schemeClr w14:val="tx1"/>
                        </w14:solidFill>
                      </w14:textFill>
                    </w:rPr>
                  </w:pPr>
                  <w:r>
                    <w:rPr>
                      <w:rFonts w:hAnsi="宋体"/>
                      <w:color w:val="000000" w:themeColor="text1"/>
                      <w:szCs w:val="21"/>
                      <w14:textFill>
                        <w14:solidFill>
                          <w14:schemeClr w14:val="tx1"/>
                        </w14:solidFill>
                      </w14:textFill>
                    </w:rPr>
                    <w:t>不敏感</w:t>
                  </w:r>
                </w:p>
              </w:tc>
              <w:tc>
                <w:tcPr>
                  <w:tcW w:w="7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一级</w:t>
                  </w:r>
                </w:p>
              </w:tc>
              <w:tc>
                <w:tcPr>
                  <w:tcW w:w="7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二级</w:t>
                  </w:r>
                </w:p>
              </w:tc>
              <w:tc>
                <w:tcPr>
                  <w:tcW w:w="749" w:type="dxa"/>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二级</w:t>
                  </w:r>
                </w:p>
              </w:tc>
              <w:tc>
                <w:tcPr>
                  <w:tcW w:w="7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二级</w:t>
                  </w:r>
                </w:p>
              </w:tc>
              <w:tc>
                <w:tcPr>
                  <w:tcW w:w="74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三级</w:t>
                  </w:r>
                </w:p>
              </w:tc>
              <w:tc>
                <w:tcPr>
                  <w:tcW w:w="749"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三级</w:t>
                  </w:r>
                </w:p>
              </w:tc>
              <w:tc>
                <w:tcPr>
                  <w:tcW w:w="748" w:type="dxa"/>
                  <w:tcBorders>
                    <w:right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三级</w:t>
                  </w:r>
                </w:p>
              </w:tc>
              <w:tc>
                <w:tcPr>
                  <w:tcW w:w="748" w:type="dxa"/>
                  <w:tcBorders>
                    <w:right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49" w:type="dxa"/>
                  <w:tcBorders>
                    <w:right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8993" w:type="dxa"/>
                  <w:gridSpan w:val="10"/>
                  <w:tcBorders>
                    <w:left w:val="nil"/>
                    <w:bottom w:val="single" w:color="auto" w:sz="12" w:space="0"/>
                    <w:right w:val="nil"/>
                  </w:tcBorders>
                  <w:shd w:val="clear" w:color="auto" w:fill="auto"/>
                  <w:vAlign w:val="center"/>
                </w:tcPr>
                <w:p>
                  <w:pPr>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注：“-”表示可不开展土壤环境影响评价工作。</w:t>
                  </w:r>
                </w:p>
              </w:tc>
            </w:tr>
          </w:tbl>
          <w:p>
            <w:pPr>
              <w:spacing w:line="360" w:lineRule="auto"/>
              <w:ind w:firstLine="480" w:firstLineChars="200"/>
              <w:rPr>
                <w:color w:val="000000" w:themeColor="text1"/>
                <w:sz w:val="24"/>
                <w14:textFill>
                  <w14:solidFill>
                    <w14:schemeClr w14:val="tx1"/>
                  </w14:solidFill>
                </w14:textFill>
              </w:rPr>
            </w:pPr>
            <w:r>
              <w:rPr>
                <w:bCs/>
                <w:sz w:val="24"/>
              </w:rPr>
              <w:t>建设项目占地规模分为大型（≥50hm</w:t>
            </w:r>
            <w:r>
              <w:rPr>
                <w:bCs/>
                <w:sz w:val="24"/>
                <w:vertAlign w:val="superscript"/>
              </w:rPr>
              <w:t>2</w:t>
            </w:r>
            <w:r>
              <w:rPr>
                <w:bCs/>
                <w:sz w:val="24"/>
              </w:rPr>
              <w:t>）、中型（5~50hm</w:t>
            </w:r>
            <w:r>
              <w:rPr>
                <w:bCs/>
                <w:sz w:val="24"/>
                <w:vertAlign w:val="superscript"/>
              </w:rPr>
              <w:t>2</w:t>
            </w:r>
            <w:r>
              <w:rPr>
                <w:bCs/>
                <w:sz w:val="24"/>
              </w:rPr>
              <w:t>）、小型（≤5hm</w:t>
            </w:r>
            <w:r>
              <w:rPr>
                <w:bCs/>
                <w:sz w:val="24"/>
                <w:vertAlign w:val="superscript"/>
              </w:rPr>
              <w:t>2</w:t>
            </w:r>
            <w:r>
              <w:rPr>
                <w:bCs/>
                <w:sz w:val="24"/>
              </w:rPr>
              <w:t>），本项目占地面积为</w:t>
            </w:r>
            <w:r>
              <w:rPr>
                <w:rFonts w:hint="eastAsia"/>
                <w:sz w:val="24"/>
              </w:rPr>
              <w:t>1100</w:t>
            </w:r>
            <w:r>
              <w:rPr>
                <w:bCs/>
                <w:sz w:val="24"/>
              </w:rPr>
              <w:t>m</w:t>
            </w:r>
            <w:r>
              <w:rPr>
                <w:bCs/>
                <w:sz w:val="24"/>
                <w:vertAlign w:val="superscript"/>
              </w:rPr>
              <w:t>2</w:t>
            </w:r>
            <w:r>
              <w:rPr>
                <w:bCs/>
                <w:sz w:val="24"/>
              </w:rPr>
              <w:t>，属于小型项目</w:t>
            </w:r>
            <w:r>
              <w:rPr>
                <w:rFonts w:hint="eastAsia"/>
                <w:color w:val="000000" w:themeColor="text1"/>
                <w:sz w:val="24"/>
                <w14:textFill>
                  <w14:solidFill>
                    <w14:schemeClr w14:val="tx1"/>
                  </w14:solidFill>
                </w14:textFill>
              </w:rPr>
              <w:t>。本项目位于芜湖市鸠江经济技术开发区官陡门路和富强路交叉口东北侧，周围不存在土壤环境敏感目标，因此判断土壤环境敏感程度为不敏感。</w:t>
            </w:r>
          </w:p>
          <w:p>
            <w:pPr>
              <w:adjustRightInd w:val="0"/>
              <w:snapToGrid w:val="0"/>
              <w:spacing w:line="360" w:lineRule="auto"/>
              <w:ind w:firstLine="480" w:firstLineChars="200"/>
              <w:rPr>
                <w:sz w:val="24"/>
                <w:szCs w:val="22"/>
              </w:rPr>
            </w:pPr>
            <w:r>
              <w:rPr>
                <w:sz w:val="24"/>
                <w:szCs w:val="22"/>
                <w:lang w:val="zh-CN"/>
              </w:rPr>
              <w:t>根据导则要求，结合项目特征，</w:t>
            </w:r>
            <w:r>
              <w:rPr>
                <w:rFonts w:hint="eastAsia"/>
                <w:sz w:val="24"/>
                <w:szCs w:val="22"/>
                <w:lang w:val="zh-CN"/>
              </w:rPr>
              <w:t>设置</w:t>
            </w:r>
            <w:r>
              <w:rPr>
                <w:sz w:val="24"/>
                <w:szCs w:val="22"/>
                <w:lang w:val="zh-CN"/>
              </w:rPr>
              <w:t>土壤跟踪监测点。各土壤跟踪监测布置情况见表</w:t>
            </w:r>
            <w:r>
              <w:rPr>
                <w:rFonts w:hint="eastAsia"/>
                <w:sz w:val="24"/>
                <w:szCs w:val="22"/>
              </w:rPr>
              <w:t>4-15。</w:t>
            </w:r>
          </w:p>
          <w:p>
            <w:pPr>
              <w:topLinePunct/>
              <w:adjustRightInd w:val="0"/>
              <w:snapToGrid w:val="0"/>
              <w:jc w:val="center"/>
              <w:rPr>
                <w:rFonts w:hAnsi="宋体"/>
                <w:b/>
                <w:color w:val="0D0D0D"/>
                <w:sz w:val="24"/>
              </w:rPr>
            </w:pPr>
            <w:r>
              <w:rPr>
                <w:rFonts w:hAnsi="宋体"/>
                <w:b/>
                <w:color w:val="0D0D0D"/>
                <w:sz w:val="24"/>
              </w:rPr>
              <w:t>表</w:t>
            </w:r>
            <w:r>
              <w:rPr>
                <w:rFonts w:hint="eastAsia" w:hAnsi="宋体"/>
                <w:b/>
                <w:color w:val="0D0D0D"/>
                <w:sz w:val="24"/>
              </w:rPr>
              <w:t xml:space="preserve">4-15 </w:t>
            </w:r>
            <w:r>
              <w:rPr>
                <w:rFonts w:hAnsi="宋体"/>
                <w:b/>
                <w:color w:val="0D0D0D"/>
                <w:sz w:val="24"/>
              </w:rPr>
              <w:t>土壤跟踪监测点布置一览表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31"/>
              <w:gridCol w:w="825"/>
              <w:gridCol w:w="922"/>
              <w:gridCol w:w="996"/>
              <w:gridCol w:w="1232"/>
              <w:gridCol w:w="2940"/>
              <w:gridCol w:w="105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1" w:type="dxa"/>
                  <w:tcBorders>
                    <w:top w:val="single" w:color="auto" w:sz="12" w:space="0"/>
                    <w:left w:val="nil"/>
                    <w:bottom w:val="single" w:color="auto" w:sz="4" w:space="0"/>
                    <w:right w:val="single" w:color="auto" w:sz="4" w:space="0"/>
                  </w:tcBorders>
                  <w:vAlign w:val="center"/>
                </w:tcPr>
                <w:p>
                  <w:pPr>
                    <w:widowControl/>
                    <w:jc w:val="center"/>
                    <w:rPr>
                      <w:b/>
                      <w:szCs w:val="22"/>
                    </w:rPr>
                  </w:pPr>
                  <w:r>
                    <w:rPr>
                      <w:rFonts w:hint="eastAsia"/>
                      <w:b/>
                      <w:szCs w:val="22"/>
                    </w:rPr>
                    <w:t>序号</w:t>
                  </w:r>
                </w:p>
              </w:tc>
              <w:tc>
                <w:tcPr>
                  <w:tcW w:w="825" w:type="dxa"/>
                  <w:tcBorders>
                    <w:top w:val="single" w:color="auto" w:sz="12" w:space="0"/>
                    <w:left w:val="single" w:color="auto" w:sz="4" w:space="0"/>
                    <w:bottom w:val="single" w:color="auto" w:sz="4" w:space="0"/>
                    <w:right w:val="single" w:color="auto" w:sz="4" w:space="0"/>
                  </w:tcBorders>
                  <w:vAlign w:val="center"/>
                </w:tcPr>
                <w:p>
                  <w:pPr>
                    <w:widowControl/>
                    <w:jc w:val="center"/>
                    <w:rPr>
                      <w:b/>
                      <w:szCs w:val="22"/>
                    </w:rPr>
                  </w:pPr>
                  <w:r>
                    <w:rPr>
                      <w:rFonts w:hint="eastAsia"/>
                      <w:b/>
                      <w:szCs w:val="22"/>
                    </w:rPr>
                    <w:t>监测点位</w:t>
                  </w:r>
                </w:p>
              </w:tc>
              <w:tc>
                <w:tcPr>
                  <w:tcW w:w="922" w:type="dxa"/>
                  <w:tcBorders>
                    <w:top w:val="single" w:color="auto" w:sz="12" w:space="0"/>
                    <w:left w:val="single" w:color="auto" w:sz="4" w:space="0"/>
                    <w:bottom w:val="single" w:color="auto" w:sz="4" w:space="0"/>
                    <w:right w:val="single" w:color="auto" w:sz="4" w:space="0"/>
                  </w:tcBorders>
                  <w:vAlign w:val="center"/>
                </w:tcPr>
                <w:p>
                  <w:pPr>
                    <w:widowControl/>
                    <w:jc w:val="center"/>
                    <w:rPr>
                      <w:b/>
                      <w:szCs w:val="22"/>
                    </w:rPr>
                  </w:pPr>
                  <w:r>
                    <w:rPr>
                      <w:rFonts w:hint="eastAsia"/>
                      <w:b/>
                      <w:szCs w:val="22"/>
                    </w:rPr>
                    <w:t>主要监测指标</w:t>
                  </w:r>
                </w:p>
              </w:tc>
              <w:tc>
                <w:tcPr>
                  <w:tcW w:w="996" w:type="dxa"/>
                  <w:tcBorders>
                    <w:top w:val="single" w:color="auto" w:sz="12" w:space="0"/>
                    <w:left w:val="single" w:color="auto" w:sz="4" w:space="0"/>
                    <w:bottom w:val="single" w:color="auto" w:sz="4" w:space="0"/>
                    <w:right w:val="single" w:color="auto" w:sz="4" w:space="0"/>
                  </w:tcBorders>
                  <w:vAlign w:val="center"/>
                </w:tcPr>
                <w:p>
                  <w:pPr>
                    <w:widowControl/>
                    <w:jc w:val="center"/>
                    <w:rPr>
                      <w:b/>
                      <w:szCs w:val="22"/>
                    </w:rPr>
                  </w:pPr>
                  <w:r>
                    <w:rPr>
                      <w:rFonts w:hint="eastAsia"/>
                      <w:b/>
                      <w:szCs w:val="22"/>
                    </w:rPr>
                    <w:t>其他监测指标</w:t>
                  </w:r>
                </w:p>
              </w:tc>
              <w:tc>
                <w:tcPr>
                  <w:tcW w:w="1232" w:type="dxa"/>
                  <w:tcBorders>
                    <w:top w:val="single" w:color="auto" w:sz="12" w:space="0"/>
                    <w:left w:val="single" w:color="auto" w:sz="4" w:space="0"/>
                    <w:bottom w:val="single" w:color="auto" w:sz="4" w:space="0"/>
                    <w:right w:val="single" w:color="auto" w:sz="4" w:space="0"/>
                  </w:tcBorders>
                  <w:vAlign w:val="center"/>
                </w:tcPr>
                <w:p>
                  <w:pPr>
                    <w:widowControl/>
                    <w:jc w:val="center"/>
                    <w:rPr>
                      <w:b/>
                      <w:szCs w:val="22"/>
                    </w:rPr>
                  </w:pPr>
                  <w:r>
                    <w:rPr>
                      <w:rFonts w:hint="eastAsia"/>
                      <w:b/>
                      <w:szCs w:val="22"/>
                    </w:rPr>
                    <w:t>监测频次</w:t>
                  </w:r>
                </w:p>
              </w:tc>
              <w:tc>
                <w:tcPr>
                  <w:tcW w:w="2940" w:type="dxa"/>
                  <w:tcBorders>
                    <w:top w:val="single" w:color="auto" w:sz="12" w:space="0"/>
                    <w:left w:val="single" w:color="auto" w:sz="4" w:space="0"/>
                    <w:bottom w:val="single" w:color="auto" w:sz="4" w:space="0"/>
                    <w:right w:val="single" w:color="auto" w:sz="4" w:space="0"/>
                  </w:tcBorders>
                  <w:vAlign w:val="center"/>
                </w:tcPr>
                <w:p>
                  <w:pPr>
                    <w:widowControl/>
                    <w:jc w:val="center"/>
                    <w:rPr>
                      <w:b/>
                      <w:szCs w:val="22"/>
                    </w:rPr>
                  </w:pPr>
                  <w:r>
                    <w:rPr>
                      <w:rFonts w:hint="eastAsia"/>
                      <w:b/>
                      <w:szCs w:val="22"/>
                    </w:rPr>
                    <w:t>执行标准</w:t>
                  </w:r>
                </w:p>
              </w:tc>
              <w:tc>
                <w:tcPr>
                  <w:tcW w:w="1059" w:type="dxa"/>
                  <w:tcBorders>
                    <w:top w:val="single" w:color="auto" w:sz="12" w:space="0"/>
                    <w:left w:val="single" w:color="auto" w:sz="4" w:space="0"/>
                    <w:bottom w:val="single" w:color="auto" w:sz="4" w:space="0"/>
                    <w:right w:val="nil"/>
                  </w:tcBorders>
                  <w:vAlign w:val="center"/>
                </w:tcPr>
                <w:p>
                  <w:pPr>
                    <w:widowControl/>
                    <w:jc w:val="center"/>
                    <w:rPr>
                      <w:b/>
                      <w:szCs w:val="22"/>
                    </w:rPr>
                  </w:pPr>
                  <w:r>
                    <w:rPr>
                      <w:rFonts w:hint="eastAsia"/>
                      <w:b/>
                      <w:szCs w:val="22"/>
                    </w:rPr>
                    <w:t>监测技术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431" w:type="dxa"/>
                  <w:tcBorders>
                    <w:top w:val="single" w:color="auto" w:sz="4" w:space="0"/>
                    <w:left w:val="nil"/>
                    <w:bottom w:val="single" w:color="auto" w:sz="2" w:space="0"/>
                    <w:right w:val="single" w:color="auto" w:sz="4" w:space="0"/>
                  </w:tcBorders>
                  <w:vAlign w:val="center"/>
                </w:tcPr>
                <w:p>
                  <w:pPr>
                    <w:widowControl/>
                    <w:jc w:val="center"/>
                    <w:rPr>
                      <w:szCs w:val="22"/>
                    </w:rPr>
                  </w:pPr>
                  <w:r>
                    <w:rPr>
                      <w:rFonts w:hint="eastAsia"/>
                      <w:szCs w:val="22"/>
                    </w:rPr>
                    <w:t>1</w:t>
                  </w:r>
                </w:p>
              </w:tc>
              <w:tc>
                <w:tcPr>
                  <w:tcW w:w="825" w:type="dxa"/>
                  <w:tcBorders>
                    <w:top w:val="single" w:color="auto" w:sz="4" w:space="0"/>
                    <w:left w:val="single" w:color="auto" w:sz="4" w:space="0"/>
                    <w:bottom w:val="single" w:color="auto" w:sz="2" w:space="0"/>
                    <w:right w:val="single" w:color="auto" w:sz="4" w:space="0"/>
                  </w:tcBorders>
                  <w:vAlign w:val="center"/>
                </w:tcPr>
                <w:p>
                  <w:pPr>
                    <w:widowControl/>
                    <w:jc w:val="center"/>
                    <w:rPr>
                      <w:szCs w:val="22"/>
                    </w:rPr>
                  </w:pPr>
                  <w:r>
                    <w:rPr>
                      <w:rFonts w:hint="eastAsia"/>
                      <w:szCs w:val="21"/>
                    </w:rPr>
                    <w:t>喷漆室旁</w:t>
                  </w:r>
                </w:p>
              </w:tc>
              <w:tc>
                <w:tcPr>
                  <w:tcW w:w="922" w:type="dxa"/>
                  <w:tcBorders>
                    <w:top w:val="single" w:color="auto" w:sz="4" w:space="0"/>
                    <w:left w:val="single" w:color="auto" w:sz="4" w:space="0"/>
                    <w:right w:val="single" w:color="auto" w:sz="4" w:space="0"/>
                  </w:tcBorders>
                  <w:vAlign w:val="center"/>
                </w:tcPr>
                <w:p>
                  <w:pPr>
                    <w:widowControl/>
                    <w:jc w:val="center"/>
                    <w:rPr>
                      <w:szCs w:val="21"/>
                    </w:rPr>
                  </w:pPr>
                  <w:r>
                    <w:rPr>
                      <w:rFonts w:hint="eastAsia"/>
                      <w:szCs w:val="22"/>
                    </w:rPr>
                    <w:t>石油烃</w:t>
                  </w:r>
                </w:p>
              </w:tc>
              <w:tc>
                <w:tcPr>
                  <w:tcW w:w="996" w:type="dxa"/>
                  <w:tcBorders>
                    <w:top w:val="single" w:color="auto" w:sz="4" w:space="0"/>
                    <w:left w:val="single" w:color="auto" w:sz="4" w:space="0"/>
                    <w:right w:val="single" w:color="auto" w:sz="4" w:space="0"/>
                  </w:tcBorders>
                  <w:vAlign w:val="center"/>
                </w:tcPr>
                <w:p>
                  <w:pPr>
                    <w:widowControl/>
                    <w:jc w:val="center"/>
                    <w:rPr>
                      <w:szCs w:val="22"/>
                    </w:rPr>
                  </w:pPr>
                  <w:r>
                    <w:rPr>
                      <w:szCs w:val="22"/>
                    </w:rPr>
                    <w:t>/</w:t>
                  </w:r>
                </w:p>
              </w:tc>
              <w:tc>
                <w:tcPr>
                  <w:tcW w:w="1232" w:type="dxa"/>
                  <w:tcBorders>
                    <w:top w:val="single" w:color="auto" w:sz="4" w:space="0"/>
                    <w:left w:val="single" w:color="auto" w:sz="4" w:space="0"/>
                    <w:right w:val="single" w:color="auto" w:sz="4" w:space="0"/>
                  </w:tcBorders>
                  <w:vAlign w:val="center"/>
                </w:tcPr>
                <w:p>
                  <w:pPr>
                    <w:widowControl/>
                    <w:jc w:val="center"/>
                    <w:rPr>
                      <w:szCs w:val="22"/>
                    </w:rPr>
                  </w:pPr>
                  <w:r>
                    <w:rPr>
                      <w:rFonts w:hint="eastAsia"/>
                      <w:szCs w:val="22"/>
                    </w:rPr>
                    <w:t>每5年监测一次</w:t>
                  </w:r>
                </w:p>
              </w:tc>
              <w:tc>
                <w:tcPr>
                  <w:tcW w:w="2940" w:type="dxa"/>
                  <w:tcBorders>
                    <w:top w:val="single" w:color="auto" w:sz="4" w:space="0"/>
                    <w:left w:val="single" w:color="auto" w:sz="4" w:space="0"/>
                    <w:right w:val="single" w:color="auto" w:sz="4" w:space="0"/>
                  </w:tcBorders>
                  <w:vAlign w:val="center"/>
                </w:tcPr>
                <w:p>
                  <w:pPr>
                    <w:widowControl/>
                    <w:jc w:val="center"/>
                    <w:rPr>
                      <w:szCs w:val="22"/>
                    </w:rPr>
                  </w:pPr>
                  <w:r>
                    <w:rPr>
                      <w:rFonts w:hint="eastAsia"/>
                      <w:bCs/>
                      <w:szCs w:val="22"/>
                    </w:rPr>
                    <w:t>《土壤环境质量·建设用地土壤污染风险管控标准（试行）》（</w:t>
                  </w:r>
                  <w:r>
                    <w:rPr>
                      <w:bCs/>
                      <w:szCs w:val="22"/>
                    </w:rPr>
                    <w:t>GB36600-2018</w:t>
                  </w:r>
                  <w:r>
                    <w:rPr>
                      <w:rFonts w:hint="eastAsia"/>
                      <w:bCs/>
                      <w:szCs w:val="22"/>
                    </w:rPr>
                    <w:t>）</w:t>
                  </w:r>
                </w:p>
              </w:tc>
              <w:tc>
                <w:tcPr>
                  <w:tcW w:w="1059" w:type="dxa"/>
                  <w:tcBorders>
                    <w:top w:val="single" w:color="auto" w:sz="4" w:space="0"/>
                    <w:left w:val="single" w:color="auto" w:sz="4" w:space="0"/>
                    <w:right w:val="nil"/>
                  </w:tcBorders>
                  <w:vAlign w:val="center"/>
                </w:tcPr>
                <w:p>
                  <w:pPr>
                    <w:widowControl/>
                    <w:jc w:val="center"/>
                    <w:rPr>
                      <w:szCs w:val="22"/>
                    </w:rPr>
                  </w:pPr>
                  <w:r>
                    <w:rPr>
                      <w:rFonts w:hint="eastAsia"/>
                      <w:szCs w:val="22"/>
                    </w:rPr>
                    <w:t>《环境监测分析方法》</w:t>
                  </w:r>
                </w:p>
              </w:tc>
            </w:tr>
          </w:tbl>
          <w:p>
            <w:pPr>
              <w:spacing w:line="360" w:lineRule="auto"/>
              <w:ind w:firstLine="480" w:firstLineChars="200"/>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shd w:val="clear" w:color="auto" w:fill="auto"/>
          </w:tcPr>
          <w:p>
            <w:pPr>
              <w:tabs>
                <w:tab w:val="left" w:pos="1077"/>
              </w:tabs>
              <w:rPr>
                <w:rFonts w:cs="宋体"/>
                <w:color w:val="000000"/>
                <w:sz w:val="24"/>
              </w:rPr>
            </w:pPr>
          </w:p>
        </w:tc>
        <w:tc>
          <w:tcPr>
            <w:tcW w:w="8629" w:type="dxa"/>
            <w:shd w:val="clear" w:color="auto" w:fill="auto"/>
          </w:tcPr>
          <w:p>
            <w:pPr>
              <w:widowControl/>
              <w:spacing w:before="120" w:beforeLines="50" w:line="360" w:lineRule="auto"/>
              <w:ind w:firstLine="482" w:firstLineChars="200"/>
              <w:rPr>
                <w:b/>
                <w:color w:val="000000"/>
                <w:kern w:val="0"/>
                <w:sz w:val="24"/>
              </w:rPr>
            </w:pPr>
            <w:r>
              <w:rPr>
                <w:rFonts w:hint="eastAsia" w:cs="宋体"/>
                <w:b/>
                <w:bCs/>
                <w:color w:val="000000"/>
                <w:sz w:val="24"/>
              </w:rPr>
              <w:t>六、</w:t>
            </w:r>
            <w:r>
              <w:rPr>
                <w:rFonts w:hint="eastAsia"/>
                <w:b/>
                <w:color w:val="000000"/>
                <w:kern w:val="0"/>
                <w:sz w:val="24"/>
              </w:rPr>
              <w:t>环境风险分析</w:t>
            </w:r>
          </w:p>
          <w:p>
            <w:pPr>
              <w:spacing w:line="360" w:lineRule="auto"/>
              <w:ind w:firstLine="480" w:firstLineChars="200"/>
              <w:rPr>
                <w:sz w:val="24"/>
              </w:rPr>
            </w:pPr>
            <w:r>
              <w:rPr>
                <w:rFonts w:hint="eastAsia"/>
                <w:sz w:val="24"/>
              </w:rPr>
              <w:t>1、风险源调查</w:t>
            </w:r>
          </w:p>
          <w:p>
            <w:pPr>
              <w:spacing w:line="360" w:lineRule="auto"/>
              <w:ind w:firstLine="480" w:firstLineChars="200"/>
              <w:rPr>
                <w:sz w:val="24"/>
              </w:rPr>
            </w:pPr>
            <w:r>
              <w:rPr>
                <w:rFonts w:hint="eastAsia"/>
                <w:sz w:val="24"/>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pPr>
              <w:spacing w:line="360" w:lineRule="auto"/>
              <w:ind w:firstLine="480" w:firstLineChars="200"/>
              <w:rPr>
                <w:sz w:val="24"/>
              </w:rPr>
            </w:pPr>
            <w:r>
              <w:rPr>
                <w:rFonts w:hint="eastAsia"/>
                <w:sz w:val="24"/>
              </w:rPr>
              <w:t>根据建设项目涉及的物质和工艺系统的危险性及其所在地的环境敏感程度，综合事故情形下影响途径，对建设项目潜在环境危害程度进行概化分析，按下表</w:t>
            </w:r>
            <w:r>
              <w:rPr>
                <w:sz w:val="24"/>
              </w:rPr>
              <w:t xml:space="preserve"> </w:t>
            </w:r>
            <w:r>
              <w:rPr>
                <w:rFonts w:hint="eastAsia"/>
                <w:sz w:val="24"/>
              </w:rPr>
              <w:t>确定该环境风险潜势。</w:t>
            </w:r>
          </w:p>
          <w:p>
            <w:pPr>
              <w:spacing w:before="120" w:beforeLines="50"/>
              <w:jc w:val="center"/>
              <w:rPr>
                <w:b/>
                <w:color w:val="000000"/>
                <w:sz w:val="24"/>
              </w:rPr>
            </w:pPr>
          </w:p>
          <w:p>
            <w:pPr>
              <w:spacing w:before="120" w:beforeLines="50"/>
              <w:jc w:val="center"/>
              <w:rPr>
                <w:b/>
                <w:color w:val="000000"/>
                <w:sz w:val="24"/>
              </w:rPr>
            </w:pPr>
          </w:p>
          <w:p>
            <w:pPr>
              <w:spacing w:before="120" w:beforeLines="50"/>
              <w:jc w:val="center"/>
              <w:rPr>
                <w:b/>
                <w:color w:val="000000"/>
                <w:sz w:val="24"/>
              </w:rPr>
            </w:pPr>
            <w:r>
              <w:rPr>
                <w:b/>
                <w:color w:val="000000"/>
                <w:sz w:val="24"/>
              </w:rPr>
              <w:t>表</w:t>
            </w:r>
            <w:r>
              <w:rPr>
                <w:rFonts w:hint="eastAsia"/>
                <w:b/>
                <w:color w:val="000000"/>
                <w:sz w:val="24"/>
              </w:rPr>
              <w:t>4</w:t>
            </w:r>
            <w:r>
              <w:rPr>
                <w:b/>
                <w:color w:val="000000"/>
                <w:sz w:val="24"/>
              </w:rPr>
              <w:t>-</w:t>
            </w:r>
            <w:r>
              <w:rPr>
                <w:rFonts w:hint="eastAsia"/>
                <w:b/>
                <w:color w:val="000000"/>
                <w:sz w:val="24"/>
              </w:rPr>
              <w:t>16</w:t>
            </w:r>
            <w:r>
              <w:rPr>
                <w:b/>
                <w:color w:val="000000"/>
                <w:sz w:val="24"/>
              </w:rPr>
              <w:t xml:space="preserve">  </w:t>
            </w:r>
            <w:r>
              <w:rPr>
                <w:rFonts w:hint="eastAsia"/>
                <w:b/>
                <w:color w:val="000000"/>
                <w:sz w:val="24"/>
              </w:rPr>
              <w:t>建设</w:t>
            </w:r>
            <w:r>
              <w:rPr>
                <w:b/>
                <w:color w:val="000000"/>
                <w:sz w:val="24"/>
              </w:rPr>
              <w:t>项目环境风险潜势划分</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644"/>
              <w:gridCol w:w="1677"/>
              <w:gridCol w:w="1747"/>
              <w:gridCol w:w="1695"/>
              <w:gridCol w:w="1642"/>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1668" w:type="dxa"/>
                  <w:vMerge w:val="restart"/>
                  <w:vAlign w:val="center"/>
                </w:tcPr>
                <w:p>
                  <w:pPr>
                    <w:adjustRightInd w:val="0"/>
                    <w:snapToGrid w:val="0"/>
                    <w:jc w:val="center"/>
                    <w:rPr>
                      <w:b/>
                      <w:szCs w:val="22"/>
                      <w:lang w:val="zh-CN"/>
                    </w:rPr>
                  </w:pPr>
                  <w:r>
                    <w:rPr>
                      <w:rFonts w:hint="eastAsia"/>
                      <w:b/>
                      <w:szCs w:val="22"/>
                      <w:lang w:val="zh-CN"/>
                    </w:rPr>
                    <w:t>环境</w:t>
                  </w:r>
                  <w:r>
                    <w:rPr>
                      <w:b/>
                      <w:szCs w:val="22"/>
                      <w:lang w:val="zh-CN"/>
                    </w:rPr>
                    <w:t>敏感程度</w:t>
                  </w:r>
                  <w:r>
                    <w:rPr>
                      <w:rFonts w:hint="eastAsia"/>
                      <w:b/>
                      <w:szCs w:val="22"/>
                      <w:lang w:val="zh-CN"/>
                    </w:rPr>
                    <w:t>（E）</w:t>
                  </w:r>
                </w:p>
              </w:tc>
              <w:tc>
                <w:tcPr>
                  <w:tcW w:w="6860" w:type="dxa"/>
                  <w:gridSpan w:val="4"/>
                  <w:vAlign w:val="center"/>
                </w:tcPr>
                <w:p>
                  <w:pPr>
                    <w:widowControl/>
                    <w:adjustRightInd w:val="0"/>
                    <w:snapToGrid w:val="0"/>
                    <w:jc w:val="center"/>
                    <w:rPr>
                      <w:b/>
                      <w:szCs w:val="22"/>
                      <w:lang w:val="zh-CN"/>
                    </w:rPr>
                  </w:pPr>
                  <w:r>
                    <w:rPr>
                      <w:b/>
                      <w:szCs w:val="22"/>
                      <w:lang w:val="zh-CN"/>
                    </w:rPr>
                    <w:t>危险物质及工艺系统危险性</w:t>
                  </w:r>
                  <w:r>
                    <w:rPr>
                      <w:rFonts w:hint="eastAsia"/>
                      <w:b/>
                      <w:szCs w:val="22"/>
                      <w:lang w:val="zh-CN"/>
                    </w:rPr>
                    <w:t>（P）</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1668" w:type="dxa"/>
                  <w:vMerge w:val="continue"/>
                  <w:vAlign w:val="center"/>
                </w:tcPr>
                <w:p>
                  <w:pPr>
                    <w:widowControl/>
                    <w:adjustRightInd w:val="0"/>
                    <w:snapToGrid w:val="0"/>
                    <w:jc w:val="center"/>
                    <w:rPr>
                      <w:b/>
                      <w:szCs w:val="22"/>
                      <w:lang w:val="zh-CN"/>
                    </w:rPr>
                  </w:pPr>
                </w:p>
              </w:tc>
              <w:tc>
                <w:tcPr>
                  <w:tcW w:w="1701" w:type="dxa"/>
                  <w:vAlign w:val="center"/>
                </w:tcPr>
                <w:p>
                  <w:pPr>
                    <w:widowControl/>
                    <w:adjustRightInd w:val="0"/>
                    <w:snapToGrid w:val="0"/>
                    <w:jc w:val="center"/>
                    <w:rPr>
                      <w:b/>
                      <w:szCs w:val="22"/>
                      <w:lang w:val="zh-CN"/>
                    </w:rPr>
                  </w:pPr>
                  <w:r>
                    <w:rPr>
                      <w:rFonts w:hint="eastAsia"/>
                      <w:b/>
                      <w:szCs w:val="22"/>
                      <w:lang w:val="zh-CN"/>
                    </w:rPr>
                    <w:t>极高</w:t>
                  </w:r>
                  <w:r>
                    <w:rPr>
                      <w:b/>
                      <w:szCs w:val="22"/>
                      <w:lang w:val="zh-CN"/>
                    </w:rPr>
                    <w:t>危害</w:t>
                  </w:r>
                  <w:r>
                    <w:rPr>
                      <w:rFonts w:hint="eastAsia"/>
                      <w:b/>
                      <w:szCs w:val="22"/>
                      <w:lang w:val="zh-CN"/>
                    </w:rPr>
                    <w:t>（P1）</w:t>
                  </w:r>
                </w:p>
              </w:tc>
              <w:tc>
                <w:tcPr>
                  <w:tcW w:w="1774" w:type="dxa"/>
                  <w:vAlign w:val="center"/>
                </w:tcPr>
                <w:p>
                  <w:pPr>
                    <w:widowControl/>
                    <w:adjustRightInd w:val="0"/>
                    <w:snapToGrid w:val="0"/>
                    <w:jc w:val="center"/>
                    <w:rPr>
                      <w:b/>
                      <w:szCs w:val="22"/>
                      <w:lang w:val="zh-CN"/>
                    </w:rPr>
                  </w:pPr>
                  <w:r>
                    <w:rPr>
                      <w:b/>
                      <w:szCs w:val="22"/>
                      <w:lang w:val="zh-CN"/>
                    </w:rPr>
                    <w:t>高度危害</w:t>
                  </w:r>
                  <w:r>
                    <w:rPr>
                      <w:rFonts w:hint="eastAsia"/>
                      <w:b/>
                      <w:szCs w:val="22"/>
                      <w:lang w:val="zh-CN"/>
                    </w:rPr>
                    <w:t>（P2）</w:t>
                  </w:r>
                </w:p>
              </w:tc>
              <w:tc>
                <w:tcPr>
                  <w:tcW w:w="1720" w:type="dxa"/>
                  <w:vAlign w:val="center"/>
                </w:tcPr>
                <w:p>
                  <w:pPr>
                    <w:widowControl/>
                    <w:adjustRightInd w:val="0"/>
                    <w:snapToGrid w:val="0"/>
                    <w:jc w:val="center"/>
                    <w:rPr>
                      <w:b/>
                      <w:szCs w:val="22"/>
                      <w:lang w:val="zh-CN"/>
                    </w:rPr>
                  </w:pPr>
                  <w:r>
                    <w:rPr>
                      <w:b/>
                      <w:szCs w:val="22"/>
                      <w:lang w:val="zh-CN"/>
                    </w:rPr>
                    <w:t>中度危害</w:t>
                  </w:r>
                  <w:r>
                    <w:rPr>
                      <w:rFonts w:hint="eastAsia"/>
                      <w:b/>
                      <w:szCs w:val="22"/>
                      <w:lang w:val="zh-CN"/>
                    </w:rPr>
                    <w:t>（P3）</w:t>
                  </w:r>
                </w:p>
              </w:tc>
              <w:tc>
                <w:tcPr>
                  <w:tcW w:w="1665" w:type="dxa"/>
                  <w:vAlign w:val="center"/>
                </w:tcPr>
                <w:p>
                  <w:pPr>
                    <w:widowControl/>
                    <w:adjustRightInd w:val="0"/>
                    <w:snapToGrid w:val="0"/>
                    <w:jc w:val="center"/>
                    <w:rPr>
                      <w:b/>
                      <w:szCs w:val="22"/>
                      <w:lang w:val="zh-CN"/>
                    </w:rPr>
                  </w:pPr>
                  <w:r>
                    <w:rPr>
                      <w:b/>
                      <w:szCs w:val="22"/>
                      <w:lang w:val="zh-CN"/>
                    </w:rPr>
                    <w:t>轻度危害</w:t>
                  </w:r>
                  <w:r>
                    <w:rPr>
                      <w:rFonts w:hint="eastAsia"/>
                      <w:b/>
                      <w:szCs w:val="22"/>
                      <w:lang w:val="zh-CN"/>
                    </w:rPr>
                    <w:t>（P4）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1668" w:type="dxa"/>
                  <w:vAlign w:val="center"/>
                </w:tcPr>
                <w:p>
                  <w:pPr>
                    <w:widowControl/>
                    <w:adjustRightInd w:val="0"/>
                    <w:snapToGrid w:val="0"/>
                    <w:jc w:val="center"/>
                    <w:rPr>
                      <w:szCs w:val="22"/>
                      <w:lang w:val="zh-CN"/>
                    </w:rPr>
                  </w:pPr>
                  <w:r>
                    <w:rPr>
                      <w:szCs w:val="22"/>
                      <w:lang w:val="zh-CN"/>
                    </w:rPr>
                    <w:t>环境高度敏感区</w:t>
                  </w:r>
                  <w:r>
                    <w:rPr>
                      <w:rFonts w:hint="eastAsia"/>
                      <w:szCs w:val="22"/>
                      <w:lang w:val="zh-CN"/>
                    </w:rPr>
                    <w:t>（E1）</w:t>
                  </w:r>
                </w:p>
              </w:tc>
              <w:tc>
                <w:tcPr>
                  <w:tcW w:w="1701" w:type="dxa"/>
                  <w:vAlign w:val="center"/>
                </w:tcPr>
                <w:p>
                  <w:pPr>
                    <w:widowControl/>
                    <w:adjustRightInd w:val="0"/>
                    <w:snapToGrid w:val="0"/>
                    <w:jc w:val="center"/>
                    <w:rPr>
                      <w:szCs w:val="22"/>
                      <w:lang w:val="zh-CN"/>
                    </w:rPr>
                  </w:pPr>
                  <w:r>
                    <w:rPr>
                      <w:szCs w:val="22"/>
                      <w:lang w:val="zh-CN"/>
                    </w:rPr>
                    <w:t>Ⅳ</w:t>
                  </w:r>
                  <w:r>
                    <w:rPr>
                      <w:szCs w:val="22"/>
                      <w:vertAlign w:val="superscript"/>
                      <w:lang w:val="zh-CN"/>
                    </w:rPr>
                    <w:t>+</w:t>
                  </w:r>
                </w:p>
              </w:tc>
              <w:tc>
                <w:tcPr>
                  <w:tcW w:w="1774" w:type="dxa"/>
                  <w:vAlign w:val="center"/>
                </w:tcPr>
                <w:p>
                  <w:pPr>
                    <w:widowControl/>
                    <w:adjustRightInd w:val="0"/>
                    <w:snapToGrid w:val="0"/>
                    <w:jc w:val="center"/>
                    <w:rPr>
                      <w:szCs w:val="22"/>
                      <w:lang w:val="zh-CN"/>
                    </w:rPr>
                  </w:pPr>
                  <w:r>
                    <w:rPr>
                      <w:szCs w:val="22"/>
                      <w:lang w:val="zh-CN"/>
                    </w:rPr>
                    <w:t>Ⅳ</w:t>
                  </w:r>
                </w:p>
              </w:tc>
              <w:tc>
                <w:tcPr>
                  <w:tcW w:w="1720" w:type="dxa"/>
                  <w:vAlign w:val="center"/>
                </w:tcPr>
                <w:p>
                  <w:pPr>
                    <w:widowControl/>
                    <w:adjustRightInd w:val="0"/>
                    <w:snapToGrid w:val="0"/>
                    <w:jc w:val="center"/>
                    <w:rPr>
                      <w:szCs w:val="22"/>
                      <w:lang w:val="zh-CN"/>
                    </w:rPr>
                  </w:pPr>
                  <w:r>
                    <w:rPr>
                      <w:szCs w:val="22"/>
                      <w:lang w:val="zh-CN"/>
                    </w:rPr>
                    <w:t>Ⅲ</w:t>
                  </w:r>
                </w:p>
              </w:tc>
              <w:tc>
                <w:tcPr>
                  <w:tcW w:w="1665" w:type="dxa"/>
                  <w:vAlign w:val="center"/>
                </w:tcPr>
                <w:p>
                  <w:pPr>
                    <w:widowControl/>
                    <w:adjustRightInd w:val="0"/>
                    <w:snapToGrid w:val="0"/>
                    <w:jc w:val="center"/>
                    <w:rPr>
                      <w:szCs w:val="22"/>
                      <w:lang w:val="zh-CN"/>
                    </w:rPr>
                  </w:pPr>
                  <w:r>
                    <w:rPr>
                      <w:szCs w:val="22"/>
                      <w:lang w:val="zh-CN"/>
                    </w:rPr>
                    <w:t>Ⅲ</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1668" w:type="dxa"/>
                  <w:vAlign w:val="center"/>
                </w:tcPr>
                <w:p>
                  <w:pPr>
                    <w:widowControl/>
                    <w:adjustRightInd w:val="0"/>
                    <w:snapToGrid w:val="0"/>
                    <w:jc w:val="center"/>
                    <w:rPr>
                      <w:szCs w:val="22"/>
                      <w:lang w:val="zh-CN"/>
                    </w:rPr>
                  </w:pPr>
                  <w:r>
                    <w:rPr>
                      <w:szCs w:val="22"/>
                      <w:lang w:val="zh-CN"/>
                    </w:rPr>
                    <w:t>环境</w:t>
                  </w:r>
                  <w:r>
                    <w:rPr>
                      <w:rFonts w:hint="eastAsia"/>
                      <w:szCs w:val="22"/>
                      <w:lang w:val="zh-CN"/>
                    </w:rPr>
                    <w:t>中</w:t>
                  </w:r>
                  <w:r>
                    <w:rPr>
                      <w:szCs w:val="22"/>
                      <w:lang w:val="zh-CN"/>
                    </w:rPr>
                    <w:t>度敏感区</w:t>
                  </w:r>
                  <w:r>
                    <w:rPr>
                      <w:rFonts w:hint="eastAsia"/>
                      <w:szCs w:val="22"/>
                      <w:lang w:val="zh-CN"/>
                    </w:rPr>
                    <w:t>（E2）</w:t>
                  </w:r>
                </w:p>
              </w:tc>
              <w:tc>
                <w:tcPr>
                  <w:tcW w:w="1701" w:type="dxa"/>
                  <w:vAlign w:val="center"/>
                </w:tcPr>
                <w:p>
                  <w:pPr>
                    <w:widowControl/>
                    <w:adjustRightInd w:val="0"/>
                    <w:snapToGrid w:val="0"/>
                    <w:jc w:val="center"/>
                    <w:rPr>
                      <w:szCs w:val="22"/>
                      <w:lang w:val="zh-CN"/>
                    </w:rPr>
                  </w:pPr>
                  <w:r>
                    <w:rPr>
                      <w:szCs w:val="22"/>
                      <w:lang w:val="zh-CN"/>
                    </w:rPr>
                    <w:t>Ⅳ</w:t>
                  </w:r>
                </w:p>
              </w:tc>
              <w:tc>
                <w:tcPr>
                  <w:tcW w:w="1774" w:type="dxa"/>
                  <w:vAlign w:val="center"/>
                </w:tcPr>
                <w:p>
                  <w:pPr>
                    <w:widowControl/>
                    <w:adjustRightInd w:val="0"/>
                    <w:snapToGrid w:val="0"/>
                    <w:jc w:val="center"/>
                    <w:rPr>
                      <w:szCs w:val="22"/>
                      <w:lang w:val="zh-CN"/>
                    </w:rPr>
                  </w:pPr>
                  <w:r>
                    <w:rPr>
                      <w:szCs w:val="22"/>
                      <w:lang w:val="zh-CN"/>
                    </w:rPr>
                    <w:t>Ⅲ</w:t>
                  </w:r>
                </w:p>
              </w:tc>
              <w:tc>
                <w:tcPr>
                  <w:tcW w:w="1720" w:type="dxa"/>
                  <w:vAlign w:val="center"/>
                </w:tcPr>
                <w:p>
                  <w:pPr>
                    <w:widowControl/>
                    <w:adjustRightInd w:val="0"/>
                    <w:snapToGrid w:val="0"/>
                    <w:jc w:val="center"/>
                    <w:rPr>
                      <w:szCs w:val="22"/>
                      <w:lang w:val="zh-CN"/>
                    </w:rPr>
                  </w:pPr>
                  <w:r>
                    <w:rPr>
                      <w:szCs w:val="22"/>
                      <w:lang w:val="zh-CN"/>
                    </w:rPr>
                    <w:t>Ⅲ</w:t>
                  </w:r>
                </w:p>
              </w:tc>
              <w:tc>
                <w:tcPr>
                  <w:tcW w:w="1665" w:type="dxa"/>
                  <w:vAlign w:val="center"/>
                </w:tcPr>
                <w:p>
                  <w:pPr>
                    <w:widowControl/>
                    <w:adjustRightInd w:val="0"/>
                    <w:snapToGrid w:val="0"/>
                    <w:jc w:val="center"/>
                    <w:rPr>
                      <w:szCs w:val="22"/>
                      <w:lang w:val="zh-CN"/>
                    </w:rPr>
                  </w:pPr>
                  <w:r>
                    <w:rPr>
                      <w:szCs w:val="22"/>
                      <w:lang w:val="zh-CN"/>
                    </w:rPr>
                    <w:t>Ⅱ</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1668" w:type="dxa"/>
                  <w:vAlign w:val="center"/>
                </w:tcPr>
                <w:p>
                  <w:pPr>
                    <w:widowControl/>
                    <w:adjustRightInd w:val="0"/>
                    <w:snapToGrid w:val="0"/>
                    <w:jc w:val="center"/>
                    <w:rPr>
                      <w:szCs w:val="22"/>
                      <w:lang w:val="zh-CN"/>
                    </w:rPr>
                  </w:pPr>
                  <w:r>
                    <w:rPr>
                      <w:szCs w:val="22"/>
                      <w:lang w:val="zh-CN"/>
                    </w:rPr>
                    <w:t>环境低度敏感区</w:t>
                  </w:r>
                  <w:r>
                    <w:rPr>
                      <w:rFonts w:hint="eastAsia"/>
                      <w:szCs w:val="22"/>
                      <w:lang w:val="zh-CN"/>
                    </w:rPr>
                    <w:t>（E3）</w:t>
                  </w:r>
                </w:p>
              </w:tc>
              <w:tc>
                <w:tcPr>
                  <w:tcW w:w="1701" w:type="dxa"/>
                  <w:vAlign w:val="center"/>
                </w:tcPr>
                <w:p>
                  <w:pPr>
                    <w:widowControl/>
                    <w:adjustRightInd w:val="0"/>
                    <w:snapToGrid w:val="0"/>
                    <w:jc w:val="center"/>
                    <w:rPr>
                      <w:szCs w:val="22"/>
                      <w:lang w:val="zh-CN"/>
                    </w:rPr>
                  </w:pPr>
                  <w:r>
                    <w:rPr>
                      <w:szCs w:val="22"/>
                      <w:lang w:val="zh-CN"/>
                    </w:rPr>
                    <w:t>Ⅲ</w:t>
                  </w:r>
                </w:p>
              </w:tc>
              <w:tc>
                <w:tcPr>
                  <w:tcW w:w="1774" w:type="dxa"/>
                  <w:vAlign w:val="center"/>
                </w:tcPr>
                <w:p>
                  <w:pPr>
                    <w:widowControl/>
                    <w:adjustRightInd w:val="0"/>
                    <w:snapToGrid w:val="0"/>
                    <w:jc w:val="center"/>
                    <w:rPr>
                      <w:szCs w:val="22"/>
                      <w:lang w:val="zh-CN"/>
                    </w:rPr>
                  </w:pPr>
                  <w:r>
                    <w:rPr>
                      <w:szCs w:val="22"/>
                      <w:lang w:val="zh-CN"/>
                    </w:rPr>
                    <w:t>Ⅲ</w:t>
                  </w:r>
                </w:p>
              </w:tc>
              <w:tc>
                <w:tcPr>
                  <w:tcW w:w="1720" w:type="dxa"/>
                  <w:vAlign w:val="center"/>
                </w:tcPr>
                <w:p>
                  <w:pPr>
                    <w:widowControl/>
                    <w:adjustRightInd w:val="0"/>
                    <w:snapToGrid w:val="0"/>
                    <w:jc w:val="center"/>
                    <w:rPr>
                      <w:szCs w:val="22"/>
                      <w:lang w:val="zh-CN"/>
                    </w:rPr>
                  </w:pPr>
                  <w:r>
                    <w:rPr>
                      <w:szCs w:val="22"/>
                      <w:lang w:val="zh-CN"/>
                    </w:rPr>
                    <w:t>Ⅱ</w:t>
                  </w:r>
                </w:p>
              </w:tc>
              <w:tc>
                <w:tcPr>
                  <w:tcW w:w="1665" w:type="dxa"/>
                  <w:vAlign w:val="center"/>
                </w:tcPr>
                <w:p>
                  <w:pPr>
                    <w:widowControl/>
                    <w:adjustRightInd w:val="0"/>
                    <w:snapToGrid w:val="0"/>
                    <w:jc w:val="center"/>
                    <w:rPr>
                      <w:szCs w:val="22"/>
                      <w:lang w:val="zh-CN"/>
                    </w:rPr>
                  </w:pPr>
                  <w:r>
                    <w:rPr>
                      <w:szCs w:val="22"/>
                      <w:lang w:val="zh-CN"/>
                    </w:rPr>
                    <w:t>Ⅰ</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8528" w:type="dxa"/>
                  <w:gridSpan w:val="5"/>
                  <w:vAlign w:val="center"/>
                </w:tcPr>
                <w:p>
                  <w:pPr>
                    <w:widowControl/>
                    <w:adjustRightInd w:val="0"/>
                    <w:snapToGrid w:val="0"/>
                    <w:jc w:val="left"/>
                    <w:rPr>
                      <w:szCs w:val="22"/>
                      <w:lang w:val="zh-CN"/>
                    </w:rPr>
                  </w:pPr>
                  <w:r>
                    <w:rPr>
                      <w:szCs w:val="22"/>
                      <w:lang w:val="zh-CN"/>
                    </w:rPr>
                    <w:t>注：Ⅳ</w:t>
                  </w:r>
                  <w:r>
                    <w:rPr>
                      <w:szCs w:val="22"/>
                      <w:vertAlign w:val="superscript"/>
                      <w:lang w:val="zh-CN"/>
                    </w:rPr>
                    <w:t>+</w:t>
                  </w:r>
                  <w:r>
                    <w:rPr>
                      <w:szCs w:val="22"/>
                      <w:lang w:val="zh-CN"/>
                    </w:rPr>
                    <w:t>为极高环境风险</w:t>
                  </w:r>
                </w:p>
              </w:tc>
            </w:tr>
          </w:tbl>
          <w:p>
            <w:pPr>
              <w:spacing w:before="120" w:beforeLines="50" w:line="360" w:lineRule="auto"/>
              <w:ind w:firstLine="480" w:firstLineChars="200"/>
              <w:rPr>
                <w:sz w:val="24"/>
              </w:rPr>
            </w:pPr>
            <w:r>
              <w:rPr>
                <w:rFonts w:hint="eastAsia"/>
                <w:sz w:val="24"/>
              </w:rPr>
              <w:t>危险物质和工艺系统危险性（</w:t>
            </w:r>
            <w:r>
              <w:rPr>
                <w:bCs/>
                <w:sz w:val="24"/>
              </w:rPr>
              <w:t>P</w:t>
            </w:r>
            <w:r>
              <w:rPr>
                <w:rFonts w:hint="eastAsia"/>
                <w:sz w:val="24"/>
              </w:rPr>
              <w:t>）分级：</w:t>
            </w:r>
          </w:p>
          <w:p>
            <w:pPr>
              <w:spacing w:line="360" w:lineRule="auto"/>
              <w:ind w:firstLine="480" w:firstLineChars="200"/>
              <w:rPr>
                <w:sz w:val="24"/>
              </w:rPr>
            </w:pPr>
            <w:r>
              <w:rPr>
                <w:rFonts w:hint="eastAsia"/>
                <w:sz w:val="24"/>
              </w:rPr>
              <w:t>根据危险物质数量与临界量比值（</w:t>
            </w:r>
            <w:r>
              <w:rPr>
                <w:sz w:val="24"/>
              </w:rPr>
              <w:t>Q</w:t>
            </w:r>
            <w:r>
              <w:rPr>
                <w:rFonts w:hint="eastAsia"/>
                <w:sz w:val="24"/>
              </w:rPr>
              <w:t>）和行业及生产工艺（</w:t>
            </w:r>
            <w:r>
              <w:rPr>
                <w:sz w:val="24"/>
              </w:rPr>
              <w:t>M</w:t>
            </w:r>
            <w:r>
              <w:rPr>
                <w:rFonts w:hint="eastAsia"/>
                <w:sz w:val="24"/>
              </w:rPr>
              <w:t>），按照表</w:t>
            </w:r>
            <w:r>
              <w:rPr>
                <w:sz w:val="24"/>
              </w:rPr>
              <w:t xml:space="preserve">4-11 </w:t>
            </w:r>
            <w:r>
              <w:rPr>
                <w:rFonts w:hint="eastAsia"/>
                <w:sz w:val="24"/>
              </w:rPr>
              <w:t>确定危险物质及工艺系统危害性（</w:t>
            </w:r>
            <w:r>
              <w:rPr>
                <w:sz w:val="24"/>
              </w:rPr>
              <w:t>P</w:t>
            </w:r>
            <w:r>
              <w:rPr>
                <w:rFonts w:hint="eastAsia"/>
                <w:sz w:val="24"/>
              </w:rPr>
              <w:t>）表示：</w:t>
            </w:r>
          </w:p>
          <w:p>
            <w:pPr>
              <w:widowControl/>
              <w:jc w:val="center"/>
              <w:rPr>
                <w:b/>
                <w:bCs/>
                <w:kern w:val="0"/>
                <w:sz w:val="24"/>
              </w:rPr>
            </w:pPr>
            <w:r>
              <w:rPr>
                <w:rFonts w:hint="eastAsia"/>
                <w:b/>
                <w:bCs/>
                <w:kern w:val="0"/>
                <w:sz w:val="24"/>
              </w:rPr>
              <w:t>表4-17 危险物质及工艺系统危险性等级判断（P）一览表</w:t>
            </w:r>
          </w:p>
          <w:tbl>
            <w:tblPr>
              <w:tblStyle w:val="5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20"/>
              <w:gridCol w:w="2036"/>
              <w:gridCol w:w="1795"/>
              <w:gridCol w:w="1215"/>
              <w:gridCol w:w="18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4" w:type="pct"/>
                  <w:vMerge w:val="restart"/>
                  <w:shd w:val="clear" w:color="auto" w:fill="auto"/>
                  <w:vAlign w:val="center"/>
                </w:tcPr>
                <w:p>
                  <w:pPr>
                    <w:widowControl/>
                    <w:autoSpaceDE w:val="0"/>
                    <w:autoSpaceDN w:val="0"/>
                    <w:adjustRightInd w:val="0"/>
                    <w:jc w:val="center"/>
                    <w:rPr>
                      <w:rFonts w:cs="宋体"/>
                      <w:b/>
                      <w:kern w:val="0"/>
                      <w:szCs w:val="21"/>
                    </w:rPr>
                  </w:pPr>
                  <w:r>
                    <w:rPr>
                      <w:rFonts w:hint="eastAsia" w:cs="宋体"/>
                      <w:b/>
                      <w:kern w:val="0"/>
                      <w:szCs w:val="21"/>
                    </w:rPr>
                    <w:t>危险物质数量与临界量比值（Q）</w:t>
                  </w:r>
                </w:p>
              </w:tc>
              <w:tc>
                <w:tcPr>
                  <w:tcW w:w="4096" w:type="pct"/>
                  <w:gridSpan w:val="4"/>
                  <w:vAlign w:val="center"/>
                </w:tcPr>
                <w:p>
                  <w:pPr>
                    <w:widowControl/>
                    <w:autoSpaceDE w:val="0"/>
                    <w:autoSpaceDN w:val="0"/>
                    <w:adjustRightInd w:val="0"/>
                    <w:jc w:val="center"/>
                    <w:rPr>
                      <w:rFonts w:cs="宋体"/>
                      <w:b/>
                      <w:kern w:val="0"/>
                      <w:szCs w:val="21"/>
                    </w:rPr>
                  </w:pPr>
                  <w:r>
                    <w:rPr>
                      <w:rFonts w:cs="宋体"/>
                      <w:b/>
                      <w:kern w:val="0"/>
                      <w:szCs w:val="21"/>
                    </w:rPr>
                    <w:t>行业及生产工艺</w:t>
                  </w:r>
                  <w:r>
                    <w:rPr>
                      <w:rFonts w:hint="eastAsia" w:cs="宋体"/>
                      <w:b/>
                      <w:kern w:val="0"/>
                      <w:szCs w:val="21"/>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4" w:type="pct"/>
                  <w:vMerge w:val="continue"/>
                  <w:shd w:val="clear" w:color="auto" w:fill="auto"/>
                  <w:vAlign w:val="center"/>
                </w:tcPr>
                <w:p>
                  <w:pPr>
                    <w:widowControl/>
                    <w:autoSpaceDE w:val="0"/>
                    <w:autoSpaceDN w:val="0"/>
                    <w:adjustRightInd w:val="0"/>
                    <w:jc w:val="center"/>
                    <w:rPr>
                      <w:rFonts w:cs="宋体"/>
                      <w:b/>
                      <w:kern w:val="0"/>
                      <w:szCs w:val="21"/>
                    </w:rPr>
                  </w:pPr>
                </w:p>
              </w:tc>
              <w:tc>
                <w:tcPr>
                  <w:tcW w:w="1211" w:type="pct"/>
                  <w:vAlign w:val="center"/>
                </w:tcPr>
                <w:p>
                  <w:pPr>
                    <w:widowControl/>
                    <w:jc w:val="center"/>
                    <w:rPr>
                      <w:b/>
                      <w:kern w:val="0"/>
                      <w:szCs w:val="21"/>
                    </w:rPr>
                  </w:pPr>
                  <w:r>
                    <w:rPr>
                      <w:rFonts w:hint="eastAsia"/>
                      <w:b/>
                      <w:kern w:val="0"/>
                      <w:szCs w:val="21"/>
                    </w:rPr>
                    <w:t>M1</w:t>
                  </w:r>
                </w:p>
              </w:tc>
              <w:tc>
                <w:tcPr>
                  <w:tcW w:w="1068" w:type="pct"/>
                  <w:shd w:val="clear" w:color="auto" w:fill="auto"/>
                  <w:vAlign w:val="center"/>
                </w:tcPr>
                <w:p>
                  <w:pPr>
                    <w:widowControl/>
                    <w:jc w:val="center"/>
                    <w:rPr>
                      <w:rFonts w:cs="宋体"/>
                      <w:b/>
                      <w:kern w:val="0"/>
                      <w:szCs w:val="21"/>
                    </w:rPr>
                  </w:pPr>
                  <w:r>
                    <w:rPr>
                      <w:rFonts w:hint="eastAsia" w:cs="宋体"/>
                      <w:b/>
                      <w:kern w:val="0"/>
                      <w:szCs w:val="21"/>
                    </w:rPr>
                    <w:t>M2</w:t>
                  </w:r>
                </w:p>
              </w:tc>
              <w:tc>
                <w:tcPr>
                  <w:tcW w:w="723" w:type="pct"/>
                  <w:shd w:val="clear" w:color="auto" w:fill="auto"/>
                  <w:vAlign w:val="center"/>
                </w:tcPr>
                <w:p>
                  <w:pPr>
                    <w:widowControl/>
                    <w:autoSpaceDE w:val="0"/>
                    <w:autoSpaceDN w:val="0"/>
                    <w:adjustRightInd w:val="0"/>
                    <w:jc w:val="center"/>
                    <w:rPr>
                      <w:rFonts w:cs="宋体"/>
                      <w:b/>
                      <w:kern w:val="0"/>
                      <w:szCs w:val="21"/>
                    </w:rPr>
                  </w:pPr>
                  <w:r>
                    <w:rPr>
                      <w:rFonts w:hint="eastAsia" w:cs="宋体"/>
                      <w:b/>
                      <w:kern w:val="0"/>
                      <w:szCs w:val="21"/>
                    </w:rPr>
                    <w:t>M3</w:t>
                  </w:r>
                </w:p>
              </w:tc>
              <w:tc>
                <w:tcPr>
                  <w:tcW w:w="1094" w:type="pct"/>
                  <w:shd w:val="clear" w:color="auto" w:fill="auto"/>
                  <w:vAlign w:val="center"/>
                </w:tcPr>
                <w:p>
                  <w:pPr>
                    <w:widowControl/>
                    <w:autoSpaceDE w:val="0"/>
                    <w:autoSpaceDN w:val="0"/>
                    <w:adjustRightInd w:val="0"/>
                    <w:jc w:val="center"/>
                    <w:rPr>
                      <w:rFonts w:cs="宋体"/>
                      <w:b/>
                      <w:kern w:val="0"/>
                      <w:szCs w:val="21"/>
                    </w:rPr>
                  </w:pPr>
                  <w:r>
                    <w:rPr>
                      <w:rFonts w:hint="eastAsia" w:cs="宋体"/>
                      <w:b/>
                      <w:kern w:val="0"/>
                      <w:szCs w:val="21"/>
                    </w:rPr>
                    <w:t>M4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904" w:type="pct"/>
                  <w:shd w:val="clear" w:color="auto" w:fill="auto"/>
                  <w:vAlign w:val="center"/>
                </w:tcPr>
                <w:p>
                  <w:pPr>
                    <w:widowControl/>
                    <w:jc w:val="center"/>
                    <w:rPr>
                      <w:kern w:val="0"/>
                      <w:szCs w:val="21"/>
                    </w:rPr>
                  </w:pPr>
                  <w:r>
                    <w:rPr>
                      <w:kern w:val="0"/>
                      <w:szCs w:val="20"/>
                    </w:rPr>
                    <w:t>Q</w:t>
                  </w:r>
                  <w:r>
                    <w:rPr>
                      <w:rFonts w:hint="eastAsia"/>
                      <w:kern w:val="0"/>
                      <w:szCs w:val="20"/>
                    </w:rPr>
                    <w:t>≥</w:t>
                  </w:r>
                  <w:r>
                    <w:rPr>
                      <w:kern w:val="0"/>
                      <w:szCs w:val="20"/>
                    </w:rPr>
                    <w:t>100</w:t>
                  </w:r>
                </w:p>
              </w:tc>
              <w:tc>
                <w:tcPr>
                  <w:tcW w:w="1211" w:type="pct"/>
                  <w:vAlign w:val="center"/>
                </w:tcPr>
                <w:p>
                  <w:pPr>
                    <w:widowControl/>
                    <w:jc w:val="center"/>
                    <w:rPr>
                      <w:kern w:val="0"/>
                      <w:szCs w:val="21"/>
                    </w:rPr>
                  </w:pPr>
                  <w:r>
                    <w:rPr>
                      <w:rFonts w:hint="eastAsia"/>
                      <w:kern w:val="0"/>
                      <w:szCs w:val="21"/>
                    </w:rPr>
                    <w:t>P1</w:t>
                  </w:r>
                </w:p>
              </w:tc>
              <w:tc>
                <w:tcPr>
                  <w:tcW w:w="1068" w:type="pct"/>
                  <w:shd w:val="clear" w:color="auto" w:fill="auto"/>
                  <w:vAlign w:val="center"/>
                </w:tcPr>
                <w:p>
                  <w:pPr>
                    <w:widowControl/>
                    <w:jc w:val="center"/>
                    <w:rPr>
                      <w:kern w:val="0"/>
                      <w:szCs w:val="21"/>
                    </w:rPr>
                  </w:pPr>
                  <w:r>
                    <w:rPr>
                      <w:rFonts w:hint="eastAsia"/>
                      <w:kern w:val="0"/>
                      <w:szCs w:val="21"/>
                    </w:rPr>
                    <w:t>P1</w:t>
                  </w:r>
                </w:p>
              </w:tc>
              <w:tc>
                <w:tcPr>
                  <w:tcW w:w="723" w:type="pct"/>
                  <w:shd w:val="clear" w:color="auto" w:fill="auto"/>
                  <w:vAlign w:val="center"/>
                </w:tcPr>
                <w:p>
                  <w:pPr>
                    <w:widowControl/>
                    <w:jc w:val="center"/>
                    <w:rPr>
                      <w:kern w:val="0"/>
                      <w:szCs w:val="21"/>
                    </w:rPr>
                  </w:pPr>
                  <w:r>
                    <w:rPr>
                      <w:rFonts w:hint="eastAsia"/>
                      <w:kern w:val="0"/>
                      <w:szCs w:val="21"/>
                    </w:rPr>
                    <w:t>P2</w:t>
                  </w:r>
                </w:p>
              </w:tc>
              <w:tc>
                <w:tcPr>
                  <w:tcW w:w="1094" w:type="pct"/>
                  <w:shd w:val="clear" w:color="auto" w:fill="auto"/>
                  <w:vAlign w:val="center"/>
                </w:tcPr>
                <w:p>
                  <w:pPr>
                    <w:widowControl/>
                    <w:jc w:val="center"/>
                    <w:rPr>
                      <w:kern w:val="0"/>
                      <w:szCs w:val="21"/>
                    </w:rPr>
                  </w:pPr>
                  <w:r>
                    <w:rPr>
                      <w:rFonts w:hint="eastAsia"/>
                      <w:kern w:val="0"/>
                      <w:szCs w:val="21"/>
                    </w:rPr>
                    <w:t>P3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904" w:type="pct"/>
                  <w:shd w:val="clear" w:color="auto" w:fill="auto"/>
                  <w:vAlign w:val="center"/>
                </w:tcPr>
                <w:p>
                  <w:pPr>
                    <w:widowControl/>
                    <w:jc w:val="center"/>
                    <w:rPr>
                      <w:kern w:val="0"/>
                      <w:szCs w:val="21"/>
                    </w:rPr>
                  </w:pPr>
                  <w:r>
                    <w:rPr>
                      <w:kern w:val="0"/>
                      <w:szCs w:val="20"/>
                    </w:rPr>
                    <w:t>10</w:t>
                  </w:r>
                  <w:r>
                    <w:rPr>
                      <w:rFonts w:hint="eastAsia"/>
                      <w:kern w:val="0"/>
                      <w:szCs w:val="20"/>
                    </w:rPr>
                    <w:t>≤</w:t>
                  </w:r>
                  <w:r>
                    <w:rPr>
                      <w:kern w:val="0"/>
                      <w:szCs w:val="20"/>
                    </w:rPr>
                    <w:t>Q</w:t>
                  </w:r>
                  <w:r>
                    <w:rPr>
                      <w:rFonts w:hint="eastAsia"/>
                      <w:kern w:val="0"/>
                      <w:szCs w:val="20"/>
                    </w:rPr>
                    <w:t>＜</w:t>
                  </w:r>
                  <w:r>
                    <w:rPr>
                      <w:kern w:val="0"/>
                      <w:szCs w:val="20"/>
                    </w:rPr>
                    <w:t>100</w:t>
                  </w:r>
                </w:p>
              </w:tc>
              <w:tc>
                <w:tcPr>
                  <w:tcW w:w="1211" w:type="pct"/>
                  <w:vAlign w:val="center"/>
                </w:tcPr>
                <w:p>
                  <w:pPr>
                    <w:widowControl/>
                    <w:jc w:val="center"/>
                    <w:rPr>
                      <w:kern w:val="0"/>
                      <w:szCs w:val="21"/>
                    </w:rPr>
                  </w:pPr>
                  <w:r>
                    <w:rPr>
                      <w:rFonts w:hint="eastAsia"/>
                      <w:kern w:val="0"/>
                      <w:szCs w:val="21"/>
                    </w:rPr>
                    <w:t>P1</w:t>
                  </w:r>
                </w:p>
              </w:tc>
              <w:tc>
                <w:tcPr>
                  <w:tcW w:w="1068" w:type="pct"/>
                  <w:shd w:val="clear" w:color="auto" w:fill="auto"/>
                  <w:vAlign w:val="center"/>
                </w:tcPr>
                <w:p>
                  <w:pPr>
                    <w:widowControl/>
                    <w:jc w:val="center"/>
                    <w:rPr>
                      <w:kern w:val="0"/>
                      <w:szCs w:val="21"/>
                    </w:rPr>
                  </w:pPr>
                  <w:r>
                    <w:rPr>
                      <w:rFonts w:hint="eastAsia"/>
                      <w:kern w:val="0"/>
                      <w:szCs w:val="21"/>
                    </w:rPr>
                    <w:t>P2</w:t>
                  </w:r>
                </w:p>
              </w:tc>
              <w:tc>
                <w:tcPr>
                  <w:tcW w:w="723" w:type="pct"/>
                  <w:shd w:val="clear" w:color="auto" w:fill="auto"/>
                  <w:vAlign w:val="center"/>
                </w:tcPr>
                <w:p>
                  <w:pPr>
                    <w:widowControl/>
                    <w:jc w:val="center"/>
                    <w:rPr>
                      <w:kern w:val="0"/>
                      <w:szCs w:val="21"/>
                    </w:rPr>
                  </w:pPr>
                  <w:r>
                    <w:rPr>
                      <w:rFonts w:hint="eastAsia"/>
                      <w:kern w:val="0"/>
                      <w:szCs w:val="21"/>
                    </w:rPr>
                    <w:t>P3</w:t>
                  </w:r>
                </w:p>
              </w:tc>
              <w:tc>
                <w:tcPr>
                  <w:tcW w:w="1094" w:type="pct"/>
                  <w:shd w:val="clear" w:color="auto" w:fill="auto"/>
                  <w:vAlign w:val="center"/>
                </w:tcPr>
                <w:p>
                  <w:pPr>
                    <w:widowControl/>
                    <w:jc w:val="center"/>
                    <w:rPr>
                      <w:kern w:val="0"/>
                      <w:szCs w:val="21"/>
                    </w:rPr>
                  </w:pPr>
                  <w:r>
                    <w:rPr>
                      <w:rFonts w:hint="eastAsia"/>
                      <w:kern w:val="0"/>
                      <w:szCs w:val="21"/>
                    </w:rPr>
                    <w:t>P4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904" w:type="pct"/>
                  <w:shd w:val="clear" w:color="auto" w:fill="auto"/>
                  <w:vAlign w:val="center"/>
                </w:tcPr>
                <w:p>
                  <w:pPr>
                    <w:widowControl/>
                    <w:jc w:val="center"/>
                    <w:rPr>
                      <w:kern w:val="0"/>
                      <w:szCs w:val="21"/>
                    </w:rPr>
                  </w:pPr>
                  <w:r>
                    <w:rPr>
                      <w:kern w:val="0"/>
                      <w:szCs w:val="20"/>
                    </w:rPr>
                    <w:t>1</w:t>
                  </w:r>
                  <w:r>
                    <w:rPr>
                      <w:rFonts w:hint="eastAsia"/>
                      <w:kern w:val="0"/>
                      <w:szCs w:val="20"/>
                    </w:rPr>
                    <w:t>≤</w:t>
                  </w:r>
                  <w:r>
                    <w:rPr>
                      <w:kern w:val="0"/>
                      <w:szCs w:val="20"/>
                    </w:rPr>
                    <w:t>Q</w:t>
                  </w:r>
                  <w:r>
                    <w:rPr>
                      <w:rFonts w:hint="eastAsia"/>
                      <w:kern w:val="0"/>
                      <w:szCs w:val="20"/>
                    </w:rPr>
                    <w:t>＜</w:t>
                  </w:r>
                  <w:r>
                    <w:rPr>
                      <w:kern w:val="0"/>
                      <w:szCs w:val="20"/>
                    </w:rPr>
                    <w:t>10</w:t>
                  </w:r>
                </w:p>
              </w:tc>
              <w:tc>
                <w:tcPr>
                  <w:tcW w:w="1211" w:type="pct"/>
                  <w:vAlign w:val="center"/>
                </w:tcPr>
                <w:p>
                  <w:pPr>
                    <w:widowControl/>
                    <w:jc w:val="center"/>
                    <w:rPr>
                      <w:kern w:val="0"/>
                      <w:szCs w:val="21"/>
                    </w:rPr>
                  </w:pPr>
                  <w:r>
                    <w:rPr>
                      <w:rFonts w:hint="eastAsia"/>
                      <w:kern w:val="0"/>
                      <w:szCs w:val="21"/>
                    </w:rPr>
                    <w:t>P2</w:t>
                  </w:r>
                </w:p>
              </w:tc>
              <w:tc>
                <w:tcPr>
                  <w:tcW w:w="1068" w:type="pct"/>
                  <w:shd w:val="clear" w:color="auto" w:fill="auto"/>
                  <w:vAlign w:val="center"/>
                </w:tcPr>
                <w:p>
                  <w:pPr>
                    <w:widowControl/>
                    <w:jc w:val="center"/>
                    <w:rPr>
                      <w:kern w:val="0"/>
                      <w:szCs w:val="21"/>
                    </w:rPr>
                  </w:pPr>
                  <w:r>
                    <w:rPr>
                      <w:rFonts w:hint="eastAsia"/>
                      <w:kern w:val="0"/>
                      <w:szCs w:val="21"/>
                    </w:rPr>
                    <w:t>P3</w:t>
                  </w:r>
                </w:p>
              </w:tc>
              <w:tc>
                <w:tcPr>
                  <w:tcW w:w="723" w:type="pct"/>
                  <w:shd w:val="clear" w:color="auto" w:fill="auto"/>
                  <w:vAlign w:val="center"/>
                </w:tcPr>
                <w:p>
                  <w:pPr>
                    <w:widowControl/>
                    <w:jc w:val="center"/>
                    <w:rPr>
                      <w:kern w:val="0"/>
                      <w:szCs w:val="21"/>
                    </w:rPr>
                  </w:pPr>
                  <w:r>
                    <w:rPr>
                      <w:rFonts w:hint="eastAsia"/>
                      <w:kern w:val="0"/>
                      <w:szCs w:val="21"/>
                    </w:rPr>
                    <w:t>P4</w:t>
                  </w:r>
                </w:p>
              </w:tc>
              <w:tc>
                <w:tcPr>
                  <w:tcW w:w="1094" w:type="pct"/>
                  <w:shd w:val="clear" w:color="auto" w:fill="auto"/>
                  <w:vAlign w:val="center"/>
                </w:tcPr>
                <w:p>
                  <w:pPr>
                    <w:widowControl/>
                    <w:jc w:val="center"/>
                    <w:rPr>
                      <w:kern w:val="0"/>
                      <w:szCs w:val="21"/>
                    </w:rPr>
                  </w:pPr>
                  <w:r>
                    <w:rPr>
                      <w:rFonts w:hint="eastAsia"/>
                      <w:kern w:val="0"/>
                      <w:szCs w:val="21"/>
                    </w:rPr>
                    <w:t>P4</w:t>
                  </w:r>
                </w:p>
              </w:tc>
            </w:tr>
          </w:tbl>
          <w:p>
            <w:pPr>
              <w:spacing w:line="360" w:lineRule="auto"/>
              <w:ind w:firstLine="480" w:firstLineChars="200"/>
              <w:rPr>
                <w:sz w:val="24"/>
              </w:rPr>
            </w:pPr>
            <w:r>
              <w:rPr>
                <w:rFonts w:hint="eastAsia"/>
                <w:sz w:val="24"/>
              </w:rPr>
              <w:t>根据《建设项目环境风险评价技术导则》（HJ 169-2018），计算所涉及的每种危险物质在厂界内的最大存在总量与其在附录B中对应临界量的比值Q。</w:t>
            </w:r>
          </w:p>
          <w:p>
            <w:pPr>
              <w:spacing w:line="360" w:lineRule="auto"/>
              <w:ind w:firstLine="480" w:firstLineChars="200"/>
              <w:rPr>
                <w:sz w:val="24"/>
              </w:rPr>
            </w:pPr>
            <w:r>
              <w:rPr>
                <w:rFonts w:hint="eastAsia"/>
                <w:sz w:val="24"/>
              </w:rPr>
              <w:t>当只涉及一种危险物质时，计算该物质的总量与其临界量比值，即为Q；</w:t>
            </w:r>
          </w:p>
          <w:p>
            <w:pPr>
              <w:spacing w:line="360" w:lineRule="auto"/>
              <w:ind w:firstLine="480" w:firstLineChars="200"/>
              <w:rPr>
                <w:sz w:val="24"/>
              </w:rPr>
            </w:pPr>
            <w:r>
              <w:rPr>
                <w:rFonts w:hint="eastAsia"/>
                <w:sz w:val="24"/>
              </w:rPr>
              <w:t>当存在多种危险物质时，则按下式计算物质总量与其临界量比值(Q)：</w:t>
            </w:r>
          </w:p>
          <w:p>
            <w:pPr>
              <w:jc w:val="center"/>
            </w:pPr>
            <m:oMathPara>
              <m:oMath>
                <m:r>
                  <m:rPr>
                    <m:sty m:val="p"/>
                  </m:rPr>
                  <w:rPr>
                    <w:rFonts w:ascii="Cambria Math" w:hAnsi="Cambria Math"/>
                    <w:color w:val="000000"/>
                  </w:rPr>
                  <m:t>Q=</m:t>
                </m:r>
                <m:f>
                  <m:fPr>
                    <m:ctrlPr>
                      <w:rPr>
                        <w:rFonts w:ascii="Cambria Math" w:hAnsi="Cambria Math"/>
                        <w:color w:val="000000"/>
                      </w:rPr>
                    </m:ctrlPr>
                  </m:fPr>
                  <m:num>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1</m:t>
                        </m:r>
                        <m:ctrlPr>
                          <w:rPr>
                            <w:rFonts w:ascii="Cambria Math" w:hAnsi="Cambria Math"/>
                            <w:i/>
                            <w:color w:val="000000"/>
                          </w:rPr>
                        </m:ctrlPr>
                      </m:sub>
                    </m:sSub>
                    <m:ctrlPr>
                      <w:rPr>
                        <w:rFonts w:ascii="Cambria Math" w:hAnsi="Cambria Math"/>
                        <w:color w:val="000000"/>
                      </w:rPr>
                    </m:ctrlPr>
                  </m:num>
                  <m:den>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1</m:t>
                        </m:r>
                        <m:ctrlPr>
                          <w:rPr>
                            <w:rFonts w:ascii="Cambria Math" w:hAnsi="Cambria Math"/>
                            <w:i/>
                            <w:color w:val="000000"/>
                          </w:rPr>
                        </m:ctrlPr>
                      </m:sub>
                    </m:sSub>
                    <m:ctrlPr>
                      <w:rPr>
                        <w:rFonts w:ascii="Cambria Math" w:hAnsi="Cambria Math"/>
                        <w:color w:val="000000"/>
                      </w:rPr>
                    </m:ctrlPr>
                  </m:den>
                </m:f>
                <m:r>
                  <m:rP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2</m:t>
                        </m:r>
                        <m:ctrlPr>
                          <w:rPr>
                            <w:rFonts w:ascii="Cambria Math" w:hAnsi="Cambria Math"/>
                            <w:i/>
                            <w:color w:val="000000"/>
                          </w:rPr>
                        </m:ctrlPr>
                      </m:sub>
                    </m:sSub>
                    <m:ctrlPr>
                      <w:rPr>
                        <w:rFonts w:ascii="Cambria Math" w:hAnsi="Cambria Math"/>
                        <w:color w:val="000000"/>
                      </w:rPr>
                    </m:ctrlPr>
                  </m:num>
                  <m:den>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2</m:t>
                        </m:r>
                        <m:ctrlPr>
                          <w:rPr>
                            <w:rFonts w:ascii="Cambria Math" w:hAnsi="Cambria Math"/>
                            <w:i/>
                            <w:color w:val="000000"/>
                          </w:rPr>
                        </m:ctrlPr>
                      </m:sub>
                    </m:sSub>
                    <m:ctrlPr>
                      <w:rPr>
                        <w:rFonts w:ascii="Cambria Math" w:hAnsi="Cambria Math"/>
                        <w:color w:val="000000"/>
                      </w:rPr>
                    </m:ctrlPr>
                  </m:den>
                </m:f>
                <m:r>
                  <m:rP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n</m:t>
                        </m:r>
                        <m:ctrlPr>
                          <w:rPr>
                            <w:rFonts w:ascii="Cambria Math" w:hAnsi="Cambria Math"/>
                            <w:i/>
                            <w:color w:val="000000"/>
                          </w:rPr>
                        </m:ctrlPr>
                      </m:sub>
                    </m:sSub>
                    <m:ctrlPr>
                      <w:rPr>
                        <w:rFonts w:ascii="Cambria Math" w:hAnsi="Cambria Math"/>
                        <w:color w:val="000000"/>
                      </w:rPr>
                    </m:ctrlPr>
                  </m:num>
                  <m:den>
                    <m:sSub>
                      <m:sSubPr>
                        <m:ctrlPr>
                          <w:rPr>
                            <w:rFonts w:ascii="Cambria Math" w:hAnsi="Cambria Math"/>
                            <w:i/>
                            <w:color w:val="000000"/>
                          </w:rPr>
                        </m:ctrlPr>
                      </m:sSubPr>
                      <m:e>
                        <m:r>
                          <m:rPr/>
                          <w:rPr>
                            <w:rFonts w:ascii="Cambria Math" w:hAnsi="Cambria Math"/>
                            <w:color w:val="000000"/>
                          </w:rPr>
                          <m:t>Q</m:t>
                        </m:r>
                        <m:ctrlPr>
                          <w:rPr>
                            <w:rFonts w:ascii="Cambria Math" w:hAnsi="Cambria Math"/>
                            <w:i/>
                            <w:color w:val="000000"/>
                          </w:rPr>
                        </m:ctrlPr>
                      </m:e>
                      <m:sub>
                        <m:r>
                          <m:rPr/>
                          <w:rPr>
                            <w:rFonts w:ascii="Cambria Math" w:hAnsi="Cambria Math"/>
                            <w:color w:val="000000"/>
                          </w:rPr>
                          <m:t>n</m:t>
                        </m:r>
                        <m:ctrlPr>
                          <w:rPr>
                            <w:rFonts w:ascii="Cambria Math" w:hAnsi="Cambria Math"/>
                            <w:i/>
                            <w:color w:val="000000"/>
                          </w:rPr>
                        </m:ctrlPr>
                      </m:sub>
                    </m:sSub>
                    <m:ctrlPr>
                      <w:rPr>
                        <w:rFonts w:ascii="Cambria Math" w:hAnsi="Cambria Math"/>
                        <w:color w:val="000000"/>
                      </w:rPr>
                    </m:ctrlPr>
                  </m:den>
                </m:f>
              </m:oMath>
            </m:oMathPara>
          </w:p>
          <w:p>
            <w:pPr>
              <w:spacing w:line="360" w:lineRule="auto"/>
              <w:ind w:firstLine="482"/>
              <w:rPr>
                <w:sz w:val="24"/>
                <w:szCs w:val="18"/>
              </w:rPr>
            </w:pPr>
            <w:r>
              <w:rPr>
                <w:sz w:val="24"/>
                <w:szCs w:val="18"/>
              </w:rPr>
              <w:t>式中，q</w:t>
            </w:r>
            <w:r>
              <w:rPr>
                <w:sz w:val="24"/>
                <w:szCs w:val="18"/>
                <w:vertAlign w:val="subscript"/>
              </w:rPr>
              <w:t>1</w:t>
            </w:r>
            <w:r>
              <w:rPr>
                <w:sz w:val="24"/>
                <w:szCs w:val="18"/>
              </w:rPr>
              <w:t>，q</w:t>
            </w:r>
            <w:r>
              <w:rPr>
                <w:sz w:val="24"/>
                <w:szCs w:val="18"/>
                <w:vertAlign w:val="subscript"/>
              </w:rPr>
              <w:t>2</w:t>
            </w:r>
            <w:r>
              <w:rPr>
                <w:sz w:val="24"/>
                <w:szCs w:val="18"/>
              </w:rPr>
              <w:t>…q</w:t>
            </w:r>
            <w:r>
              <w:rPr>
                <w:sz w:val="24"/>
                <w:szCs w:val="18"/>
                <w:vertAlign w:val="subscript"/>
              </w:rPr>
              <w:t>n</w:t>
            </w:r>
            <w:r>
              <w:rPr>
                <w:sz w:val="24"/>
                <w:szCs w:val="18"/>
              </w:rPr>
              <w:t>——每种危险物质的最大存在总量，t。</w:t>
            </w:r>
          </w:p>
          <w:p>
            <w:pPr>
              <w:spacing w:line="360" w:lineRule="auto"/>
              <w:ind w:firstLine="1200" w:firstLineChars="500"/>
              <w:rPr>
                <w:sz w:val="24"/>
                <w:szCs w:val="18"/>
              </w:rPr>
            </w:pPr>
            <w:r>
              <w:rPr>
                <w:sz w:val="24"/>
                <w:szCs w:val="18"/>
              </w:rPr>
              <w:t>Q</w:t>
            </w:r>
            <w:r>
              <w:rPr>
                <w:sz w:val="24"/>
                <w:szCs w:val="18"/>
                <w:vertAlign w:val="subscript"/>
              </w:rPr>
              <w:t>1</w:t>
            </w:r>
            <w:r>
              <w:rPr>
                <w:sz w:val="24"/>
                <w:szCs w:val="18"/>
              </w:rPr>
              <w:t>，Q</w:t>
            </w:r>
            <w:r>
              <w:rPr>
                <w:sz w:val="24"/>
                <w:szCs w:val="18"/>
                <w:vertAlign w:val="subscript"/>
              </w:rPr>
              <w:t>2</w:t>
            </w:r>
            <w:r>
              <w:rPr>
                <w:sz w:val="24"/>
                <w:szCs w:val="18"/>
              </w:rPr>
              <w:t>…Q</w:t>
            </w:r>
            <w:r>
              <w:rPr>
                <w:sz w:val="24"/>
                <w:szCs w:val="18"/>
                <w:vertAlign w:val="subscript"/>
              </w:rPr>
              <w:t>n</w:t>
            </w:r>
            <w:r>
              <w:rPr>
                <w:sz w:val="24"/>
                <w:szCs w:val="18"/>
              </w:rPr>
              <w:t>——每种危险物质的临界量，t。</w:t>
            </w:r>
          </w:p>
          <w:p>
            <w:pPr>
              <w:spacing w:line="360" w:lineRule="auto"/>
              <w:ind w:firstLine="482"/>
              <w:rPr>
                <w:sz w:val="24"/>
                <w:szCs w:val="18"/>
              </w:rPr>
            </w:pPr>
            <w:r>
              <w:rPr>
                <w:sz w:val="24"/>
                <w:szCs w:val="18"/>
              </w:rPr>
              <w:t>当Q＜1时，该项目环境风险潜势为</w:t>
            </w:r>
            <w:r>
              <w:rPr>
                <w:rFonts w:hint="eastAsia" w:ascii="宋体" w:hAnsi="宋体" w:cs="宋体"/>
                <w:sz w:val="24"/>
                <w:szCs w:val="18"/>
              </w:rPr>
              <w:t>Ⅰ</w:t>
            </w:r>
            <w:r>
              <w:rPr>
                <w:sz w:val="24"/>
                <w:szCs w:val="18"/>
              </w:rPr>
              <w:t>。</w:t>
            </w:r>
          </w:p>
          <w:p>
            <w:pPr>
              <w:spacing w:line="360" w:lineRule="auto"/>
              <w:ind w:firstLine="482"/>
              <w:rPr>
                <w:sz w:val="24"/>
                <w:szCs w:val="18"/>
              </w:rPr>
            </w:pPr>
            <w:r>
              <w:rPr>
                <w:sz w:val="24"/>
                <w:szCs w:val="18"/>
              </w:rPr>
              <w:t>当Q≥1时，将Q值划分为：（1）1≤Q＜10；（2）10≤Q＜100；（3）Q≥100。</w:t>
            </w:r>
          </w:p>
          <w:p>
            <w:pPr>
              <w:spacing w:line="360" w:lineRule="auto"/>
              <w:ind w:firstLine="480" w:firstLineChars="200"/>
              <w:rPr>
                <w:rFonts w:ascii="ﾋﾎﾌ・" w:cs="ﾋﾎﾌ・" w:eastAsiaTheme="minorEastAsia"/>
                <w:sz w:val="24"/>
              </w:rPr>
            </w:pPr>
            <w:r>
              <w:rPr>
                <w:rFonts w:hint="eastAsia" w:hAnsi="宋体"/>
                <w:sz w:val="24"/>
                <w:shd w:val="clear" w:color="auto" w:fill="FFFFFF"/>
              </w:rPr>
              <w:t>汇总统计出建设项目环境风险物质临界量、储存及分布情况</w:t>
            </w:r>
            <w:r>
              <w:rPr>
                <w:rFonts w:hint="eastAsia" w:ascii="ﾋﾎﾌ・" w:eastAsia="ﾋﾎﾌ・" w:cs="ﾋﾎﾌ・"/>
                <w:sz w:val="24"/>
              </w:rPr>
              <w:t>。</w:t>
            </w:r>
          </w:p>
          <w:p>
            <w:pPr>
              <w:autoSpaceDE w:val="0"/>
              <w:autoSpaceDN w:val="0"/>
              <w:adjustRightInd w:val="0"/>
              <w:spacing w:before="120" w:beforeLines="50"/>
              <w:jc w:val="center"/>
              <w:rPr>
                <w:rFonts w:hAnsi="宋体"/>
                <w:b/>
                <w:sz w:val="24"/>
                <w:highlight w:val="yellow"/>
              </w:rPr>
            </w:pPr>
            <w:r>
              <w:rPr>
                <w:rFonts w:hint="eastAsia" w:hAnsi="宋体"/>
                <w:b/>
                <w:sz w:val="24"/>
              </w:rPr>
              <w:t>表4-18 项目主要物质风险识别结果一览表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972"/>
              <w:gridCol w:w="1091"/>
              <w:gridCol w:w="1470"/>
              <w:gridCol w:w="1482"/>
              <w:gridCol w:w="15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b/>
                      <w:iCs/>
                      <w:szCs w:val="18"/>
                    </w:rPr>
                  </w:pPr>
                  <w:r>
                    <w:rPr>
                      <w:b/>
                      <w:iCs/>
                      <w:szCs w:val="18"/>
                    </w:rPr>
                    <w:t>序号</w:t>
                  </w:r>
                </w:p>
              </w:tc>
              <w:tc>
                <w:tcPr>
                  <w:tcW w:w="1972" w:type="dxa"/>
                  <w:vAlign w:val="center"/>
                </w:tcPr>
                <w:p>
                  <w:pPr>
                    <w:jc w:val="center"/>
                    <w:rPr>
                      <w:b/>
                      <w:iCs/>
                      <w:szCs w:val="18"/>
                    </w:rPr>
                  </w:pPr>
                  <w:r>
                    <w:rPr>
                      <w:b/>
                      <w:iCs/>
                      <w:szCs w:val="18"/>
                    </w:rPr>
                    <w:t>危险物质名称</w:t>
                  </w:r>
                </w:p>
              </w:tc>
              <w:tc>
                <w:tcPr>
                  <w:tcW w:w="1091" w:type="dxa"/>
                  <w:vAlign w:val="center"/>
                </w:tcPr>
                <w:p>
                  <w:pPr>
                    <w:jc w:val="center"/>
                    <w:rPr>
                      <w:iCs/>
                      <w:szCs w:val="18"/>
                    </w:rPr>
                  </w:pPr>
                  <w:r>
                    <w:rPr>
                      <w:b/>
                      <w:szCs w:val="21"/>
                    </w:rPr>
                    <w:t>CAS号</w:t>
                  </w:r>
                </w:p>
              </w:tc>
              <w:tc>
                <w:tcPr>
                  <w:tcW w:w="1470" w:type="dxa"/>
                  <w:vAlign w:val="center"/>
                </w:tcPr>
                <w:p>
                  <w:pPr>
                    <w:jc w:val="center"/>
                    <w:rPr>
                      <w:b/>
                      <w:iCs/>
                      <w:szCs w:val="18"/>
                    </w:rPr>
                  </w:pPr>
                  <w:r>
                    <w:rPr>
                      <w:b/>
                      <w:iCs/>
                      <w:szCs w:val="18"/>
                    </w:rPr>
                    <w:t>最大存在总量qn/t</w:t>
                  </w:r>
                </w:p>
              </w:tc>
              <w:tc>
                <w:tcPr>
                  <w:tcW w:w="1482" w:type="dxa"/>
                  <w:vAlign w:val="center"/>
                </w:tcPr>
                <w:p>
                  <w:pPr>
                    <w:jc w:val="center"/>
                    <w:rPr>
                      <w:b/>
                      <w:iCs/>
                      <w:szCs w:val="18"/>
                    </w:rPr>
                  </w:pPr>
                  <w:r>
                    <w:rPr>
                      <w:b/>
                      <w:iCs/>
                      <w:szCs w:val="18"/>
                    </w:rPr>
                    <w:t>临界量Qn/t</w:t>
                  </w:r>
                </w:p>
              </w:tc>
              <w:tc>
                <w:tcPr>
                  <w:tcW w:w="1562" w:type="dxa"/>
                  <w:vAlign w:val="center"/>
                </w:tcPr>
                <w:p>
                  <w:pPr>
                    <w:jc w:val="center"/>
                    <w:rPr>
                      <w:b/>
                      <w:iCs/>
                      <w:szCs w:val="18"/>
                    </w:rPr>
                  </w:pPr>
                  <w:r>
                    <w:rPr>
                      <w:b/>
                      <w:iCs/>
                      <w:szCs w:val="18"/>
                    </w:rPr>
                    <w:t>该种危险物质Q值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iCs/>
                      <w:szCs w:val="18"/>
                    </w:rPr>
                  </w:pPr>
                  <w:r>
                    <w:rPr>
                      <w:iCs/>
                      <w:szCs w:val="18"/>
                    </w:rPr>
                    <w:t>1</w:t>
                  </w:r>
                </w:p>
              </w:tc>
              <w:tc>
                <w:tcPr>
                  <w:tcW w:w="1972" w:type="dxa"/>
                  <w:vAlign w:val="center"/>
                </w:tcPr>
                <w:p>
                  <w:pPr>
                    <w:jc w:val="center"/>
                    <w:rPr>
                      <w:iCs/>
                      <w:szCs w:val="18"/>
                    </w:rPr>
                  </w:pPr>
                  <w:r>
                    <w:rPr>
                      <w:rFonts w:hint="eastAsia"/>
                      <w:kern w:val="0"/>
                      <w:szCs w:val="21"/>
                    </w:rPr>
                    <w:t>丙烯酸聚氨酯面漆</w:t>
                  </w:r>
                </w:p>
              </w:tc>
              <w:tc>
                <w:tcPr>
                  <w:tcW w:w="1091" w:type="dxa"/>
                  <w:vAlign w:val="center"/>
                </w:tcPr>
                <w:p>
                  <w:pPr>
                    <w:jc w:val="center"/>
                    <w:rPr>
                      <w:iCs/>
                      <w:szCs w:val="18"/>
                    </w:rPr>
                  </w:pPr>
                  <w:r>
                    <w:rPr>
                      <w:rFonts w:hint="eastAsia"/>
                      <w:iCs/>
                      <w:szCs w:val="18"/>
                    </w:rPr>
                    <w:t>/</w:t>
                  </w:r>
                </w:p>
              </w:tc>
              <w:tc>
                <w:tcPr>
                  <w:tcW w:w="1470" w:type="dxa"/>
                  <w:vAlign w:val="center"/>
                </w:tcPr>
                <w:p>
                  <w:pPr>
                    <w:jc w:val="center"/>
                    <w:rPr>
                      <w:iCs/>
                      <w:szCs w:val="18"/>
                    </w:rPr>
                  </w:pPr>
                  <w:r>
                    <w:rPr>
                      <w:rFonts w:hint="eastAsia"/>
                      <w:iCs/>
                      <w:szCs w:val="18"/>
                    </w:rPr>
                    <w:t>0.5</w:t>
                  </w:r>
                </w:p>
              </w:tc>
              <w:tc>
                <w:tcPr>
                  <w:tcW w:w="1482" w:type="dxa"/>
                  <w:vAlign w:val="center"/>
                </w:tcPr>
                <w:p>
                  <w:pPr>
                    <w:jc w:val="center"/>
                    <w:rPr>
                      <w:iCs/>
                      <w:szCs w:val="18"/>
                    </w:rPr>
                  </w:pPr>
                  <w:r>
                    <w:rPr>
                      <w:iCs/>
                      <w:szCs w:val="18"/>
                    </w:rPr>
                    <w:t>50</w:t>
                  </w:r>
                </w:p>
              </w:tc>
              <w:tc>
                <w:tcPr>
                  <w:tcW w:w="1562" w:type="dxa"/>
                  <w:vAlign w:val="center"/>
                </w:tcPr>
                <w:p>
                  <w:pPr>
                    <w:jc w:val="center"/>
                    <w:rPr>
                      <w:iCs/>
                      <w:szCs w:val="18"/>
                    </w:rPr>
                  </w:pPr>
                  <w:r>
                    <w:rPr>
                      <w:rFonts w:hint="eastAsia"/>
                      <w:iCs/>
                      <w:szCs w:val="18"/>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iCs/>
                      <w:szCs w:val="18"/>
                    </w:rPr>
                  </w:pPr>
                  <w:r>
                    <w:rPr>
                      <w:iCs/>
                      <w:szCs w:val="18"/>
                    </w:rPr>
                    <w:t>2</w:t>
                  </w:r>
                </w:p>
              </w:tc>
              <w:tc>
                <w:tcPr>
                  <w:tcW w:w="1972" w:type="dxa"/>
                  <w:vAlign w:val="center"/>
                </w:tcPr>
                <w:p>
                  <w:pPr>
                    <w:jc w:val="center"/>
                    <w:rPr>
                      <w:iCs/>
                      <w:szCs w:val="18"/>
                    </w:rPr>
                  </w:pPr>
                  <w:r>
                    <w:rPr>
                      <w:iCs/>
                      <w:szCs w:val="18"/>
                    </w:rPr>
                    <w:t>环氧富锌防腐底漆</w:t>
                  </w:r>
                </w:p>
              </w:tc>
              <w:tc>
                <w:tcPr>
                  <w:tcW w:w="1091" w:type="dxa"/>
                  <w:vAlign w:val="center"/>
                </w:tcPr>
                <w:p>
                  <w:pPr>
                    <w:jc w:val="center"/>
                    <w:rPr>
                      <w:iCs/>
                      <w:szCs w:val="18"/>
                    </w:rPr>
                  </w:pPr>
                  <w:r>
                    <w:rPr>
                      <w:rFonts w:hint="eastAsia"/>
                      <w:iCs/>
                      <w:szCs w:val="18"/>
                    </w:rPr>
                    <w:t>/</w:t>
                  </w:r>
                </w:p>
              </w:tc>
              <w:tc>
                <w:tcPr>
                  <w:tcW w:w="1470" w:type="dxa"/>
                  <w:vAlign w:val="center"/>
                </w:tcPr>
                <w:p>
                  <w:pPr>
                    <w:jc w:val="center"/>
                    <w:rPr>
                      <w:iCs/>
                      <w:szCs w:val="18"/>
                    </w:rPr>
                  </w:pPr>
                  <w:r>
                    <w:rPr>
                      <w:rFonts w:hint="eastAsia"/>
                      <w:iCs/>
                      <w:szCs w:val="18"/>
                    </w:rPr>
                    <w:t>0.2</w:t>
                  </w:r>
                </w:p>
              </w:tc>
              <w:tc>
                <w:tcPr>
                  <w:tcW w:w="1482" w:type="dxa"/>
                  <w:vAlign w:val="center"/>
                </w:tcPr>
                <w:p>
                  <w:pPr>
                    <w:jc w:val="center"/>
                    <w:rPr>
                      <w:iCs/>
                      <w:szCs w:val="18"/>
                    </w:rPr>
                  </w:pPr>
                  <w:r>
                    <w:rPr>
                      <w:rFonts w:hint="eastAsia"/>
                      <w:iCs/>
                      <w:szCs w:val="18"/>
                    </w:rPr>
                    <w:t>50</w:t>
                  </w:r>
                </w:p>
              </w:tc>
              <w:tc>
                <w:tcPr>
                  <w:tcW w:w="1562" w:type="dxa"/>
                  <w:vAlign w:val="center"/>
                </w:tcPr>
                <w:p>
                  <w:pPr>
                    <w:jc w:val="center"/>
                    <w:rPr>
                      <w:iCs/>
                      <w:szCs w:val="18"/>
                    </w:rPr>
                  </w:pPr>
                  <w:r>
                    <w:rPr>
                      <w:rFonts w:hint="eastAsia"/>
                      <w:iCs/>
                      <w:szCs w:val="18"/>
                    </w:rPr>
                    <w:t>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iCs/>
                      <w:szCs w:val="18"/>
                    </w:rPr>
                  </w:pPr>
                  <w:r>
                    <w:rPr>
                      <w:rFonts w:hint="eastAsia"/>
                      <w:iCs/>
                      <w:szCs w:val="18"/>
                    </w:rPr>
                    <w:t>3</w:t>
                  </w:r>
                </w:p>
              </w:tc>
              <w:tc>
                <w:tcPr>
                  <w:tcW w:w="1972" w:type="dxa"/>
                  <w:vAlign w:val="center"/>
                </w:tcPr>
                <w:p>
                  <w:pPr>
                    <w:jc w:val="center"/>
                    <w:rPr>
                      <w:iCs/>
                      <w:szCs w:val="18"/>
                    </w:rPr>
                  </w:pPr>
                  <w:r>
                    <w:rPr>
                      <w:iCs/>
                      <w:szCs w:val="18"/>
                    </w:rPr>
                    <w:t>铁红醇酸防锈底漆</w:t>
                  </w:r>
                </w:p>
              </w:tc>
              <w:tc>
                <w:tcPr>
                  <w:tcW w:w="1091" w:type="dxa"/>
                  <w:vAlign w:val="center"/>
                </w:tcPr>
                <w:p>
                  <w:pPr>
                    <w:jc w:val="center"/>
                    <w:rPr>
                      <w:iCs/>
                      <w:szCs w:val="18"/>
                    </w:rPr>
                  </w:pPr>
                  <w:r>
                    <w:rPr>
                      <w:rFonts w:hint="eastAsia"/>
                      <w:iCs/>
                      <w:szCs w:val="18"/>
                    </w:rPr>
                    <w:t>/</w:t>
                  </w:r>
                </w:p>
              </w:tc>
              <w:tc>
                <w:tcPr>
                  <w:tcW w:w="1470" w:type="dxa"/>
                  <w:vAlign w:val="center"/>
                </w:tcPr>
                <w:p>
                  <w:pPr>
                    <w:jc w:val="center"/>
                    <w:rPr>
                      <w:iCs/>
                      <w:szCs w:val="18"/>
                    </w:rPr>
                  </w:pPr>
                  <w:r>
                    <w:rPr>
                      <w:rFonts w:hint="eastAsia"/>
                      <w:iCs/>
                      <w:szCs w:val="18"/>
                    </w:rPr>
                    <w:t>0.2</w:t>
                  </w:r>
                </w:p>
              </w:tc>
              <w:tc>
                <w:tcPr>
                  <w:tcW w:w="1482" w:type="dxa"/>
                  <w:vAlign w:val="center"/>
                </w:tcPr>
                <w:p>
                  <w:pPr>
                    <w:jc w:val="center"/>
                    <w:rPr>
                      <w:iCs/>
                      <w:szCs w:val="18"/>
                    </w:rPr>
                  </w:pPr>
                  <w:r>
                    <w:rPr>
                      <w:rFonts w:hint="eastAsia"/>
                      <w:iCs/>
                      <w:szCs w:val="18"/>
                    </w:rPr>
                    <w:t>50</w:t>
                  </w:r>
                </w:p>
              </w:tc>
              <w:tc>
                <w:tcPr>
                  <w:tcW w:w="1562" w:type="dxa"/>
                  <w:vAlign w:val="center"/>
                </w:tcPr>
                <w:p>
                  <w:pPr>
                    <w:jc w:val="center"/>
                    <w:rPr>
                      <w:iCs/>
                      <w:szCs w:val="18"/>
                    </w:rPr>
                  </w:pPr>
                  <w:r>
                    <w:rPr>
                      <w:rFonts w:hint="eastAsia"/>
                      <w:iCs/>
                      <w:szCs w:val="18"/>
                    </w:rPr>
                    <w:t>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iCs/>
                      <w:szCs w:val="18"/>
                    </w:rPr>
                  </w:pPr>
                  <w:r>
                    <w:rPr>
                      <w:rFonts w:hint="eastAsia"/>
                      <w:iCs/>
                      <w:szCs w:val="18"/>
                    </w:rPr>
                    <w:t>4</w:t>
                  </w:r>
                </w:p>
              </w:tc>
              <w:tc>
                <w:tcPr>
                  <w:tcW w:w="1972" w:type="dxa"/>
                  <w:vAlign w:val="center"/>
                </w:tcPr>
                <w:p>
                  <w:pPr>
                    <w:jc w:val="center"/>
                    <w:rPr>
                      <w:iCs/>
                      <w:szCs w:val="18"/>
                    </w:rPr>
                  </w:pPr>
                  <w:r>
                    <w:rPr>
                      <w:rFonts w:hint="eastAsia"/>
                      <w:iCs/>
                      <w:szCs w:val="18"/>
                    </w:rPr>
                    <w:t>固化剂</w:t>
                  </w:r>
                </w:p>
              </w:tc>
              <w:tc>
                <w:tcPr>
                  <w:tcW w:w="1091" w:type="dxa"/>
                  <w:vAlign w:val="center"/>
                </w:tcPr>
                <w:p>
                  <w:pPr>
                    <w:jc w:val="center"/>
                    <w:rPr>
                      <w:iCs/>
                      <w:szCs w:val="18"/>
                    </w:rPr>
                  </w:pPr>
                  <w:r>
                    <w:rPr>
                      <w:rFonts w:hint="eastAsia"/>
                      <w:iCs/>
                      <w:szCs w:val="18"/>
                    </w:rPr>
                    <w:t>/</w:t>
                  </w:r>
                </w:p>
              </w:tc>
              <w:tc>
                <w:tcPr>
                  <w:tcW w:w="1470" w:type="dxa"/>
                  <w:vAlign w:val="center"/>
                </w:tcPr>
                <w:p>
                  <w:pPr>
                    <w:jc w:val="center"/>
                    <w:rPr>
                      <w:iCs/>
                      <w:szCs w:val="18"/>
                    </w:rPr>
                  </w:pPr>
                  <w:r>
                    <w:rPr>
                      <w:rFonts w:hint="eastAsia"/>
                      <w:iCs/>
                      <w:szCs w:val="18"/>
                    </w:rPr>
                    <w:t>0.1</w:t>
                  </w:r>
                </w:p>
              </w:tc>
              <w:tc>
                <w:tcPr>
                  <w:tcW w:w="1482" w:type="dxa"/>
                  <w:vAlign w:val="center"/>
                </w:tcPr>
                <w:p>
                  <w:pPr>
                    <w:jc w:val="center"/>
                    <w:rPr>
                      <w:iCs/>
                      <w:szCs w:val="18"/>
                    </w:rPr>
                  </w:pPr>
                  <w:r>
                    <w:rPr>
                      <w:rFonts w:hint="eastAsia"/>
                      <w:iCs/>
                      <w:szCs w:val="18"/>
                    </w:rPr>
                    <w:t>50</w:t>
                  </w:r>
                </w:p>
              </w:tc>
              <w:tc>
                <w:tcPr>
                  <w:tcW w:w="1562" w:type="dxa"/>
                  <w:vAlign w:val="center"/>
                </w:tcPr>
                <w:p>
                  <w:pPr>
                    <w:jc w:val="center"/>
                    <w:rPr>
                      <w:iCs/>
                      <w:szCs w:val="18"/>
                    </w:rPr>
                  </w:pPr>
                  <w:r>
                    <w:rPr>
                      <w:rFonts w:hint="eastAsia"/>
                      <w:iCs/>
                      <w:szCs w:val="18"/>
                    </w:rPr>
                    <w:t>0.002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iCs/>
                      <w:szCs w:val="18"/>
                    </w:rPr>
                  </w:pPr>
                  <w:r>
                    <w:rPr>
                      <w:rFonts w:hint="eastAsia"/>
                      <w:iCs/>
                      <w:szCs w:val="18"/>
                    </w:rPr>
                    <w:t>5</w:t>
                  </w:r>
                </w:p>
              </w:tc>
              <w:tc>
                <w:tcPr>
                  <w:tcW w:w="1972" w:type="dxa"/>
                  <w:vAlign w:val="center"/>
                </w:tcPr>
                <w:p>
                  <w:pPr>
                    <w:jc w:val="center"/>
                    <w:rPr>
                      <w:iCs/>
                      <w:szCs w:val="18"/>
                    </w:rPr>
                  </w:pPr>
                  <w:r>
                    <w:rPr>
                      <w:rFonts w:hint="eastAsia"/>
                      <w:iCs/>
                      <w:szCs w:val="18"/>
                    </w:rPr>
                    <w:t>稀释剂</w:t>
                  </w:r>
                </w:p>
              </w:tc>
              <w:tc>
                <w:tcPr>
                  <w:tcW w:w="1091" w:type="dxa"/>
                  <w:vAlign w:val="center"/>
                </w:tcPr>
                <w:p>
                  <w:pPr>
                    <w:jc w:val="center"/>
                    <w:rPr>
                      <w:iCs/>
                      <w:szCs w:val="18"/>
                    </w:rPr>
                  </w:pPr>
                  <w:r>
                    <w:rPr>
                      <w:rFonts w:hint="eastAsia"/>
                      <w:iCs/>
                      <w:szCs w:val="18"/>
                    </w:rPr>
                    <w:t>/</w:t>
                  </w:r>
                </w:p>
              </w:tc>
              <w:tc>
                <w:tcPr>
                  <w:tcW w:w="1470" w:type="dxa"/>
                  <w:vAlign w:val="center"/>
                </w:tcPr>
                <w:p>
                  <w:pPr>
                    <w:jc w:val="center"/>
                    <w:rPr>
                      <w:iCs/>
                      <w:szCs w:val="18"/>
                    </w:rPr>
                  </w:pPr>
                  <w:r>
                    <w:rPr>
                      <w:rFonts w:hint="eastAsia"/>
                      <w:iCs/>
                      <w:szCs w:val="18"/>
                    </w:rPr>
                    <w:t>0.2</w:t>
                  </w:r>
                </w:p>
              </w:tc>
              <w:tc>
                <w:tcPr>
                  <w:tcW w:w="1482" w:type="dxa"/>
                  <w:vAlign w:val="center"/>
                </w:tcPr>
                <w:p>
                  <w:pPr>
                    <w:jc w:val="center"/>
                    <w:rPr>
                      <w:iCs/>
                      <w:szCs w:val="18"/>
                    </w:rPr>
                  </w:pPr>
                  <w:r>
                    <w:rPr>
                      <w:rFonts w:hint="eastAsia"/>
                      <w:iCs/>
                      <w:szCs w:val="18"/>
                    </w:rPr>
                    <w:t>50</w:t>
                  </w:r>
                </w:p>
              </w:tc>
              <w:tc>
                <w:tcPr>
                  <w:tcW w:w="1562" w:type="dxa"/>
                  <w:vAlign w:val="center"/>
                </w:tcPr>
                <w:p>
                  <w:pPr>
                    <w:jc w:val="center"/>
                    <w:rPr>
                      <w:iCs/>
                      <w:szCs w:val="18"/>
                    </w:rPr>
                  </w:pPr>
                  <w:r>
                    <w:rPr>
                      <w:rFonts w:hint="eastAsia"/>
                      <w:iCs/>
                      <w:szCs w:val="18"/>
                    </w:rPr>
                    <w:t>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iCs/>
                      <w:szCs w:val="18"/>
                    </w:rPr>
                  </w:pPr>
                  <w:r>
                    <w:rPr>
                      <w:rFonts w:hint="eastAsia"/>
                      <w:iCs/>
                      <w:szCs w:val="18"/>
                    </w:rPr>
                    <w:t>6</w:t>
                  </w:r>
                </w:p>
              </w:tc>
              <w:tc>
                <w:tcPr>
                  <w:tcW w:w="1972" w:type="dxa"/>
                  <w:vAlign w:val="center"/>
                </w:tcPr>
                <w:p>
                  <w:pPr>
                    <w:jc w:val="center"/>
                    <w:rPr>
                      <w:iCs/>
                      <w:szCs w:val="18"/>
                    </w:rPr>
                  </w:pPr>
                  <w:r>
                    <w:rPr>
                      <w:rFonts w:hint="eastAsia"/>
                      <w:szCs w:val="21"/>
                    </w:rPr>
                    <w:t>润滑油</w:t>
                  </w:r>
                </w:p>
              </w:tc>
              <w:tc>
                <w:tcPr>
                  <w:tcW w:w="1091" w:type="dxa"/>
                  <w:vAlign w:val="center"/>
                </w:tcPr>
                <w:p>
                  <w:pPr>
                    <w:jc w:val="center"/>
                    <w:rPr>
                      <w:iCs/>
                      <w:szCs w:val="18"/>
                    </w:rPr>
                  </w:pPr>
                  <w:r>
                    <w:rPr>
                      <w:rFonts w:hint="eastAsia"/>
                      <w:iCs/>
                      <w:szCs w:val="18"/>
                    </w:rPr>
                    <w:t>/</w:t>
                  </w:r>
                </w:p>
              </w:tc>
              <w:tc>
                <w:tcPr>
                  <w:tcW w:w="1470" w:type="dxa"/>
                  <w:vAlign w:val="center"/>
                </w:tcPr>
                <w:p>
                  <w:pPr>
                    <w:jc w:val="center"/>
                    <w:rPr>
                      <w:iCs/>
                      <w:szCs w:val="18"/>
                    </w:rPr>
                  </w:pPr>
                  <w:r>
                    <w:rPr>
                      <w:rFonts w:hint="eastAsia"/>
                      <w:color w:val="0D0D0D" w:themeColor="text1" w:themeTint="F2"/>
                      <w:szCs w:val="21"/>
                      <w14:textFill>
                        <w14:solidFill>
                          <w14:schemeClr w14:val="tx1">
                            <w14:lumMod w14:val="95000"/>
                            <w14:lumOff w14:val="5000"/>
                          </w14:schemeClr>
                        </w14:solidFill>
                      </w14:textFill>
                    </w:rPr>
                    <w:t>0.02</w:t>
                  </w:r>
                </w:p>
              </w:tc>
              <w:tc>
                <w:tcPr>
                  <w:tcW w:w="1482" w:type="dxa"/>
                  <w:vAlign w:val="center"/>
                </w:tcPr>
                <w:p>
                  <w:pPr>
                    <w:jc w:val="center"/>
                    <w:rPr>
                      <w:iCs/>
                      <w:szCs w:val="18"/>
                    </w:rPr>
                  </w:pPr>
                  <w:r>
                    <w:rPr>
                      <w:rFonts w:hint="eastAsia"/>
                      <w:szCs w:val="21"/>
                    </w:rPr>
                    <w:t>2500</w:t>
                  </w:r>
                </w:p>
              </w:tc>
              <w:tc>
                <w:tcPr>
                  <w:tcW w:w="1562" w:type="dxa"/>
                  <w:vAlign w:val="center"/>
                </w:tcPr>
                <w:p>
                  <w:pPr>
                    <w:jc w:val="center"/>
                    <w:rPr>
                      <w:iCs/>
                      <w:szCs w:val="18"/>
                    </w:rPr>
                  </w:pPr>
                  <w:r>
                    <w:rPr>
                      <w:rFonts w:hint="eastAsia"/>
                      <w:iCs/>
                      <w:szCs w:val="18"/>
                    </w:rPr>
                    <w:t>0.000008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center"/>
                </w:tcPr>
                <w:p>
                  <w:pPr>
                    <w:jc w:val="center"/>
                    <w:rPr>
                      <w:iCs/>
                      <w:szCs w:val="18"/>
                    </w:rPr>
                  </w:pPr>
                  <w:r>
                    <w:rPr>
                      <w:rFonts w:hint="eastAsia"/>
                      <w:iCs/>
                      <w:szCs w:val="18"/>
                    </w:rPr>
                    <w:t>7</w:t>
                  </w:r>
                </w:p>
              </w:tc>
              <w:tc>
                <w:tcPr>
                  <w:tcW w:w="1972" w:type="dxa"/>
                  <w:vAlign w:val="center"/>
                </w:tcPr>
                <w:p>
                  <w:pPr>
                    <w:jc w:val="center"/>
                    <w:rPr>
                      <w:iCs/>
                      <w:szCs w:val="18"/>
                    </w:rPr>
                  </w:pPr>
                  <w:r>
                    <w:rPr>
                      <w:iCs/>
                      <w:szCs w:val="18"/>
                    </w:rPr>
                    <w:t>漆渣</w:t>
                  </w:r>
                </w:p>
              </w:tc>
              <w:tc>
                <w:tcPr>
                  <w:tcW w:w="1091" w:type="dxa"/>
                  <w:vAlign w:val="center"/>
                </w:tcPr>
                <w:p>
                  <w:pPr>
                    <w:jc w:val="center"/>
                    <w:rPr>
                      <w:iCs/>
                      <w:szCs w:val="18"/>
                    </w:rPr>
                  </w:pPr>
                  <w:r>
                    <w:rPr>
                      <w:rFonts w:hint="eastAsia"/>
                      <w:iCs/>
                      <w:szCs w:val="18"/>
                    </w:rPr>
                    <w:t>/</w:t>
                  </w:r>
                </w:p>
              </w:tc>
              <w:tc>
                <w:tcPr>
                  <w:tcW w:w="1470" w:type="dxa"/>
                  <w:vAlign w:val="center"/>
                </w:tcPr>
                <w:p>
                  <w:pPr>
                    <w:jc w:val="center"/>
                    <w:rPr>
                      <w:iCs/>
                      <w:szCs w:val="18"/>
                    </w:rPr>
                  </w:pPr>
                  <w:r>
                    <w:rPr>
                      <w:rFonts w:hint="eastAsia"/>
                      <w:iCs/>
                      <w:szCs w:val="18"/>
                    </w:rPr>
                    <w:t>0.01</w:t>
                  </w:r>
                </w:p>
              </w:tc>
              <w:tc>
                <w:tcPr>
                  <w:tcW w:w="1482" w:type="dxa"/>
                  <w:vAlign w:val="center"/>
                </w:tcPr>
                <w:p>
                  <w:pPr>
                    <w:jc w:val="center"/>
                    <w:rPr>
                      <w:iCs/>
                      <w:szCs w:val="18"/>
                    </w:rPr>
                  </w:pPr>
                  <w:r>
                    <w:rPr>
                      <w:rFonts w:hint="eastAsia"/>
                      <w:iCs/>
                      <w:szCs w:val="18"/>
                    </w:rPr>
                    <w:t>50</w:t>
                  </w:r>
                </w:p>
              </w:tc>
              <w:tc>
                <w:tcPr>
                  <w:tcW w:w="1562" w:type="dxa"/>
                  <w:vAlign w:val="center"/>
                </w:tcPr>
                <w:p>
                  <w:pPr>
                    <w:jc w:val="center"/>
                    <w:rPr>
                      <w:iCs/>
                      <w:szCs w:val="18"/>
                    </w:rPr>
                  </w:pPr>
                  <w:r>
                    <w:rPr>
                      <w:rFonts w:hint="eastAsia"/>
                      <w:iCs/>
                      <w:szCs w:val="18"/>
                    </w:rPr>
                    <w:t>0.0002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43" w:type="dxa"/>
                  <w:gridSpan w:val="5"/>
                  <w:vAlign w:val="center"/>
                </w:tcPr>
                <w:p>
                  <w:pPr>
                    <w:jc w:val="center"/>
                    <w:rPr>
                      <w:iCs/>
                      <w:szCs w:val="18"/>
                    </w:rPr>
                  </w:pPr>
                  <w:r>
                    <w:rPr>
                      <w:iCs/>
                      <w:szCs w:val="18"/>
                    </w:rPr>
                    <w:t>项目Q值Σ</w:t>
                  </w:r>
                </w:p>
              </w:tc>
              <w:tc>
                <w:tcPr>
                  <w:tcW w:w="1562" w:type="dxa"/>
                  <w:vAlign w:val="center"/>
                </w:tcPr>
                <w:p>
                  <w:pPr>
                    <w:jc w:val="center"/>
                    <w:rPr>
                      <w:iCs/>
                      <w:szCs w:val="18"/>
                    </w:rPr>
                  </w:pPr>
                  <w:r>
                    <w:rPr>
                      <w:rFonts w:hint="eastAsia"/>
                      <w:iCs/>
                      <w:szCs w:val="18"/>
                    </w:rPr>
                    <w:t>0.024208</w:t>
                  </w:r>
                </w:p>
              </w:tc>
            </w:tr>
          </w:tbl>
          <w:p>
            <w:pPr>
              <w:autoSpaceDE w:val="0"/>
              <w:autoSpaceDN w:val="0"/>
              <w:adjustRightInd w:val="0"/>
              <w:spacing w:line="360" w:lineRule="auto"/>
              <w:ind w:firstLine="235" w:firstLineChars="98"/>
              <w:rPr>
                <w:color w:val="0D0D0D" w:themeColor="text1" w:themeTint="F2"/>
                <w:sz w:val="24"/>
                <w14:textFill>
                  <w14:solidFill>
                    <w14:schemeClr w14:val="tx1">
                      <w14:lumMod w14:val="95000"/>
                      <w14:lumOff w14:val="5000"/>
                    </w14:schemeClr>
                  </w14:solidFill>
                </w14:textFill>
              </w:rPr>
            </w:pPr>
            <w:r>
              <w:rPr>
                <w:rFonts w:hint="eastAsia" w:hAnsi="宋体"/>
                <w:sz w:val="24"/>
              </w:rPr>
              <w:t>根据</w:t>
            </w:r>
            <w:r>
              <w:rPr>
                <w:rFonts w:hint="eastAsia"/>
                <w:sz w:val="24"/>
              </w:rPr>
              <w:t>导则计算</w:t>
            </w:r>
            <w:r>
              <w:rPr>
                <w:rFonts w:hint="eastAsia" w:hAnsi="宋体"/>
                <w:sz w:val="24"/>
              </w:rPr>
              <w:t>危险物质数量与</w:t>
            </w:r>
            <w:r>
              <w:rPr>
                <w:rFonts w:hint="eastAsia" w:hAnsi="宋体"/>
                <w:color w:val="0D0D0D" w:themeColor="text1" w:themeTint="F2"/>
                <w:sz w:val="24"/>
                <w14:textFill>
                  <w14:solidFill>
                    <w14:schemeClr w14:val="tx1">
                      <w14:lumMod w14:val="95000"/>
                      <w14:lumOff w14:val="5000"/>
                    </w14:schemeClr>
                  </w14:solidFill>
                </w14:textFill>
              </w:rPr>
              <w:t>临界量比值：</w:t>
            </w:r>
            <w:r>
              <w:rPr>
                <w:rFonts w:hAnsi="宋体"/>
                <w:color w:val="0D0D0D" w:themeColor="text1" w:themeTint="F2"/>
                <w:sz w:val="24"/>
                <w14:textFill>
                  <w14:solidFill>
                    <w14:schemeClr w14:val="tx1">
                      <w14:lumMod w14:val="95000"/>
                      <w14:lumOff w14:val="5000"/>
                    </w14:schemeClr>
                  </w14:solidFill>
                </w14:textFill>
              </w:rPr>
              <w:t>Q</w:t>
            </w:r>
            <w:r>
              <w:rPr>
                <w:rFonts w:hint="eastAsia"/>
                <w:color w:val="0D0D0D" w:themeColor="text1" w:themeTint="F2"/>
                <w:sz w:val="24"/>
                <w14:textFill>
                  <w14:solidFill>
                    <w14:schemeClr w14:val="tx1">
                      <w14:lumMod w14:val="95000"/>
                      <w14:lumOff w14:val="5000"/>
                    </w14:schemeClr>
                  </w14:solidFill>
                </w14:textFill>
              </w:rPr>
              <w:t>=0.024208＜1，</w:t>
            </w:r>
          </w:p>
          <w:p>
            <w:pPr>
              <w:spacing w:line="360" w:lineRule="auto"/>
              <w:ind w:firstLine="480" w:firstLineChars="200"/>
              <w:rPr>
                <w:sz w:val="24"/>
              </w:rPr>
            </w:pPr>
            <w:r>
              <w:rPr>
                <w:sz w:val="24"/>
              </w:rPr>
              <w:t>环境风险评价工作等级划分为一级、二级、三级。根据建设项目涉及的物质及工艺系统危险性和所在地的环境敏感性确定环境风险潜势，按照下表确定评价工作等级。风险潜势为Ⅳ及以上，进行一级评价；风险潜势为Ⅲ，进行二级评价；风险潜势为Ⅱ，进行三级评价；风险潜势为Ⅰ，可开展简单分析。</w:t>
            </w:r>
          </w:p>
          <w:p>
            <w:pPr>
              <w:spacing w:before="120" w:beforeLines="50"/>
              <w:jc w:val="center"/>
              <w:rPr>
                <w:b/>
                <w:color w:val="000000"/>
                <w:sz w:val="24"/>
              </w:rPr>
            </w:pPr>
            <w:r>
              <w:rPr>
                <w:b/>
                <w:color w:val="000000"/>
                <w:sz w:val="24"/>
              </w:rPr>
              <w:t>表</w:t>
            </w:r>
            <w:r>
              <w:rPr>
                <w:rFonts w:hint="eastAsia"/>
                <w:b/>
                <w:color w:val="000000"/>
                <w:sz w:val="24"/>
              </w:rPr>
              <w:t>4-19</w:t>
            </w:r>
            <w:r>
              <w:rPr>
                <w:b/>
                <w:color w:val="000000"/>
                <w:sz w:val="24"/>
              </w:rPr>
              <w:t xml:space="preserve">  环境风险评价工作等级</w:t>
            </w:r>
          </w:p>
          <w:tbl>
            <w:tblPr>
              <w:tblStyle w:val="58"/>
              <w:tblW w:w="5000"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autofit"/>
              <w:tblCellMar>
                <w:top w:w="57" w:type="dxa"/>
                <w:left w:w="108" w:type="dxa"/>
                <w:bottom w:w="57" w:type="dxa"/>
                <w:right w:w="108" w:type="dxa"/>
              </w:tblCellMar>
            </w:tblPr>
            <w:tblGrid>
              <w:gridCol w:w="2063"/>
              <w:gridCol w:w="1489"/>
              <w:gridCol w:w="1706"/>
              <w:gridCol w:w="1585"/>
              <w:gridCol w:w="1562"/>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57" w:type="dxa"/>
                  <w:left w:w="108" w:type="dxa"/>
                  <w:bottom w:w="57" w:type="dxa"/>
                  <w:right w:w="108" w:type="dxa"/>
                </w:tblCellMar>
              </w:tblPrEx>
              <w:trPr>
                <w:trHeight w:val="340" w:hRule="atLeast"/>
                <w:tblHeader/>
                <w:jc w:val="center"/>
              </w:trPr>
              <w:tc>
                <w:tcPr>
                  <w:tcW w:w="2243" w:type="dxa"/>
                  <w:shd w:val="clear" w:color="auto" w:fill="auto"/>
                  <w:vAlign w:val="center"/>
                </w:tcPr>
                <w:p>
                  <w:pPr>
                    <w:widowControl/>
                    <w:adjustRightInd w:val="0"/>
                    <w:snapToGrid w:val="0"/>
                    <w:jc w:val="center"/>
                    <w:rPr>
                      <w:szCs w:val="22"/>
                    </w:rPr>
                  </w:pPr>
                  <w:r>
                    <w:rPr>
                      <w:szCs w:val="22"/>
                    </w:rPr>
                    <w:t>环境风险潜势</w:t>
                  </w:r>
                </w:p>
              </w:tc>
              <w:tc>
                <w:tcPr>
                  <w:tcW w:w="1582" w:type="dxa"/>
                  <w:shd w:val="clear" w:color="auto" w:fill="auto"/>
                  <w:vAlign w:val="center"/>
                </w:tcPr>
                <w:p>
                  <w:pPr>
                    <w:widowControl/>
                    <w:adjustRightInd w:val="0"/>
                    <w:snapToGrid w:val="0"/>
                    <w:jc w:val="center"/>
                    <w:rPr>
                      <w:szCs w:val="22"/>
                    </w:rPr>
                  </w:pPr>
                  <w:r>
                    <w:rPr>
                      <w:szCs w:val="22"/>
                    </w:rPr>
                    <w:t>IV、IV</w:t>
                  </w:r>
                  <w:r>
                    <w:rPr>
                      <w:szCs w:val="22"/>
                      <w:vertAlign w:val="superscript"/>
                    </w:rPr>
                    <w:t>+</w:t>
                  </w:r>
                </w:p>
              </w:tc>
              <w:tc>
                <w:tcPr>
                  <w:tcW w:w="1847" w:type="dxa"/>
                  <w:shd w:val="clear" w:color="auto" w:fill="auto"/>
                  <w:vAlign w:val="center"/>
                </w:tcPr>
                <w:p>
                  <w:pPr>
                    <w:widowControl/>
                    <w:adjustRightInd w:val="0"/>
                    <w:snapToGrid w:val="0"/>
                    <w:jc w:val="center"/>
                    <w:rPr>
                      <w:szCs w:val="22"/>
                    </w:rPr>
                  </w:pPr>
                  <w:r>
                    <w:rPr>
                      <w:szCs w:val="22"/>
                    </w:rPr>
                    <w:t>III</w:t>
                  </w:r>
                </w:p>
              </w:tc>
              <w:tc>
                <w:tcPr>
                  <w:tcW w:w="1712" w:type="dxa"/>
                  <w:shd w:val="clear" w:color="auto" w:fill="auto"/>
                  <w:vAlign w:val="center"/>
                </w:tcPr>
                <w:p>
                  <w:pPr>
                    <w:widowControl/>
                    <w:adjustRightInd w:val="0"/>
                    <w:snapToGrid w:val="0"/>
                    <w:jc w:val="center"/>
                    <w:rPr>
                      <w:szCs w:val="22"/>
                    </w:rPr>
                  </w:pPr>
                  <w:r>
                    <w:rPr>
                      <w:szCs w:val="22"/>
                    </w:rPr>
                    <w:t>II</w:t>
                  </w:r>
                </w:p>
              </w:tc>
              <w:tc>
                <w:tcPr>
                  <w:tcW w:w="1687" w:type="dxa"/>
                  <w:shd w:val="clear" w:color="auto" w:fill="auto"/>
                  <w:vAlign w:val="center"/>
                </w:tcPr>
                <w:p>
                  <w:pPr>
                    <w:widowControl/>
                    <w:adjustRightInd w:val="0"/>
                    <w:snapToGrid w:val="0"/>
                    <w:jc w:val="center"/>
                    <w:rPr>
                      <w:szCs w:val="22"/>
                    </w:rPr>
                  </w:pPr>
                  <w:r>
                    <w:rPr>
                      <w:szCs w:val="22"/>
                    </w:rPr>
                    <w:t>I</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57" w:type="dxa"/>
                  <w:left w:w="108" w:type="dxa"/>
                  <w:bottom w:w="57" w:type="dxa"/>
                  <w:right w:w="108" w:type="dxa"/>
                </w:tblCellMar>
              </w:tblPrEx>
              <w:trPr>
                <w:trHeight w:val="340" w:hRule="atLeast"/>
                <w:jc w:val="center"/>
              </w:trPr>
              <w:tc>
                <w:tcPr>
                  <w:tcW w:w="2243" w:type="dxa"/>
                  <w:shd w:val="clear" w:color="auto" w:fill="auto"/>
                  <w:vAlign w:val="center"/>
                </w:tcPr>
                <w:p>
                  <w:pPr>
                    <w:widowControl/>
                    <w:adjustRightInd w:val="0"/>
                    <w:snapToGrid w:val="0"/>
                    <w:jc w:val="center"/>
                    <w:rPr>
                      <w:szCs w:val="22"/>
                    </w:rPr>
                  </w:pPr>
                  <w:r>
                    <w:rPr>
                      <w:szCs w:val="22"/>
                    </w:rPr>
                    <w:t>评价工作等级</w:t>
                  </w:r>
                </w:p>
              </w:tc>
              <w:tc>
                <w:tcPr>
                  <w:tcW w:w="1582" w:type="dxa"/>
                  <w:shd w:val="clear" w:color="auto" w:fill="auto"/>
                  <w:vAlign w:val="center"/>
                </w:tcPr>
                <w:p>
                  <w:pPr>
                    <w:widowControl/>
                    <w:adjustRightInd w:val="0"/>
                    <w:snapToGrid w:val="0"/>
                    <w:jc w:val="center"/>
                    <w:rPr>
                      <w:szCs w:val="22"/>
                    </w:rPr>
                  </w:pPr>
                  <w:r>
                    <w:rPr>
                      <w:szCs w:val="22"/>
                    </w:rPr>
                    <w:t>一</w:t>
                  </w:r>
                </w:p>
              </w:tc>
              <w:tc>
                <w:tcPr>
                  <w:tcW w:w="1847" w:type="dxa"/>
                  <w:shd w:val="clear" w:color="auto" w:fill="auto"/>
                  <w:vAlign w:val="center"/>
                </w:tcPr>
                <w:p>
                  <w:pPr>
                    <w:widowControl/>
                    <w:adjustRightInd w:val="0"/>
                    <w:snapToGrid w:val="0"/>
                    <w:jc w:val="center"/>
                    <w:rPr>
                      <w:szCs w:val="22"/>
                    </w:rPr>
                  </w:pPr>
                  <w:r>
                    <w:rPr>
                      <w:szCs w:val="22"/>
                    </w:rPr>
                    <w:t>二</w:t>
                  </w:r>
                </w:p>
              </w:tc>
              <w:tc>
                <w:tcPr>
                  <w:tcW w:w="1712" w:type="dxa"/>
                  <w:shd w:val="clear" w:color="auto" w:fill="auto"/>
                  <w:vAlign w:val="center"/>
                </w:tcPr>
                <w:p>
                  <w:pPr>
                    <w:widowControl/>
                    <w:adjustRightInd w:val="0"/>
                    <w:snapToGrid w:val="0"/>
                    <w:jc w:val="center"/>
                    <w:rPr>
                      <w:szCs w:val="22"/>
                    </w:rPr>
                  </w:pPr>
                  <w:r>
                    <w:rPr>
                      <w:szCs w:val="22"/>
                    </w:rPr>
                    <w:t>三</w:t>
                  </w:r>
                </w:p>
              </w:tc>
              <w:tc>
                <w:tcPr>
                  <w:tcW w:w="1687" w:type="dxa"/>
                  <w:shd w:val="clear" w:color="auto" w:fill="auto"/>
                  <w:vAlign w:val="center"/>
                </w:tcPr>
                <w:p>
                  <w:pPr>
                    <w:widowControl/>
                    <w:adjustRightInd w:val="0"/>
                    <w:snapToGrid w:val="0"/>
                    <w:jc w:val="center"/>
                    <w:rPr>
                      <w:szCs w:val="22"/>
                    </w:rPr>
                  </w:pPr>
                  <w:r>
                    <w:rPr>
                      <w:szCs w:val="22"/>
                    </w:rPr>
                    <w:t>简单分析</w:t>
                  </w:r>
                </w:p>
              </w:tc>
            </w:tr>
          </w:tbl>
          <w:p>
            <w:pPr>
              <w:autoSpaceDE w:val="0"/>
              <w:autoSpaceDN w:val="0"/>
              <w:adjustRightInd w:val="0"/>
              <w:spacing w:line="360" w:lineRule="auto"/>
              <w:ind w:firstLine="472" w:firstLineChars="197"/>
              <w:rPr>
                <w:color w:val="0D0D0D" w:themeColor="text1" w:themeTint="F2"/>
                <w:sz w:val="24"/>
                <w14:textFill>
                  <w14:solidFill>
                    <w14:schemeClr w14:val="tx1">
                      <w14:lumMod w14:val="95000"/>
                      <w14:lumOff w14:val="5000"/>
                    </w14:schemeClr>
                  </w14:solidFill>
                </w14:textFill>
              </w:rPr>
            </w:pPr>
            <w:r>
              <w:rPr>
                <w:rFonts w:hint="eastAsia"/>
                <w:sz w:val="24"/>
              </w:rPr>
              <w:t>根据上表分析可知，风险潜势为</w:t>
            </w:r>
            <w:r>
              <w:rPr>
                <w:sz w:val="24"/>
              </w:rPr>
              <w:t>I</w:t>
            </w:r>
            <w:r>
              <w:rPr>
                <w:rFonts w:hint="eastAsia"/>
                <w:sz w:val="24"/>
              </w:rPr>
              <w:t>，环境风险评价工作等级划分的规定，可开展简单分析。</w:t>
            </w:r>
          </w:p>
          <w:p>
            <w:pPr>
              <w:autoSpaceDE w:val="0"/>
              <w:autoSpaceDN w:val="0"/>
              <w:spacing w:before="120" w:beforeLines="50" w:line="360" w:lineRule="auto"/>
              <w:ind w:firstLine="480" w:firstLineChars="200"/>
              <w:rPr>
                <w:sz w:val="24"/>
              </w:rPr>
            </w:pPr>
            <w:r>
              <w:rPr>
                <w:rFonts w:hint="eastAsia"/>
                <w:color w:val="0D0D0D" w:themeColor="text1" w:themeTint="F2"/>
                <w:sz w:val="24"/>
                <w14:textFill>
                  <w14:solidFill>
                    <w14:schemeClr w14:val="tx1">
                      <w14:lumMod w14:val="95000"/>
                      <w14:lumOff w14:val="5000"/>
                    </w14:schemeClr>
                  </w14:solidFill>
                </w14:textFill>
              </w:rPr>
              <w:t>2、</w:t>
            </w:r>
            <w:r>
              <w:rPr>
                <w:sz w:val="24"/>
              </w:rPr>
              <w:t>环境风险类型及危害分析</w:t>
            </w:r>
          </w:p>
          <w:p>
            <w:pPr>
              <w:spacing w:line="360" w:lineRule="auto"/>
              <w:ind w:firstLine="480" w:firstLineChars="200"/>
              <w:rPr>
                <w:kern w:val="0"/>
                <w:sz w:val="24"/>
                <w:szCs w:val="20"/>
              </w:rPr>
            </w:pPr>
            <w:r>
              <w:rPr>
                <w:kern w:val="0"/>
                <w:sz w:val="24"/>
                <w:szCs w:val="20"/>
              </w:rPr>
              <w:t>本项目在生产及贮运过程中存在发生泄漏、火灾、爆炸等风险事故的可能性，主要环境风险事故类型及可能产生的后果见下表。</w:t>
            </w:r>
          </w:p>
          <w:p>
            <w:pPr>
              <w:jc w:val="center"/>
              <w:rPr>
                <w:b/>
                <w:kern w:val="0"/>
                <w:sz w:val="24"/>
                <w:szCs w:val="20"/>
              </w:rPr>
            </w:pPr>
            <w:r>
              <w:rPr>
                <w:b/>
                <w:kern w:val="0"/>
                <w:sz w:val="24"/>
                <w:szCs w:val="20"/>
              </w:rPr>
              <w:t>表</w:t>
            </w:r>
            <w:r>
              <w:rPr>
                <w:rFonts w:hint="eastAsia"/>
                <w:b/>
                <w:kern w:val="0"/>
                <w:sz w:val="24"/>
                <w:szCs w:val="20"/>
              </w:rPr>
              <w:t>4</w:t>
            </w:r>
            <w:r>
              <w:rPr>
                <w:b/>
                <w:kern w:val="0"/>
                <w:sz w:val="24"/>
                <w:szCs w:val="20"/>
              </w:rPr>
              <w:t>-</w:t>
            </w:r>
            <w:r>
              <w:rPr>
                <w:rFonts w:hint="eastAsia"/>
                <w:b/>
                <w:kern w:val="0"/>
                <w:sz w:val="24"/>
                <w:szCs w:val="20"/>
              </w:rPr>
              <w:t>20</w:t>
            </w:r>
            <w:r>
              <w:rPr>
                <w:b/>
                <w:kern w:val="0"/>
                <w:sz w:val="24"/>
                <w:szCs w:val="20"/>
              </w:rPr>
              <w:t xml:space="preserve">  本项目环境风险类型及危害分析一览表</w:t>
            </w:r>
          </w:p>
          <w:tbl>
            <w:tblPr>
              <w:tblStyle w:val="5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64"/>
              <w:gridCol w:w="2066"/>
              <w:gridCol w:w="46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autoSpaceDE w:val="0"/>
                    <w:autoSpaceDN w:val="0"/>
                    <w:adjustRightInd w:val="0"/>
                    <w:jc w:val="center"/>
                    <w:rPr>
                      <w:b/>
                      <w:kern w:val="0"/>
                      <w:szCs w:val="21"/>
                    </w:rPr>
                  </w:pPr>
                  <w:r>
                    <w:rPr>
                      <w:b/>
                      <w:kern w:val="0"/>
                      <w:szCs w:val="21"/>
                    </w:rPr>
                    <w:t>风险类型</w:t>
                  </w:r>
                </w:p>
              </w:tc>
              <w:tc>
                <w:tcPr>
                  <w:tcW w:w="2268" w:type="dxa"/>
                  <w:vAlign w:val="center"/>
                </w:tcPr>
                <w:p>
                  <w:pPr>
                    <w:autoSpaceDE w:val="0"/>
                    <w:autoSpaceDN w:val="0"/>
                    <w:adjustRightInd w:val="0"/>
                    <w:jc w:val="center"/>
                    <w:rPr>
                      <w:b/>
                      <w:kern w:val="0"/>
                      <w:szCs w:val="21"/>
                    </w:rPr>
                  </w:pPr>
                  <w:r>
                    <w:rPr>
                      <w:b/>
                      <w:kern w:val="0"/>
                      <w:szCs w:val="21"/>
                    </w:rPr>
                    <w:t>产生原因</w:t>
                  </w:r>
                </w:p>
              </w:tc>
              <w:tc>
                <w:tcPr>
                  <w:tcW w:w="5245" w:type="dxa"/>
                  <w:vAlign w:val="center"/>
                </w:tcPr>
                <w:p>
                  <w:pPr>
                    <w:autoSpaceDE w:val="0"/>
                    <w:autoSpaceDN w:val="0"/>
                    <w:adjustRightInd w:val="0"/>
                    <w:jc w:val="center"/>
                    <w:rPr>
                      <w:b/>
                      <w:kern w:val="0"/>
                      <w:szCs w:val="21"/>
                    </w:rPr>
                  </w:pPr>
                  <w:r>
                    <w:rPr>
                      <w:b/>
                      <w:kern w:val="0"/>
                      <w:szCs w:val="21"/>
                    </w:rPr>
                    <w:t>可能产生的后果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autoSpaceDE w:val="0"/>
                    <w:autoSpaceDN w:val="0"/>
                    <w:adjustRightInd w:val="0"/>
                    <w:jc w:val="center"/>
                    <w:rPr>
                      <w:kern w:val="0"/>
                      <w:szCs w:val="21"/>
                    </w:rPr>
                  </w:pPr>
                  <w:r>
                    <w:rPr>
                      <w:kern w:val="0"/>
                      <w:szCs w:val="21"/>
                    </w:rPr>
                    <w:t>危险物质泄漏</w:t>
                  </w:r>
                </w:p>
              </w:tc>
              <w:tc>
                <w:tcPr>
                  <w:tcW w:w="2268" w:type="dxa"/>
                  <w:vAlign w:val="center"/>
                </w:tcPr>
                <w:p>
                  <w:pPr>
                    <w:autoSpaceDE w:val="0"/>
                    <w:autoSpaceDN w:val="0"/>
                    <w:adjustRightInd w:val="0"/>
                    <w:jc w:val="center"/>
                    <w:rPr>
                      <w:kern w:val="0"/>
                      <w:szCs w:val="21"/>
                    </w:rPr>
                  </w:pPr>
                  <w:r>
                    <w:rPr>
                      <w:kern w:val="0"/>
                      <w:szCs w:val="21"/>
                    </w:rPr>
                    <w:t>人为操作不当；设备缺陷或故障；系统故障等</w:t>
                  </w:r>
                </w:p>
              </w:tc>
              <w:tc>
                <w:tcPr>
                  <w:tcW w:w="5245" w:type="dxa"/>
                  <w:vAlign w:val="center"/>
                </w:tcPr>
                <w:p>
                  <w:pPr>
                    <w:autoSpaceDE w:val="0"/>
                    <w:autoSpaceDN w:val="0"/>
                    <w:adjustRightInd w:val="0"/>
                    <w:jc w:val="center"/>
                    <w:rPr>
                      <w:kern w:val="0"/>
                      <w:szCs w:val="21"/>
                    </w:rPr>
                  </w:pPr>
                  <w:r>
                    <w:rPr>
                      <w:kern w:val="0"/>
                      <w:szCs w:val="21"/>
                    </w:rPr>
                    <w:t>泄露出来的漆渣</w:t>
                  </w:r>
                  <w:r>
                    <w:rPr>
                      <w:rFonts w:hint="eastAsia"/>
                      <w:kern w:val="0"/>
                      <w:szCs w:val="21"/>
                    </w:rPr>
                    <w:t>、润滑油</w:t>
                  </w:r>
                  <w:r>
                    <w:rPr>
                      <w:kern w:val="0"/>
                      <w:szCs w:val="21"/>
                    </w:rPr>
                    <w:t xml:space="preserve">等污染物以及环保设施故障导致废气事故性排放，对空气环境不利影响将增加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autoSpaceDE w:val="0"/>
                    <w:autoSpaceDN w:val="0"/>
                    <w:adjustRightInd w:val="0"/>
                    <w:jc w:val="center"/>
                    <w:rPr>
                      <w:kern w:val="0"/>
                      <w:szCs w:val="21"/>
                    </w:rPr>
                  </w:pPr>
                  <w:r>
                    <w:rPr>
                      <w:kern w:val="0"/>
                      <w:szCs w:val="21"/>
                    </w:rPr>
                    <w:t>火灾、爆炸等引发的伴生/次生污染物排放</w:t>
                  </w:r>
                </w:p>
              </w:tc>
              <w:tc>
                <w:tcPr>
                  <w:tcW w:w="2268" w:type="dxa"/>
                  <w:vAlign w:val="center"/>
                </w:tcPr>
                <w:p>
                  <w:pPr>
                    <w:autoSpaceDE w:val="0"/>
                    <w:autoSpaceDN w:val="0"/>
                    <w:adjustRightInd w:val="0"/>
                    <w:jc w:val="center"/>
                    <w:rPr>
                      <w:kern w:val="0"/>
                      <w:szCs w:val="21"/>
                    </w:rPr>
                  </w:pPr>
                  <w:r>
                    <w:rPr>
                      <w:kern w:val="0"/>
                      <w:szCs w:val="21"/>
                    </w:rPr>
                    <w:t>遇高温或明火</w:t>
                  </w:r>
                </w:p>
              </w:tc>
              <w:tc>
                <w:tcPr>
                  <w:tcW w:w="5245" w:type="dxa"/>
                  <w:vAlign w:val="center"/>
                </w:tcPr>
                <w:p>
                  <w:pPr>
                    <w:autoSpaceDE w:val="0"/>
                    <w:autoSpaceDN w:val="0"/>
                    <w:adjustRightInd w:val="0"/>
                    <w:jc w:val="center"/>
                    <w:rPr>
                      <w:kern w:val="0"/>
                      <w:szCs w:val="21"/>
                    </w:rPr>
                  </w:pPr>
                  <w:r>
                    <w:rPr>
                      <w:rFonts w:hint="eastAsia"/>
                      <w:kern w:val="0"/>
                      <w:szCs w:val="21"/>
                    </w:rPr>
                    <w:t>丙烯酸聚氨酯面漆、环氧富锌防腐底漆、铁红醇酸防锈底漆、润滑油</w:t>
                  </w:r>
                  <w:r>
                    <w:rPr>
                      <w:kern w:val="0"/>
                      <w:szCs w:val="21"/>
                    </w:rPr>
                    <w:t>等易燃物料一旦泄漏，或扩散到爆炸极限内，可引起火灾事故的发生，燃烧产生的废气等将对空气环境造成影响；火灾会产生大量的消防废水，泄漏液体、消防废水不能及时处理或应急措施不当时，事故废水或泄漏物料如不及时进行收集，可能通过雨水管网，进入厂界外环境，将对周边水体造成影响</w:t>
                  </w:r>
                </w:p>
              </w:tc>
            </w:tr>
          </w:tbl>
          <w:p>
            <w:pPr>
              <w:adjustRightInd w:val="0"/>
              <w:snapToGrid w:val="0"/>
              <w:spacing w:before="120" w:beforeLines="50" w:line="360" w:lineRule="auto"/>
              <w:ind w:firstLine="480" w:firstLineChars="200"/>
              <w:rPr>
                <w:kern w:val="24"/>
                <w:sz w:val="24"/>
              </w:rPr>
            </w:pPr>
            <w:r>
              <w:rPr>
                <w:rFonts w:hint="eastAsia"/>
                <w:kern w:val="24"/>
                <w:sz w:val="24"/>
              </w:rPr>
              <w:t>3</w:t>
            </w:r>
            <w:r>
              <w:rPr>
                <w:kern w:val="24"/>
                <w:sz w:val="24"/>
              </w:rPr>
              <w:t>、风险防范措施</w:t>
            </w:r>
          </w:p>
          <w:p>
            <w:pPr>
              <w:adjustRightInd w:val="0"/>
              <w:snapToGrid w:val="0"/>
              <w:spacing w:line="360" w:lineRule="auto"/>
              <w:ind w:firstLine="480" w:firstLineChars="200"/>
              <w:rPr>
                <w:kern w:val="24"/>
                <w:sz w:val="24"/>
              </w:rPr>
            </w:pPr>
            <w:r>
              <w:rPr>
                <w:rFonts w:hint="eastAsia" w:ascii="宋体" w:hAnsi="宋体"/>
                <w:kern w:val="24"/>
                <w:sz w:val="24"/>
              </w:rPr>
              <w:t>①</w:t>
            </w:r>
            <w:r>
              <w:rPr>
                <w:kern w:val="24"/>
                <w:sz w:val="24"/>
              </w:rPr>
              <w:t>危险品贮存要求</w:t>
            </w:r>
          </w:p>
          <w:p>
            <w:pPr>
              <w:autoSpaceDE w:val="0"/>
              <w:autoSpaceDN w:val="0"/>
              <w:adjustRightInd w:val="0"/>
              <w:spacing w:line="360" w:lineRule="auto"/>
              <w:ind w:firstLine="480"/>
              <w:jc w:val="left"/>
              <w:rPr>
                <w:kern w:val="0"/>
                <w:sz w:val="24"/>
                <w:szCs w:val="20"/>
                <w:lang w:val="zh-CN"/>
              </w:rPr>
            </w:pPr>
            <w:r>
              <w:rPr>
                <w:kern w:val="0"/>
                <w:sz w:val="24"/>
                <w:szCs w:val="20"/>
                <w:lang w:val="zh-CN"/>
              </w:rPr>
              <w:t>由于本项目危险废物暂存有一定的贮存量，为避免在贮存环节发生风险事故，应根据相关规范，满足以下要求：</w:t>
            </w:r>
          </w:p>
          <w:p>
            <w:pPr>
              <w:autoSpaceDE w:val="0"/>
              <w:autoSpaceDN w:val="0"/>
              <w:adjustRightInd w:val="0"/>
              <w:spacing w:line="360" w:lineRule="auto"/>
              <w:ind w:firstLine="480"/>
              <w:jc w:val="left"/>
              <w:rPr>
                <w:kern w:val="0"/>
                <w:sz w:val="24"/>
                <w:szCs w:val="20"/>
                <w:lang w:val="zh-CN"/>
              </w:rPr>
            </w:pPr>
            <w:r>
              <w:rPr>
                <w:rFonts w:hint="eastAsia"/>
                <w:kern w:val="0"/>
                <w:sz w:val="24"/>
                <w:szCs w:val="20"/>
                <w:lang w:val="zh-CN"/>
              </w:rPr>
              <w:t>a.</w:t>
            </w:r>
            <w:r>
              <w:rPr>
                <w:kern w:val="0"/>
                <w:sz w:val="24"/>
                <w:szCs w:val="20"/>
                <w:lang w:val="zh-CN"/>
              </w:rPr>
              <w:t>危废暂存仓库应根据分区防渗要求，做好相应的防渗工作。</w:t>
            </w:r>
          </w:p>
          <w:p>
            <w:pPr>
              <w:autoSpaceDE w:val="0"/>
              <w:autoSpaceDN w:val="0"/>
              <w:adjustRightInd w:val="0"/>
              <w:spacing w:line="360" w:lineRule="auto"/>
              <w:ind w:firstLine="480"/>
              <w:jc w:val="left"/>
              <w:rPr>
                <w:kern w:val="0"/>
                <w:sz w:val="24"/>
                <w:szCs w:val="20"/>
                <w:lang w:val="zh-CN"/>
              </w:rPr>
            </w:pPr>
            <w:r>
              <w:rPr>
                <w:rFonts w:hint="eastAsia"/>
                <w:kern w:val="0"/>
                <w:sz w:val="24"/>
                <w:szCs w:val="20"/>
                <w:lang w:val="zh-CN"/>
              </w:rPr>
              <w:t>b.</w:t>
            </w:r>
            <w:r>
              <w:rPr>
                <w:kern w:val="0"/>
                <w:sz w:val="24"/>
                <w:szCs w:val="20"/>
                <w:lang w:val="zh-CN"/>
              </w:rPr>
              <w:t>危废暂存仓库禁火，避免阳光直射、暴晒，远离热源、电源和火源，库房建筑及各种设备均应符合《建筑设计防火规范》中的规定。按化学品不同类别、性质、危险程度、灭火方法等分区分类贮存，并附上明显标示。性质相抵的禁止同库储存。分类存放废电子电器产品的储存场所，禁止无关人员进入。</w:t>
            </w:r>
          </w:p>
          <w:p>
            <w:pPr>
              <w:autoSpaceDE w:val="0"/>
              <w:autoSpaceDN w:val="0"/>
              <w:adjustRightInd w:val="0"/>
              <w:spacing w:line="360" w:lineRule="auto"/>
              <w:ind w:firstLine="480"/>
              <w:jc w:val="left"/>
              <w:rPr>
                <w:kern w:val="0"/>
                <w:sz w:val="24"/>
                <w:szCs w:val="20"/>
                <w:lang w:val="zh-CN"/>
              </w:rPr>
            </w:pPr>
            <w:r>
              <w:rPr>
                <w:rFonts w:hint="eastAsia"/>
                <w:kern w:val="0"/>
                <w:sz w:val="24"/>
                <w:szCs w:val="20"/>
                <w:lang w:val="zh-CN"/>
              </w:rPr>
              <w:t>c.</w:t>
            </w:r>
            <w:r>
              <w:rPr>
                <w:kern w:val="0"/>
                <w:sz w:val="24"/>
                <w:szCs w:val="20"/>
                <w:lang w:val="zh-CN"/>
              </w:rPr>
              <w:t>存放废漆渣的四周应设置导流沟及收集池，在发生事故时可及时将污染物收集。</w:t>
            </w:r>
          </w:p>
          <w:p>
            <w:pPr>
              <w:autoSpaceDE w:val="0"/>
              <w:autoSpaceDN w:val="0"/>
              <w:adjustRightInd w:val="0"/>
              <w:spacing w:line="360" w:lineRule="auto"/>
              <w:ind w:firstLine="482"/>
              <w:jc w:val="left"/>
              <w:rPr>
                <w:kern w:val="0"/>
                <w:sz w:val="24"/>
                <w:szCs w:val="20"/>
                <w:lang w:val="zh-CN"/>
              </w:rPr>
            </w:pPr>
            <w:r>
              <w:rPr>
                <w:rFonts w:hint="eastAsia" w:ascii="宋体" w:hAnsi="宋体"/>
                <w:kern w:val="0"/>
                <w:sz w:val="24"/>
                <w:szCs w:val="20"/>
                <w:lang w:val="zh-CN"/>
              </w:rPr>
              <w:t>②</w:t>
            </w:r>
            <w:r>
              <w:rPr>
                <w:kern w:val="0"/>
                <w:sz w:val="24"/>
                <w:szCs w:val="20"/>
                <w:lang w:val="zh-CN"/>
              </w:rPr>
              <w:t>易燃易爆品贮存区事故风险防范措施</w:t>
            </w:r>
          </w:p>
          <w:p>
            <w:pPr>
              <w:autoSpaceDE w:val="0"/>
              <w:autoSpaceDN w:val="0"/>
              <w:adjustRightInd w:val="0"/>
              <w:spacing w:line="360" w:lineRule="auto"/>
              <w:ind w:firstLine="482"/>
              <w:jc w:val="left"/>
              <w:rPr>
                <w:kern w:val="0"/>
                <w:sz w:val="24"/>
                <w:szCs w:val="20"/>
                <w:lang w:val="zh-CN"/>
              </w:rPr>
            </w:pPr>
            <w:r>
              <w:rPr>
                <w:rFonts w:hint="eastAsia"/>
                <w:kern w:val="0"/>
                <w:sz w:val="24"/>
                <w:szCs w:val="20"/>
                <w:lang w:val="zh-CN"/>
              </w:rPr>
              <w:t>a.</w:t>
            </w:r>
            <w:r>
              <w:rPr>
                <w:kern w:val="0"/>
                <w:sz w:val="24"/>
                <w:szCs w:val="20"/>
                <w:lang w:val="zh-CN"/>
              </w:rPr>
              <w:t>在总平面图布置上，各建筑单体之间要按有关设计规范要求，留有足够的防火间距。特别是化学品仓库，在该区域设置可燃气体报警系统对可燃气体的泄漏和浓度超限进行报警，使用防爆开关电器等以防止火灾事故的发生。虽然本工程生产中使用和储存的危险物不构成重大危险源，其储存地仍应远离水源、居住区等。在设计压力容器设备时，严格执行钢制压力容器设计规范。</w:t>
            </w:r>
          </w:p>
          <w:p>
            <w:pPr>
              <w:autoSpaceDE w:val="0"/>
              <w:autoSpaceDN w:val="0"/>
              <w:adjustRightInd w:val="0"/>
              <w:spacing w:line="360" w:lineRule="auto"/>
              <w:ind w:firstLine="482"/>
              <w:jc w:val="left"/>
              <w:rPr>
                <w:kern w:val="0"/>
                <w:sz w:val="24"/>
                <w:szCs w:val="20"/>
                <w:lang w:val="zh-CN"/>
              </w:rPr>
            </w:pPr>
            <w:r>
              <w:rPr>
                <w:rFonts w:hint="eastAsia"/>
                <w:kern w:val="0"/>
                <w:sz w:val="24"/>
                <w:szCs w:val="20"/>
                <w:lang w:val="zh-CN"/>
              </w:rPr>
              <w:t>b.</w:t>
            </w:r>
            <w:r>
              <w:rPr>
                <w:kern w:val="0"/>
                <w:sz w:val="24"/>
                <w:szCs w:val="20"/>
                <w:lang w:val="zh-CN"/>
              </w:rPr>
              <w:t>贮存区周围设环形消防通道，合理进行竖向布置、排雨水、排洪设计。</w:t>
            </w:r>
          </w:p>
          <w:p>
            <w:pPr>
              <w:adjustRightInd w:val="0"/>
              <w:snapToGrid w:val="0"/>
              <w:spacing w:line="360" w:lineRule="auto"/>
              <w:ind w:firstLine="482"/>
              <w:rPr>
                <w:kern w:val="24"/>
                <w:sz w:val="24"/>
              </w:rPr>
            </w:pPr>
            <w:r>
              <w:rPr>
                <w:rFonts w:hint="eastAsia"/>
                <w:kern w:val="0"/>
                <w:sz w:val="24"/>
                <w:szCs w:val="20"/>
                <w:lang w:val="zh-CN"/>
              </w:rPr>
              <w:t>c.</w:t>
            </w:r>
            <w:r>
              <w:rPr>
                <w:kern w:val="0"/>
                <w:sz w:val="24"/>
                <w:szCs w:val="20"/>
                <w:lang w:val="zh-CN"/>
              </w:rPr>
              <w:t>做好储存瓶防雷、防静电、保护和工作接地设计，满足有关规范要求。</w:t>
            </w:r>
          </w:p>
          <w:p>
            <w:pPr>
              <w:adjustRightInd w:val="0"/>
              <w:snapToGrid w:val="0"/>
              <w:spacing w:line="360" w:lineRule="auto"/>
              <w:ind w:firstLine="482"/>
              <w:rPr>
                <w:kern w:val="24"/>
                <w:sz w:val="24"/>
              </w:rPr>
            </w:pPr>
            <w:r>
              <w:rPr>
                <w:rFonts w:hint="eastAsia" w:ascii="宋体" w:hAnsi="宋体"/>
                <w:kern w:val="24"/>
                <w:sz w:val="24"/>
              </w:rPr>
              <w:t>③</w:t>
            </w:r>
            <w:r>
              <w:rPr>
                <w:kern w:val="24"/>
                <w:sz w:val="24"/>
              </w:rPr>
              <w:t>物质泄露防范措施</w:t>
            </w:r>
          </w:p>
          <w:p>
            <w:pPr>
              <w:autoSpaceDE w:val="0"/>
              <w:autoSpaceDN w:val="0"/>
              <w:adjustRightInd w:val="0"/>
              <w:spacing w:line="360" w:lineRule="auto"/>
              <w:ind w:firstLine="482"/>
              <w:jc w:val="left"/>
              <w:rPr>
                <w:kern w:val="0"/>
                <w:sz w:val="24"/>
                <w:szCs w:val="20"/>
                <w:lang w:val="zh-CN"/>
              </w:rPr>
            </w:pPr>
            <w:r>
              <w:rPr>
                <w:kern w:val="0"/>
                <w:sz w:val="24"/>
                <w:szCs w:val="20"/>
                <w:lang w:val="zh-CN"/>
              </w:rPr>
              <w:t>物质泄漏事故的防治是生产和储运过程中最重要的环节，发生泄漏事故可能引起火灾和爆炸等一系列重大事故。经验表明：设备失灵和人为的操作失误是引发泄漏的主要原因。因此选用良好的设备、精心设计和制造、认真的管理和操作人员的责任心是减少泄漏事故的关键。</w:t>
            </w:r>
          </w:p>
          <w:p>
            <w:pPr>
              <w:autoSpaceDE w:val="0"/>
              <w:autoSpaceDN w:val="0"/>
              <w:adjustRightInd w:val="0"/>
              <w:spacing w:line="360" w:lineRule="auto"/>
              <w:ind w:firstLine="482"/>
              <w:jc w:val="left"/>
              <w:rPr>
                <w:kern w:val="0"/>
                <w:sz w:val="24"/>
                <w:szCs w:val="20"/>
                <w:lang w:val="zh-CN"/>
              </w:rPr>
            </w:pPr>
            <w:r>
              <w:rPr>
                <w:rFonts w:hint="eastAsia" w:ascii="宋体" w:hAnsi="宋体"/>
                <w:kern w:val="0"/>
                <w:sz w:val="24"/>
                <w:szCs w:val="20"/>
                <w:lang w:val="zh-CN"/>
              </w:rPr>
              <w:t>a.</w:t>
            </w:r>
            <w:r>
              <w:rPr>
                <w:kern w:val="0"/>
                <w:sz w:val="24"/>
                <w:szCs w:val="20"/>
                <w:lang w:val="zh-CN"/>
              </w:rPr>
              <w:t>装卸料时要严格按照规章操作，避免泄漏事故的发生；</w:t>
            </w:r>
          </w:p>
          <w:p>
            <w:pPr>
              <w:autoSpaceDE w:val="0"/>
              <w:autoSpaceDN w:val="0"/>
              <w:adjustRightInd w:val="0"/>
              <w:spacing w:line="360" w:lineRule="auto"/>
              <w:ind w:firstLine="482"/>
              <w:jc w:val="left"/>
              <w:rPr>
                <w:kern w:val="0"/>
                <w:sz w:val="24"/>
                <w:szCs w:val="20"/>
                <w:lang w:val="zh-CN"/>
              </w:rPr>
            </w:pPr>
            <w:r>
              <w:rPr>
                <w:rFonts w:hint="eastAsia" w:ascii="宋体" w:hAnsi="宋体"/>
                <w:kern w:val="0"/>
                <w:sz w:val="24"/>
                <w:szCs w:val="20"/>
                <w:lang w:val="zh-CN"/>
              </w:rPr>
              <w:t>b.</w:t>
            </w:r>
            <w:r>
              <w:rPr>
                <w:kern w:val="0"/>
                <w:sz w:val="24"/>
                <w:szCs w:val="20"/>
                <w:lang w:val="zh-CN"/>
              </w:rPr>
              <w:t>加强人员巡查及日常的维护，争取在第一时间发现泄漏事故并将其影响降至最低。</w:t>
            </w:r>
          </w:p>
          <w:p>
            <w:pPr>
              <w:adjustRightInd w:val="0"/>
              <w:snapToGrid w:val="0"/>
              <w:spacing w:line="360" w:lineRule="auto"/>
              <w:ind w:firstLine="480" w:firstLineChars="200"/>
              <w:rPr>
                <w:kern w:val="24"/>
                <w:sz w:val="24"/>
              </w:rPr>
            </w:pPr>
            <w:r>
              <w:rPr>
                <w:rFonts w:hint="eastAsia" w:ascii="宋体" w:hAnsi="宋体"/>
                <w:kern w:val="24"/>
                <w:sz w:val="24"/>
              </w:rPr>
              <w:t>④</w:t>
            </w:r>
            <w:r>
              <w:rPr>
                <w:kern w:val="24"/>
                <w:sz w:val="24"/>
              </w:rPr>
              <w:t>事故火灾风险防范措施</w:t>
            </w:r>
          </w:p>
          <w:p>
            <w:pPr>
              <w:autoSpaceDE w:val="0"/>
              <w:autoSpaceDN w:val="0"/>
              <w:adjustRightInd w:val="0"/>
              <w:spacing w:line="360" w:lineRule="auto"/>
              <w:ind w:firstLine="480"/>
              <w:jc w:val="left"/>
              <w:rPr>
                <w:kern w:val="0"/>
                <w:sz w:val="24"/>
                <w:szCs w:val="20"/>
                <w:lang w:val="zh-CN"/>
              </w:rPr>
            </w:pPr>
            <w:r>
              <w:rPr>
                <w:rFonts w:hint="eastAsia"/>
                <w:kern w:val="0"/>
                <w:sz w:val="24"/>
                <w:szCs w:val="20"/>
                <w:lang w:val="zh-CN"/>
              </w:rPr>
              <w:t>a.</w:t>
            </w:r>
            <w:r>
              <w:rPr>
                <w:kern w:val="0"/>
                <w:sz w:val="24"/>
                <w:szCs w:val="20"/>
                <w:lang w:val="zh-CN"/>
              </w:rPr>
              <w:t>定期对设备、存储仓库进行安全检测，检测内容、时间、人员应有记录保存。安全检测应根据安全性、危险性设定检测频次。</w:t>
            </w:r>
          </w:p>
          <w:p>
            <w:pPr>
              <w:adjustRightInd w:val="0"/>
              <w:snapToGrid w:val="0"/>
              <w:spacing w:line="360" w:lineRule="auto"/>
              <w:ind w:firstLine="480" w:firstLineChars="200"/>
              <w:rPr>
                <w:kern w:val="24"/>
                <w:sz w:val="24"/>
              </w:rPr>
            </w:pPr>
            <w:r>
              <w:rPr>
                <w:rFonts w:hint="eastAsia"/>
                <w:kern w:val="0"/>
                <w:sz w:val="24"/>
                <w:szCs w:val="20"/>
                <w:lang w:val="zh-CN"/>
              </w:rPr>
              <w:t>b.</w:t>
            </w:r>
            <w:r>
              <w:rPr>
                <w:kern w:val="0"/>
                <w:sz w:val="24"/>
                <w:szCs w:val="20"/>
                <w:lang w:val="zh-CN"/>
              </w:rPr>
              <w:t>火源的管理严禁火源进入</w:t>
            </w:r>
            <w:r>
              <w:rPr>
                <w:rFonts w:hint="eastAsia"/>
                <w:kern w:val="0"/>
                <w:sz w:val="24"/>
                <w:szCs w:val="20"/>
                <w:lang w:val="zh-CN"/>
              </w:rPr>
              <w:t>原料</w:t>
            </w:r>
            <w:r>
              <w:rPr>
                <w:kern w:val="0"/>
                <w:sz w:val="24"/>
                <w:szCs w:val="20"/>
                <w:lang w:val="zh-CN"/>
              </w:rPr>
              <w:t>区，对明火严格控制，明火发生源为火柴、打火机等，维修用火控制，对设备维修检查，需进行维修焊接，应经安全部门确认、准许，并有记录在案。机动车在厂内行驶，须安装阻火器，必要设备安装防火、防爆装置。</w:t>
            </w:r>
          </w:p>
          <w:p>
            <w:pPr>
              <w:adjustRightInd w:val="0"/>
              <w:snapToGrid w:val="0"/>
              <w:spacing w:line="360" w:lineRule="auto"/>
              <w:ind w:firstLine="480" w:firstLineChars="200"/>
              <w:rPr>
                <w:kern w:val="24"/>
                <w:sz w:val="24"/>
              </w:rPr>
            </w:pPr>
            <w:r>
              <w:rPr>
                <w:rFonts w:hint="eastAsia" w:ascii="宋体" w:hAnsi="宋体"/>
                <w:kern w:val="24"/>
                <w:sz w:val="24"/>
              </w:rPr>
              <w:t>⑤</w:t>
            </w:r>
            <w:r>
              <w:rPr>
                <w:kern w:val="24"/>
                <w:sz w:val="24"/>
              </w:rPr>
              <w:t>危险物品运输风险事故防范措施</w:t>
            </w:r>
          </w:p>
          <w:p>
            <w:pPr>
              <w:autoSpaceDE w:val="0"/>
              <w:autoSpaceDN w:val="0"/>
              <w:adjustRightInd w:val="0"/>
              <w:spacing w:line="360" w:lineRule="auto"/>
              <w:ind w:firstLine="480"/>
              <w:jc w:val="left"/>
              <w:rPr>
                <w:color w:val="0D0D0D"/>
                <w:kern w:val="0"/>
                <w:sz w:val="24"/>
                <w:szCs w:val="20"/>
                <w:lang w:val="zh-CN"/>
              </w:rPr>
            </w:pPr>
            <w:r>
              <w:rPr>
                <w:rFonts w:hint="eastAsia"/>
                <w:kern w:val="0"/>
                <w:sz w:val="24"/>
                <w:szCs w:val="20"/>
                <w:lang w:val="zh-CN"/>
              </w:rPr>
              <w:t>a.</w:t>
            </w:r>
            <w:r>
              <w:rPr>
                <w:kern w:val="0"/>
                <w:sz w:val="24"/>
                <w:szCs w:val="20"/>
                <w:lang w:val="zh-CN"/>
              </w:rPr>
              <w:t>对危险物品的装卸、转移应由专业人员或经过严格培训的员工来操作建立一套完整的作业操作技术规划，严格遵守操作规定。其中，应专门定制专用的运输箱，所有涉及危险物质运输的车辆必须经过专门的防渗漏、密封处理，严控设计危险物质的各个回收、</w:t>
            </w:r>
            <w:r>
              <w:rPr>
                <w:color w:val="0D0D0D"/>
                <w:kern w:val="0"/>
                <w:sz w:val="24"/>
                <w:szCs w:val="20"/>
                <w:lang w:val="zh-CN"/>
              </w:rPr>
              <w:t>贮存、运输过程的安全；</w:t>
            </w:r>
          </w:p>
          <w:p>
            <w:pPr>
              <w:autoSpaceDE w:val="0"/>
              <w:autoSpaceDN w:val="0"/>
              <w:adjustRightInd w:val="0"/>
              <w:spacing w:line="360" w:lineRule="auto"/>
              <w:ind w:firstLine="480"/>
              <w:jc w:val="left"/>
              <w:rPr>
                <w:color w:val="0D0D0D"/>
                <w:kern w:val="0"/>
                <w:sz w:val="24"/>
                <w:szCs w:val="20"/>
                <w:lang w:val="zh-CN"/>
              </w:rPr>
            </w:pPr>
            <w:r>
              <w:rPr>
                <w:rFonts w:hint="eastAsia"/>
                <w:color w:val="0D0D0D"/>
                <w:kern w:val="0"/>
                <w:sz w:val="24"/>
                <w:szCs w:val="20"/>
                <w:lang w:val="zh-CN"/>
              </w:rPr>
              <w:t>b.</w:t>
            </w:r>
            <w:r>
              <w:rPr>
                <w:color w:val="0D0D0D"/>
                <w:kern w:val="0"/>
                <w:sz w:val="24"/>
                <w:szCs w:val="20"/>
                <w:lang w:val="zh-CN"/>
              </w:rPr>
              <w:t>厂区内危险物品运输主要采用叉车，装卸站进、出口，宜分开设置，当进、出口合用时，站内应设回车场；</w:t>
            </w:r>
          </w:p>
          <w:p>
            <w:pPr>
              <w:autoSpaceDE w:val="0"/>
              <w:autoSpaceDN w:val="0"/>
              <w:adjustRightInd w:val="0"/>
              <w:spacing w:line="360" w:lineRule="auto"/>
              <w:ind w:firstLine="480"/>
              <w:jc w:val="left"/>
              <w:rPr>
                <w:color w:val="0D0D0D"/>
                <w:kern w:val="0"/>
                <w:sz w:val="24"/>
                <w:szCs w:val="20"/>
                <w:lang w:val="zh-CN"/>
              </w:rPr>
            </w:pPr>
            <w:r>
              <w:rPr>
                <w:rFonts w:hint="eastAsia"/>
                <w:color w:val="0D0D0D"/>
                <w:kern w:val="0"/>
                <w:sz w:val="24"/>
                <w:szCs w:val="20"/>
                <w:lang w:val="zh-CN"/>
              </w:rPr>
              <w:t>c.</w:t>
            </w:r>
            <w:r>
              <w:rPr>
                <w:color w:val="0D0D0D"/>
                <w:kern w:val="0"/>
                <w:sz w:val="24"/>
                <w:szCs w:val="20"/>
                <w:lang w:val="zh-CN"/>
              </w:rPr>
              <w:t>装卸站车场应采用现浇混凝土地面，装车时应小心轻放。</w:t>
            </w:r>
          </w:p>
          <w:p>
            <w:pPr>
              <w:spacing w:before="120" w:beforeLines="50" w:line="360" w:lineRule="auto"/>
              <w:ind w:firstLine="480" w:firstLineChars="200"/>
              <w:rPr>
                <w:sz w:val="24"/>
              </w:rPr>
            </w:pPr>
            <w:r>
              <w:rPr>
                <w:rFonts w:hint="eastAsia"/>
                <w:sz w:val="24"/>
              </w:rPr>
              <w:t>4、风险事故应急预案</w:t>
            </w:r>
          </w:p>
          <w:p>
            <w:pPr>
              <w:spacing w:line="360" w:lineRule="auto"/>
              <w:ind w:firstLine="480" w:firstLineChars="200"/>
              <w:rPr>
                <w:sz w:val="24"/>
              </w:rPr>
            </w:pPr>
            <w:r>
              <w:rPr>
                <w:rFonts w:hint="eastAsia"/>
                <w:sz w:val="24"/>
              </w:rPr>
              <w:t>（</w:t>
            </w:r>
            <w:r>
              <w:rPr>
                <w:sz w:val="24"/>
              </w:rPr>
              <w:t>1</w:t>
            </w:r>
            <w:r>
              <w:rPr>
                <w:rFonts w:hint="eastAsia"/>
                <w:sz w:val="24"/>
              </w:rPr>
              <w:t>）应急救援及响应组织机构</w:t>
            </w:r>
          </w:p>
          <w:p>
            <w:pPr>
              <w:spacing w:line="360" w:lineRule="auto"/>
              <w:ind w:firstLine="480" w:firstLineChars="200"/>
              <w:rPr>
                <w:sz w:val="24"/>
              </w:rPr>
            </w:pPr>
            <w:r>
              <w:rPr>
                <w:rFonts w:hint="eastAsia"/>
                <w:sz w:val="24"/>
              </w:rPr>
              <w:t>企业应设立安全科，负责日常安全生产环境管理，安全环保科的主要职责包括：负责应急事故处理预案的制定，落实事故处理岗位责任制，供岗位人员及救险人员应急学习；负责事故现场抢险指挥；负责与环保部门联系，进行应急监测：负责事故后果评价，并报告有关管理部门；协调与上下层次应急预案的衔接关系。</w:t>
            </w:r>
          </w:p>
          <w:p>
            <w:pPr>
              <w:spacing w:line="360" w:lineRule="auto"/>
              <w:ind w:firstLine="480" w:firstLineChars="200"/>
              <w:rPr>
                <w:sz w:val="24"/>
              </w:rPr>
            </w:pPr>
            <w:r>
              <w:rPr>
                <w:rFonts w:hint="eastAsia"/>
                <w:sz w:val="24"/>
              </w:rPr>
              <w:t>（</w:t>
            </w:r>
            <w:r>
              <w:rPr>
                <w:sz w:val="24"/>
              </w:rPr>
              <w:t>2</w:t>
            </w:r>
            <w:r>
              <w:rPr>
                <w:rFonts w:hint="eastAsia"/>
                <w:sz w:val="24"/>
              </w:rPr>
              <w:t>）事故风险及保护目标识别</w:t>
            </w:r>
          </w:p>
          <w:p>
            <w:pPr>
              <w:spacing w:line="360" w:lineRule="auto"/>
              <w:ind w:firstLine="480" w:firstLineChars="200"/>
              <w:rPr>
                <w:sz w:val="24"/>
              </w:rPr>
            </w:pPr>
            <w:r>
              <w:rPr>
                <w:rFonts w:hint="eastAsia"/>
                <w:sz w:val="24"/>
              </w:rPr>
              <w:t>应急预案应包括识别事故风险、可能的影响后果分析、事故发展趋势分析、优先保护的敏感目标与资源等内容，并绘制详细的控制与保护范围图。</w:t>
            </w:r>
          </w:p>
          <w:p>
            <w:pPr>
              <w:spacing w:line="360" w:lineRule="auto"/>
              <w:ind w:firstLine="480" w:firstLineChars="200"/>
              <w:rPr>
                <w:sz w:val="24"/>
              </w:rPr>
            </w:pPr>
            <w:r>
              <w:rPr>
                <w:rFonts w:hint="eastAsia"/>
                <w:sz w:val="24"/>
              </w:rPr>
              <w:t>（</w:t>
            </w:r>
            <w:r>
              <w:rPr>
                <w:sz w:val="24"/>
              </w:rPr>
              <w:t>3</w:t>
            </w:r>
            <w:r>
              <w:rPr>
                <w:rFonts w:hint="eastAsia"/>
                <w:sz w:val="24"/>
              </w:rPr>
              <w:t>）事故现场应急措施</w:t>
            </w:r>
          </w:p>
          <w:p>
            <w:pPr>
              <w:spacing w:line="360" w:lineRule="auto"/>
              <w:ind w:firstLine="480" w:firstLineChars="200"/>
              <w:rPr>
                <w:sz w:val="24"/>
              </w:rPr>
            </w:pPr>
            <w:r>
              <w:rPr>
                <w:rFonts w:hint="eastAsia"/>
                <w:sz w:val="24"/>
              </w:rPr>
              <w:t>企业应配备通讯设备、照明设施、安全防护服装及工具，并设有应急防护设施。根据事故性质，配备现场应急抢救设施。</w:t>
            </w:r>
          </w:p>
          <w:p>
            <w:pPr>
              <w:spacing w:line="360" w:lineRule="auto"/>
              <w:ind w:firstLine="480" w:firstLineChars="200"/>
              <w:rPr>
                <w:sz w:val="24"/>
              </w:rPr>
            </w:pPr>
            <w:r>
              <w:rPr>
                <w:rFonts w:hint="eastAsia"/>
                <w:sz w:val="24"/>
              </w:rPr>
              <w:t>对易燃品装卸配备足够的消防栓、干粉灭火器、泡沫灭火器、砂土覆盖物等，一旦着火，进行现场扑救。</w:t>
            </w:r>
          </w:p>
          <w:p>
            <w:pPr>
              <w:spacing w:line="360" w:lineRule="auto"/>
              <w:ind w:firstLine="480" w:firstLineChars="200"/>
              <w:rPr>
                <w:sz w:val="24"/>
              </w:rPr>
            </w:pPr>
            <w:r>
              <w:rPr>
                <w:rFonts w:hint="eastAsia"/>
                <w:sz w:val="24"/>
              </w:rPr>
              <w:t>液体泄漏事故现场立即隔离泄漏污染区，限制出入，应急处理人员戴自给式呼吸器，穿防酸防碱工作服，不要直接接触泄漏物。</w:t>
            </w:r>
          </w:p>
          <w:p>
            <w:pPr>
              <w:spacing w:line="360" w:lineRule="auto"/>
              <w:ind w:firstLine="480" w:firstLineChars="200"/>
              <w:rPr>
                <w:sz w:val="24"/>
              </w:rPr>
            </w:pPr>
            <w:r>
              <w:rPr>
                <w:rFonts w:hint="eastAsia"/>
                <w:sz w:val="24"/>
              </w:rPr>
              <w:t>清理泄漏时避免扬尘，用洁净铲子收集于洁净、干燥、有盖的容器中。</w:t>
            </w:r>
          </w:p>
          <w:p>
            <w:pPr>
              <w:spacing w:line="360" w:lineRule="auto"/>
              <w:ind w:firstLine="480" w:firstLineChars="200"/>
              <w:rPr>
                <w:sz w:val="24"/>
              </w:rPr>
            </w:pPr>
            <w:r>
              <w:rPr>
                <w:rFonts w:hint="eastAsia"/>
                <w:sz w:val="24"/>
              </w:rPr>
              <w:t>危险废物收集、暂存过程中一旦发生意外事故，收集、暂存、运输单位及相关部门应根据风险程度采取如下揩施：</w:t>
            </w:r>
          </w:p>
          <w:p>
            <w:pPr>
              <w:spacing w:line="360" w:lineRule="auto"/>
              <w:ind w:firstLine="480" w:firstLineChars="200"/>
              <w:rPr>
                <w:sz w:val="24"/>
              </w:rPr>
            </w:pPr>
            <w:r>
              <w:rPr>
                <w:rFonts w:hint="eastAsia"/>
                <w:sz w:val="24"/>
              </w:rPr>
              <w:t>①设立事故警戒线，启动应急预案，并按《环境保护行政主管部门突发环境事件信息报告办法</w:t>
            </w:r>
            <w:r>
              <w:rPr>
                <w:sz w:val="24"/>
              </w:rPr>
              <w:t>(</w:t>
            </w:r>
            <w:r>
              <w:rPr>
                <w:rFonts w:hint="eastAsia"/>
                <w:sz w:val="24"/>
              </w:rPr>
              <w:t>试行</w:t>
            </w:r>
            <w:r>
              <w:rPr>
                <w:sz w:val="24"/>
              </w:rPr>
              <w:t>)</w:t>
            </w:r>
            <w:r>
              <w:rPr>
                <w:rFonts w:hint="eastAsia"/>
                <w:sz w:val="24"/>
              </w:rPr>
              <w:t>》</w:t>
            </w:r>
            <w:r>
              <w:rPr>
                <w:sz w:val="24"/>
              </w:rPr>
              <w:t>(</w:t>
            </w:r>
            <w:r>
              <w:rPr>
                <w:rFonts w:hint="eastAsia"/>
                <w:sz w:val="24"/>
              </w:rPr>
              <w:t>换发</w:t>
            </w:r>
            <w:r>
              <w:rPr>
                <w:sz w:val="24"/>
              </w:rPr>
              <w:t xml:space="preserve">[2006]50 </w:t>
            </w:r>
            <w:r>
              <w:rPr>
                <w:rFonts w:hint="eastAsia"/>
                <w:sz w:val="24"/>
              </w:rPr>
              <w:t>号</w:t>
            </w:r>
            <w:r>
              <w:rPr>
                <w:sz w:val="24"/>
              </w:rPr>
              <w:t>)</w:t>
            </w:r>
            <w:r>
              <w:rPr>
                <w:rFonts w:hint="eastAsia"/>
                <w:sz w:val="24"/>
              </w:rPr>
              <w:t>要求进行报告。</w:t>
            </w:r>
          </w:p>
          <w:p>
            <w:pPr>
              <w:spacing w:line="360" w:lineRule="auto"/>
              <w:ind w:firstLine="480" w:firstLineChars="200"/>
              <w:rPr>
                <w:sz w:val="24"/>
              </w:rPr>
            </w:pPr>
            <w:r>
              <w:rPr>
                <w:rFonts w:hint="eastAsia"/>
                <w:sz w:val="24"/>
              </w:rPr>
              <w:t>②进入现场清理和包装危险废物的人员应受过专业培训，穿着防护服，并佩戴相应的防护用具。</w:t>
            </w:r>
          </w:p>
          <w:p>
            <w:pPr>
              <w:spacing w:line="360" w:lineRule="auto"/>
              <w:ind w:firstLine="480" w:firstLineChars="200"/>
              <w:rPr>
                <w:sz w:val="24"/>
              </w:rPr>
            </w:pPr>
            <w:r>
              <w:rPr>
                <w:rFonts w:hint="eastAsia"/>
                <w:sz w:val="24"/>
              </w:rPr>
              <w:t>③若造成事故的危险废物具有剧毒性、易燃性、爆炸性或高传染性，应立即疏散人群，并请求环境保护、消防、医疗、公安等相关部门支援。</w:t>
            </w:r>
          </w:p>
          <w:p>
            <w:pPr>
              <w:spacing w:line="360" w:lineRule="auto"/>
              <w:ind w:firstLine="480" w:firstLineChars="200"/>
              <w:rPr>
                <w:sz w:val="24"/>
              </w:rPr>
            </w:pPr>
            <w:r>
              <w:rPr>
                <w:rFonts w:hint="eastAsia"/>
                <w:sz w:val="24"/>
              </w:rPr>
              <w:t>④对事故现场受污染的土壤和水体等环境介质应进行相应的清理和修复。</w:t>
            </w:r>
          </w:p>
          <w:p>
            <w:pPr>
              <w:spacing w:line="360" w:lineRule="auto"/>
              <w:ind w:firstLine="480" w:firstLineChars="200"/>
              <w:rPr>
                <w:sz w:val="24"/>
              </w:rPr>
            </w:pPr>
            <w:r>
              <w:rPr>
                <w:rFonts w:hint="eastAsia"/>
                <w:sz w:val="24"/>
              </w:rPr>
              <w:t>⑤清理过程中产生的所有废物均应按危险废物进行管理和处置。</w:t>
            </w:r>
          </w:p>
          <w:p>
            <w:pPr>
              <w:spacing w:line="360" w:lineRule="auto"/>
              <w:ind w:firstLine="480" w:firstLineChars="200"/>
              <w:rPr>
                <w:sz w:val="24"/>
              </w:rPr>
            </w:pPr>
            <w:r>
              <w:rPr>
                <w:rFonts w:hint="eastAsia"/>
                <w:sz w:val="24"/>
              </w:rPr>
              <w:t>（</w:t>
            </w:r>
            <w:r>
              <w:rPr>
                <w:sz w:val="24"/>
              </w:rPr>
              <w:t>4</w:t>
            </w:r>
            <w:r>
              <w:rPr>
                <w:rFonts w:hint="eastAsia"/>
                <w:sz w:val="24"/>
              </w:rPr>
              <w:t>）应急通讯联络</w:t>
            </w:r>
          </w:p>
          <w:p>
            <w:pPr>
              <w:spacing w:line="360" w:lineRule="auto"/>
              <w:ind w:firstLine="480" w:firstLineChars="200"/>
              <w:rPr>
                <w:sz w:val="24"/>
              </w:rPr>
            </w:pPr>
            <w:r>
              <w:rPr>
                <w:rFonts w:hint="eastAsia"/>
                <w:sz w:val="24"/>
              </w:rPr>
              <w:t>事故发生后，现场人员根据应急处理程序，一面进行现场抢救，一面拨打联动报警电话，然后向上级报告，同时指挥现场抢险，上级部门根据事故情况通知相关部门采取措施。</w:t>
            </w:r>
          </w:p>
          <w:p>
            <w:pPr>
              <w:spacing w:line="360" w:lineRule="auto"/>
              <w:ind w:firstLine="480" w:firstLineChars="200"/>
              <w:rPr>
                <w:sz w:val="24"/>
              </w:rPr>
            </w:pPr>
            <w:r>
              <w:rPr>
                <w:rFonts w:hint="eastAsia"/>
                <w:sz w:val="24"/>
              </w:rPr>
              <w:t>（</w:t>
            </w:r>
            <w:r>
              <w:rPr>
                <w:sz w:val="24"/>
              </w:rPr>
              <w:t>5</w:t>
            </w:r>
            <w:r>
              <w:rPr>
                <w:rFonts w:hint="eastAsia"/>
                <w:sz w:val="24"/>
              </w:rPr>
              <w:t>）应急安全保卫措施</w:t>
            </w:r>
          </w:p>
          <w:p>
            <w:pPr>
              <w:spacing w:line="360" w:lineRule="auto"/>
              <w:ind w:firstLine="480" w:firstLineChars="200"/>
              <w:rPr>
                <w:sz w:val="24"/>
              </w:rPr>
            </w:pPr>
            <w:r>
              <w:rPr>
                <w:rFonts w:hint="eastAsia"/>
                <w:sz w:val="24"/>
              </w:rPr>
              <w:t>安全保卫部门接到事故报告后，立即组织人员封锁事故现场，并根据需要组织现场及周围人员紧急疏散撤离。</w:t>
            </w:r>
          </w:p>
          <w:p>
            <w:pPr>
              <w:spacing w:line="360" w:lineRule="auto"/>
              <w:ind w:firstLine="480" w:firstLineChars="200"/>
              <w:rPr>
                <w:sz w:val="24"/>
              </w:rPr>
            </w:pPr>
            <w:r>
              <w:rPr>
                <w:rFonts w:hint="eastAsia"/>
                <w:sz w:val="24"/>
              </w:rPr>
              <w:t>（</w:t>
            </w:r>
            <w:r>
              <w:rPr>
                <w:sz w:val="24"/>
              </w:rPr>
              <w:t>6</w:t>
            </w:r>
            <w:r>
              <w:rPr>
                <w:rFonts w:hint="eastAsia"/>
                <w:sz w:val="24"/>
              </w:rPr>
              <w:t>）应急监测</w:t>
            </w:r>
          </w:p>
          <w:p>
            <w:pPr>
              <w:spacing w:line="360" w:lineRule="auto"/>
              <w:ind w:firstLine="480" w:firstLineChars="200"/>
              <w:rPr>
                <w:sz w:val="24"/>
              </w:rPr>
            </w:pPr>
            <w:r>
              <w:rPr>
                <w:rFonts w:hint="eastAsia"/>
                <w:sz w:val="24"/>
              </w:rPr>
              <w:t>由专业队伍负责对事故现场进行侦察监测，对事故性质、参数与后果进行评估，为指挥部门提供决策依据。</w:t>
            </w:r>
          </w:p>
          <w:p>
            <w:pPr>
              <w:spacing w:line="360" w:lineRule="auto"/>
              <w:ind w:firstLine="480" w:firstLineChars="200"/>
              <w:rPr>
                <w:sz w:val="24"/>
              </w:rPr>
            </w:pPr>
            <w:r>
              <w:rPr>
                <w:rFonts w:hint="eastAsia"/>
                <w:sz w:val="24"/>
              </w:rPr>
              <w:t>（</w:t>
            </w:r>
            <w:r>
              <w:rPr>
                <w:sz w:val="24"/>
              </w:rPr>
              <w:t>7</w:t>
            </w:r>
            <w:r>
              <w:rPr>
                <w:rFonts w:hint="eastAsia"/>
                <w:sz w:val="24"/>
              </w:rPr>
              <w:t>）应急状态的终止与恢复措施</w:t>
            </w:r>
          </w:p>
          <w:p>
            <w:pPr>
              <w:spacing w:line="360" w:lineRule="auto"/>
              <w:ind w:firstLine="480" w:firstLineChars="200"/>
              <w:rPr>
                <w:sz w:val="24"/>
              </w:rPr>
            </w:pPr>
            <w:r>
              <w:rPr>
                <w:rFonts w:hint="eastAsia"/>
                <w:sz w:val="24"/>
              </w:rPr>
              <w:t>应根据各种储存物质的危险特性，规定应急状态终止程序；事故现场善后处理工作及恢复措施；还应负责邻近区域解除事故警戒和恢复措施。</w:t>
            </w:r>
          </w:p>
          <w:p>
            <w:pPr>
              <w:spacing w:line="360" w:lineRule="auto"/>
              <w:ind w:firstLine="480" w:firstLineChars="200"/>
              <w:rPr>
                <w:sz w:val="24"/>
              </w:rPr>
            </w:pPr>
            <w:r>
              <w:rPr>
                <w:rFonts w:hint="eastAsia"/>
                <w:sz w:val="24"/>
              </w:rPr>
              <w:t>（</w:t>
            </w:r>
            <w:r>
              <w:rPr>
                <w:sz w:val="24"/>
              </w:rPr>
              <w:t>8</w:t>
            </w:r>
            <w:r>
              <w:rPr>
                <w:rFonts w:hint="eastAsia"/>
                <w:sz w:val="24"/>
              </w:rPr>
              <w:t>）应急预案的对接与联动</w:t>
            </w:r>
          </w:p>
          <w:p>
            <w:pPr>
              <w:spacing w:line="360" w:lineRule="auto"/>
              <w:ind w:firstLine="480" w:firstLineChars="200"/>
              <w:rPr>
                <w:sz w:val="24"/>
              </w:rPr>
            </w:pPr>
            <w:r>
              <w:rPr>
                <w:rFonts w:hint="eastAsia"/>
                <w:sz w:val="24"/>
              </w:rPr>
              <w:t>企业的应急预案应当符合“企业自救、属地为主，分类管理，分级响应，区域联动”的原则，与所在地地方人民政府突发环境事件应急预案和开发区相衔接。</w:t>
            </w:r>
          </w:p>
          <w:p>
            <w:pPr>
              <w:spacing w:line="360" w:lineRule="auto"/>
              <w:ind w:firstLine="480" w:firstLineChars="200"/>
              <w:rPr>
                <w:sz w:val="24"/>
              </w:rPr>
            </w:pPr>
            <w:r>
              <w:rPr>
                <w:rFonts w:hint="eastAsia"/>
                <w:sz w:val="24"/>
              </w:rPr>
              <w:t>（</w:t>
            </w:r>
            <w:r>
              <w:rPr>
                <w:sz w:val="24"/>
              </w:rPr>
              <w:t>9</w:t>
            </w:r>
            <w:r>
              <w:rPr>
                <w:rFonts w:hint="eastAsia"/>
                <w:sz w:val="24"/>
              </w:rPr>
              <w:t>）应急预案的演习</w:t>
            </w:r>
          </w:p>
          <w:p>
            <w:pPr>
              <w:spacing w:line="360" w:lineRule="auto"/>
              <w:ind w:firstLine="480" w:firstLineChars="200"/>
              <w:rPr>
                <w:sz w:val="24"/>
              </w:rPr>
            </w:pPr>
            <w:r>
              <w:rPr>
                <w:rFonts w:hint="eastAsia"/>
                <w:sz w:val="24"/>
              </w:rPr>
              <w:t>一旦应急计划被确定，应确保所有工人以及外部应急服务机构都了解，并针对危险废物收集、暂存中的易发环节应定期组织应急演练，厂外应急计划与现场应急计划的演练相结合，适当测试其实用性。每次演练之后，负责准备计划的组织或人员应彻底复查此次演以改正应急计划中的缺点和不足。</w:t>
            </w:r>
          </w:p>
          <w:p>
            <w:pPr>
              <w:spacing w:before="120" w:beforeLines="50"/>
              <w:jc w:val="center"/>
              <w:rPr>
                <w:rFonts w:hAnsi="宋体"/>
                <w:b/>
                <w:color w:val="000000"/>
                <w:sz w:val="24"/>
              </w:rPr>
            </w:pPr>
            <w:r>
              <w:rPr>
                <w:rFonts w:hint="eastAsia" w:hAnsi="宋体"/>
                <w:b/>
                <w:color w:val="000000"/>
                <w:sz w:val="24"/>
              </w:rPr>
              <w:t xml:space="preserve">表4-21 </w:t>
            </w:r>
            <w:r>
              <w:rPr>
                <w:rFonts w:hAnsi="宋体"/>
                <w:b/>
                <w:color w:val="000000"/>
                <w:sz w:val="24"/>
              </w:rPr>
              <w:t xml:space="preserve"> </w:t>
            </w:r>
            <w:r>
              <w:rPr>
                <w:rFonts w:hint="eastAsia" w:hAnsi="宋体"/>
                <w:b/>
                <w:color w:val="000000"/>
                <w:sz w:val="24"/>
              </w:rPr>
              <w:t>建设环境风险简单分析内容一览表</w:t>
            </w:r>
          </w:p>
          <w:tbl>
            <w:tblPr>
              <w:tblStyle w:val="5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56"/>
              <w:gridCol w:w="1219"/>
              <w:gridCol w:w="1003"/>
              <w:gridCol w:w="932"/>
              <w:gridCol w:w="40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56"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建设项目名称</w:t>
                  </w:r>
                </w:p>
              </w:tc>
              <w:tc>
                <w:tcPr>
                  <w:tcW w:w="7249" w:type="dxa"/>
                  <w:gridSpan w:val="4"/>
                  <w:shd w:val="clear" w:color="auto" w:fill="auto"/>
                  <w:vAlign w:val="center"/>
                </w:tcPr>
                <w:p>
                  <w:pPr>
                    <w:autoSpaceDE w:val="0"/>
                    <w:autoSpaceDN w:val="0"/>
                    <w:snapToGrid w:val="0"/>
                    <w:jc w:val="center"/>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钢结构及装配式绿色建筑材料改扩建项目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56"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建设地点</w:t>
                  </w:r>
                </w:p>
              </w:tc>
              <w:tc>
                <w:tcPr>
                  <w:tcW w:w="1219" w:type="dxa"/>
                  <w:shd w:val="clear" w:color="auto" w:fill="auto"/>
                  <w:vAlign w:val="center"/>
                </w:tcPr>
                <w:p>
                  <w:pPr>
                    <w:autoSpaceDE w:val="0"/>
                    <w:autoSpaceDN w:val="0"/>
                    <w:snapToGrid w:val="0"/>
                    <w:jc w:val="center"/>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安徽省</w:t>
                  </w:r>
                </w:p>
              </w:tc>
              <w:tc>
                <w:tcPr>
                  <w:tcW w:w="1003" w:type="dxa"/>
                  <w:shd w:val="clear" w:color="auto" w:fill="auto"/>
                  <w:vAlign w:val="center"/>
                </w:tcPr>
                <w:p>
                  <w:pPr>
                    <w:autoSpaceDE w:val="0"/>
                    <w:autoSpaceDN w:val="0"/>
                    <w:snapToGrid w:val="0"/>
                    <w:jc w:val="center"/>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芜湖市</w:t>
                  </w:r>
                </w:p>
              </w:tc>
              <w:tc>
                <w:tcPr>
                  <w:tcW w:w="932" w:type="dxa"/>
                  <w:shd w:val="clear" w:color="auto" w:fill="auto"/>
                  <w:vAlign w:val="center"/>
                </w:tcPr>
                <w:p>
                  <w:pPr>
                    <w:autoSpaceDE w:val="0"/>
                    <w:autoSpaceDN w:val="0"/>
                    <w:snapToGrid w:val="0"/>
                    <w:jc w:val="center"/>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鸠江区</w:t>
                  </w:r>
                </w:p>
              </w:tc>
              <w:tc>
                <w:tcPr>
                  <w:tcW w:w="4095" w:type="dxa"/>
                  <w:shd w:val="clear" w:color="auto" w:fill="auto"/>
                  <w:vAlign w:val="center"/>
                </w:tcPr>
                <w:p>
                  <w:pPr>
                    <w:autoSpaceDE w:val="0"/>
                    <w:autoSpaceDN w:val="0"/>
                    <w:snapToGrid w:val="0"/>
                    <w:ind w:left="-105" w:leftChars="-50" w:right="-105" w:rightChars="-50"/>
                    <w:jc w:val="center"/>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经济开发区官陡门路和富强路交叉口东北侧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56"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地理坐标</w:t>
                  </w:r>
                </w:p>
              </w:tc>
              <w:tc>
                <w:tcPr>
                  <w:tcW w:w="3154" w:type="dxa"/>
                  <w:gridSpan w:val="3"/>
                  <w:shd w:val="clear" w:color="auto" w:fill="auto"/>
                  <w:vAlign w:val="center"/>
                </w:tcPr>
                <w:p>
                  <w:pPr>
                    <w:autoSpaceDE w:val="0"/>
                    <w:autoSpaceDN w:val="0"/>
                    <w:snapToGrid w:val="0"/>
                    <w:jc w:val="center"/>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东经E118°28′37.859″</w:t>
                  </w:r>
                </w:p>
              </w:tc>
              <w:tc>
                <w:tcPr>
                  <w:tcW w:w="4095" w:type="dxa"/>
                  <w:shd w:val="clear" w:color="auto" w:fill="auto"/>
                  <w:vAlign w:val="center"/>
                </w:tcPr>
                <w:p>
                  <w:pPr>
                    <w:autoSpaceDE w:val="0"/>
                    <w:autoSpaceDN w:val="0"/>
                    <w:snapToGrid w:val="0"/>
                    <w:jc w:val="center"/>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北纬N31°23′17.255″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156" w:type="dxa"/>
                  <w:shd w:val="clear" w:color="auto" w:fill="auto"/>
                  <w:vAlign w:val="center"/>
                </w:tcPr>
                <w:p>
                  <w:pPr>
                    <w:snapToGrid w:val="0"/>
                    <w:ind w:left="-105" w:leftChars="-50" w:right="-105" w:rightChars="-5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主要危险物质及分布</w:t>
                  </w:r>
                </w:p>
              </w:tc>
              <w:tc>
                <w:tcPr>
                  <w:tcW w:w="7249" w:type="dxa"/>
                  <w:gridSpan w:val="4"/>
                  <w:shd w:val="clear" w:color="auto" w:fill="auto"/>
                  <w:vAlign w:val="center"/>
                </w:tcPr>
                <w:p>
                  <w:pPr>
                    <w:snapToGrid w:val="0"/>
                    <w:jc w:val="center"/>
                    <w:rPr>
                      <w:color w:val="0D0D0D" w:themeColor="text1" w:themeTint="F2"/>
                      <w:szCs w:val="21"/>
                      <w14:textFill>
                        <w14:solidFill>
                          <w14:schemeClr w14:val="tx1">
                            <w14:lumMod w14:val="95000"/>
                            <w14:lumOff w14:val="5000"/>
                          </w14:schemeClr>
                        </w14:solidFill>
                      </w14:textFill>
                    </w:rPr>
                  </w:pPr>
                  <w:r>
                    <w:rPr>
                      <w:rFonts w:hint="eastAsia"/>
                      <w:kern w:val="0"/>
                      <w:szCs w:val="21"/>
                    </w:rPr>
                    <w:t>环氧富锌底漆、铁红醇酸防锈底漆、丙烯酸聚氨酯面漆、稀释剂、固化剂及</w:t>
                  </w:r>
                  <w:r>
                    <w:rPr>
                      <w:rFonts w:hint="eastAsia"/>
                      <w:color w:val="0D0D0D" w:themeColor="text1" w:themeTint="F2"/>
                      <w:szCs w:val="21"/>
                      <w14:textFill>
                        <w14:solidFill>
                          <w14:schemeClr w14:val="tx1">
                            <w14:lumMod w14:val="95000"/>
                            <w14:lumOff w14:val="5000"/>
                          </w14:schemeClr>
                        </w14:solidFill>
                      </w14:textFill>
                    </w:rPr>
                    <w:t>润滑油分布于原料区，</w:t>
                  </w:r>
                  <w:r>
                    <w:rPr>
                      <w:rFonts w:hint="eastAsia" w:hAnsi="宋体"/>
                      <w:color w:val="0D0D0D" w:themeColor="text1" w:themeTint="F2"/>
                      <w:szCs w:val="21"/>
                      <w14:textFill>
                        <w14:solidFill>
                          <w14:schemeClr w14:val="tx1">
                            <w14:lumMod w14:val="95000"/>
                            <w14:lumOff w14:val="5000"/>
                          </w14:schemeClr>
                        </w14:solidFill>
                      </w14:textFill>
                    </w:rPr>
                    <w:t>最大储存量分别为0.2t、0.2t、0.5t、0.2t、0.1t、0.02t；漆渣分布于危废暂存间，最大储存量为0.01t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1156"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环境影响途径及危害后果（大气、地表水、地下水等）</w:t>
                  </w:r>
                </w:p>
              </w:tc>
              <w:tc>
                <w:tcPr>
                  <w:tcW w:w="7249" w:type="dxa"/>
                  <w:gridSpan w:val="4"/>
                  <w:shd w:val="clear" w:color="auto" w:fill="auto"/>
                  <w:vAlign w:val="center"/>
                </w:tcPr>
                <w:p>
                  <w:pPr>
                    <w:autoSpaceDE w:val="0"/>
                    <w:autoSpaceDN w:val="0"/>
                    <w:snapToGrid w:val="0"/>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污染大气环境：车间发生火灾、爆炸事故时，燃烧产生的</w:t>
                  </w:r>
                  <w:r>
                    <w:rPr>
                      <w:rFonts w:hAnsi="宋体"/>
                      <w:color w:val="0D0D0D" w:themeColor="text1" w:themeTint="F2"/>
                      <w:szCs w:val="21"/>
                      <w14:textFill>
                        <w14:solidFill>
                          <w14:schemeClr w14:val="tx1">
                            <w14:lumMod w14:val="95000"/>
                            <w14:lumOff w14:val="5000"/>
                          </w14:schemeClr>
                        </w14:solidFill>
                      </w14:textFill>
                    </w:rPr>
                    <w:t>CO</w:t>
                  </w:r>
                  <w:r>
                    <w:rPr>
                      <w:rFonts w:hint="eastAsia" w:hAnsi="宋体"/>
                      <w:color w:val="0D0D0D" w:themeColor="text1" w:themeTint="F2"/>
                      <w:szCs w:val="21"/>
                      <w14:textFill>
                        <w14:solidFill>
                          <w14:schemeClr w14:val="tx1">
                            <w14:lumMod w14:val="95000"/>
                            <w14:lumOff w14:val="5000"/>
                          </w14:schemeClr>
                        </w14:solidFill>
                      </w14:textFill>
                    </w:rPr>
                    <w:t>、烟尘产物等进入大气，将对空气环境造成影响。</w:t>
                  </w:r>
                </w:p>
                <w:p>
                  <w:pPr>
                    <w:autoSpaceDE w:val="0"/>
                    <w:autoSpaceDN w:val="0"/>
                    <w:snapToGrid w:val="0"/>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污染地表水环境：</w:t>
                  </w:r>
                  <w:r>
                    <w:rPr>
                      <w:rFonts w:hint="eastAsia" w:ascii="宋体" w:cs="宋体"/>
                      <w:color w:val="0D0D0D" w:themeColor="text1" w:themeTint="F2"/>
                      <w:szCs w:val="21"/>
                      <w14:textFill>
                        <w14:solidFill>
                          <w14:schemeClr w14:val="tx1">
                            <w14:lumMod w14:val="95000"/>
                            <w14:lumOff w14:val="5000"/>
                          </w14:schemeClr>
                        </w14:solidFill>
                      </w14:textFill>
                    </w:rPr>
                    <w:t>车间发生火灾会产生大量的消防废水，消防废水或泄漏物料如不及时进行收集，可能通过雨水管网，进入厂界外环境，</w:t>
                  </w:r>
                  <w:r>
                    <w:rPr>
                      <w:rFonts w:hint="eastAsia" w:hAnsi="宋体"/>
                      <w:color w:val="0D0D0D" w:themeColor="text1" w:themeTint="F2"/>
                      <w:szCs w:val="21"/>
                      <w14:textFill>
                        <w14:solidFill>
                          <w14:schemeClr w14:val="tx1">
                            <w14:lumMod w14:val="95000"/>
                            <w14:lumOff w14:val="5000"/>
                          </w14:schemeClr>
                        </w14:solidFill>
                      </w14:textFill>
                    </w:rPr>
                    <w:t>将对周边水体造成影响。</w:t>
                  </w:r>
                </w:p>
                <w:p>
                  <w:pPr>
                    <w:autoSpaceDE w:val="0"/>
                    <w:autoSpaceDN w:val="0"/>
                    <w:snapToGrid w:val="0"/>
                    <w:rPr>
                      <w:rFonts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污染地下水环境：有毒有害物质在储存或厂内转移过程中由于操作不当、防渗材料破裂等原因将对地下水环境造成影响。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56" w:type="dxa"/>
                  <w:shd w:val="clear" w:color="auto" w:fill="auto"/>
                  <w:vAlign w:val="center"/>
                </w:tcPr>
                <w:p>
                  <w:pPr>
                    <w:snapToGrid w:val="0"/>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风险防范</w:t>
                  </w:r>
                  <w:r>
                    <w:rPr>
                      <w:rFonts w:hint="eastAsia"/>
                      <w:b/>
                      <w:color w:val="0D0D0D" w:themeColor="text1" w:themeTint="F2"/>
                      <w:szCs w:val="21"/>
                      <w14:textFill>
                        <w14:solidFill>
                          <w14:schemeClr w14:val="tx1">
                            <w14:lumMod w14:val="95000"/>
                            <w14:lumOff w14:val="5000"/>
                          </w14:schemeClr>
                        </w14:solidFill>
                      </w14:textFill>
                    </w:rPr>
                    <w:t>要求</w:t>
                  </w:r>
                </w:p>
              </w:tc>
              <w:tc>
                <w:tcPr>
                  <w:tcW w:w="7249" w:type="dxa"/>
                  <w:gridSpan w:val="4"/>
                  <w:shd w:val="clear" w:color="auto" w:fill="auto"/>
                  <w:vAlign w:val="center"/>
                </w:tcPr>
                <w:p>
                  <w:pPr>
                    <w:snapToGrid w:val="0"/>
                    <w:jc w:val="left"/>
                    <w:rPr>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总图及建筑风险防范，建设火灾报警系统，加强生产管理。并配备风险防范物资，建设事故池，制定突发环境事件应急预案并定期</w:t>
                  </w:r>
                  <w:r>
                    <w:rPr>
                      <w:color w:val="0D0D0D" w:themeColor="text1" w:themeTint="F2"/>
                      <w:szCs w:val="21"/>
                      <w14:textFill>
                        <w14:solidFill>
                          <w14:schemeClr w14:val="tx1">
                            <w14:lumMod w14:val="95000"/>
                            <w14:lumOff w14:val="5000"/>
                          </w14:schemeClr>
                        </w14:solidFill>
                      </w14:textFill>
                    </w:rPr>
                    <w:t>演练</w:t>
                  </w:r>
                </w:p>
              </w:tc>
            </w:tr>
          </w:tbl>
          <w:p>
            <w:pPr>
              <w:autoSpaceDE w:val="0"/>
              <w:autoSpaceDN w:val="0"/>
              <w:adjustRightInd w:val="0"/>
              <w:spacing w:line="360" w:lineRule="auto"/>
              <w:ind w:firstLine="482" w:firstLineChars="200"/>
              <w:jc w:val="left"/>
              <w:rPr>
                <w:rFonts w:cs="宋体"/>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shd w:val="clear" w:color="auto" w:fill="auto"/>
          </w:tcPr>
          <w:p>
            <w:pPr>
              <w:tabs>
                <w:tab w:val="left" w:pos="1077"/>
              </w:tabs>
              <w:rPr>
                <w:rFonts w:cs="宋体"/>
                <w:color w:val="000000"/>
                <w:sz w:val="24"/>
              </w:rPr>
            </w:pPr>
          </w:p>
        </w:tc>
        <w:tc>
          <w:tcPr>
            <w:tcW w:w="8629" w:type="dxa"/>
            <w:shd w:val="clear" w:color="auto" w:fill="auto"/>
          </w:tcPr>
          <w:p>
            <w:pPr>
              <w:spacing w:before="120" w:beforeLines="50" w:line="360" w:lineRule="auto"/>
              <w:ind w:firstLine="482" w:firstLineChars="200"/>
              <w:rPr>
                <w:b/>
                <w:color w:val="000000"/>
                <w:sz w:val="24"/>
                <w:szCs w:val="20"/>
              </w:rPr>
            </w:pPr>
            <w:r>
              <w:rPr>
                <w:rFonts w:hint="eastAsia"/>
                <w:b/>
                <w:color w:val="000000"/>
                <w:sz w:val="24"/>
                <w:szCs w:val="20"/>
              </w:rPr>
              <w:t>七、</w:t>
            </w:r>
            <w:r>
              <w:rPr>
                <w:b/>
                <w:color w:val="000000"/>
                <w:sz w:val="24"/>
                <w:szCs w:val="20"/>
              </w:rPr>
              <w:t>环境</w:t>
            </w:r>
            <w:r>
              <w:rPr>
                <w:rFonts w:hint="eastAsia"/>
                <w:b/>
                <w:color w:val="000000"/>
                <w:sz w:val="24"/>
                <w:szCs w:val="20"/>
              </w:rPr>
              <w:t>管理</w:t>
            </w:r>
          </w:p>
          <w:p>
            <w:pPr>
              <w:widowControl/>
              <w:spacing w:line="360" w:lineRule="auto"/>
              <w:ind w:firstLine="482" w:firstLineChars="200"/>
              <w:jc w:val="left"/>
              <w:rPr>
                <w:b/>
                <w:color w:val="0D0D0D"/>
                <w:kern w:val="0"/>
                <w:sz w:val="24"/>
              </w:rPr>
            </w:pPr>
            <w:r>
              <w:rPr>
                <w:rFonts w:hint="eastAsia"/>
                <w:b/>
                <w:color w:val="0D0D0D"/>
                <w:kern w:val="0"/>
                <w:sz w:val="24"/>
              </w:rPr>
              <w:t>1、环境管理监测计划</w:t>
            </w:r>
          </w:p>
          <w:p>
            <w:pPr>
              <w:spacing w:line="360" w:lineRule="auto"/>
              <w:ind w:firstLine="450"/>
              <w:rPr>
                <w:color w:val="000000"/>
                <w:sz w:val="24"/>
              </w:rPr>
            </w:pPr>
            <w:r>
              <w:rPr>
                <w:rFonts w:hint="eastAsia"/>
                <w:color w:val="000000"/>
                <w:sz w:val="24"/>
              </w:rPr>
              <w:t>厂内应定期进行环境监测，</w:t>
            </w:r>
            <w:r>
              <w:rPr>
                <w:color w:val="000000"/>
                <w:sz w:val="24"/>
              </w:rPr>
              <w:t>参照《排污单位自行监测技术指南 总则》（HJ819-2017）的相关要求，排污单位可自行或委托第三方监测机构开展监测工作，并安排专人专职对监测数据进行记录、整理、统计和分析。排污单位对监测结果的真实性、准确性、完整性负责。</w:t>
            </w:r>
          </w:p>
          <w:p>
            <w:pPr>
              <w:spacing w:line="360" w:lineRule="auto"/>
              <w:ind w:firstLine="450"/>
              <w:rPr>
                <w:color w:val="000000"/>
                <w:sz w:val="24"/>
                <w:szCs w:val="20"/>
              </w:rPr>
            </w:pPr>
            <w:r>
              <w:rPr>
                <w:color w:val="000000"/>
                <w:sz w:val="24"/>
                <w:szCs w:val="20"/>
              </w:rPr>
              <w:t>本项目运营期环境监测计划见下表。</w:t>
            </w:r>
            <w:bookmarkStart w:id="7" w:name="_Ref368512661"/>
          </w:p>
          <w:p>
            <w:pPr>
              <w:widowControl/>
              <w:adjustRightInd w:val="0"/>
              <w:snapToGrid w:val="0"/>
              <w:jc w:val="center"/>
              <w:textAlignment w:val="baseline"/>
              <w:rPr>
                <w:b/>
                <w:color w:val="000000"/>
                <w:kern w:val="0"/>
                <w:sz w:val="24"/>
              </w:rPr>
            </w:pPr>
            <w:r>
              <w:rPr>
                <w:b/>
                <w:color w:val="000000"/>
                <w:kern w:val="0"/>
                <w:sz w:val="24"/>
              </w:rPr>
              <w:t>表</w:t>
            </w:r>
            <w:r>
              <w:rPr>
                <w:rFonts w:hint="eastAsia"/>
                <w:b/>
                <w:color w:val="000000"/>
                <w:kern w:val="0"/>
                <w:sz w:val="24"/>
              </w:rPr>
              <w:t>4-22</w:t>
            </w:r>
            <w:r>
              <w:rPr>
                <w:b/>
                <w:color w:val="000000"/>
                <w:kern w:val="0"/>
                <w:sz w:val="24"/>
              </w:rPr>
              <w:t xml:space="preserve"> 项目运营期环境监控计划一览表</w:t>
            </w:r>
          </w:p>
          <w:tbl>
            <w:tblPr>
              <w:tblStyle w:val="5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293"/>
              <w:gridCol w:w="2943"/>
              <w:gridCol w:w="2126"/>
              <w:gridCol w:w="13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424" w:type="pct"/>
                  <w:shd w:val="clear" w:color="auto" w:fill="auto"/>
                  <w:vAlign w:val="center"/>
                </w:tcPr>
                <w:p>
                  <w:pPr>
                    <w:widowControl/>
                    <w:jc w:val="center"/>
                    <w:rPr>
                      <w:b/>
                      <w:color w:val="000000"/>
                      <w:kern w:val="0"/>
                      <w:szCs w:val="21"/>
                    </w:rPr>
                  </w:pPr>
                  <w:r>
                    <w:rPr>
                      <w:b/>
                      <w:color w:val="000000"/>
                      <w:kern w:val="0"/>
                      <w:szCs w:val="21"/>
                    </w:rPr>
                    <w:t>类别</w:t>
                  </w:r>
                </w:p>
              </w:tc>
              <w:tc>
                <w:tcPr>
                  <w:tcW w:w="769" w:type="pct"/>
                  <w:vAlign w:val="center"/>
                </w:tcPr>
                <w:p>
                  <w:pPr>
                    <w:widowControl/>
                    <w:jc w:val="center"/>
                    <w:rPr>
                      <w:b/>
                      <w:color w:val="000000"/>
                      <w:kern w:val="0"/>
                      <w:szCs w:val="21"/>
                    </w:rPr>
                  </w:pPr>
                  <w:r>
                    <w:rPr>
                      <w:b/>
                      <w:color w:val="000000"/>
                      <w:kern w:val="0"/>
                      <w:szCs w:val="21"/>
                    </w:rPr>
                    <w:t>排放口类型</w:t>
                  </w:r>
                </w:p>
              </w:tc>
              <w:tc>
                <w:tcPr>
                  <w:tcW w:w="1750" w:type="pct"/>
                  <w:shd w:val="clear" w:color="auto" w:fill="auto"/>
                  <w:vAlign w:val="center"/>
                </w:tcPr>
                <w:p>
                  <w:pPr>
                    <w:widowControl/>
                    <w:jc w:val="center"/>
                    <w:rPr>
                      <w:b/>
                      <w:color w:val="000000"/>
                      <w:kern w:val="0"/>
                      <w:szCs w:val="21"/>
                    </w:rPr>
                  </w:pPr>
                  <w:r>
                    <w:rPr>
                      <w:b/>
                      <w:color w:val="000000"/>
                      <w:kern w:val="0"/>
                      <w:szCs w:val="21"/>
                    </w:rPr>
                    <w:t>监测点位</w:t>
                  </w:r>
                </w:p>
              </w:tc>
              <w:tc>
                <w:tcPr>
                  <w:tcW w:w="1264" w:type="pct"/>
                  <w:shd w:val="clear" w:color="auto" w:fill="auto"/>
                  <w:vAlign w:val="center"/>
                </w:tcPr>
                <w:p>
                  <w:pPr>
                    <w:widowControl/>
                    <w:jc w:val="center"/>
                    <w:rPr>
                      <w:b/>
                      <w:color w:val="000000"/>
                      <w:kern w:val="0"/>
                      <w:szCs w:val="21"/>
                    </w:rPr>
                  </w:pPr>
                  <w:r>
                    <w:rPr>
                      <w:b/>
                      <w:color w:val="000000"/>
                      <w:kern w:val="0"/>
                      <w:szCs w:val="21"/>
                    </w:rPr>
                    <w:t>监测项目</w:t>
                  </w:r>
                </w:p>
              </w:tc>
              <w:tc>
                <w:tcPr>
                  <w:tcW w:w="791" w:type="pct"/>
                  <w:shd w:val="clear" w:color="auto" w:fill="auto"/>
                  <w:vAlign w:val="center"/>
                </w:tcPr>
                <w:p>
                  <w:pPr>
                    <w:widowControl/>
                    <w:jc w:val="center"/>
                    <w:rPr>
                      <w:b/>
                      <w:color w:val="000000"/>
                      <w:kern w:val="0"/>
                      <w:szCs w:val="21"/>
                    </w:rPr>
                  </w:pPr>
                  <w:r>
                    <w:rPr>
                      <w:b/>
                      <w:color w:val="000000"/>
                      <w:kern w:val="0"/>
                      <w:szCs w:val="21"/>
                    </w:rPr>
                    <w:t>最低</w:t>
                  </w:r>
                </w:p>
                <w:p>
                  <w:pPr>
                    <w:widowControl/>
                    <w:jc w:val="center"/>
                    <w:rPr>
                      <w:b/>
                      <w:color w:val="000000"/>
                      <w:kern w:val="0"/>
                      <w:szCs w:val="21"/>
                    </w:rPr>
                  </w:pPr>
                  <w:r>
                    <w:rPr>
                      <w:b/>
                      <w:color w:val="000000"/>
                      <w:kern w:val="0"/>
                      <w:szCs w:val="21"/>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restart"/>
                  <w:shd w:val="clear" w:color="auto" w:fill="auto"/>
                  <w:vAlign w:val="center"/>
                </w:tcPr>
                <w:p>
                  <w:pPr>
                    <w:widowControl/>
                    <w:autoSpaceDE w:val="0"/>
                    <w:autoSpaceDN w:val="0"/>
                    <w:adjustRightInd w:val="0"/>
                    <w:jc w:val="center"/>
                    <w:rPr>
                      <w:color w:val="000000"/>
                      <w:kern w:val="0"/>
                      <w:szCs w:val="21"/>
                    </w:rPr>
                  </w:pPr>
                  <w:r>
                    <w:rPr>
                      <w:color w:val="000000"/>
                      <w:kern w:val="0"/>
                      <w:szCs w:val="21"/>
                    </w:rPr>
                    <w:t>废气</w:t>
                  </w:r>
                </w:p>
              </w:tc>
              <w:tc>
                <w:tcPr>
                  <w:tcW w:w="769" w:type="pct"/>
                  <w:vAlign w:val="center"/>
                </w:tcPr>
                <w:p>
                  <w:pPr>
                    <w:widowControl/>
                    <w:jc w:val="center"/>
                    <w:rPr>
                      <w:color w:val="000000"/>
                      <w:kern w:val="0"/>
                      <w:szCs w:val="21"/>
                    </w:rPr>
                  </w:pPr>
                  <w:r>
                    <w:rPr>
                      <w:color w:val="000000"/>
                      <w:kern w:val="0"/>
                      <w:szCs w:val="21"/>
                    </w:rPr>
                    <w:t>一般排放口</w:t>
                  </w:r>
                </w:p>
              </w:tc>
              <w:tc>
                <w:tcPr>
                  <w:tcW w:w="1750" w:type="pct"/>
                  <w:shd w:val="clear" w:color="auto" w:fill="auto"/>
                  <w:vAlign w:val="center"/>
                </w:tcPr>
                <w:p>
                  <w:pPr>
                    <w:widowControl/>
                    <w:jc w:val="center"/>
                    <w:rPr>
                      <w:color w:val="000000"/>
                      <w:kern w:val="0"/>
                      <w:szCs w:val="21"/>
                    </w:rPr>
                  </w:pPr>
                  <w:r>
                    <w:rPr>
                      <w:rFonts w:hint="eastAsia"/>
                      <w:color w:val="000000"/>
                      <w:kern w:val="0"/>
                      <w:szCs w:val="21"/>
                    </w:rPr>
                    <w:t>喷砂粉尘</w:t>
                  </w:r>
                  <w:r>
                    <w:rPr>
                      <w:color w:val="000000"/>
                      <w:kern w:val="0"/>
                      <w:szCs w:val="21"/>
                    </w:rPr>
                    <w:t>净化设施进口、出口（DA00</w:t>
                  </w:r>
                  <w:r>
                    <w:rPr>
                      <w:rFonts w:hint="eastAsia"/>
                      <w:color w:val="000000"/>
                      <w:kern w:val="0"/>
                      <w:szCs w:val="21"/>
                    </w:rPr>
                    <w:t>3）</w:t>
                  </w:r>
                </w:p>
              </w:tc>
              <w:tc>
                <w:tcPr>
                  <w:tcW w:w="1264" w:type="pct"/>
                  <w:shd w:val="clear" w:color="auto" w:fill="auto"/>
                  <w:vAlign w:val="center"/>
                </w:tcPr>
                <w:p>
                  <w:pPr>
                    <w:widowControl/>
                    <w:jc w:val="center"/>
                    <w:rPr>
                      <w:b/>
                      <w:color w:val="000000"/>
                      <w:kern w:val="0"/>
                      <w:szCs w:val="21"/>
                    </w:rPr>
                  </w:pPr>
                  <w:r>
                    <w:rPr>
                      <w:color w:val="000000"/>
                      <w:kern w:val="0"/>
                      <w:szCs w:val="21"/>
                    </w:rPr>
                    <w:t>颗粒物</w:t>
                  </w:r>
                </w:p>
              </w:tc>
              <w:tc>
                <w:tcPr>
                  <w:tcW w:w="791" w:type="pct"/>
                  <w:shd w:val="clear" w:color="auto" w:fill="auto"/>
                  <w:vAlign w:val="center"/>
                </w:tcPr>
                <w:p>
                  <w:pPr>
                    <w:widowControl/>
                    <w:jc w:val="center"/>
                    <w:rPr>
                      <w:color w:val="000000"/>
                      <w:kern w:val="0"/>
                      <w:szCs w:val="21"/>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05" w:hRule="atLeast"/>
              </w:trPr>
              <w:tc>
                <w:tcPr>
                  <w:tcW w:w="424" w:type="pct"/>
                  <w:vMerge w:val="continue"/>
                  <w:shd w:val="clear" w:color="auto" w:fill="auto"/>
                  <w:vAlign w:val="center"/>
                </w:tcPr>
                <w:p>
                  <w:pPr>
                    <w:widowControl/>
                    <w:autoSpaceDE w:val="0"/>
                    <w:autoSpaceDN w:val="0"/>
                    <w:adjustRightInd w:val="0"/>
                    <w:jc w:val="center"/>
                    <w:rPr>
                      <w:color w:val="000000"/>
                      <w:kern w:val="0"/>
                      <w:szCs w:val="21"/>
                    </w:rPr>
                  </w:pPr>
                </w:p>
              </w:tc>
              <w:tc>
                <w:tcPr>
                  <w:tcW w:w="769" w:type="pct"/>
                  <w:vAlign w:val="center"/>
                </w:tcPr>
                <w:p>
                  <w:pPr>
                    <w:widowControl/>
                    <w:autoSpaceDE w:val="0"/>
                    <w:autoSpaceDN w:val="0"/>
                    <w:ind w:left="-105" w:leftChars="-50" w:right="-105" w:rightChars="-50"/>
                    <w:jc w:val="center"/>
                    <w:rPr>
                      <w:color w:val="000000"/>
                      <w:kern w:val="0"/>
                      <w:szCs w:val="21"/>
                    </w:rPr>
                  </w:pPr>
                  <w:r>
                    <w:rPr>
                      <w:color w:val="000000"/>
                      <w:kern w:val="0"/>
                      <w:szCs w:val="21"/>
                    </w:rPr>
                    <w:t>一般排放口</w:t>
                  </w:r>
                </w:p>
              </w:tc>
              <w:tc>
                <w:tcPr>
                  <w:tcW w:w="1750" w:type="pct"/>
                  <w:shd w:val="clear" w:color="auto" w:fill="auto"/>
                  <w:vAlign w:val="center"/>
                </w:tcPr>
                <w:p>
                  <w:pPr>
                    <w:widowControl/>
                    <w:autoSpaceDE w:val="0"/>
                    <w:autoSpaceDN w:val="0"/>
                    <w:ind w:left="-105" w:leftChars="-50" w:right="-105" w:rightChars="-50"/>
                    <w:jc w:val="center"/>
                    <w:rPr>
                      <w:color w:val="000000"/>
                      <w:kern w:val="0"/>
                      <w:szCs w:val="21"/>
                    </w:rPr>
                  </w:pPr>
                  <w:r>
                    <w:rPr>
                      <w:rFonts w:hint="eastAsia"/>
                      <w:color w:val="000000"/>
                      <w:kern w:val="0"/>
                      <w:szCs w:val="21"/>
                    </w:rPr>
                    <w:t>喷漆及晾干废气净化设施</w:t>
                  </w:r>
                  <w:r>
                    <w:rPr>
                      <w:color w:val="000000"/>
                      <w:kern w:val="0"/>
                      <w:szCs w:val="21"/>
                    </w:rPr>
                    <w:t>进口、出口（DA00</w:t>
                  </w:r>
                  <w:r>
                    <w:rPr>
                      <w:rFonts w:hint="eastAsia"/>
                      <w:color w:val="000000"/>
                      <w:kern w:val="0"/>
                      <w:szCs w:val="21"/>
                    </w:rPr>
                    <w:t>4）</w:t>
                  </w:r>
                </w:p>
              </w:tc>
              <w:tc>
                <w:tcPr>
                  <w:tcW w:w="1264" w:type="pct"/>
                  <w:shd w:val="clear" w:color="auto" w:fill="auto"/>
                  <w:vAlign w:val="center"/>
                </w:tcPr>
                <w:p>
                  <w:pPr>
                    <w:widowControl/>
                    <w:jc w:val="center"/>
                    <w:rPr>
                      <w:color w:val="000000"/>
                      <w:kern w:val="0"/>
                      <w:szCs w:val="21"/>
                    </w:rPr>
                  </w:pPr>
                  <w:r>
                    <w:rPr>
                      <w:color w:val="000000"/>
                      <w:kern w:val="0"/>
                      <w:szCs w:val="21"/>
                    </w:rPr>
                    <w:t>非甲烷总烃</w:t>
                  </w:r>
                  <w:r>
                    <w:rPr>
                      <w:rFonts w:hint="eastAsia"/>
                      <w:color w:val="000000"/>
                      <w:kern w:val="0"/>
                      <w:szCs w:val="21"/>
                    </w:rPr>
                    <w:t>、</w:t>
                  </w:r>
                  <w:r>
                    <w:rPr>
                      <w:color w:val="000000"/>
                      <w:kern w:val="0"/>
                      <w:szCs w:val="21"/>
                    </w:rPr>
                    <w:t>颗粒物</w:t>
                  </w:r>
                  <w:r>
                    <w:rPr>
                      <w:rFonts w:hint="eastAsia"/>
                      <w:color w:val="000000"/>
                      <w:kern w:val="0"/>
                      <w:szCs w:val="21"/>
                    </w:rPr>
                    <w:t>、</w:t>
                  </w:r>
                  <w:r>
                    <w:rPr>
                      <w:color w:val="000000"/>
                      <w:kern w:val="0"/>
                      <w:szCs w:val="21"/>
                    </w:rPr>
                    <w:t>二甲苯</w:t>
                  </w:r>
                  <w:r>
                    <w:rPr>
                      <w:rFonts w:hint="eastAsia"/>
                      <w:color w:val="000000"/>
                      <w:kern w:val="0"/>
                      <w:szCs w:val="21"/>
                    </w:rPr>
                    <w:t>、甲苯</w:t>
                  </w:r>
                </w:p>
              </w:tc>
              <w:tc>
                <w:tcPr>
                  <w:tcW w:w="791" w:type="pct"/>
                  <w:shd w:val="clear" w:color="auto" w:fill="auto"/>
                  <w:vAlign w:val="center"/>
                </w:tcPr>
                <w:p>
                  <w:pPr>
                    <w:widowControl/>
                    <w:jc w:val="center"/>
                    <w:rPr>
                      <w:color w:val="000000"/>
                      <w:kern w:val="0"/>
                      <w:szCs w:val="21"/>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continue"/>
                  <w:shd w:val="clear" w:color="auto" w:fill="auto"/>
                  <w:vAlign w:val="center"/>
                </w:tcPr>
                <w:p>
                  <w:pPr>
                    <w:widowControl/>
                    <w:autoSpaceDE w:val="0"/>
                    <w:autoSpaceDN w:val="0"/>
                    <w:adjustRightInd w:val="0"/>
                    <w:jc w:val="center"/>
                    <w:rPr>
                      <w:color w:val="000000"/>
                      <w:kern w:val="0"/>
                      <w:szCs w:val="21"/>
                    </w:rPr>
                  </w:pPr>
                </w:p>
              </w:tc>
              <w:tc>
                <w:tcPr>
                  <w:tcW w:w="769" w:type="pct"/>
                  <w:vMerge w:val="restart"/>
                  <w:vAlign w:val="center"/>
                </w:tcPr>
                <w:p>
                  <w:pPr>
                    <w:widowControl/>
                    <w:jc w:val="center"/>
                    <w:rPr>
                      <w:color w:val="000000"/>
                      <w:kern w:val="0"/>
                      <w:szCs w:val="21"/>
                    </w:rPr>
                  </w:pPr>
                  <w:r>
                    <w:rPr>
                      <w:color w:val="000000"/>
                      <w:kern w:val="0"/>
                      <w:szCs w:val="21"/>
                    </w:rPr>
                    <w:t>无组织废气</w:t>
                  </w:r>
                </w:p>
              </w:tc>
              <w:tc>
                <w:tcPr>
                  <w:tcW w:w="1750" w:type="pct"/>
                  <w:shd w:val="clear" w:color="auto" w:fill="auto"/>
                  <w:vAlign w:val="center"/>
                </w:tcPr>
                <w:p>
                  <w:pPr>
                    <w:widowControl/>
                    <w:jc w:val="center"/>
                    <w:rPr>
                      <w:color w:val="000000"/>
                      <w:kern w:val="0"/>
                      <w:szCs w:val="21"/>
                    </w:rPr>
                  </w:pPr>
                  <w:r>
                    <w:rPr>
                      <w:color w:val="000000"/>
                      <w:kern w:val="0"/>
                      <w:szCs w:val="21"/>
                    </w:rPr>
                    <w:t>厂界无组织监控点</w:t>
                  </w:r>
                </w:p>
              </w:tc>
              <w:tc>
                <w:tcPr>
                  <w:tcW w:w="1264" w:type="pct"/>
                  <w:shd w:val="clear" w:color="auto" w:fill="auto"/>
                  <w:vAlign w:val="center"/>
                </w:tcPr>
                <w:p>
                  <w:pPr>
                    <w:widowControl/>
                    <w:jc w:val="center"/>
                    <w:rPr>
                      <w:color w:val="000000"/>
                      <w:kern w:val="0"/>
                      <w:szCs w:val="21"/>
                    </w:rPr>
                  </w:pPr>
                  <w:r>
                    <w:rPr>
                      <w:color w:val="000000"/>
                      <w:kern w:val="0"/>
                      <w:szCs w:val="21"/>
                    </w:rPr>
                    <w:t>非甲烷总烃</w:t>
                  </w:r>
                  <w:r>
                    <w:rPr>
                      <w:rFonts w:hint="eastAsia"/>
                      <w:color w:val="000000"/>
                      <w:kern w:val="0"/>
                      <w:szCs w:val="21"/>
                    </w:rPr>
                    <w:t>、</w:t>
                  </w:r>
                  <w:r>
                    <w:rPr>
                      <w:color w:val="000000"/>
                      <w:kern w:val="0"/>
                      <w:szCs w:val="21"/>
                    </w:rPr>
                    <w:t>颗粒物</w:t>
                  </w:r>
                  <w:r>
                    <w:rPr>
                      <w:rFonts w:hint="eastAsia"/>
                      <w:color w:val="000000"/>
                      <w:kern w:val="0"/>
                      <w:szCs w:val="21"/>
                    </w:rPr>
                    <w:t>、</w:t>
                  </w:r>
                  <w:r>
                    <w:rPr>
                      <w:color w:val="000000"/>
                      <w:kern w:val="0"/>
                      <w:szCs w:val="21"/>
                    </w:rPr>
                    <w:t>二甲苯</w:t>
                  </w:r>
                  <w:r>
                    <w:rPr>
                      <w:rFonts w:hint="eastAsia"/>
                      <w:color w:val="000000"/>
                      <w:kern w:val="0"/>
                      <w:szCs w:val="21"/>
                    </w:rPr>
                    <w:t>、甲苯</w:t>
                  </w:r>
                </w:p>
              </w:tc>
              <w:tc>
                <w:tcPr>
                  <w:tcW w:w="791" w:type="pct"/>
                  <w:shd w:val="clear" w:color="auto" w:fill="auto"/>
                  <w:vAlign w:val="center"/>
                </w:tcPr>
                <w:p>
                  <w:pPr>
                    <w:widowControl/>
                    <w:jc w:val="center"/>
                    <w:rPr>
                      <w:color w:val="000000"/>
                      <w:kern w:val="0"/>
                      <w:szCs w:val="21"/>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continue"/>
                  <w:shd w:val="clear" w:color="auto" w:fill="auto"/>
                  <w:vAlign w:val="center"/>
                </w:tcPr>
                <w:p>
                  <w:pPr>
                    <w:widowControl/>
                    <w:autoSpaceDE w:val="0"/>
                    <w:autoSpaceDN w:val="0"/>
                    <w:adjustRightInd w:val="0"/>
                    <w:jc w:val="center"/>
                    <w:rPr>
                      <w:color w:val="000000"/>
                      <w:kern w:val="0"/>
                      <w:szCs w:val="21"/>
                    </w:rPr>
                  </w:pPr>
                </w:p>
              </w:tc>
              <w:tc>
                <w:tcPr>
                  <w:tcW w:w="769" w:type="pct"/>
                  <w:vMerge w:val="continue"/>
                  <w:vAlign w:val="center"/>
                </w:tcPr>
                <w:p>
                  <w:pPr>
                    <w:widowControl/>
                    <w:jc w:val="center"/>
                    <w:rPr>
                      <w:color w:val="000000"/>
                      <w:kern w:val="0"/>
                      <w:szCs w:val="21"/>
                    </w:rPr>
                  </w:pPr>
                </w:p>
              </w:tc>
              <w:tc>
                <w:tcPr>
                  <w:tcW w:w="1750" w:type="pct"/>
                  <w:shd w:val="clear" w:color="auto" w:fill="auto"/>
                  <w:vAlign w:val="center"/>
                </w:tcPr>
                <w:p>
                  <w:pPr>
                    <w:widowControl/>
                    <w:jc w:val="center"/>
                    <w:rPr>
                      <w:color w:val="000000"/>
                      <w:kern w:val="0"/>
                      <w:szCs w:val="21"/>
                    </w:rPr>
                  </w:pPr>
                  <w:r>
                    <w:rPr>
                      <w:color w:val="000000"/>
                      <w:kern w:val="0"/>
                      <w:szCs w:val="21"/>
                    </w:rPr>
                    <w:t>厂</w:t>
                  </w:r>
                  <w:r>
                    <w:rPr>
                      <w:rFonts w:hint="eastAsia"/>
                      <w:color w:val="000000"/>
                      <w:kern w:val="0"/>
                      <w:szCs w:val="21"/>
                    </w:rPr>
                    <w:t>房外</w:t>
                  </w:r>
                  <w:r>
                    <w:rPr>
                      <w:color w:val="000000"/>
                      <w:kern w:val="0"/>
                      <w:szCs w:val="21"/>
                    </w:rPr>
                    <w:t>无组织监控点</w:t>
                  </w:r>
                </w:p>
              </w:tc>
              <w:tc>
                <w:tcPr>
                  <w:tcW w:w="1264" w:type="pct"/>
                  <w:shd w:val="clear" w:color="auto" w:fill="auto"/>
                  <w:vAlign w:val="center"/>
                </w:tcPr>
                <w:p>
                  <w:pPr>
                    <w:widowControl/>
                    <w:jc w:val="center"/>
                    <w:rPr>
                      <w:color w:val="000000"/>
                      <w:kern w:val="0"/>
                      <w:szCs w:val="21"/>
                    </w:rPr>
                  </w:pPr>
                  <w:r>
                    <w:rPr>
                      <w:color w:val="000000"/>
                      <w:kern w:val="0"/>
                      <w:szCs w:val="21"/>
                    </w:rPr>
                    <w:t>非甲烷总烃</w:t>
                  </w:r>
                </w:p>
              </w:tc>
              <w:tc>
                <w:tcPr>
                  <w:tcW w:w="791" w:type="pct"/>
                  <w:shd w:val="clear" w:color="auto" w:fill="auto"/>
                  <w:vAlign w:val="center"/>
                </w:tcPr>
                <w:p>
                  <w:pPr>
                    <w:widowControl/>
                    <w:jc w:val="center"/>
                    <w:rPr>
                      <w:color w:val="000000"/>
                      <w:kern w:val="0"/>
                      <w:szCs w:val="21"/>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424" w:type="pct"/>
                  <w:shd w:val="clear" w:color="auto" w:fill="auto"/>
                  <w:vAlign w:val="center"/>
                </w:tcPr>
                <w:p>
                  <w:pPr>
                    <w:widowControl/>
                    <w:autoSpaceDE w:val="0"/>
                    <w:autoSpaceDN w:val="0"/>
                    <w:adjustRightInd w:val="0"/>
                    <w:jc w:val="center"/>
                    <w:rPr>
                      <w:color w:val="000000"/>
                      <w:kern w:val="0"/>
                      <w:szCs w:val="21"/>
                    </w:rPr>
                  </w:pPr>
                  <w:r>
                    <w:rPr>
                      <w:color w:val="000000"/>
                      <w:kern w:val="0"/>
                      <w:szCs w:val="21"/>
                    </w:rPr>
                    <w:t>废水</w:t>
                  </w:r>
                </w:p>
              </w:tc>
              <w:tc>
                <w:tcPr>
                  <w:tcW w:w="769" w:type="pct"/>
                  <w:vAlign w:val="center"/>
                </w:tcPr>
                <w:p>
                  <w:pPr>
                    <w:widowControl/>
                    <w:autoSpaceDE w:val="0"/>
                    <w:autoSpaceDN w:val="0"/>
                    <w:adjustRightInd w:val="0"/>
                    <w:jc w:val="center"/>
                    <w:rPr>
                      <w:color w:val="000000"/>
                      <w:kern w:val="0"/>
                      <w:szCs w:val="21"/>
                    </w:rPr>
                  </w:pPr>
                  <w:r>
                    <w:rPr>
                      <w:color w:val="000000"/>
                      <w:kern w:val="0"/>
                      <w:szCs w:val="21"/>
                    </w:rPr>
                    <w:t>一般排放口</w:t>
                  </w:r>
                </w:p>
              </w:tc>
              <w:tc>
                <w:tcPr>
                  <w:tcW w:w="1750" w:type="pct"/>
                  <w:shd w:val="clear" w:color="auto" w:fill="auto"/>
                  <w:vAlign w:val="center"/>
                </w:tcPr>
                <w:p>
                  <w:pPr>
                    <w:widowControl/>
                    <w:autoSpaceDE w:val="0"/>
                    <w:autoSpaceDN w:val="0"/>
                    <w:adjustRightInd w:val="0"/>
                    <w:jc w:val="center"/>
                    <w:rPr>
                      <w:color w:val="000000"/>
                      <w:kern w:val="0"/>
                      <w:szCs w:val="21"/>
                    </w:rPr>
                  </w:pPr>
                  <w:r>
                    <w:rPr>
                      <w:rFonts w:hint="eastAsia"/>
                      <w:color w:val="000000"/>
                      <w:kern w:val="0"/>
                      <w:szCs w:val="21"/>
                    </w:rPr>
                    <w:t>总</w:t>
                  </w:r>
                  <w:r>
                    <w:rPr>
                      <w:color w:val="000000"/>
                      <w:kern w:val="0"/>
                      <w:szCs w:val="21"/>
                    </w:rPr>
                    <w:t>排口</w:t>
                  </w:r>
                </w:p>
              </w:tc>
              <w:tc>
                <w:tcPr>
                  <w:tcW w:w="1264" w:type="pct"/>
                  <w:shd w:val="clear" w:color="auto" w:fill="auto"/>
                  <w:vAlign w:val="center"/>
                </w:tcPr>
                <w:p>
                  <w:pPr>
                    <w:widowControl/>
                    <w:jc w:val="center"/>
                    <w:rPr>
                      <w:color w:val="000000"/>
                      <w:kern w:val="0"/>
                      <w:szCs w:val="21"/>
                    </w:rPr>
                  </w:pPr>
                  <w:r>
                    <w:rPr>
                      <w:rFonts w:hint="eastAsia" w:eastAsia="TimesNewRomanPSMT" w:cs="TimesNewRomanPSMT"/>
                      <w:color w:val="0D0D0D" w:themeColor="text1" w:themeTint="F2"/>
                      <w:kern w:val="0"/>
                      <w:szCs w:val="21"/>
                      <w14:textFill>
                        <w14:solidFill>
                          <w14:schemeClr w14:val="tx1">
                            <w14:lumMod w14:val="95000"/>
                            <w14:lumOff w14:val="5000"/>
                          </w14:schemeClr>
                        </w14:solidFill>
                      </w14:textFill>
                    </w:rPr>
                    <w:t>pH</w:t>
                  </w:r>
                  <w:r>
                    <w:rPr>
                      <w:rFonts w:hint="eastAsia" w:ascii="宋体" w:hAnsi="宋体" w:cs="宋体"/>
                      <w:color w:val="0D0D0D" w:themeColor="text1" w:themeTint="F2"/>
                      <w:kern w:val="0"/>
                      <w:szCs w:val="21"/>
                      <w14:textFill>
                        <w14:solidFill>
                          <w14:schemeClr w14:val="tx1">
                            <w14:lumMod w14:val="95000"/>
                            <w14:lumOff w14:val="5000"/>
                          </w14:schemeClr>
                        </w14:solidFill>
                      </w14:textFill>
                    </w:rPr>
                    <w:t>、</w:t>
                  </w:r>
                  <w:r>
                    <w:rPr>
                      <w:rFonts w:eastAsia="TimesNewRomanPSMT" w:cs="TimesNewRomanPSMT"/>
                      <w:color w:val="0D0D0D" w:themeColor="text1" w:themeTint="F2"/>
                      <w:kern w:val="0"/>
                      <w:szCs w:val="21"/>
                      <w14:textFill>
                        <w14:solidFill>
                          <w14:schemeClr w14:val="tx1">
                            <w14:lumMod w14:val="95000"/>
                            <w14:lumOff w14:val="5000"/>
                          </w14:schemeClr>
                        </w14:solidFill>
                      </w14:textFill>
                    </w:rPr>
                    <w:t>COD</w:t>
                  </w:r>
                  <w:r>
                    <w:rPr>
                      <w:rFonts w:hint="eastAsia" w:cs="宋体"/>
                      <w:color w:val="0D0D0D" w:themeColor="text1" w:themeTint="F2"/>
                      <w:kern w:val="0"/>
                      <w:szCs w:val="21"/>
                      <w14:textFill>
                        <w14:solidFill>
                          <w14:schemeClr w14:val="tx1">
                            <w14:lumMod w14:val="95000"/>
                            <w14:lumOff w14:val="5000"/>
                          </w14:schemeClr>
                        </w14:solidFill>
                      </w14:textFill>
                    </w:rPr>
                    <w:t>、BOD</w:t>
                  </w:r>
                  <w:r>
                    <w:rPr>
                      <w:rFonts w:hint="eastAsia" w:cs="宋体"/>
                      <w:color w:val="0D0D0D" w:themeColor="text1" w:themeTint="F2"/>
                      <w:kern w:val="0"/>
                      <w:szCs w:val="21"/>
                      <w:vertAlign w:val="subscript"/>
                      <w14:textFill>
                        <w14:solidFill>
                          <w14:schemeClr w14:val="tx1">
                            <w14:lumMod w14:val="95000"/>
                            <w14:lumOff w14:val="5000"/>
                          </w14:schemeClr>
                        </w14:solidFill>
                      </w14:textFill>
                    </w:rPr>
                    <w:t>5</w:t>
                  </w:r>
                  <w:r>
                    <w:rPr>
                      <w:rFonts w:hint="eastAsia" w:cs="宋体"/>
                      <w:color w:val="0D0D0D" w:themeColor="text1" w:themeTint="F2"/>
                      <w:kern w:val="0"/>
                      <w:szCs w:val="21"/>
                      <w14:textFill>
                        <w14:solidFill>
                          <w14:schemeClr w14:val="tx1">
                            <w14:lumMod w14:val="95000"/>
                            <w14:lumOff w14:val="5000"/>
                          </w14:schemeClr>
                        </w14:solidFill>
                      </w14:textFill>
                    </w:rPr>
                    <w:t>、</w:t>
                  </w:r>
                  <w:r>
                    <w:rPr>
                      <w:rFonts w:eastAsia="TimesNewRomanPSMT" w:cs="TimesNewRomanPSMT"/>
                      <w:color w:val="0D0D0D" w:themeColor="text1" w:themeTint="F2"/>
                      <w:kern w:val="0"/>
                      <w:szCs w:val="21"/>
                      <w14:textFill>
                        <w14:solidFill>
                          <w14:schemeClr w14:val="tx1">
                            <w14:lumMod w14:val="95000"/>
                            <w14:lumOff w14:val="5000"/>
                          </w14:schemeClr>
                        </w14:solidFill>
                      </w14:textFill>
                    </w:rPr>
                    <w:t>SS</w:t>
                  </w:r>
                  <w:r>
                    <w:rPr>
                      <w:rFonts w:hint="eastAsia" w:cs="宋体"/>
                      <w:color w:val="0D0D0D" w:themeColor="text1" w:themeTint="F2"/>
                      <w:kern w:val="0"/>
                      <w:szCs w:val="21"/>
                      <w14:textFill>
                        <w14:solidFill>
                          <w14:schemeClr w14:val="tx1">
                            <w14:lumMod w14:val="95000"/>
                            <w14:lumOff w14:val="5000"/>
                          </w14:schemeClr>
                        </w14:solidFill>
                      </w14:textFill>
                    </w:rPr>
                    <w:t>、氨氮</w:t>
                  </w:r>
                </w:p>
              </w:tc>
              <w:tc>
                <w:tcPr>
                  <w:tcW w:w="791" w:type="pct"/>
                  <w:shd w:val="clear" w:color="auto" w:fill="auto"/>
                  <w:vAlign w:val="center"/>
                </w:tcPr>
                <w:p>
                  <w:pPr>
                    <w:jc w:val="center"/>
                    <w:rPr>
                      <w:color w:val="000000"/>
                      <w:kern w:val="0"/>
                      <w:szCs w:val="21"/>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shd w:val="clear" w:color="auto" w:fill="auto"/>
                  <w:vAlign w:val="center"/>
                </w:tcPr>
                <w:p>
                  <w:pPr>
                    <w:widowControl/>
                    <w:jc w:val="center"/>
                    <w:rPr>
                      <w:color w:val="000000"/>
                      <w:kern w:val="0"/>
                      <w:szCs w:val="21"/>
                    </w:rPr>
                  </w:pPr>
                  <w:r>
                    <w:rPr>
                      <w:color w:val="000000"/>
                      <w:kern w:val="0"/>
                      <w:szCs w:val="21"/>
                    </w:rPr>
                    <w:t>噪声</w:t>
                  </w:r>
                </w:p>
              </w:tc>
              <w:tc>
                <w:tcPr>
                  <w:tcW w:w="769" w:type="pct"/>
                  <w:vAlign w:val="center"/>
                </w:tcPr>
                <w:p>
                  <w:pPr>
                    <w:widowControl/>
                    <w:jc w:val="center"/>
                    <w:rPr>
                      <w:color w:val="000000"/>
                      <w:kern w:val="0"/>
                      <w:szCs w:val="21"/>
                    </w:rPr>
                  </w:pPr>
                  <w:r>
                    <w:rPr>
                      <w:color w:val="000000"/>
                      <w:kern w:val="0"/>
                      <w:szCs w:val="21"/>
                    </w:rPr>
                    <w:t>/</w:t>
                  </w:r>
                </w:p>
              </w:tc>
              <w:tc>
                <w:tcPr>
                  <w:tcW w:w="1750" w:type="pct"/>
                  <w:shd w:val="clear" w:color="auto" w:fill="auto"/>
                  <w:vAlign w:val="center"/>
                </w:tcPr>
                <w:p>
                  <w:pPr>
                    <w:widowControl/>
                    <w:jc w:val="center"/>
                    <w:rPr>
                      <w:color w:val="000000"/>
                      <w:kern w:val="0"/>
                      <w:szCs w:val="21"/>
                    </w:rPr>
                  </w:pPr>
                  <w:r>
                    <w:rPr>
                      <w:color w:val="000000"/>
                      <w:kern w:val="0"/>
                      <w:szCs w:val="21"/>
                    </w:rPr>
                    <w:t>项目四周厂界</w:t>
                  </w:r>
                </w:p>
              </w:tc>
              <w:tc>
                <w:tcPr>
                  <w:tcW w:w="1264" w:type="pct"/>
                  <w:shd w:val="clear" w:color="auto" w:fill="auto"/>
                  <w:vAlign w:val="center"/>
                </w:tcPr>
                <w:p>
                  <w:pPr>
                    <w:widowControl/>
                    <w:jc w:val="center"/>
                    <w:rPr>
                      <w:color w:val="000000"/>
                      <w:kern w:val="0"/>
                      <w:szCs w:val="21"/>
                    </w:rPr>
                  </w:pPr>
                  <w:r>
                    <w:rPr>
                      <w:color w:val="000000"/>
                      <w:kern w:val="0"/>
                      <w:szCs w:val="21"/>
                    </w:rPr>
                    <w:t>连续等效A声级</w:t>
                  </w:r>
                </w:p>
              </w:tc>
              <w:tc>
                <w:tcPr>
                  <w:tcW w:w="791" w:type="pct"/>
                  <w:shd w:val="clear" w:color="auto" w:fill="auto"/>
                  <w:vAlign w:val="center"/>
                </w:tcPr>
                <w:p>
                  <w:pPr>
                    <w:widowControl/>
                    <w:jc w:val="center"/>
                    <w:rPr>
                      <w:color w:val="000000"/>
                      <w:kern w:val="0"/>
                      <w:szCs w:val="21"/>
                    </w:rPr>
                  </w:pPr>
                  <w:r>
                    <w:rPr>
                      <w:color w:val="000000"/>
                      <w:kern w:val="0"/>
                      <w:szCs w:val="21"/>
                    </w:rPr>
                    <w:t>每季度一次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shd w:val="clear" w:color="auto" w:fill="auto"/>
                  <w:vAlign w:val="center"/>
                </w:tcPr>
                <w:p>
                  <w:pPr>
                    <w:widowControl/>
                    <w:jc w:val="center"/>
                    <w:rPr>
                      <w:color w:val="000000"/>
                      <w:kern w:val="0"/>
                      <w:szCs w:val="21"/>
                    </w:rPr>
                  </w:pPr>
                  <w:r>
                    <w:rPr>
                      <w:color w:val="000000"/>
                      <w:kern w:val="0"/>
                      <w:szCs w:val="21"/>
                    </w:rPr>
                    <w:t>土壤</w:t>
                  </w:r>
                </w:p>
              </w:tc>
              <w:tc>
                <w:tcPr>
                  <w:tcW w:w="769" w:type="pct"/>
                  <w:vAlign w:val="center"/>
                </w:tcPr>
                <w:p>
                  <w:pPr>
                    <w:widowControl/>
                    <w:jc w:val="center"/>
                    <w:rPr>
                      <w:color w:val="000000"/>
                      <w:kern w:val="0"/>
                      <w:szCs w:val="21"/>
                    </w:rPr>
                  </w:pPr>
                  <w:r>
                    <w:rPr>
                      <w:color w:val="000000"/>
                      <w:kern w:val="0"/>
                      <w:szCs w:val="21"/>
                    </w:rPr>
                    <w:t>/</w:t>
                  </w:r>
                </w:p>
              </w:tc>
              <w:tc>
                <w:tcPr>
                  <w:tcW w:w="1750" w:type="pct"/>
                  <w:shd w:val="clear" w:color="auto" w:fill="auto"/>
                  <w:vAlign w:val="center"/>
                </w:tcPr>
                <w:p>
                  <w:pPr>
                    <w:widowControl/>
                    <w:jc w:val="center"/>
                    <w:rPr>
                      <w:color w:val="000000"/>
                      <w:kern w:val="0"/>
                      <w:szCs w:val="21"/>
                    </w:rPr>
                  </w:pPr>
                  <w:r>
                    <w:rPr>
                      <w:rFonts w:hint="eastAsia"/>
                      <w:szCs w:val="21"/>
                    </w:rPr>
                    <w:t>喷漆室旁</w:t>
                  </w:r>
                </w:p>
              </w:tc>
              <w:tc>
                <w:tcPr>
                  <w:tcW w:w="1264" w:type="pct"/>
                  <w:shd w:val="clear" w:color="auto" w:fill="auto"/>
                  <w:vAlign w:val="center"/>
                </w:tcPr>
                <w:p>
                  <w:pPr>
                    <w:widowControl/>
                    <w:jc w:val="center"/>
                    <w:rPr>
                      <w:color w:val="000000"/>
                      <w:kern w:val="0"/>
                      <w:szCs w:val="21"/>
                    </w:rPr>
                  </w:pPr>
                  <w:r>
                    <w:rPr>
                      <w:rFonts w:hint="eastAsia"/>
                      <w:szCs w:val="22"/>
                    </w:rPr>
                    <w:t>石油烃</w:t>
                  </w:r>
                </w:p>
              </w:tc>
              <w:tc>
                <w:tcPr>
                  <w:tcW w:w="791" w:type="pct"/>
                  <w:shd w:val="clear" w:color="auto" w:fill="auto"/>
                  <w:vAlign w:val="center"/>
                </w:tcPr>
                <w:p>
                  <w:pPr>
                    <w:widowControl/>
                    <w:jc w:val="center"/>
                    <w:rPr>
                      <w:color w:val="000000"/>
                      <w:kern w:val="0"/>
                      <w:szCs w:val="21"/>
                    </w:rPr>
                  </w:pPr>
                  <w:r>
                    <w:rPr>
                      <w:rFonts w:hint="eastAsia"/>
                      <w:szCs w:val="22"/>
                    </w:rPr>
                    <w:t>每5年一次</w:t>
                  </w:r>
                </w:p>
              </w:tc>
            </w:tr>
          </w:tbl>
          <w:p>
            <w:pPr>
              <w:spacing w:before="120" w:beforeLines="50" w:line="360" w:lineRule="auto"/>
              <w:ind w:firstLine="482" w:firstLineChars="200"/>
              <w:jc w:val="left"/>
              <w:rPr>
                <w:b/>
                <w:bCs/>
                <w:color w:val="0D0D0D"/>
                <w:sz w:val="24"/>
              </w:rPr>
            </w:pPr>
            <w:r>
              <w:rPr>
                <w:rFonts w:hint="eastAsia"/>
                <w:b/>
                <w:bCs/>
                <w:color w:val="0D0D0D"/>
                <w:sz w:val="24"/>
              </w:rPr>
              <w:t>2、排污口规范化设置</w:t>
            </w:r>
          </w:p>
          <w:p>
            <w:pPr>
              <w:spacing w:line="360" w:lineRule="auto"/>
              <w:ind w:firstLine="600" w:firstLineChars="250"/>
              <w:rPr>
                <w:color w:val="0D0D0D"/>
                <w:sz w:val="24"/>
              </w:rPr>
            </w:pPr>
            <w:r>
              <w:rPr>
                <w:rFonts w:hint="eastAsia"/>
                <w:color w:val="0D0D0D"/>
                <w:sz w:val="24"/>
              </w:rPr>
              <w:t>（1）废水排放口</w:t>
            </w:r>
          </w:p>
          <w:p>
            <w:pPr>
              <w:spacing w:line="360" w:lineRule="auto"/>
              <w:ind w:firstLine="600" w:firstLineChars="250"/>
              <w:rPr>
                <w:color w:val="000000"/>
                <w:sz w:val="24"/>
              </w:rPr>
            </w:pPr>
            <w:r>
              <w:rPr>
                <w:color w:val="000000"/>
                <w:sz w:val="24"/>
              </w:rPr>
              <w:t>建设项目厂区的排水体制必须实施“清污分流、雨污分流”制，设雨水排放口1个，污水接管口</w:t>
            </w:r>
            <w:r>
              <w:rPr>
                <w:rFonts w:hint="eastAsia"/>
                <w:color w:val="000000"/>
                <w:sz w:val="24"/>
              </w:rPr>
              <w:t>1</w:t>
            </w:r>
            <w:r>
              <w:rPr>
                <w:color w:val="000000"/>
                <w:sz w:val="24"/>
              </w:rPr>
              <w:t>个</w:t>
            </w:r>
            <w:r>
              <w:rPr>
                <w:rFonts w:hint="eastAsia"/>
                <w:color w:val="000000"/>
                <w:sz w:val="24"/>
              </w:rPr>
              <w:t>。</w:t>
            </w:r>
          </w:p>
          <w:p>
            <w:pPr>
              <w:spacing w:line="360" w:lineRule="auto"/>
              <w:ind w:firstLine="600" w:firstLineChars="250"/>
              <w:rPr>
                <w:color w:val="0D0D0D"/>
                <w:sz w:val="24"/>
              </w:rPr>
            </w:pPr>
            <w:r>
              <w:rPr>
                <w:rFonts w:hint="eastAsia"/>
                <w:color w:val="0D0D0D"/>
                <w:sz w:val="24"/>
              </w:rPr>
              <w:t>（2）废气排放口</w:t>
            </w:r>
          </w:p>
          <w:p>
            <w:pPr>
              <w:spacing w:line="360" w:lineRule="auto"/>
              <w:ind w:firstLine="480" w:firstLineChars="200"/>
              <w:jc w:val="left"/>
              <w:rPr>
                <w:color w:val="0D0D0D"/>
                <w:sz w:val="24"/>
              </w:rPr>
            </w:pPr>
            <w:r>
              <w:rPr>
                <w:rFonts w:hint="eastAsia"/>
                <w:color w:val="0D0D0D"/>
                <w:sz w:val="24"/>
              </w:rPr>
              <w:t>①厂区</w:t>
            </w:r>
            <w:r>
              <w:rPr>
                <w:color w:val="0D0D0D"/>
                <w:sz w:val="24"/>
              </w:rPr>
              <w:t>共</w:t>
            </w:r>
            <w:r>
              <w:rPr>
                <w:rFonts w:hint="eastAsia"/>
                <w:color w:val="0D0D0D"/>
                <w:sz w:val="24"/>
              </w:rPr>
              <w:t>设置有组织</w:t>
            </w:r>
            <w:r>
              <w:rPr>
                <w:color w:val="0D0D0D"/>
                <w:sz w:val="24"/>
              </w:rPr>
              <w:t>排气筒</w:t>
            </w:r>
            <w:r>
              <w:rPr>
                <w:rFonts w:hint="eastAsia"/>
                <w:color w:val="0D0D0D"/>
                <w:sz w:val="24"/>
              </w:rPr>
              <w:t>4</w:t>
            </w:r>
            <w:r>
              <w:rPr>
                <w:color w:val="0D0D0D"/>
                <w:sz w:val="24"/>
              </w:rPr>
              <w:t>个</w:t>
            </w:r>
            <w:r>
              <w:rPr>
                <w:rFonts w:hint="eastAsia"/>
                <w:color w:val="0D0D0D"/>
                <w:sz w:val="24"/>
              </w:rPr>
              <w:t>，</w:t>
            </w:r>
            <w:r>
              <w:rPr>
                <w:color w:val="0D0D0D"/>
                <w:sz w:val="24"/>
              </w:rPr>
              <w:t>在排气筒附近醒目位置设置环保图形标志牌，标明排气筒高度、出口内径、排放污染物种类等；</w:t>
            </w:r>
          </w:p>
          <w:p>
            <w:pPr>
              <w:autoSpaceDE w:val="0"/>
              <w:autoSpaceDN w:val="0"/>
              <w:adjustRightInd w:val="0"/>
              <w:spacing w:line="360" w:lineRule="auto"/>
              <w:ind w:firstLine="480" w:firstLineChars="200"/>
              <w:jc w:val="left"/>
              <w:rPr>
                <w:rFonts w:hAnsi="宋体"/>
                <w:kern w:val="0"/>
                <w:sz w:val="24"/>
              </w:rPr>
            </w:pPr>
            <w:r>
              <w:rPr>
                <w:rFonts w:hint="eastAsia" w:ascii="宋体" w:hAnsi="宋体"/>
                <w:color w:val="0D0D0D"/>
                <w:kern w:val="0"/>
                <w:sz w:val="24"/>
              </w:rPr>
              <w:t>②</w:t>
            </w:r>
            <w:r>
              <w:rPr>
                <w:rFonts w:hAnsi="宋体"/>
                <w:color w:val="0D0D0D"/>
                <w:kern w:val="0"/>
                <w:sz w:val="24"/>
              </w:rPr>
              <w:t>企业应在排气筒预留采样位置，采样位置优先选择在垂直管段，避开弯头、阀门、变径管等部件下游方向不小于6倍直径，上游方向不</w:t>
            </w:r>
            <w:r>
              <w:rPr>
                <w:rFonts w:hAnsi="宋体"/>
                <w:kern w:val="0"/>
                <w:sz w:val="24"/>
              </w:rPr>
              <w:t>小于3倍直径，采样位置应避开对测试人员操作有危险的场所；</w:t>
            </w:r>
          </w:p>
          <w:p>
            <w:pPr>
              <w:autoSpaceDE w:val="0"/>
              <w:autoSpaceDN w:val="0"/>
              <w:adjustRightInd w:val="0"/>
              <w:spacing w:line="360" w:lineRule="auto"/>
              <w:ind w:firstLine="480" w:firstLineChars="200"/>
              <w:jc w:val="left"/>
              <w:rPr>
                <w:rFonts w:hAnsi="宋体"/>
                <w:kern w:val="0"/>
                <w:sz w:val="24"/>
              </w:rPr>
            </w:pPr>
            <w:r>
              <w:rPr>
                <w:rFonts w:hint="eastAsia" w:hAnsi="宋体"/>
                <w:kern w:val="0"/>
                <w:sz w:val="24"/>
              </w:rPr>
              <w:t>（3）工业固体废弃物厂内暂贮处</w:t>
            </w:r>
          </w:p>
          <w:p>
            <w:pPr>
              <w:spacing w:line="360" w:lineRule="auto"/>
              <w:ind w:firstLine="480" w:firstLineChars="200"/>
              <w:rPr>
                <w:sz w:val="24"/>
              </w:rPr>
            </w:pPr>
            <w:r>
              <w:rPr>
                <w:rFonts w:hint="eastAsia"/>
                <w:sz w:val="24"/>
              </w:rPr>
              <w:t>本项目设置固废临时暂贮场及危险固废暂贮库。</w:t>
            </w:r>
            <w:r>
              <w:rPr>
                <w:sz w:val="24"/>
              </w:rPr>
              <w:t>固体废物堆放场所必须有防火、防</w:t>
            </w:r>
            <w:r>
              <w:rPr>
                <w:rFonts w:hint="eastAsia"/>
                <w:sz w:val="24"/>
              </w:rPr>
              <w:t>腐蚀、防流失等措施，并应设置标志牌。</w:t>
            </w:r>
          </w:p>
          <w:p>
            <w:pPr>
              <w:spacing w:line="360" w:lineRule="auto"/>
              <w:ind w:firstLine="480" w:firstLineChars="200"/>
              <w:rPr>
                <w:sz w:val="24"/>
              </w:rPr>
            </w:pPr>
            <w:r>
              <w:rPr>
                <w:rFonts w:hint="eastAsia"/>
                <w:sz w:val="24"/>
              </w:rPr>
              <w:t>项目建设完成后，应对所有污染排放口的名称、位置、数量，以及排放污染物名称、数量等内容进行统计，并登记上报当地环保部门，以便进行验收和排放口的规范化管理。</w:t>
            </w:r>
            <w:bookmarkEnd w:id="7"/>
          </w:p>
          <w:p>
            <w:pPr>
              <w:widowControl/>
              <w:spacing w:line="480" w:lineRule="exact"/>
              <w:ind w:firstLine="482" w:firstLineChars="200"/>
              <w:jc w:val="left"/>
              <w:rPr>
                <w:b/>
                <w:color w:val="000000"/>
                <w:kern w:val="0"/>
                <w:sz w:val="24"/>
              </w:rPr>
            </w:pPr>
            <w:r>
              <w:rPr>
                <w:rFonts w:hint="eastAsia"/>
                <w:b/>
                <w:color w:val="000000"/>
                <w:kern w:val="0"/>
                <w:sz w:val="24"/>
              </w:rPr>
              <w:t>八、三本账</w:t>
            </w:r>
          </w:p>
          <w:p>
            <w:pPr>
              <w:spacing w:line="360" w:lineRule="auto"/>
              <w:ind w:firstLine="480" w:firstLineChars="200"/>
              <w:rPr>
                <w:sz w:val="24"/>
              </w:rPr>
            </w:pPr>
            <w:r>
              <w:rPr>
                <w:rFonts w:hint="eastAsia"/>
                <w:sz w:val="24"/>
              </w:rPr>
              <w:t>全厂污染物排放“三本帐”详见下表所示。</w:t>
            </w:r>
          </w:p>
          <w:p>
            <w:pPr>
              <w:spacing w:line="360" w:lineRule="auto"/>
              <w:ind w:firstLine="482" w:firstLineChars="200"/>
              <w:jc w:val="center"/>
              <w:rPr>
                <w:sz w:val="24"/>
              </w:rPr>
            </w:pPr>
            <w:r>
              <w:rPr>
                <w:b/>
                <w:color w:val="000000"/>
                <w:kern w:val="0"/>
                <w:sz w:val="24"/>
                <w:szCs w:val="20"/>
              </w:rPr>
              <w:t>表</w:t>
            </w:r>
            <w:r>
              <w:rPr>
                <w:rFonts w:hint="eastAsia"/>
                <w:b/>
                <w:color w:val="000000"/>
                <w:kern w:val="0"/>
                <w:sz w:val="24"/>
                <w:szCs w:val="20"/>
              </w:rPr>
              <w:t>4</w:t>
            </w:r>
            <w:r>
              <w:rPr>
                <w:b/>
                <w:color w:val="000000"/>
                <w:kern w:val="0"/>
                <w:sz w:val="24"/>
                <w:szCs w:val="20"/>
              </w:rPr>
              <w:t>-</w:t>
            </w:r>
            <w:r>
              <w:rPr>
                <w:rFonts w:hint="eastAsia"/>
                <w:b/>
                <w:color w:val="000000"/>
                <w:kern w:val="0"/>
                <w:sz w:val="24"/>
                <w:szCs w:val="20"/>
              </w:rPr>
              <w:t>23</w:t>
            </w:r>
            <w:r>
              <w:rPr>
                <w:b/>
                <w:color w:val="000000"/>
                <w:kern w:val="0"/>
                <w:sz w:val="24"/>
                <w:szCs w:val="20"/>
              </w:rPr>
              <w:t xml:space="preserve">  </w:t>
            </w:r>
            <w:r>
              <w:rPr>
                <w:rFonts w:hint="eastAsia"/>
                <w:b/>
                <w:color w:val="000000"/>
                <w:kern w:val="0"/>
                <w:sz w:val="24"/>
                <w:szCs w:val="20"/>
              </w:rPr>
              <w:t>全厂污染物排放“三本帐”   单位t/a</w:t>
            </w:r>
          </w:p>
          <w:tbl>
            <w:tblPr>
              <w:tblStyle w:val="58"/>
              <w:tblW w:w="79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829"/>
              <w:gridCol w:w="790"/>
              <w:gridCol w:w="670"/>
              <w:gridCol w:w="851"/>
              <w:gridCol w:w="880"/>
              <w:gridCol w:w="887"/>
              <w:gridCol w:w="794"/>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427" w:type="dxa"/>
                  <w:vMerge w:val="restart"/>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rPr>
                      <w:b/>
                      <w:bCs/>
                    </w:rPr>
                  </w:pPr>
                  <w:r>
                    <w:rPr>
                      <w:b/>
                      <w:bCs/>
                    </w:rPr>
                    <w:t>种类</w:t>
                  </w:r>
                </w:p>
              </w:tc>
              <w:tc>
                <w:tcPr>
                  <w:tcW w:w="1836" w:type="dxa"/>
                  <w:vMerge w:val="restart"/>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rPr>
                      <w:b/>
                      <w:bCs/>
                    </w:rPr>
                  </w:pPr>
                  <w:r>
                    <w:rPr>
                      <w:b/>
                      <w:bCs/>
                    </w:rPr>
                    <w:t>污染物名称</w:t>
                  </w:r>
                </w:p>
              </w:tc>
              <w:tc>
                <w:tcPr>
                  <w:tcW w:w="791" w:type="dxa"/>
                  <w:vMerge w:val="restart"/>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rPr>
                      <w:b/>
                      <w:bCs/>
                    </w:rPr>
                  </w:pPr>
                  <w:r>
                    <w:rPr>
                      <w:b/>
                      <w:bCs/>
                    </w:rPr>
                    <w:t>现有项目排放量</w:t>
                  </w:r>
                </w:p>
              </w:tc>
              <w:tc>
                <w:tcPr>
                  <w:tcW w:w="2403" w:type="dxa"/>
                  <w:gridSpan w:val="3"/>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rPr>
                      <w:b/>
                      <w:bCs/>
                    </w:rPr>
                  </w:pPr>
                  <w:r>
                    <w:rPr>
                      <w:rFonts w:hint="eastAsia"/>
                      <w:b/>
                      <w:bCs/>
                    </w:rPr>
                    <w:t>改建</w:t>
                  </w:r>
                  <w:r>
                    <w:rPr>
                      <w:b/>
                      <w:bCs/>
                    </w:rPr>
                    <w:t>后污染物排放情况</w:t>
                  </w:r>
                </w:p>
              </w:tc>
              <w:tc>
                <w:tcPr>
                  <w:tcW w:w="891" w:type="dxa"/>
                  <w:vMerge w:val="restart"/>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rPr>
                      <w:b/>
                      <w:bCs/>
                    </w:rPr>
                  </w:pPr>
                  <w:r>
                    <w:rPr>
                      <w:b/>
                      <w:bCs/>
                    </w:rPr>
                    <w:t>“以新带老”削减量</w:t>
                  </w:r>
                </w:p>
              </w:tc>
              <w:tc>
                <w:tcPr>
                  <w:tcW w:w="780" w:type="dxa"/>
                  <w:vMerge w:val="restart"/>
                  <w:tcBorders>
                    <w:tl2br w:val="nil"/>
                    <w:tr2bl w:val="nil"/>
                  </w:tcBorders>
                  <w:vAlign w:val="center"/>
                </w:tcPr>
                <w:p>
                  <w:pPr>
                    <w:tabs>
                      <w:tab w:val="left" w:pos="360"/>
                      <w:tab w:val="left" w:pos="540"/>
                    </w:tabs>
                    <w:spacing w:line="340" w:lineRule="exact"/>
                    <w:jc w:val="center"/>
                    <w:rPr>
                      <w:b/>
                      <w:bCs/>
                    </w:rPr>
                  </w:pPr>
                  <w:r>
                    <w:rPr>
                      <w:b/>
                      <w:bCs/>
                    </w:rPr>
                    <w:t>排放总量</w:t>
                  </w:r>
                </w:p>
              </w:tc>
              <w:tc>
                <w:tcPr>
                  <w:tcW w:w="849" w:type="dxa"/>
                  <w:vMerge w:val="restart"/>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rPr>
                      <w:b/>
                      <w:bCs/>
                    </w:rPr>
                  </w:pPr>
                  <w:r>
                    <w:rPr>
                      <w:b/>
                      <w:bCs/>
                    </w:rPr>
                    <w:t>前后变化量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atLeast"/>
              </w:trPr>
              <w:tc>
                <w:tcPr>
                  <w:tcW w:w="427" w:type="dxa"/>
                  <w:vMerge w:val="continue"/>
                  <w:tcBorders>
                    <w:tl2br w:val="nil"/>
                    <w:tr2bl w:val="nil"/>
                  </w:tcBorders>
                  <w:vAlign w:val="center"/>
                </w:tcPr>
                <w:p>
                  <w:pPr>
                    <w:tabs>
                      <w:tab w:val="left" w:pos="360"/>
                      <w:tab w:val="left" w:pos="540"/>
                    </w:tabs>
                    <w:spacing w:line="340" w:lineRule="exact"/>
                    <w:jc w:val="center"/>
                  </w:pPr>
                </w:p>
              </w:tc>
              <w:tc>
                <w:tcPr>
                  <w:tcW w:w="1836" w:type="dxa"/>
                  <w:vMerge w:val="continue"/>
                  <w:tcBorders>
                    <w:tl2br w:val="nil"/>
                    <w:tr2bl w:val="nil"/>
                  </w:tcBorders>
                  <w:vAlign w:val="center"/>
                </w:tcPr>
                <w:p>
                  <w:pPr>
                    <w:tabs>
                      <w:tab w:val="left" w:pos="360"/>
                      <w:tab w:val="left" w:pos="540"/>
                    </w:tabs>
                    <w:spacing w:line="340" w:lineRule="exact"/>
                    <w:jc w:val="center"/>
                  </w:pPr>
                </w:p>
              </w:tc>
              <w:tc>
                <w:tcPr>
                  <w:tcW w:w="791" w:type="dxa"/>
                  <w:vMerge w:val="continue"/>
                  <w:tcBorders>
                    <w:tl2br w:val="nil"/>
                    <w:tr2bl w:val="nil"/>
                  </w:tcBorders>
                  <w:vAlign w:val="center"/>
                </w:tcPr>
                <w:p>
                  <w:pPr>
                    <w:tabs>
                      <w:tab w:val="left" w:pos="360"/>
                      <w:tab w:val="left" w:pos="540"/>
                    </w:tabs>
                    <w:spacing w:line="340" w:lineRule="exact"/>
                    <w:jc w:val="center"/>
                  </w:pPr>
                </w:p>
              </w:tc>
              <w:tc>
                <w:tcPr>
                  <w:tcW w:w="671" w:type="dxa"/>
                  <w:tcBorders>
                    <w:tl2br w:val="nil"/>
                    <w:tr2bl w:val="nil"/>
                  </w:tcBorders>
                  <w:tcMar>
                    <w:top w:w="0" w:type="dxa"/>
                    <w:left w:w="0" w:type="dxa"/>
                    <w:bottom w:w="0" w:type="dxa"/>
                    <w:right w:w="0" w:type="dxa"/>
                  </w:tcMar>
                  <w:vAlign w:val="center"/>
                </w:tcPr>
                <w:p>
                  <w:pPr>
                    <w:tabs>
                      <w:tab w:val="left" w:pos="360"/>
                      <w:tab w:val="left" w:pos="540"/>
                      <w:tab w:val="left" w:pos="860"/>
                    </w:tabs>
                    <w:spacing w:line="340" w:lineRule="exact"/>
                    <w:jc w:val="center"/>
                    <w:rPr>
                      <w:b/>
                      <w:bCs/>
                    </w:rPr>
                  </w:pPr>
                  <w:r>
                    <w:rPr>
                      <w:b/>
                      <w:bCs/>
                    </w:rPr>
                    <w:t>产生量</w:t>
                  </w:r>
                </w:p>
              </w:tc>
              <w:tc>
                <w:tcPr>
                  <w:tcW w:w="851" w:type="dxa"/>
                  <w:tcBorders>
                    <w:tl2br w:val="nil"/>
                    <w:tr2bl w:val="nil"/>
                  </w:tcBorders>
                  <w:vAlign w:val="center"/>
                </w:tcPr>
                <w:p>
                  <w:pPr>
                    <w:tabs>
                      <w:tab w:val="left" w:pos="360"/>
                      <w:tab w:val="left" w:pos="540"/>
                      <w:tab w:val="left" w:pos="860"/>
                    </w:tabs>
                    <w:spacing w:line="340" w:lineRule="exact"/>
                    <w:jc w:val="center"/>
                    <w:rPr>
                      <w:b/>
                      <w:bCs/>
                    </w:rPr>
                  </w:pPr>
                  <w:r>
                    <w:rPr>
                      <w:b/>
                      <w:bCs/>
                    </w:rPr>
                    <w:t>削减量</w:t>
                  </w:r>
                </w:p>
              </w:tc>
              <w:tc>
                <w:tcPr>
                  <w:tcW w:w="881" w:type="dxa"/>
                  <w:tcBorders>
                    <w:tl2br w:val="nil"/>
                    <w:tr2bl w:val="nil"/>
                  </w:tcBorders>
                  <w:vAlign w:val="center"/>
                </w:tcPr>
                <w:p>
                  <w:pPr>
                    <w:tabs>
                      <w:tab w:val="left" w:pos="360"/>
                      <w:tab w:val="left" w:pos="540"/>
                      <w:tab w:val="left" w:pos="860"/>
                    </w:tabs>
                    <w:spacing w:line="340" w:lineRule="exact"/>
                    <w:jc w:val="center"/>
                    <w:rPr>
                      <w:b/>
                      <w:bCs/>
                    </w:rPr>
                  </w:pPr>
                  <w:r>
                    <w:rPr>
                      <w:b/>
                      <w:bCs/>
                    </w:rPr>
                    <w:t>排放量</w:t>
                  </w:r>
                </w:p>
              </w:tc>
              <w:tc>
                <w:tcPr>
                  <w:tcW w:w="891" w:type="dxa"/>
                  <w:vMerge w:val="continue"/>
                  <w:tcBorders>
                    <w:tl2br w:val="nil"/>
                    <w:tr2bl w:val="nil"/>
                  </w:tcBorders>
                  <w:vAlign w:val="center"/>
                </w:tcPr>
                <w:p>
                  <w:pPr>
                    <w:tabs>
                      <w:tab w:val="left" w:pos="360"/>
                      <w:tab w:val="left" w:pos="540"/>
                    </w:tabs>
                    <w:spacing w:line="340" w:lineRule="exact"/>
                    <w:jc w:val="center"/>
                  </w:pPr>
                </w:p>
              </w:tc>
              <w:tc>
                <w:tcPr>
                  <w:tcW w:w="780" w:type="dxa"/>
                  <w:vMerge w:val="continue"/>
                  <w:tcBorders>
                    <w:tl2br w:val="nil"/>
                    <w:tr2bl w:val="nil"/>
                  </w:tcBorders>
                  <w:vAlign w:val="center"/>
                </w:tcPr>
                <w:p>
                  <w:pPr>
                    <w:tabs>
                      <w:tab w:val="left" w:pos="360"/>
                      <w:tab w:val="left" w:pos="540"/>
                    </w:tabs>
                    <w:spacing w:line="340" w:lineRule="exact"/>
                    <w:jc w:val="center"/>
                  </w:pPr>
                </w:p>
              </w:tc>
              <w:tc>
                <w:tcPr>
                  <w:tcW w:w="849" w:type="dxa"/>
                  <w:vMerge w:val="continue"/>
                  <w:tcBorders>
                    <w:tl2br w:val="nil"/>
                    <w:tr2bl w:val="nil"/>
                  </w:tcBorders>
                  <w:vAlign w:val="center"/>
                </w:tcPr>
                <w:p>
                  <w:pPr>
                    <w:tabs>
                      <w:tab w:val="left" w:pos="360"/>
                      <w:tab w:val="left" w:pos="540"/>
                    </w:tabs>
                    <w:spacing w:line="3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427" w:type="dxa"/>
                  <w:vMerge w:val="restart"/>
                  <w:tcBorders>
                    <w:tl2br w:val="nil"/>
                    <w:tr2bl w:val="nil"/>
                  </w:tcBorders>
                  <w:vAlign w:val="center"/>
                </w:tcPr>
                <w:p>
                  <w:pPr>
                    <w:tabs>
                      <w:tab w:val="left" w:pos="360"/>
                      <w:tab w:val="left" w:pos="540"/>
                    </w:tabs>
                    <w:spacing w:line="340" w:lineRule="exact"/>
                    <w:jc w:val="center"/>
                  </w:pPr>
                  <w:r>
                    <w:t>水</w:t>
                  </w:r>
                </w:p>
              </w:tc>
              <w:tc>
                <w:tcPr>
                  <w:tcW w:w="1836" w:type="dxa"/>
                  <w:tcBorders>
                    <w:tl2br w:val="nil"/>
                    <w:tr2bl w:val="nil"/>
                  </w:tcBorders>
                  <w:vAlign w:val="center"/>
                </w:tcPr>
                <w:p>
                  <w:pPr>
                    <w:widowControl/>
                    <w:jc w:val="center"/>
                    <w:textAlignment w:val="center"/>
                  </w:pPr>
                  <w:r>
                    <w:rPr>
                      <w:rFonts w:hint="eastAsia"/>
                      <w:kern w:val="0"/>
                      <w:szCs w:val="21"/>
                      <w:lang w:bidi="ar"/>
                    </w:rPr>
                    <w:t>生活污水</w:t>
                  </w:r>
                </w:p>
              </w:tc>
              <w:tc>
                <w:tcPr>
                  <w:tcW w:w="791" w:type="dxa"/>
                  <w:tcBorders>
                    <w:tl2br w:val="nil"/>
                    <w:tr2bl w:val="nil"/>
                  </w:tcBorders>
                  <w:tcMar>
                    <w:top w:w="0" w:type="dxa"/>
                    <w:left w:w="0" w:type="dxa"/>
                    <w:bottom w:w="0" w:type="dxa"/>
                    <w:right w:w="0" w:type="dxa"/>
                  </w:tcMar>
                  <w:vAlign w:val="center"/>
                </w:tcPr>
                <w:p>
                  <w:pPr>
                    <w:widowControl/>
                    <w:jc w:val="center"/>
                    <w:textAlignment w:val="center"/>
                  </w:pPr>
                  <w:r>
                    <w:rPr>
                      <w:rFonts w:hint="eastAsia"/>
                      <w:kern w:val="0"/>
                      <w:szCs w:val="21"/>
                      <w:lang w:bidi="ar"/>
                    </w:rPr>
                    <w:t>1200</w:t>
                  </w:r>
                </w:p>
              </w:tc>
              <w:tc>
                <w:tcPr>
                  <w:tcW w:w="671" w:type="dxa"/>
                  <w:tcBorders>
                    <w:tl2br w:val="nil"/>
                    <w:tr2bl w:val="nil"/>
                  </w:tcBorders>
                  <w:tcMar>
                    <w:top w:w="0" w:type="dxa"/>
                    <w:left w:w="0" w:type="dxa"/>
                    <w:bottom w:w="0" w:type="dxa"/>
                    <w:right w:w="0" w:type="dxa"/>
                  </w:tcMar>
                  <w:vAlign w:val="center"/>
                </w:tcPr>
                <w:p>
                  <w:pPr>
                    <w:widowControl/>
                    <w:spacing w:line="240" w:lineRule="atLeast"/>
                    <w:jc w:val="center"/>
                    <w:rPr>
                      <w:szCs w:val="21"/>
                    </w:rPr>
                  </w:pPr>
                  <w:r>
                    <w:rPr>
                      <w:szCs w:val="21"/>
                    </w:rPr>
                    <w:t>0</w:t>
                  </w:r>
                </w:p>
              </w:tc>
              <w:tc>
                <w:tcPr>
                  <w:tcW w:w="851" w:type="dxa"/>
                  <w:tcBorders>
                    <w:tl2br w:val="nil"/>
                    <w:tr2bl w:val="nil"/>
                  </w:tcBorders>
                  <w:vAlign w:val="center"/>
                </w:tcPr>
                <w:p>
                  <w:pPr>
                    <w:widowControl/>
                    <w:spacing w:line="240" w:lineRule="atLeast"/>
                    <w:jc w:val="center"/>
                    <w:rPr>
                      <w:szCs w:val="21"/>
                    </w:rPr>
                  </w:pPr>
                  <w:r>
                    <w:rPr>
                      <w:szCs w:val="21"/>
                    </w:rPr>
                    <w:t>0</w:t>
                  </w:r>
                </w:p>
              </w:tc>
              <w:tc>
                <w:tcPr>
                  <w:tcW w:w="881" w:type="dxa"/>
                  <w:tcBorders>
                    <w:tl2br w:val="nil"/>
                    <w:tr2bl w:val="nil"/>
                  </w:tcBorders>
                  <w:vAlign w:val="center"/>
                </w:tcPr>
                <w:p>
                  <w:pPr>
                    <w:widowControl/>
                    <w:spacing w:line="240" w:lineRule="atLeast"/>
                    <w:jc w:val="center"/>
                    <w:rPr>
                      <w:szCs w:val="21"/>
                    </w:rPr>
                  </w:pPr>
                  <w:r>
                    <w:rPr>
                      <w:szCs w:val="21"/>
                    </w:rPr>
                    <w:t>0</w:t>
                  </w:r>
                </w:p>
              </w:tc>
              <w:tc>
                <w:tcPr>
                  <w:tcW w:w="891" w:type="dxa"/>
                  <w:tcBorders>
                    <w:tl2br w:val="nil"/>
                    <w:tr2bl w:val="nil"/>
                  </w:tcBorders>
                  <w:vAlign w:val="center"/>
                </w:tcPr>
                <w:p>
                  <w:pPr>
                    <w:spacing w:line="340" w:lineRule="exact"/>
                    <w:jc w:val="center"/>
                  </w:pPr>
                  <w:r>
                    <w:rPr>
                      <w:szCs w:val="21"/>
                    </w:rPr>
                    <w:t>0</w:t>
                  </w:r>
                </w:p>
              </w:tc>
              <w:tc>
                <w:tcPr>
                  <w:tcW w:w="780" w:type="dxa"/>
                  <w:tcBorders>
                    <w:tl2br w:val="nil"/>
                    <w:tr2bl w:val="nil"/>
                  </w:tcBorders>
                  <w:vAlign w:val="center"/>
                </w:tcPr>
                <w:p>
                  <w:pPr>
                    <w:widowControl/>
                    <w:jc w:val="center"/>
                    <w:textAlignment w:val="center"/>
                  </w:pPr>
                  <w:r>
                    <w:rPr>
                      <w:rFonts w:hint="eastAsia"/>
                      <w:kern w:val="0"/>
                      <w:szCs w:val="21"/>
                      <w:lang w:bidi="ar"/>
                    </w:rPr>
                    <w:t>1200</w:t>
                  </w:r>
                </w:p>
              </w:tc>
              <w:tc>
                <w:tcPr>
                  <w:tcW w:w="849" w:type="dxa"/>
                  <w:tcBorders>
                    <w:tl2br w:val="nil"/>
                    <w:tr2bl w:val="nil"/>
                  </w:tcBorders>
                  <w:vAlign w:val="center"/>
                </w:tcPr>
                <w:p>
                  <w:pPr>
                    <w:spacing w:line="340" w:lineRule="exact"/>
                    <w:jc w:val="center"/>
                  </w:pP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trPr>
              <w:tc>
                <w:tcPr>
                  <w:tcW w:w="427" w:type="dxa"/>
                  <w:vMerge w:val="continue"/>
                  <w:tcBorders>
                    <w:tl2br w:val="nil"/>
                    <w:tr2bl w:val="nil"/>
                  </w:tcBorders>
                  <w:vAlign w:val="center"/>
                </w:tcPr>
                <w:p>
                  <w:pPr>
                    <w:tabs>
                      <w:tab w:val="left" w:pos="360"/>
                      <w:tab w:val="left" w:pos="540"/>
                    </w:tabs>
                    <w:spacing w:line="340" w:lineRule="exact"/>
                    <w:jc w:val="center"/>
                  </w:pPr>
                </w:p>
              </w:tc>
              <w:tc>
                <w:tcPr>
                  <w:tcW w:w="1836" w:type="dxa"/>
                  <w:tcBorders>
                    <w:tl2br w:val="nil"/>
                    <w:tr2bl w:val="nil"/>
                  </w:tcBorders>
                  <w:vAlign w:val="center"/>
                </w:tcPr>
                <w:p>
                  <w:pPr>
                    <w:widowControl/>
                    <w:jc w:val="center"/>
                    <w:textAlignment w:val="center"/>
                    <w:rPr>
                      <w:szCs w:val="21"/>
                    </w:rPr>
                  </w:pPr>
                  <w:r>
                    <w:rPr>
                      <w:kern w:val="0"/>
                      <w:szCs w:val="21"/>
                      <w:lang w:bidi="ar"/>
                    </w:rPr>
                    <w:t>COD</w:t>
                  </w:r>
                </w:p>
              </w:tc>
              <w:tc>
                <w:tcPr>
                  <w:tcW w:w="791" w:type="dxa"/>
                  <w:tcBorders>
                    <w:tl2br w:val="nil"/>
                    <w:tr2bl w:val="nil"/>
                  </w:tcBorders>
                  <w:tcMar>
                    <w:top w:w="0" w:type="dxa"/>
                    <w:left w:w="0" w:type="dxa"/>
                    <w:bottom w:w="0" w:type="dxa"/>
                    <w:right w:w="0" w:type="dxa"/>
                  </w:tcMar>
                  <w:vAlign w:val="center"/>
                </w:tcPr>
                <w:p>
                  <w:pPr>
                    <w:widowControl/>
                    <w:jc w:val="center"/>
                    <w:textAlignment w:val="center"/>
                  </w:pPr>
                  <w:r>
                    <w:rPr>
                      <w:rFonts w:hint="eastAsia"/>
                    </w:rPr>
                    <w:t>0.12</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kern w:val="0"/>
                      <w:szCs w:val="21"/>
                      <w:lang w:bidi="ar"/>
                    </w:rPr>
                  </w:pPr>
                  <w:r>
                    <w:rPr>
                      <w:szCs w:val="21"/>
                    </w:rPr>
                    <w:t>0</w:t>
                  </w:r>
                </w:p>
              </w:tc>
              <w:tc>
                <w:tcPr>
                  <w:tcW w:w="851" w:type="dxa"/>
                  <w:tcBorders>
                    <w:tl2br w:val="nil"/>
                    <w:tr2bl w:val="nil"/>
                  </w:tcBorders>
                  <w:vAlign w:val="center"/>
                </w:tcPr>
                <w:p>
                  <w:pPr>
                    <w:widowControl/>
                    <w:spacing w:line="240" w:lineRule="atLeast"/>
                    <w:jc w:val="center"/>
                    <w:rPr>
                      <w:szCs w:val="21"/>
                    </w:rPr>
                  </w:pPr>
                  <w:r>
                    <w:rPr>
                      <w:szCs w:val="21"/>
                    </w:rPr>
                    <w:t>0</w:t>
                  </w:r>
                </w:p>
              </w:tc>
              <w:tc>
                <w:tcPr>
                  <w:tcW w:w="881" w:type="dxa"/>
                  <w:tcBorders>
                    <w:tl2br w:val="nil"/>
                    <w:tr2bl w:val="nil"/>
                  </w:tcBorders>
                  <w:vAlign w:val="center"/>
                </w:tcPr>
                <w:p>
                  <w:pPr>
                    <w:widowControl/>
                    <w:jc w:val="center"/>
                    <w:textAlignment w:val="center"/>
                    <w:rPr>
                      <w:kern w:val="0"/>
                      <w:szCs w:val="21"/>
                      <w:lang w:bidi="ar"/>
                    </w:rPr>
                  </w:pPr>
                  <w:r>
                    <w:rPr>
                      <w:szCs w:val="21"/>
                    </w:rPr>
                    <w:t>0</w:t>
                  </w:r>
                </w:p>
              </w:tc>
              <w:tc>
                <w:tcPr>
                  <w:tcW w:w="891" w:type="dxa"/>
                  <w:tcBorders>
                    <w:tl2br w:val="nil"/>
                    <w:tr2bl w:val="nil"/>
                  </w:tcBorders>
                  <w:vAlign w:val="center"/>
                </w:tcPr>
                <w:p>
                  <w:pPr>
                    <w:snapToGrid w:val="0"/>
                    <w:jc w:val="center"/>
                  </w:pPr>
                  <w:r>
                    <w:rPr>
                      <w:szCs w:val="21"/>
                    </w:rPr>
                    <w:t>0</w:t>
                  </w:r>
                </w:p>
              </w:tc>
              <w:tc>
                <w:tcPr>
                  <w:tcW w:w="780" w:type="dxa"/>
                  <w:tcBorders>
                    <w:tl2br w:val="nil"/>
                    <w:tr2bl w:val="nil"/>
                  </w:tcBorders>
                  <w:vAlign w:val="center"/>
                </w:tcPr>
                <w:p>
                  <w:pPr>
                    <w:widowControl/>
                    <w:jc w:val="center"/>
                    <w:textAlignment w:val="center"/>
                  </w:pPr>
                  <w:r>
                    <w:rPr>
                      <w:rFonts w:hint="eastAsia"/>
                    </w:rPr>
                    <w:t>0.12</w:t>
                  </w:r>
                </w:p>
              </w:tc>
              <w:tc>
                <w:tcPr>
                  <w:tcW w:w="849" w:type="dxa"/>
                  <w:tcBorders>
                    <w:tl2br w:val="nil"/>
                    <w:tr2bl w:val="nil"/>
                  </w:tcBorders>
                  <w:vAlign w:val="center"/>
                </w:tcPr>
                <w:p>
                  <w:pPr>
                    <w:snapToGrid w:val="0"/>
                    <w:jc w:val="center"/>
                  </w:pP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trPr>
              <w:tc>
                <w:tcPr>
                  <w:tcW w:w="427" w:type="dxa"/>
                  <w:vMerge w:val="continue"/>
                  <w:tcBorders>
                    <w:tl2br w:val="nil"/>
                    <w:tr2bl w:val="nil"/>
                  </w:tcBorders>
                  <w:vAlign w:val="center"/>
                </w:tcPr>
                <w:p>
                  <w:pPr>
                    <w:tabs>
                      <w:tab w:val="left" w:pos="360"/>
                      <w:tab w:val="left" w:pos="540"/>
                    </w:tabs>
                    <w:spacing w:line="340" w:lineRule="exact"/>
                    <w:jc w:val="center"/>
                  </w:pPr>
                </w:p>
              </w:tc>
              <w:tc>
                <w:tcPr>
                  <w:tcW w:w="1836" w:type="dxa"/>
                  <w:tcBorders>
                    <w:tl2br w:val="nil"/>
                    <w:tr2bl w:val="nil"/>
                  </w:tcBorders>
                  <w:vAlign w:val="center"/>
                </w:tcPr>
                <w:p>
                  <w:pPr>
                    <w:widowControl/>
                    <w:jc w:val="center"/>
                    <w:textAlignment w:val="center"/>
                    <w:rPr>
                      <w:kern w:val="0"/>
                      <w:szCs w:val="21"/>
                      <w:lang w:bidi="ar"/>
                    </w:rPr>
                  </w:pPr>
                  <w:r>
                    <w:rPr>
                      <w:kern w:val="0"/>
                      <w:szCs w:val="21"/>
                      <w:lang w:bidi="ar"/>
                    </w:rPr>
                    <w:t>NH</w:t>
                  </w:r>
                  <w:r>
                    <w:rPr>
                      <w:kern w:val="0"/>
                      <w:szCs w:val="21"/>
                      <w:vertAlign w:val="subscript"/>
                      <w:lang w:bidi="ar"/>
                    </w:rPr>
                    <w:t>3</w:t>
                  </w:r>
                  <w:r>
                    <w:rPr>
                      <w:rStyle w:val="730"/>
                      <w:color w:val="auto"/>
                      <w:lang w:bidi="ar"/>
                    </w:rPr>
                    <w:t>-N</w:t>
                  </w:r>
                </w:p>
              </w:tc>
              <w:tc>
                <w:tcPr>
                  <w:tcW w:w="791" w:type="dxa"/>
                  <w:tcBorders>
                    <w:tl2br w:val="nil"/>
                    <w:tr2bl w:val="nil"/>
                  </w:tcBorders>
                  <w:tcMar>
                    <w:top w:w="0" w:type="dxa"/>
                    <w:left w:w="0" w:type="dxa"/>
                    <w:bottom w:w="0" w:type="dxa"/>
                    <w:right w:w="0" w:type="dxa"/>
                  </w:tcMar>
                  <w:vAlign w:val="center"/>
                </w:tcPr>
                <w:p>
                  <w:pPr>
                    <w:widowControl/>
                    <w:jc w:val="center"/>
                    <w:textAlignment w:val="center"/>
                  </w:pPr>
                  <w:r>
                    <w:rPr>
                      <w:rFonts w:hint="eastAsia"/>
                    </w:rPr>
                    <w:t>0.012</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kern w:val="0"/>
                      <w:szCs w:val="21"/>
                      <w:lang w:bidi="ar"/>
                    </w:rPr>
                  </w:pPr>
                  <w:r>
                    <w:rPr>
                      <w:szCs w:val="21"/>
                    </w:rPr>
                    <w:t>0</w:t>
                  </w:r>
                </w:p>
              </w:tc>
              <w:tc>
                <w:tcPr>
                  <w:tcW w:w="851" w:type="dxa"/>
                  <w:tcBorders>
                    <w:tl2br w:val="nil"/>
                    <w:tr2bl w:val="nil"/>
                  </w:tcBorders>
                  <w:vAlign w:val="center"/>
                </w:tcPr>
                <w:p>
                  <w:pPr>
                    <w:widowControl/>
                    <w:spacing w:line="240" w:lineRule="atLeast"/>
                    <w:jc w:val="center"/>
                    <w:rPr>
                      <w:szCs w:val="21"/>
                    </w:rPr>
                  </w:pPr>
                  <w:r>
                    <w:rPr>
                      <w:szCs w:val="21"/>
                    </w:rPr>
                    <w:t>0</w:t>
                  </w:r>
                </w:p>
              </w:tc>
              <w:tc>
                <w:tcPr>
                  <w:tcW w:w="881" w:type="dxa"/>
                  <w:tcBorders>
                    <w:tl2br w:val="nil"/>
                    <w:tr2bl w:val="nil"/>
                  </w:tcBorders>
                  <w:vAlign w:val="center"/>
                </w:tcPr>
                <w:p>
                  <w:pPr>
                    <w:widowControl/>
                    <w:jc w:val="center"/>
                    <w:textAlignment w:val="center"/>
                    <w:rPr>
                      <w:kern w:val="0"/>
                      <w:szCs w:val="21"/>
                      <w:lang w:bidi="ar"/>
                    </w:rPr>
                  </w:pPr>
                  <w:r>
                    <w:rPr>
                      <w:szCs w:val="21"/>
                    </w:rPr>
                    <w:t>0</w:t>
                  </w:r>
                </w:p>
              </w:tc>
              <w:tc>
                <w:tcPr>
                  <w:tcW w:w="891" w:type="dxa"/>
                  <w:tcBorders>
                    <w:tl2br w:val="nil"/>
                    <w:tr2bl w:val="nil"/>
                  </w:tcBorders>
                  <w:vAlign w:val="center"/>
                </w:tcPr>
                <w:p>
                  <w:pPr>
                    <w:snapToGrid w:val="0"/>
                    <w:jc w:val="center"/>
                  </w:pPr>
                  <w:r>
                    <w:rPr>
                      <w:szCs w:val="21"/>
                    </w:rPr>
                    <w:t>0</w:t>
                  </w:r>
                </w:p>
              </w:tc>
              <w:tc>
                <w:tcPr>
                  <w:tcW w:w="780" w:type="dxa"/>
                  <w:tcBorders>
                    <w:tl2br w:val="nil"/>
                    <w:tr2bl w:val="nil"/>
                  </w:tcBorders>
                  <w:vAlign w:val="center"/>
                </w:tcPr>
                <w:p>
                  <w:pPr>
                    <w:widowControl/>
                    <w:jc w:val="center"/>
                    <w:textAlignment w:val="center"/>
                  </w:pPr>
                  <w:r>
                    <w:rPr>
                      <w:rFonts w:hint="eastAsia"/>
                    </w:rPr>
                    <w:t>0.012</w:t>
                  </w:r>
                </w:p>
              </w:tc>
              <w:tc>
                <w:tcPr>
                  <w:tcW w:w="849" w:type="dxa"/>
                  <w:tcBorders>
                    <w:tl2br w:val="nil"/>
                    <w:tr2bl w:val="nil"/>
                  </w:tcBorders>
                  <w:vAlign w:val="center"/>
                </w:tcPr>
                <w:p>
                  <w:pPr>
                    <w:snapToGrid w:val="0"/>
                    <w:jc w:val="center"/>
                  </w:pP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trPr>
              <w:tc>
                <w:tcPr>
                  <w:tcW w:w="427" w:type="dxa"/>
                  <w:vMerge w:val="continue"/>
                  <w:tcBorders>
                    <w:tl2br w:val="nil"/>
                    <w:tr2bl w:val="nil"/>
                  </w:tcBorders>
                  <w:vAlign w:val="center"/>
                </w:tcPr>
                <w:p>
                  <w:pPr>
                    <w:tabs>
                      <w:tab w:val="left" w:pos="360"/>
                      <w:tab w:val="left" w:pos="540"/>
                    </w:tabs>
                    <w:spacing w:line="340" w:lineRule="exact"/>
                    <w:jc w:val="center"/>
                  </w:pPr>
                </w:p>
              </w:tc>
              <w:tc>
                <w:tcPr>
                  <w:tcW w:w="1836" w:type="dxa"/>
                  <w:tcBorders>
                    <w:tl2br w:val="nil"/>
                    <w:tr2bl w:val="nil"/>
                  </w:tcBorders>
                  <w:vAlign w:val="center"/>
                </w:tcPr>
                <w:p>
                  <w:pPr>
                    <w:widowControl/>
                    <w:jc w:val="center"/>
                    <w:textAlignment w:val="center"/>
                    <w:rPr>
                      <w:kern w:val="0"/>
                      <w:szCs w:val="21"/>
                      <w:lang w:bidi="ar"/>
                    </w:rPr>
                  </w:pPr>
                  <w:r>
                    <w:rPr>
                      <w:kern w:val="0"/>
                      <w:szCs w:val="21"/>
                      <w:lang w:bidi="ar"/>
                    </w:rPr>
                    <w:t>BOD</w:t>
                  </w:r>
                  <w:r>
                    <w:rPr>
                      <w:kern w:val="0"/>
                      <w:szCs w:val="21"/>
                      <w:vertAlign w:val="subscript"/>
                      <w:lang w:bidi="ar"/>
                    </w:rPr>
                    <w:t>5</w:t>
                  </w:r>
                </w:p>
              </w:tc>
              <w:tc>
                <w:tcPr>
                  <w:tcW w:w="791" w:type="dxa"/>
                  <w:tcBorders>
                    <w:tl2br w:val="nil"/>
                    <w:tr2bl w:val="nil"/>
                  </w:tcBorders>
                  <w:tcMar>
                    <w:top w:w="0" w:type="dxa"/>
                    <w:left w:w="0" w:type="dxa"/>
                    <w:bottom w:w="0" w:type="dxa"/>
                    <w:right w:w="0" w:type="dxa"/>
                  </w:tcMar>
                  <w:vAlign w:val="center"/>
                </w:tcPr>
                <w:p>
                  <w:pPr>
                    <w:widowControl/>
                    <w:jc w:val="center"/>
                    <w:textAlignment w:val="center"/>
                  </w:pPr>
                  <w:r>
                    <w:rPr>
                      <w:rFonts w:hint="eastAsia"/>
                    </w:rPr>
                    <w:t>0.024</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kern w:val="0"/>
                      <w:szCs w:val="21"/>
                      <w:lang w:bidi="ar"/>
                    </w:rPr>
                  </w:pPr>
                  <w:r>
                    <w:rPr>
                      <w:szCs w:val="21"/>
                    </w:rPr>
                    <w:t>0</w:t>
                  </w:r>
                </w:p>
              </w:tc>
              <w:tc>
                <w:tcPr>
                  <w:tcW w:w="851" w:type="dxa"/>
                  <w:tcBorders>
                    <w:tl2br w:val="nil"/>
                    <w:tr2bl w:val="nil"/>
                  </w:tcBorders>
                  <w:vAlign w:val="center"/>
                </w:tcPr>
                <w:p>
                  <w:pPr>
                    <w:widowControl/>
                    <w:spacing w:line="240" w:lineRule="atLeast"/>
                    <w:jc w:val="center"/>
                    <w:rPr>
                      <w:szCs w:val="21"/>
                    </w:rPr>
                  </w:pPr>
                  <w:r>
                    <w:rPr>
                      <w:szCs w:val="21"/>
                    </w:rPr>
                    <w:t>0</w:t>
                  </w:r>
                </w:p>
              </w:tc>
              <w:tc>
                <w:tcPr>
                  <w:tcW w:w="881" w:type="dxa"/>
                  <w:tcBorders>
                    <w:tl2br w:val="nil"/>
                    <w:tr2bl w:val="nil"/>
                  </w:tcBorders>
                  <w:vAlign w:val="center"/>
                </w:tcPr>
                <w:p>
                  <w:pPr>
                    <w:widowControl/>
                    <w:jc w:val="center"/>
                    <w:textAlignment w:val="center"/>
                    <w:rPr>
                      <w:kern w:val="0"/>
                      <w:szCs w:val="21"/>
                      <w:lang w:bidi="ar"/>
                    </w:rPr>
                  </w:pPr>
                  <w:r>
                    <w:rPr>
                      <w:szCs w:val="21"/>
                    </w:rPr>
                    <w:t>0</w:t>
                  </w:r>
                </w:p>
              </w:tc>
              <w:tc>
                <w:tcPr>
                  <w:tcW w:w="891" w:type="dxa"/>
                  <w:tcBorders>
                    <w:tl2br w:val="nil"/>
                    <w:tr2bl w:val="nil"/>
                  </w:tcBorders>
                  <w:vAlign w:val="center"/>
                </w:tcPr>
                <w:p>
                  <w:pPr>
                    <w:snapToGrid w:val="0"/>
                    <w:jc w:val="center"/>
                  </w:pPr>
                  <w:r>
                    <w:rPr>
                      <w:szCs w:val="21"/>
                    </w:rPr>
                    <w:t>0</w:t>
                  </w:r>
                </w:p>
              </w:tc>
              <w:tc>
                <w:tcPr>
                  <w:tcW w:w="780" w:type="dxa"/>
                  <w:tcBorders>
                    <w:tl2br w:val="nil"/>
                    <w:tr2bl w:val="nil"/>
                  </w:tcBorders>
                  <w:vAlign w:val="center"/>
                </w:tcPr>
                <w:p>
                  <w:pPr>
                    <w:widowControl/>
                    <w:jc w:val="center"/>
                    <w:textAlignment w:val="center"/>
                  </w:pPr>
                  <w:r>
                    <w:rPr>
                      <w:rFonts w:hint="eastAsia"/>
                    </w:rPr>
                    <w:t>0.024</w:t>
                  </w:r>
                </w:p>
              </w:tc>
              <w:tc>
                <w:tcPr>
                  <w:tcW w:w="849" w:type="dxa"/>
                  <w:tcBorders>
                    <w:tl2br w:val="nil"/>
                    <w:tr2bl w:val="nil"/>
                  </w:tcBorders>
                  <w:vAlign w:val="center"/>
                </w:tcPr>
                <w:p>
                  <w:pPr>
                    <w:snapToGrid w:val="0"/>
                    <w:jc w:val="center"/>
                  </w:pP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trPr>
              <w:tc>
                <w:tcPr>
                  <w:tcW w:w="427" w:type="dxa"/>
                  <w:vMerge w:val="continue"/>
                  <w:tcBorders>
                    <w:tl2br w:val="nil"/>
                    <w:tr2bl w:val="nil"/>
                  </w:tcBorders>
                  <w:vAlign w:val="center"/>
                </w:tcPr>
                <w:p>
                  <w:pPr>
                    <w:tabs>
                      <w:tab w:val="left" w:pos="360"/>
                      <w:tab w:val="left" w:pos="540"/>
                    </w:tabs>
                    <w:spacing w:line="340" w:lineRule="exact"/>
                    <w:jc w:val="center"/>
                  </w:pPr>
                </w:p>
              </w:tc>
              <w:tc>
                <w:tcPr>
                  <w:tcW w:w="1836" w:type="dxa"/>
                  <w:tcBorders>
                    <w:tl2br w:val="nil"/>
                    <w:tr2bl w:val="nil"/>
                  </w:tcBorders>
                  <w:vAlign w:val="center"/>
                </w:tcPr>
                <w:p>
                  <w:pPr>
                    <w:widowControl/>
                    <w:jc w:val="center"/>
                    <w:textAlignment w:val="center"/>
                    <w:rPr>
                      <w:kern w:val="0"/>
                      <w:szCs w:val="21"/>
                      <w:lang w:bidi="ar"/>
                    </w:rPr>
                  </w:pPr>
                  <w:r>
                    <w:rPr>
                      <w:kern w:val="0"/>
                      <w:szCs w:val="21"/>
                      <w:lang w:bidi="ar"/>
                    </w:rPr>
                    <w:t>SS</w:t>
                  </w:r>
                </w:p>
              </w:tc>
              <w:tc>
                <w:tcPr>
                  <w:tcW w:w="791" w:type="dxa"/>
                  <w:tcBorders>
                    <w:tl2br w:val="nil"/>
                    <w:tr2bl w:val="nil"/>
                  </w:tcBorders>
                  <w:tcMar>
                    <w:top w:w="0" w:type="dxa"/>
                    <w:left w:w="0" w:type="dxa"/>
                    <w:bottom w:w="0" w:type="dxa"/>
                    <w:right w:w="0" w:type="dxa"/>
                  </w:tcMar>
                  <w:vAlign w:val="center"/>
                </w:tcPr>
                <w:p>
                  <w:pPr>
                    <w:widowControl/>
                    <w:jc w:val="center"/>
                    <w:textAlignment w:val="center"/>
                  </w:pPr>
                  <w:r>
                    <w:rPr>
                      <w:rFonts w:hint="eastAsia"/>
                    </w:rPr>
                    <w:t>0.024</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kern w:val="0"/>
                      <w:szCs w:val="21"/>
                      <w:lang w:bidi="ar"/>
                    </w:rPr>
                  </w:pPr>
                  <w:r>
                    <w:rPr>
                      <w:szCs w:val="21"/>
                    </w:rPr>
                    <w:t>0</w:t>
                  </w:r>
                </w:p>
              </w:tc>
              <w:tc>
                <w:tcPr>
                  <w:tcW w:w="851" w:type="dxa"/>
                  <w:tcBorders>
                    <w:tl2br w:val="nil"/>
                    <w:tr2bl w:val="nil"/>
                  </w:tcBorders>
                  <w:vAlign w:val="center"/>
                </w:tcPr>
                <w:p>
                  <w:pPr>
                    <w:widowControl/>
                    <w:spacing w:line="240" w:lineRule="atLeast"/>
                    <w:jc w:val="center"/>
                    <w:rPr>
                      <w:szCs w:val="21"/>
                    </w:rPr>
                  </w:pPr>
                  <w:r>
                    <w:rPr>
                      <w:szCs w:val="21"/>
                    </w:rPr>
                    <w:t>0</w:t>
                  </w:r>
                </w:p>
              </w:tc>
              <w:tc>
                <w:tcPr>
                  <w:tcW w:w="881" w:type="dxa"/>
                  <w:tcBorders>
                    <w:tl2br w:val="nil"/>
                    <w:tr2bl w:val="nil"/>
                  </w:tcBorders>
                  <w:vAlign w:val="center"/>
                </w:tcPr>
                <w:p>
                  <w:pPr>
                    <w:widowControl/>
                    <w:jc w:val="center"/>
                    <w:textAlignment w:val="center"/>
                    <w:rPr>
                      <w:kern w:val="0"/>
                      <w:szCs w:val="21"/>
                      <w:lang w:bidi="ar"/>
                    </w:rPr>
                  </w:pPr>
                  <w:r>
                    <w:rPr>
                      <w:szCs w:val="21"/>
                    </w:rPr>
                    <w:t>0</w:t>
                  </w:r>
                </w:p>
              </w:tc>
              <w:tc>
                <w:tcPr>
                  <w:tcW w:w="891" w:type="dxa"/>
                  <w:tcBorders>
                    <w:tl2br w:val="nil"/>
                    <w:tr2bl w:val="nil"/>
                  </w:tcBorders>
                  <w:vAlign w:val="center"/>
                </w:tcPr>
                <w:p>
                  <w:pPr>
                    <w:snapToGrid w:val="0"/>
                    <w:jc w:val="center"/>
                  </w:pPr>
                  <w:r>
                    <w:rPr>
                      <w:szCs w:val="21"/>
                    </w:rPr>
                    <w:t>0</w:t>
                  </w:r>
                </w:p>
              </w:tc>
              <w:tc>
                <w:tcPr>
                  <w:tcW w:w="780" w:type="dxa"/>
                  <w:tcBorders>
                    <w:tl2br w:val="nil"/>
                    <w:tr2bl w:val="nil"/>
                  </w:tcBorders>
                  <w:vAlign w:val="center"/>
                </w:tcPr>
                <w:p>
                  <w:pPr>
                    <w:widowControl/>
                    <w:jc w:val="center"/>
                    <w:textAlignment w:val="center"/>
                  </w:pPr>
                  <w:r>
                    <w:rPr>
                      <w:rFonts w:hint="eastAsia"/>
                    </w:rPr>
                    <w:t>0.024</w:t>
                  </w:r>
                </w:p>
              </w:tc>
              <w:tc>
                <w:tcPr>
                  <w:tcW w:w="849" w:type="dxa"/>
                  <w:tcBorders>
                    <w:tl2br w:val="nil"/>
                    <w:tr2bl w:val="nil"/>
                  </w:tcBorders>
                  <w:vAlign w:val="center"/>
                </w:tcPr>
                <w:p>
                  <w:pPr>
                    <w:snapToGrid w:val="0"/>
                    <w:jc w:val="center"/>
                  </w:pP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trPr>
              <w:tc>
                <w:tcPr>
                  <w:tcW w:w="427" w:type="dxa"/>
                  <w:vMerge w:val="continue"/>
                  <w:tcBorders>
                    <w:tl2br w:val="nil"/>
                    <w:tr2bl w:val="nil"/>
                  </w:tcBorders>
                  <w:vAlign w:val="center"/>
                </w:tcPr>
                <w:p>
                  <w:pPr>
                    <w:tabs>
                      <w:tab w:val="left" w:pos="360"/>
                      <w:tab w:val="left" w:pos="540"/>
                    </w:tabs>
                    <w:spacing w:line="340" w:lineRule="exact"/>
                    <w:jc w:val="center"/>
                  </w:pPr>
                </w:p>
              </w:tc>
              <w:tc>
                <w:tcPr>
                  <w:tcW w:w="1836" w:type="dxa"/>
                  <w:tcBorders>
                    <w:tl2br w:val="nil"/>
                    <w:tr2bl w:val="nil"/>
                  </w:tcBorders>
                  <w:vAlign w:val="center"/>
                </w:tcPr>
                <w:p>
                  <w:pPr>
                    <w:widowControl/>
                    <w:jc w:val="center"/>
                    <w:textAlignment w:val="center"/>
                    <w:rPr>
                      <w:kern w:val="0"/>
                      <w:szCs w:val="21"/>
                      <w:lang w:bidi="ar"/>
                    </w:rPr>
                  </w:pPr>
                  <w:r>
                    <w:rPr>
                      <w:rFonts w:hint="eastAsia"/>
                      <w:kern w:val="0"/>
                      <w:szCs w:val="21"/>
                      <w:lang w:bidi="ar"/>
                    </w:rPr>
                    <w:t>动植物油</w:t>
                  </w:r>
                </w:p>
              </w:tc>
              <w:tc>
                <w:tcPr>
                  <w:tcW w:w="791" w:type="dxa"/>
                  <w:tcBorders>
                    <w:tl2br w:val="nil"/>
                    <w:tr2bl w:val="nil"/>
                  </w:tcBorders>
                  <w:tcMar>
                    <w:top w:w="0" w:type="dxa"/>
                    <w:left w:w="0" w:type="dxa"/>
                    <w:bottom w:w="0" w:type="dxa"/>
                    <w:right w:w="0" w:type="dxa"/>
                  </w:tcMar>
                  <w:vAlign w:val="center"/>
                </w:tcPr>
                <w:p>
                  <w:pPr>
                    <w:widowControl/>
                    <w:jc w:val="center"/>
                    <w:textAlignment w:val="center"/>
                  </w:pPr>
                  <w:r>
                    <w:rPr>
                      <w:rFonts w:hint="eastAsia"/>
                    </w:rPr>
                    <w:t>0.0024</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szCs w:val="21"/>
                    </w:rPr>
                  </w:pPr>
                  <w:r>
                    <w:rPr>
                      <w:rFonts w:hint="eastAsia"/>
                      <w:szCs w:val="21"/>
                    </w:rPr>
                    <w:t>0</w:t>
                  </w:r>
                </w:p>
              </w:tc>
              <w:tc>
                <w:tcPr>
                  <w:tcW w:w="851" w:type="dxa"/>
                  <w:tcBorders>
                    <w:tl2br w:val="nil"/>
                    <w:tr2bl w:val="nil"/>
                  </w:tcBorders>
                  <w:vAlign w:val="center"/>
                </w:tcPr>
                <w:p>
                  <w:pPr>
                    <w:widowControl/>
                    <w:spacing w:line="240" w:lineRule="atLeast"/>
                    <w:jc w:val="center"/>
                    <w:rPr>
                      <w:szCs w:val="21"/>
                    </w:rPr>
                  </w:pPr>
                  <w:r>
                    <w:rPr>
                      <w:rFonts w:hint="eastAsia"/>
                      <w:szCs w:val="21"/>
                    </w:rPr>
                    <w:t>0</w:t>
                  </w:r>
                </w:p>
              </w:tc>
              <w:tc>
                <w:tcPr>
                  <w:tcW w:w="881" w:type="dxa"/>
                  <w:tcBorders>
                    <w:tl2br w:val="nil"/>
                    <w:tr2bl w:val="nil"/>
                  </w:tcBorders>
                  <w:vAlign w:val="center"/>
                </w:tcPr>
                <w:p>
                  <w:pPr>
                    <w:widowControl/>
                    <w:jc w:val="center"/>
                    <w:textAlignment w:val="center"/>
                    <w:rPr>
                      <w:szCs w:val="21"/>
                    </w:rPr>
                  </w:pPr>
                  <w:r>
                    <w:rPr>
                      <w:rFonts w:hint="eastAsia"/>
                      <w:szCs w:val="21"/>
                    </w:rPr>
                    <w:t>0</w:t>
                  </w:r>
                </w:p>
              </w:tc>
              <w:tc>
                <w:tcPr>
                  <w:tcW w:w="891" w:type="dxa"/>
                  <w:tcBorders>
                    <w:tl2br w:val="nil"/>
                    <w:tr2bl w:val="nil"/>
                  </w:tcBorders>
                  <w:vAlign w:val="center"/>
                </w:tcPr>
                <w:p>
                  <w:pPr>
                    <w:snapToGrid w:val="0"/>
                    <w:jc w:val="center"/>
                    <w:rPr>
                      <w:szCs w:val="21"/>
                    </w:rPr>
                  </w:pPr>
                  <w:r>
                    <w:rPr>
                      <w:rFonts w:hint="eastAsia"/>
                      <w:szCs w:val="21"/>
                    </w:rPr>
                    <w:t>0</w:t>
                  </w:r>
                </w:p>
              </w:tc>
              <w:tc>
                <w:tcPr>
                  <w:tcW w:w="780" w:type="dxa"/>
                  <w:tcBorders>
                    <w:tl2br w:val="nil"/>
                    <w:tr2bl w:val="nil"/>
                  </w:tcBorders>
                  <w:vAlign w:val="center"/>
                </w:tcPr>
                <w:p>
                  <w:pPr>
                    <w:widowControl/>
                    <w:jc w:val="center"/>
                    <w:textAlignment w:val="center"/>
                  </w:pPr>
                  <w:r>
                    <w:rPr>
                      <w:rFonts w:hint="eastAsia"/>
                    </w:rPr>
                    <w:t>0.0024</w:t>
                  </w:r>
                </w:p>
              </w:tc>
              <w:tc>
                <w:tcPr>
                  <w:tcW w:w="849" w:type="dxa"/>
                  <w:tcBorders>
                    <w:tl2br w:val="nil"/>
                    <w:tr2bl w:val="nil"/>
                  </w:tcBorders>
                  <w:vAlign w:val="center"/>
                </w:tcPr>
                <w:p>
                  <w:pPr>
                    <w:snapToGrid w:val="0"/>
                    <w:jc w:val="center"/>
                    <w:rPr>
                      <w:szCs w:val="21"/>
                    </w:rPr>
                  </w:pPr>
                  <w:r>
                    <w:rPr>
                      <w:rFonts w:hint="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27" w:type="dxa"/>
                  <w:vMerge w:val="restart"/>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r>
                    <w:t>气</w:t>
                  </w:r>
                </w:p>
              </w:tc>
              <w:tc>
                <w:tcPr>
                  <w:tcW w:w="1836" w:type="dxa"/>
                  <w:tcBorders>
                    <w:tl2br w:val="nil"/>
                    <w:tr2bl w:val="nil"/>
                  </w:tcBorders>
                  <w:tcMar>
                    <w:top w:w="0" w:type="dxa"/>
                    <w:left w:w="0" w:type="dxa"/>
                    <w:bottom w:w="0" w:type="dxa"/>
                    <w:right w:w="0" w:type="dxa"/>
                  </w:tcMar>
                  <w:vAlign w:val="center"/>
                </w:tcPr>
                <w:p>
                  <w:pPr>
                    <w:jc w:val="center"/>
                  </w:pPr>
                  <w:r>
                    <w:rPr>
                      <w:rFonts w:hint="eastAsia"/>
                      <w:szCs w:val="21"/>
                    </w:rPr>
                    <w:t>颗粒物</w:t>
                  </w:r>
                </w:p>
              </w:tc>
              <w:tc>
                <w:tcPr>
                  <w:tcW w:w="791" w:type="dxa"/>
                  <w:tcBorders>
                    <w:tl2br w:val="nil"/>
                    <w:tr2bl w:val="nil"/>
                  </w:tcBorders>
                  <w:tcMar>
                    <w:top w:w="0" w:type="dxa"/>
                    <w:left w:w="0" w:type="dxa"/>
                    <w:bottom w:w="0" w:type="dxa"/>
                    <w:right w:w="0" w:type="dxa"/>
                  </w:tcMar>
                  <w:vAlign w:val="center"/>
                </w:tcPr>
                <w:p>
                  <w:pPr>
                    <w:jc w:val="center"/>
                  </w:pPr>
                  <w:r>
                    <w:rPr>
                      <w:rFonts w:hint="eastAsia"/>
                    </w:rPr>
                    <w:t>0.538</w:t>
                  </w:r>
                </w:p>
              </w:tc>
              <w:tc>
                <w:tcPr>
                  <w:tcW w:w="671" w:type="dxa"/>
                  <w:tcBorders>
                    <w:tl2br w:val="nil"/>
                    <w:tr2bl w:val="nil"/>
                  </w:tcBorders>
                  <w:tcMar>
                    <w:top w:w="0" w:type="dxa"/>
                    <w:left w:w="0" w:type="dxa"/>
                    <w:bottom w:w="0" w:type="dxa"/>
                    <w:right w:w="0" w:type="dxa"/>
                  </w:tcMar>
                  <w:vAlign w:val="center"/>
                </w:tcPr>
                <w:p>
                  <w:pPr>
                    <w:widowControl/>
                    <w:spacing w:line="240" w:lineRule="atLeast"/>
                    <w:jc w:val="center"/>
                    <w:rPr>
                      <w:szCs w:val="21"/>
                    </w:rPr>
                  </w:pPr>
                  <w:r>
                    <w:rPr>
                      <w:rFonts w:hint="eastAsia"/>
                      <w:szCs w:val="21"/>
                    </w:rPr>
                    <w:t>12.838</w:t>
                  </w:r>
                </w:p>
              </w:tc>
              <w:tc>
                <w:tcPr>
                  <w:tcW w:w="851" w:type="dxa"/>
                  <w:tcBorders>
                    <w:tl2br w:val="nil"/>
                    <w:tr2bl w:val="nil"/>
                  </w:tcBorders>
                  <w:vAlign w:val="center"/>
                </w:tcPr>
                <w:p>
                  <w:pPr>
                    <w:widowControl/>
                    <w:spacing w:line="240" w:lineRule="atLeast"/>
                    <w:jc w:val="center"/>
                    <w:rPr>
                      <w:szCs w:val="21"/>
                    </w:rPr>
                  </w:pPr>
                  <w:r>
                    <w:rPr>
                      <w:rFonts w:hint="eastAsia"/>
                      <w:szCs w:val="21"/>
                    </w:rPr>
                    <w:t>12.639</w:t>
                  </w:r>
                </w:p>
              </w:tc>
              <w:tc>
                <w:tcPr>
                  <w:tcW w:w="881" w:type="dxa"/>
                  <w:tcBorders>
                    <w:tl2br w:val="nil"/>
                    <w:tr2bl w:val="nil"/>
                  </w:tcBorders>
                  <w:vAlign w:val="center"/>
                </w:tcPr>
                <w:p>
                  <w:pPr>
                    <w:widowControl/>
                    <w:spacing w:line="240" w:lineRule="atLeast"/>
                    <w:jc w:val="center"/>
                    <w:rPr>
                      <w:szCs w:val="21"/>
                    </w:rPr>
                  </w:pPr>
                  <w:r>
                    <w:rPr>
                      <w:rFonts w:hint="eastAsia"/>
                      <w:szCs w:val="21"/>
                    </w:rPr>
                    <w:t>0.199</w:t>
                  </w:r>
                </w:p>
              </w:tc>
              <w:tc>
                <w:tcPr>
                  <w:tcW w:w="891" w:type="dxa"/>
                  <w:tcBorders>
                    <w:tl2br w:val="nil"/>
                    <w:tr2bl w:val="nil"/>
                  </w:tcBorders>
                  <w:vAlign w:val="center"/>
                </w:tcPr>
                <w:p>
                  <w:pPr>
                    <w:tabs>
                      <w:tab w:val="left" w:pos="360"/>
                      <w:tab w:val="left" w:pos="540"/>
                    </w:tabs>
                    <w:spacing w:line="340" w:lineRule="exact"/>
                    <w:jc w:val="center"/>
                  </w:pPr>
                  <w:r>
                    <w:rPr>
                      <w:rFonts w:hint="eastAsia"/>
                    </w:rPr>
                    <w:t>0</w:t>
                  </w:r>
                </w:p>
              </w:tc>
              <w:tc>
                <w:tcPr>
                  <w:tcW w:w="780" w:type="dxa"/>
                  <w:tcBorders>
                    <w:tl2br w:val="nil"/>
                    <w:tr2bl w:val="nil"/>
                  </w:tcBorders>
                  <w:vAlign w:val="center"/>
                </w:tcPr>
                <w:p>
                  <w:pPr>
                    <w:widowControl/>
                    <w:spacing w:line="240" w:lineRule="atLeast"/>
                    <w:jc w:val="center"/>
                  </w:pPr>
                  <w:r>
                    <w:rPr>
                      <w:rFonts w:hint="eastAsia"/>
                    </w:rPr>
                    <w:t>0.737</w:t>
                  </w:r>
                </w:p>
              </w:tc>
              <w:tc>
                <w:tcPr>
                  <w:tcW w:w="849" w:type="dxa"/>
                  <w:tcBorders>
                    <w:tl2br w:val="nil"/>
                    <w:tr2bl w:val="nil"/>
                  </w:tcBorders>
                  <w:vAlign w:val="center"/>
                </w:tcPr>
                <w:p>
                  <w:pPr>
                    <w:widowControl/>
                    <w:spacing w:line="240" w:lineRule="atLeast"/>
                    <w:jc w:val="center"/>
                    <w:rPr>
                      <w:szCs w:val="21"/>
                    </w:rPr>
                  </w:pPr>
                  <w:r>
                    <w:rPr>
                      <w:rFonts w:hint="eastAsia"/>
                      <w:szCs w:val="21"/>
                    </w:rPr>
                    <w:t>+0.199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jc w:val="center"/>
                    <w:rPr>
                      <w:szCs w:val="21"/>
                    </w:rPr>
                  </w:pPr>
                  <w:r>
                    <w:rPr>
                      <w:rFonts w:hint="eastAsia"/>
                      <w:szCs w:val="21"/>
                    </w:rPr>
                    <w:t>非甲烷总烃</w:t>
                  </w:r>
                </w:p>
              </w:tc>
              <w:tc>
                <w:tcPr>
                  <w:tcW w:w="791" w:type="dxa"/>
                  <w:tcBorders>
                    <w:tl2br w:val="nil"/>
                    <w:tr2bl w:val="nil"/>
                  </w:tcBorders>
                  <w:tcMar>
                    <w:top w:w="0" w:type="dxa"/>
                    <w:left w:w="0" w:type="dxa"/>
                    <w:bottom w:w="0" w:type="dxa"/>
                    <w:right w:w="0" w:type="dxa"/>
                  </w:tcMar>
                  <w:vAlign w:val="center"/>
                </w:tcPr>
                <w:p>
                  <w:pPr>
                    <w:jc w:val="center"/>
                  </w:pPr>
                  <w:r>
                    <w:rPr>
                      <w:rFonts w:hint="eastAsia"/>
                    </w:rPr>
                    <w:t>1.992</w:t>
                  </w:r>
                </w:p>
              </w:tc>
              <w:tc>
                <w:tcPr>
                  <w:tcW w:w="671" w:type="dxa"/>
                  <w:tcBorders>
                    <w:tl2br w:val="nil"/>
                    <w:tr2bl w:val="nil"/>
                  </w:tcBorders>
                  <w:tcMar>
                    <w:top w:w="0" w:type="dxa"/>
                    <w:left w:w="0" w:type="dxa"/>
                    <w:bottom w:w="0" w:type="dxa"/>
                    <w:right w:w="0" w:type="dxa"/>
                  </w:tcMar>
                  <w:vAlign w:val="center"/>
                </w:tcPr>
                <w:p>
                  <w:pPr>
                    <w:widowControl/>
                    <w:spacing w:line="240" w:lineRule="atLeast"/>
                    <w:jc w:val="center"/>
                    <w:rPr>
                      <w:szCs w:val="21"/>
                    </w:rPr>
                  </w:pPr>
                  <w:r>
                    <w:rPr>
                      <w:rFonts w:hint="eastAsia"/>
                      <w:szCs w:val="21"/>
                    </w:rPr>
                    <w:t>1.707</w:t>
                  </w:r>
                </w:p>
              </w:tc>
              <w:tc>
                <w:tcPr>
                  <w:tcW w:w="851" w:type="dxa"/>
                  <w:tcBorders>
                    <w:tl2br w:val="nil"/>
                    <w:tr2bl w:val="nil"/>
                  </w:tcBorders>
                  <w:vAlign w:val="center"/>
                </w:tcPr>
                <w:p>
                  <w:pPr>
                    <w:widowControl/>
                    <w:spacing w:line="240" w:lineRule="atLeast"/>
                    <w:jc w:val="center"/>
                    <w:rPr>
                      <w:szCs w:val="21"/>
                    </w:rPr>
                  </w:pPr>
                  <w:r>
                    <w:rPr>
                      <w:rFonts w:hint="eastAsia"/>
                      <w:szCs w:val="21"/>
                    </w:rPr>
                    <w:t>1.497</w:t>
                  </w:r>
                </w:p>
              </w:tc>
              <w:tc>
                <w:tcPr>
                  <w:tcW w:w="881" w:type="dxa"/>
                  <w:tcBorders>
                    <w:tl2br w:val="nil"/>
                    <w:tr2bl w:val="nil"/>
                  </w:tcBorders>
                  <w:vAlign w:val="center"/>
                </w:tcPr>
                <w:p>
                  <w:pPr>
                    <w:widowControl/>
                    <w:spacing w:line="240" w:lineRule="atLeast"/>
                    <w:jc w:val="center"/>
                    <w:rPr>
                      <w:szCs w:val="21"/>
                    </w:rPr>
                  </w:pPr>
                  <w:r>
                    <w:rPr>
                      <w:rFonts w:hint="eastAsia"/>
                      <w:szCs w:val="21"/>
                    </w:rPr>
                    <w:t>0.211</w:t>
                  </w:r>
                </w:p>
              </w:tc>
              <w:tc>
                <w:tcPr>
                  <w:tcW w:w="891" w:type="dxa"/>
                  <w:tcBorders>
                    <w:tl2br w:val="nil"/>
                    <w:tr2bl w:val="nil"/>
                  </w:tcBorders>
                  <w:vAlign w:val="center"/>
                </w:tcPr>
                <w:p>
                  <w:pPr>
                    <w:tabs>
                      <w:tab w:val="left" w:pos="360"/>
                      <w:tab w:val="left" w:pos="540"/>
                    </w:tabs>
                    <w:spacing w:line="340" w:lineRule="exact"/>
                    <w:jc w:val="center"/>
                  </w:pPr>
                  <w:r>
                    <w:rPr>
                      <w:rFonts w:hint="eastAsia"/>
                    </w:rPr>
                    <w:t>0</w:t>
                  </w:r>
                </w:p>
              </w:tc>
              <w:tc>
                <w:tcPr>
                  <w:tcW w:w="780" w:type="dxa"/>
                  <w:tcBorders>
                    <w:tl2br w:val="nil"/>
                    <w:tr2bl w:val="nil"/>
                  </w:tcBorders>
                  <w:vAlign w:val="center"/>
                </w:tcPr>
                <w:p>
                  <w:pPr>
                    <w:widowControl/>
                    <w:spacing w:line="240" w:lineRule="atLeast"/>
                    <w:jc w:val="center"/>
                    <w:rPr>
                      <w:szCs w:val="21"/>
                    </w:rPr>
                  </w:pPr>
                  <w:r>
                    <w:rPr>
                      <w:rFonts w:hint="eastAsia"/>
                      <w:szCs w:val="21"/>
                    </w:rPr>
                    <w:t>2.203</w:t>
                  </w:r>
                </w:p>
              </w:tc>
              <w:tc>
                <w:tcPr>
                  <w:tcW w:w="849" w:type="dxa"/>
                  <w:tcBorders>
                    <w:tl2br w:val="nil"/>
                    <w:tr2bl w:val="nil"/>
                  </w:tcBorders>
                  <w:vAlign w:val="center"/>
                </w:tcPr>
                <w:p>
                  <w:pPr>
                    <w:widowControl/>
                    <w:spacing w:line="240" w:lineRule="atLeast"/>
                    <w:jc w:val="center"/>
                    <w:rPr>
                      <w:szCs w:val="21"/>
                    </w:rPr>
                  </w:pPr>
                  <w:r>
                    <w:rPr>
                      <w:rFonts w:hint="eastAsia"/>
                      <w:szCs w:val="21"/>
                    </w:rPr>
                    <w:t>+0.211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jc w:val="center"/>
                    <w:rPr>
                      <w:szCs w:val="21"/>
                    </w:rPr>
                  </w:pPr>
                  <w:r>
                    <w:rPr>
                      <w:rFonts w:hint="eastAsia"/>
                      <w:szCs w:val="21"/>
                    </w:rPr>
                    <w:t>二甲苯</w:t>
                  </w:r>
                </w:p>
              </w:tc>
              <w:tc>
                <w:tcPr>
                  <w:tcW w:w="791" w:type="dxa"/>
                  <w:tcBorders>
                    <w:tl2br w:val="nil"/>
                    <w:tr2bl w:val="nil"/>
                  </w:tcBorders>
                  <w:tcMar>
                    <w:top w:w="0" w:type="dxa"/>
                    <w:left w:w="0" w:type="dxa"/>
                    <w:bottom w:w="0" w:type="dxa"/>
                    <w:right w:w="0" w:type="dxa"/>
                  </w:tcMar>
                  <w:vAlign w:val="center"/>
                </w:tcPr>
                <w:p>
                  <w:pPr>
                    <w:jc w:val="center"/>
                  </w:pPr>
                  <w:r>
                    <w:rPr>
                      <w:rFonts w:hint="eastAsia"/>
                    </w:rPr>
                    <w:t>0.331</w:t>
                  </w:r>
                </w:p>
              </w:tc>
              <w:tc>
                <w:tcPr>
                  <w:tcW w:w="671" w:type="dxa"/>
                  <w:tcBorders>
                    <w:tl2br w:val="nil"/>
                    <w:tr2bl w:val="nil"/>
                  </w:tcBorders>
                  <w:tcMar>
                    <w:top w:w="0" w:type="dxa"/>
                    <w:left w:w="0" w:type="dxa"/>
                    <w:bottom w:w="0" w:type="dxa"/>
                    <w:right w:w="0" w:type="dxa"/>
                  </w:tcMar>
                  <w:vAlign w:val="center"/>
                </w:tcPr>
                <w:p>
                  <w:pPr>
                    <w:widowControl/>
                    <w:spacing w:line="240" w:lineRule="atLeast"/>
                    <w:jc w:val="center"/>
                    <w:rPr>
                      <w:szCs w:val="21"/>
                    </w:rPr>
                  </w:pPr>
                  <w:r>
                    <w:rPr>
                      <w:rFonts w:hint="eastAsia"/>
                      <w:szCs w:val="21"/>
                    </w:rPr>
                    <w:t>0.0776</w:t>
                  </w:r>
                </w:p>
              </w:tc>
              <w:tc>
                <w:tcPr>
                  <w:tcW w:w="851" w:type="dxa"/>
                  <w:tcBorders>
                    <w:tl2br w:val="nil"/>
                    <w:tr2bl w:val="nil"/>
                  </w:tcBorders>
                  <w:vAlign w:val="center"/>
                </w:tcPr>
                <w:p>
                  <w:pPr>
                    <w:widowControl/>
                    <w:spacing w:line="240" w:lineRule="atLeast"/>
                    <w:jc w:val="center"/>
                    <w:rPr>
                      <w:szCs w:val="21"/>
                    </w:rPr>
                  </w:pPr>
                  <w:r>
                    <w:rPr>
                      <w:rFonts w:hint="eastAsia"/>
                      <w:szCs w:val="21"/>
                    </w:rPr>
                    <w:t>0.0676</w:t>
                  </w:r>
                </w:p>
              </w:tc>
              <w:tc>
                <w:tcPr>
                  <w:tcW w:w="881" w:type="dxa"/>
                  <w:tcBorders>
                    <w:tl2br w:val="nil"/>
                    <w:tr2bl w:val="nil"/>
                  </w:tcBorders>
                  <w:vAlign w:val="center"/>
                </w:tcPr>
                <w:p>
                  <w:pPr>
                    <w:widowControl/>
                    <w:spacing w:line="240" w:lineRule="atLeast"/>
                    <w:jc w:val="center"/>
                    <w:rPr>
                      <w:szCs w:val="21"/>
                    </w:rPr>
                  </w:pPr>
                  <w:r>
                    <w:rPr>
                      <w:rFonts w:hint="eastAsia"/>
                      <w:szCs w:val="21"/>
                    </w:rPr>
                    <w:t>0.010</w:t>
                  </w:r>
                </w:p>
              </w:tc>
              <w:tc>
                <w:tcPr>
                  <w:tcW w:w="891" w:type="dxa"/>
                  <w:tcBorders>
                    <w:tl2br w:val="nil"/>
                    <w:tr2bl w:val="nil"/>
                  </w:tcBorders>
                  <w:vAlign w:val="center"/>
                </w:tcPr>
                <w:p>
                  <w:pPr>
                    <w:tabs>
                      <w:tab w:val="left" w:pos="360"/>
                      <w:tab w:val="left" w:pos="540"/>
                    </w:tabs>
                    <w:spacing w:line="340" w:lineRule="exact"/>
                    <w:jc w:val="center"/>
                  </w:pPr>
                  <w:r>
                    <w:rPr>
                      <w:rFonts w:hint="eastAsia"/>
                    </w:rPr>
                    <w:t>0</w:t>
                  </w:r>
                </w:p>
              </w:tc>
              <w:tc>
                <w:tcPr>
                  <w:tcW w:w="780" w:type="dxa"/>
                  <w:tcBorders>
                    <w:tl2br w:val="nil"/>
                    <w:tr2bl w:val="nil"/>
                  </w:tcBorders>
                  <w:vAlign w:val="center"/>
                </w:tcPr>
                <w:p>
                  <w:pPr>
                    <w:widowControl/>
                    <w:spacing w:line="240" w:lineRule="atLeast"/>
                    <w:jc w:val="center"/>
                    <w:rPr>
                      <w:szCs w:val="21"/>
                    </w:rPr>
                  </w:pPr>
                  <w:r>
                    <w:rPr>
                      <w:rFonts w:hint="eastAsia"/>
                      <w:szCs w:val="21"/>
                    </w:rPr>
                    <w:t>0.341</w:t>
                  </w:r>
                </w:p>
              </w:tc>
              <w:tc>
                <w:tcPr>
                  <w:tcW w:w="849" w:type="dxa"/>
                  <w:tcBorders>
                    <w:tl2br w:val="nil"/>
                    <w:tr2bl w:val="nil"/>
                  </w:tcBorders>
                  <w:vAlign w:val="center"/>
                </w:tcPr>
                <w:p>
                  <w:pPr>
                    <w:widowControl/>
                    <w:spacing w:line="240" w:lineRule="atLeast"/>
                    <w:jc w:val="center"/>
                    <w:rPr>
                      <w:szCs w:val="21"/>
                    </w:rPr>
                  </w:pPr>
                  <w:r>
                    <w:rPr>
                      <w:rFonts w:hint="eastAsia"/>
                      <w:szCs w:val="21"/>
                    </w:rPr>
                    <w:t>+0.010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jc w:val="center"/>
                    <w:rPr>
                      <w:sz w:val="24"/>
                    </w:rPr>
                  </w:pPr>
                  <w:r>
                    <w:rPr>
                      <w:rFonts w:hint="eastAsia"/>
                      <w:szCs w:val="21"/>
                    </w:rPr>
                    <w:t>甲苯</w:t>
                  </w:r>
                </w:p>
              </w:tc>
              <w:tc>
                <w:tcPr>
                  <w:tcW w:w="791" w:type="dxa"/>
                  <w:tcBorders>
                    <w:tl2br w:val="nil"/>
                    <w:tr2bl w:val="nil"/>
                  </w:tcBorders>
                  <w:tcMar>
                    <w:top w:w="0" w:type="dxa"/>
                    <w:left w:w="0" w:type="dxa"/>
                    <w:bottom w:w="0" w:type="dxa"/>
                    <w:right w:w="0" w:type="dxa"/>
                  </w:tcMar>
                  <w:vAlign w:val="center"/>
                </w:tcPr>
                <w:p>
                  <w:pPr>
                    <w:snapToGrid w:val="0"/>
                    <w:jc w:val="center"/>
                    <w:rPr>
                      <w:szCs w:val="21"/>
                    </w:rPr>
                  </w:pPr>
                  <w:r>
                    <w:rPr>
                      <w:rFonts w:hint="eastAsia"/>
                      <w:szCs w:val="21"/>
                    </w:rPr>
                    <w:t>0.147</w:t>
                  </w:r>
                </w:p>
              </w:tc>
              <w:tc>
                <w:tcPr>
                  <w:tcW w:w="671" w:type="dxa"/>
                  <w:tcBorders>
                    <w:tl2br w:val="nil"/>
                    <w:tr2bl w:val="nil"/>
                  </w:tcBorders>
                  <w:tcMar>
                    <w:top w:w="0" w:type="dxa"/>
                    <w:left w:w="0" w:type="dxa"/>
                    <w:bottom w:w="0" w:type="dxa"/>
                    <w:right w:w="0" w:type="dxa"/>
                  </w:tcMar>
                  <w:vAlign w:val="center"/>
                </w:tcPr>
                <w:p>
                  <w:pPr>
                    <w:widowControl/>
                    <w:spacing w:line="240" w:lineRule="atLeast"/>
                    <w:jc w:val="center"/>
                  </w:pPr>
                  <w:r>
                    <w:rPr>
                      <w:rFonts w:hint="eastAsia"/>
                    </w:rPr>
                    <w:t>0.0402</w:t>
                  </w:r>
                </w:p>
              </w:tc>
              <w:tc>
                <w:tcPr>
                  <w:tcW w:w="851" w:type="dxa"/>
                  <w:tcBorders>
                    <w:tl2br w:val="nil"/>
                    <w:tr2bl w:val="nil"/>
                  </w:tcBorders>
                  <w:vAlign w:val="center"/>
                </w:tcPr>
                <w:p>
                  <w:pPr>
                    <w:spacing w:line="240" w:lineRule="atLeast"/>
                    <w:jc w:val="center"/>
                  </w:pPr>
                  <w:r>
                    <w:rPr>
                      <w:rFonts w:hint="eastAsia"/>
                    </w:rPr>
                    <w:t>0.0352</w:t>
                  </w:r>
                </w:p>
              </w:tc>
              <w:tc>
                <w:tcPr>
                  <w:tcW w:w="881" w:type="dxa"/>
                  <w:tcBorders>
                    <w:tl2br w:val="nil"/>
                    <w:tr2bl w:val="nil"/>
                  </w:tcBorders>
                  <w:vAlign w:val="center"/>
                </w:tcPr>
                <w:p>
                  <w:pPr>
                    <w:widowControl/>
                    <w:spacing w:line="240" w:lineRule="atLeast"/>
                    <w:jc w:val="center"/>
                  </w:pPr>
                  <w:r>
                    <w:rPr>
                      <w:rFonts w:hint="eastAsia"/>
                    </w:rPr>
                    <w:t>0.005</w:t>
                  </w:r>
                </w:p>
              </w:tc>
              <w:tc>
                <w:tcPr>
                  <w:tcW w:w="891" w:type="dxa"/>
                  <w:tcBorders>
                    <w:tl2br w:val="nil"/>
                    <w:tr2bl w:val="nil"/>
                  </w:tcBorders>
                  <w:vAlign w:val="center"/>
                </w:tcPr>
                <w:p>
                  <w:pPr>
                    <w:jc w:val="center"/>
                  </w:pPr>
                  <w:r>
                    <w:rPr>
                      <w:rFonts w:hint="eastAsia"/>
                    </w:rPr>
                    <w:t>0</w:t>
                  </w:r>
                </w:p>
              </w:tc>
              <w:tc>
                <w:tcPr>
                  <w:tcW w:w="780" w:type="dxa"/>
                  <w:tcBorders>
                    <w:tl2br w:val="nil"/>
                    <w:tr2bl w:val="nil"/>
                  </w:tcBorders>
                  <w:vAlign w:val="center"/>
                </w:tcPr>
                <w:p>
                  <w:pPr>
                    <w:jc w:val="center"/>
                    <w:rPr>
                      <w:szCs w:val="21"/>
                    </w:rPr>
                  </w:pPr>
                  <w:r>
                    <w:rPr>
                      <w:rFonts w:hint="eastAsia"/>
                      <w:szCs w:val="21"/>
                    </w:rPr>
                    <w:t>0.152</w:t>
                  </w:r>
                </w:p>
              </w:tc>
              <w:tc>
                <w:tcPr>
                  <w:tcW w:w="849" w:type="dxa"/>
                  <w:tcBorders>
                    <w:tl2br w:val="nil"/>
                    <w:tr2bl w:val="nil"/>
                  </w:tcBorders>
                  <w:vAlign w:val="center"/>
                </w:tcPr>
                <w:p>
                  <w:pPr>
                    <w:widowControl/>
                    <w:spacing w:line="240" w:lineRule="atLeast"/>
                    <w:jc w:val="center"/>
                  </w:pPr>
                  <w:r>
                    <w:rPr>
                      <w:rFonts w:hint="eastAsi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427" w:type="dxa"/>
                  <w:vMerge w:val="restart"/>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r>
                    <w:t>固废</w:t>
                  </w:r>
                </w:p>
              </w:tc>
              <w:tc>
                <w:tcPr>
                  <w:tcW w:w="1836" w:type="dxa"/>
                  <w:tcBorders>
                    <w:tl2br w:val="nil"/>
                    <w:tr2bl w:val="nil"/>
                  </w:tcBorders>
                  <w:tcMar>
                    <w:top w:w="0" w:type="dxa"/>
                    <w:left w:w="0" w:type="dxa"/>
                    <w:bottom w:w="0" w:type="dxa"/>
                    <w:right w:w="0" w:type="dxa"/>
                  </w:tcMar>
                  <w:vAlign w:val="center"/>
                </w:tcPr>
                <w:p>
                  <w:pPr>
                    <w:widowControl/>
                    <w:jc w:val="center"/>
                    <w:textAlignment w:val="center"/>
                    <w:rPr>
                      <w:szCs w:val="21"/>
                    </w:rPr>
                  </w:pPr>
                  <w:r>
                    <w:rPr>
                      <w:rFonts w:hint="eastAsia" w:ascii="宋体" w:hAnsi="宋体" w:cs="宋体"/>
                      <w:kern w:val="0"/>
                      <w:szCs w:val="21"/>
                      <w:lang w:bidi="ar"/>
                    </w:rPr>
                    <w:t>生活垃圾</w:t>
                  </w:r>
                </w:p>
              </w:tc>
              <w:tc>
                <w:tcPr>
                  <w:tcW w:w="791" w:type="dxa"/>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spacing w:line="320" w:lineRule="exact"/>
                    <w:jc w:val="center"/>
                    <w:rPr>
                      <w:szCs w:val="21"/>
                    </w:rPr>
                  </w:pPr>
                  <w:r>
                    <w:rPr>
                      <w:rFonts w:hint="eastAsia"/>
                      <w:bCs/>
                      <w:sz w:val="24"/>
                    </w:rPr>
                    <w:t>0</w:t>
                  </w:r>
                </w:p>
              </w:tc>
              <w:tc>
                <w:tcPr>
                  <w:tcW w:w="851" w:type="dxa"/>
                  <w:tcBorders>
                    <w:tl2br w:val="nil"/>
                    <w:tr2bl w:val="nil"/>
                  </w:tcBorders>
                  <w:vAlign w:val="center"/>
                </w:tcPr>
                <w:p>
                  <w:pPr>
                    <w:spacing w:line="320" w:lineRule="exact"/>
                    <w:jc w:val="center"/>
                    <w:rPr>
                      <w:szCs w:val="21"/>
                    </w:rPr>
                  </w:pPr>
                  <w:r>
                    <w:rPr>
                      <w:rFonts w:hint="eastAsia"/>
                      <w:bCs/>
                      <w:sz w:val="24"/>
                    </w:rPr>
                    <w:t>0</w:t>
                  </w:r>
                </w:p>
              </w:tc>
              <w:tc>
                <w:tcPr>
                  <w:tcW w:w="881" w:type="dxa"/>
                  <w:tcBorders>
                    <w:tl2br w:val="nil"/>
                    <w:tr2bl w:val="nil"/>
                  </w:tcBorders>
                  <w:vAlign w:val="center"/>
                </w:tcPr>
                <w:p>
                  <w:pPr>
                    <w:tabs>
                      <w:tab w:val="left" w:pos="360"/>
                      <w:tab w:val="left" w:pos="540"/>
                    </w:tabs>
                    <w:spacing w:line="340" w:lineRule="exact"/>
                    <w:jc w:val="center"/>
                  </w:pPr>
                  <w:r>
                    <w:t>0</w:t>
                  </w:r>
                </w:p>
              </w:tc>
              <w:tc>
                <w:tcPr>
                  <w:tcW w:w="891" w:type="dxa"/>
                  <w:tcBorders>
                    <w:tl2br w:val="nil"/>
                    <w:tr2bl w:val="nil"/>
                  </w:tcBorders>
                  <w:vAlign w:val="center"/>
                </w:tcPr>
                <w:p>
                  <w:pPr>
                    <w:tabs>
                      <w:tab w:val="left" w:pos="360"/>
                      <w:tab w:val="left" w:pos="540"/>
                    </w:tabs>
                    <w:spacing w:line="340" w:lineRule="exact"/>
                    <w:jc w:val="center"/>
                  </w:pPr>
                  <w:r>
                    <w:t>0</w:t>
                  </w:r>
                </w:p>
              </w:tc>
              <w:tc>
                <w:tcPr>
                  <w:tcW w:w="780" w:type="dxa"/>
                  <w:tcBorders>
                    <w:tl2br w:val="nil"/>
                    <w:tr2bl w:val="nil"/>
                  </w:tcBorders>
                  <w:vAlign w:val="center"/>
                </w:tcPr>
                <w:p>
                  <w:pPr>
                    <w:tabs>
                      <w:tab w:val="left" w:pos="360"/>
                      <w:tab w:val="left" w:pos="540"/>
                    </w:tabs>
                    <w:spacing w:line="340" w:lineRule="exact"/>
                    <w:jc w:val="center"/>
                  </w:pPr>
                  <w:r>
                    <w:t>0</w:t>
                  </w:r>
                </w:p>
              </w:tc>
              <w:tc>
                <w:tcPr>
                  <w:tcW w:w="849" w:type="dxa"/>
                  <w:tcBorders>
                    <w:tl2br w:val="nil"/>
                    <w:tr2bl w:val="nil"/>
                  </w:tcBorders>
                  <w:vAlign w:val="center"/>
                </w:tcPr>
                <w:p>
                  <w:pPr>
                    <w:tabs>
                      <w:tab w:val="left" w:pos="360"/>
                      <w:tab w:val="left" w:pos="540"/>
                    </w:tabs>
                    <w:spacing w:line="340" w:lineRule="exact"/>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widowControl/>
                    <w:jc w:val="center"/>
                    <w:textAlignment w:val="center"/>
                    <w:rPr>
                      <w:szCs w:val="21"/>
                    </w:rPr>
                  </w:pPr>
                  <w:r>
                    <w:rPr>
                      <w:rFonts w:hint="eastAsia" w:ascii="宋体" w:hAnsi="宋体" w:cs="宋体"/>
                      <w:kern w:val="0"/>
                      <w:szCs w:val="21"/>
                      <w:lang w:bidi="ar"/>
                    </w:rPr>
                    <w:t>金属边角</w:t>
                  </w:r>
                  <w:r>
                    <w:rPr>
                      <w:rStyle w:val="721"/>
                      <w:color w:val="auto"/>
                      <w:vertAlign w:val="baseline"/>
                      <w:lang w:bidi="ar"/>
                    </w:rPr>
                    <w:t>料</w:t>
                  </w:r>
                </w:p>
              </w:tc>
              <w:tc>
                <w:tcPr>
                  <w:tcW w:w="791" w:type="dxa"/>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szCs w:val="21"/>
                    </w:rPr>
                  </w:pPr>
                  <w:r>
                    <w:rPr>
                      <w:rFonts w:hint="eastAsia"/>
                      <w:szCs w:val="21"/>
                    </w:rPr>
                    <w:t>0</w:t>
                  </w:r>
                </w:p>
              </w:tc>
              <w:tc>
                <w:tcPr>
                  <w:tcW w:w="851" w:type="dxa"/>
                  <w:tcBorders>
                    <w:tl2br w:val="nil"/>
                    <w:tr2bl w:val="nil"/>
                  </w:tcBorders>
                  <w:vAlign w:val="center"/>
                </w:tcPr>
                <w:p>
                  <w:pPr>
                    <w:widowControl/>
                    <w:jc w:val="center"/>
                    <w:textAlignment w:val="center"/>
                    <w:rPr>
                      <w:szCs w:val="21"/>
                    </w:rPr>
                  </w:pPr>
                  <w:r>
                    <w:rPr>
                      <w:rFonts w:hint="eastAsia"/>
                      <w:szCs w:val="21"/>
                    </w:rPr>
                    <w:t>0</w:t>
                  </w:r>
                </w:p>
              </w:tc>
              <w:tc>
                <w:tcPr>
                  <w:tcW w:w="881" w:type="dxa"/>
                  <w:tcBorders>
                    <w:tl2br w:val="nil"/>
                    <w:tr2bl w:val="nil"/>
                  </w:tcBorders>
                  <w:vAlign w:val="center"/>
                </w:tcPr>
                <w:p>
                  <w:pPr>
                    <w:tabs>
                      <w:tab w:val="left" w:pos="360"/>
                      <w:tab w:val="left" w:pos="540"/>
                    </w:tabs>
                    <w:spacing w:line="340" w:lineRule="exact"/>
                    <w:jc w:val="center"/>
                  </w:pPr>
                  <w:r>
                    <w:rPr>
                      <w:rFonts w:hint="eastAsia"/>
                    </w:rPr>
                    <w:t>0</w:t>
                  </w:r>
                </w:p>
              </w:tc>
              <w:tc>
                <w:tcPr>
                  <w:tcW w:w="891" w:type="dxa"/>
                  <w:tcBorders>
                    <w:tl2br w:val="nil"/>
                    <w:tr2bl w:val="nil"/>
                  </w:tcBorders>
                  <w:vAlign w:val="center"/>
                </w:tcPr>
                <w:p>
                  <w:pPr>
                    <w:tabs>
                      <w:tab w:val="left" w:pos="360"/>
                      <w:tab w:val="left" w:pos="540"/>
                    </w:tabs>
                    <w:spacing w:line="340" w:lineRule="exact"/>
                    <w:jc w:val="center"/>
                  </w:pPr>
                  <w:r>
                    <w:rPr>
                      <w:rFonts w:hint="eastAsia"/>
                    </w:rPr>
                    <w:t>0</w:t>
                  </w:r>
                </w:p>
              </w:tc>
              <w:tc>
                <w:tcPr>
                  <w:tcW w:w="780" w:type="dxa"/>
                  <w:tcBorders>
                    <w:tl2br w:val="nil"/>
                    <w:tr2bl w:val="nil"/>
                  </w:tcBorders>
                  <w:vAlign w:val="center"/>
                </w:tcPr>
                <w:p>
                  <w:pPr>
                    <w:tabs>
                      <w:tab w:val="left" w:pos="360"/>
                      <w:tab w:val="left" w:pos="540"/>
                    </w:tabs>
                    <w:spacing w:line="340" w:lineRule="exact"/>
                    <w:jc w:val="center"/>
                  </w:pPr>
                  <w:r>
                    <w:rPr>
                      <w:rFonts w:hint="eastAsia"/>
                    </w:rPr>
                    <w:t>0</w:t>
                  </w:r>
                </w:p>
              </w:tc>
              <w:tc>
                <w:tcPr>
                  <w:tcW w:w="849" w:type="dxa"/>
                  <w:tcBorders>
                    <w:tl2br w:val="nil"/>
                    <w:tr2bl w:val="nil"/>
                  </w:tcBorders>
                  <w:vAlign w:val="center"/>
                </w:tcPr>
                <w:p>
                  <w:pPr>
                    <w:tabs>
                      <w:tab w:val="left" w:pos="360"/>
                      <w:tab w:val="left" w:pos="540"/>
                    </w:tabs>
                    <w:spacing w:line="340" w:lineRule="exact"/>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widowControl/>
                    <w:jc w:val="center"/>
                    <w:textAlignment w:val="center"/>
                    <w:rPr>
                      <w:bCs/>
                      <w:szCs w:val="21"/>
                    </w:rPr>
                  </w:pPr>
                  <w:r>
                    <w:rPr>
                      <w:rFonts w:hint="eastAsia" w:ascii="宋体" w:hAnsi="宋体" w:cs="宋体"/>
                      <w:kern w:val="0"/>
                      <w:szCs w:val="21"/>
                      <w:lang w:bidi="ar"/>
                    </w:rPr>
                    <w:t>机加工粉尘</w:t>
                  </w:r>
                </w:p>
              </w:tc>
              <w:tc>
                <w:tcPr>
                  <w:tcW w:w="791" w:type="dxa"/>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szCs w:val="21"/>
                    </w:rPr>
                  </w:pPr>
                  <w:r>
                    <w:rPr>
                      <w:rFonts w:hint="eastAsia"/>
                      <w:szCs w:val="21"/>
                    </w:rPr>
                    <w:t>0</w:t>
                  </w:r>
                </w:p>
              </w:tc>
              <w:tc>
                <w:tcPr>
                  <w:tcW w:w="851" w:type="dxa"/>
                  <w:tcBorders>
                    <w:tl2br w:val="nil"/>
                    <w:tr2bl w:val="nil"/>
                  </w:tcBorders>
                  <w:vAlign w:val="center"/>
                </w:tcPr>
                <w:p>
                  <w:pPr>
                    <w:widowControl/>
                    <w:jc w:val="center"/>
                    <w:textAlignment w:val="center"/>
                    <w:rPr>
                      <w:szCs w:val="21"/>
                    </w:rPr>
                  </w:pPr>
                  <w:r>
                    <w:rPr>
                      <w:rFonts w:hint="eastAsia"/>
                      <w:szCs w:val="21"/>
                    </w:rPr>
                    <w:t>0</w:t>
                  </w:r>
                </w:p>
              </w:tc>
              <w:tc>
                <w:tcPr>
                  <w:tcW w:w="881" w:type="dxa"/>
                  <w:tcBorders>
                    <w:tl2br w:val="nil"/>
                    <w:tr2bl w:val="nil"/>
                  </w:tcBorders>
                  <w:vAlign w:val="center"/>
                </w:tcPr>
                <w:p>
                  <w:pPr>
                    <w:tabs>
                      <w:tab w:val="left" w:pos="360"/>
                      <w:tab w:val="left" w:pos="540"/>
                    </w:tabs>
                    <w:spacing w:line="340" w:lineRule="exact"/>
                    <w:jc w:val="center"/>
                  </w:pPr>
                  <w:r>
                    <w:rPr>
                      <w:rFonts w:hint="eastAsia"/>
                    </w:rPr>
                    <w:t>0</w:t>
                  </w:r>
                </w:p>
              </w:tc>
              <w:tc>
                <w:tcPr>
                  <w:tcW w:w="891" w:type="dxa"/>
                  <w:tcBorders>
                    <w:tl2br w:val="nil"/>
                    <w:tr2bl w:val="nil"/>
                  </w:tcBorders>
                  <w:vAlign w:val="center"/>
                </w:tcPr>
                <w:p>
                  <w:pPr>
                    <w:tabs>
                      <w:tab w:val="left" w:pos="360"/>
                      <w:tab w:val="left" w:pos="540"/>
                    </w:tabs>
                    <w:spacing w:line="340" w:lineRule="exact"/>
                    <w:jc w:val="center"/>
                  </w:pPr>
                  <w:r>
                    <w:rPr>
                      <w:rFonts w:hint="eastAsia"/>
                    </w:rPr>
                    <w:t>0</w:t>
                  </w:r>
                </w:p>
              </w:tc>
              <w:tc>
                <w:tcPr>
                  <w:tcW w:w="780" w:type="dxa"/>
                  <w:tcBorders>
                    <w:tl2br w:val="nil"/>
                    <w:tr2bl w:val="nil"/>
                  </w:tcBorders>
                  <w:vAlign w:val="center"/>
                </w:tcPr>
                <w:p>
                  <w:pPr>
                    <w:tabs>
                      <w:tab w:val="left" w:pos="360"/>
                      <w:tab w:val="left" w:pos="540"/>
                    </w:tabs>
                    <w:spacing w:line="340" w:lineRule="exact"/>
                    <w:jc w:val="center"/>
                  </w:pPr>
                  <w:r>
                    <w:rPr>
                      <w:rFonts w:hint="eastAsia"/>
                    </w:rPr>
                    <w:t>0</w:t>
                  </w:r>
                </w:p>
              </w:tc>
              <w:tc>
                <w:tcPr>
                  <w:tcW w:w="849" w:type="dxa"/>
                  <w:tcBorders>
                    <w:tl2br w:val="nil"/>
                    <w:tr2bl w:val="nil"/>
                  </w:tcBorders>
                  <w:vAlign w:val="center"/>
                </w:tcPr>
                <w:p>
                  <w:pPr>
                    <w:tabs>
                      <w:tab w:val="left" w:pos="360"/>
                      <w:tab w:val="left" w:pos="540"/>
                    </w:tabs>
                    <w:spacing w:line="340" w:lineRule="exact"/>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widowControl/>
                    <w:jc w:val="center"/>
                    <w:textAlignment w:val="center"/>
                    <w:rPr>
                      <w:bCs/>
                      <w:szCs w:val="21"/>
                    </w:rPr>
                  </w:pPr>
                  <w:r>
                    <w:rPr>
                      <w:rFonts w:hint="eastAsia" w:ascii="宋体" w:hAnsi="宋体" w:cs="宋体"/>
                      <w:kern w:val="0"/>
                      <w:szCs w:val="21"/>
                      <w:lang w:bidi="ar"/>
                    </w:rPr>
                    <w:t>抛丸粉尘</w:t>
                  </w:r>
                </w:p>
              </w:tc>
              <w:tc>
                <w:tcPr>
                  <w:tcW w:w="791" w:type="dxa"/>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szCs w:val="21"/>
                    </w:rPr>
                  </w:pPr>
                  <w:r>
                    <w:rPr>
                      <w:rFonts w:hint="eastAsia"/>
                      <w:szCs w:val="21"/>
                    </w:rPr>
                    <w:t>0</w:t>
                  </w:r>
                </w:p>
              </w:tc>
              <w:tc>
                <w:tcPr>
                  <w:tcW w:w="851" w:type="dxa"/>
                  <w:tcBorders>
                    <w:tl2br w:val="nil"/>
                    <w:tr2bl w:val="nil"/>
                  </w:tcBorders>
                  <w:vAlign w:val="center"/>
                </w:tcPr>
                <w:p>
                  <w:pPr>
                    <w:widowControl/>
                    <w:jc w:val="center"/>
                    <w:textAlignment w:val="center"/>
                    <w:rPr>
                      <w:szCs w:val="21"/>
                    </w:rPr>
                  </w:pPr>
                  <w:r>
                    <w:rPr>
                      <w:rFonts w:hint="eastAsia"/>
                      <w:szCs w:val="21"/>
                    </w:rPr>
                    <w:t>0</w:t>
                  </w:r>
                </w:p>
              </w:tc>
              <w:tc>
                <w:tcPr>
                  <w:tcW w:w="881" w:type="dxa"/>
                  <w:tcBorders>
                    <w:tl2br w:val="nil"/>
                    <w:tr2bl w:val="nil"/>
                  </w:tcBorders>
                  <w:vAlign w:val="center"/>
                </w:tcPr>
                <w:p>
                  <w:pPr>
                    <w:tabs>
                      <w:tab w:val="left" w:pos="360"/>
                      <w:tab w:val="left" w:pos="540"/>
                    </w:tabs>
                    <w:spacing w:line="340" w:lineRule="exact"/>
                    <w:jc w:val="center"/>
                  </w:pPr>
                  <w:r>
                    <w:rPr>
                      <w:rFonts w:hint="eastAsia"/>
                    </w:rPr>
                    <w:t>0</w:t>
                  </w:r>
                </w:p>
              </w:tc>
              <w:tc>
                <w:tcPr>
                  <w:tcW w:w="891" w:type="dxa"/>
                  <w:tcBorders>
                    <w:tl2br w:val="nil"/>
                    <w:tr2bl w:val="nil"/>
                  </w:tcBorders>
                  <w:vAlign w:val="center"/>
                </w:tcPr>
                <w:p>
                  <w:pPr>
                    <w:tabs>
                      <w:tab w:val="left" w:pos="360"/>
                      <w:tab w:val="left" w:pos="540"/>
                    </w:tabs>
                    <w:spacing w:line="340" w:lineRule="exact"/>
                    <w:jc w:val="center"/>
                  </w:pPr>
                  <w:r>
                    <w:rPr>
                      <w:rFonts w:hint="eastAsia"/>
                    </w:rPr>
                    <w:t>0</w:t>
                  </w:r>
                </w:p>
              </w:tc>
              <w:tc>
                <w:tcPr>
                  <w:tcW w:w="780" w:type="dxa"/>
                  <w:tcBorders>
                    <w:tl2br w:val="nil"/>
                    <w:tr2bl w:val="nil"/>
                  </w:tcBorders>
                  <w:vAlign w:val="center"/>
                </w:tcPr>
                <w:p>
                  <w:pPr>
                    <w:tabs>
                      <w:tab w:val="left" w:pos="360"/>
                      <w:tab w:val="left" w:pos="540"/>
                    </w:tabs>
                    <w:spacing w:line="340" w:lineRule="exact"/>
                    <w:jc w:val="center"/>
                  </w:pPr>
                  <w:r>
                    <w:rPr>
                      <w:rFonts w:hint="eastAsia"/>
                    </w:rPr>
                    <w:t>0</w:t>
                  </w:r>
                </w:p>
              </w:tc>
              <w:tc>
                <w:tcPr>
                  <w:tcW w:w="849" w:type="dxa"/>
                  <w:tcBorders>
                    <w:tl2br w:val="nil"/>
                    <w:tr2bl w:val="nil"/>
                  </w:tcBorders>
                  <w:vAlign w:val="center"/>
                </w:tcPr>
                <w:p>
                  <w:pPr>
                    <w:tabs>
                      <w:tab w:val="left" w:pos="360"/>
                      <w:tab w:val="left" w:pos="540"/>
                    </w:tabs>
                    <w:spacing w:line="340" w:lineRule="exact"/>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喷砂粉尘</w:t>
                  </w:r>
                </w:p>
              </w:tc>
              <w:tc>
                <w:tcPr>
                  <w:tcW w:w="791" w:type="dxa"/>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szCs w:val="21"/>
                    </w:rPr>
                  </w:pPr>
                  <w:r>
                    <w:rPr>
                      <w:rFonts w:hint="eastAsia"/>
                      <w:szCs w:val="21"/>
                    </w:rPr>
                    <w:t>10.84</w:t>
                  </w:r>
                </w:p>
              </w:tc>
              <w:tc>
                <w:tcPr>
                  <w:tcW w:w="851" w:type="dxa"/>
                  <w:tcBorders>
                    <w:tl2br w:val="nil"/>
                    <w:tr2bl w:val="nil"/>
                  </w:tcBorders>
                  <w:vAlign w:val="center"/>
                </w:tcPr>
                <w:p>
                  <w:pPr>
                    <w:widowControl/>
                    <w:jc w:val="center"/>
                    <w:textAlignment w:val="center"/>
                    <w:rPr>
                      <w:szCs w:val="21"/>
                    </w:rPr>
                  </w:pPr>
                  <w:r>
                    <w:rPr>
                      <w:rFonts w:hint="eastAsia"/>
                      <w:szCs w:val="21"/>
                    </w:rPr>
                    <w:t>10.84</w:t>
                  </w:r>
                </w:p>
              </w:tc>
              <w:tc>
                <w:tcPr>
                  <w:tcW w:w="881" w:type="dxa"/>
                  <w:tcBorders>
                    <w:tl2br w:val="nil"/>
                    <w:tr2bl w:val="nil"/>
                  </w:tcBorders>
                  <w:vAlign w:val="center"/>
                </w:tcPr>
                <w:p>
                  <w:pPr>
                    <w:tabs>
                      <w:tab w:val="left" w:pos="360"/>
                      <w:tab w:val="left" w:pos="540"/>
                    </w:tabs>
                    <w:spacing w:line="340" w:lineRule="exact"/>
                    <w:jc w:val="center"/>
                  </w:pPr>
                  <w:r>
                    <w:rPr>
                      <w:rFonts w:hint="eastAsia"/>
                    </w:rPr>
                    <w:t>0</w:t>
                  </w:r>
                </w:p>
              </w:tc>
              <w:tc>
                <w:tcPr>
                  <w:tcW w:w="891" w:type="dxa"/>
                  <w:tcBorders>
                    <w:tl2br w:val="nil"/>
                    <w:tr2bl w:val="nil"/>
                  </w:tcBorders>
                  <w:vAlign w:val="center"/>
                </w:tcPr>
                <w:p>
                  <w:pPr>
                    <w:tabs>
                      <w:tab w:val="left" w:pos="360"/>
                      <w:tab w:val="left" w:pos="540"/>
                    </w:tabs>
                    <w:spacing w:line="340" w:lineRule="exact"/>
                    <w:jc w:val="center"/>
                  </w:pPr>
                  <w:r>
                    <w:rPr>
                      <w:rFonts w:hint="eastAsia"/>
                    </w:rPr>
                    <w:t>0</w:t>
                  </w:r>
                </w:p>
              </w:tc>
              <w:tc>
                <w:tcPr>
                  <w:tcW w:w="780" w:type="dxa"/>
                  <w:tcBorders>
                    <w:tl2br w:val="nil"/>
                    <w:tr2bl w:val="nil"/>
                  </w:tcBorders>
                  <w:vAlign w:val="center"/>
                </w:tcPr>
                <w:p>
                  <w:pPr>
                    <w:tabs>
                      <w:tab w:val="left" w:pos="360"/>
                      <w:tab w:val="left" w:pos="540"/>
                    </w:tabs>
                    <w:spacing w:line="340" w:lineRule="exact"/>
                    <w:jc w:val="center"/>
                  </w:pPr>
                  <w:r>
                    <w:rPr>
                      <w:rFonts w:hint="eastAsia"/>
                    </w:rPr>
                    <w:t>0</w:t>
                  </w:r>
                </w:p>
              </w:tc>
              <w:tc>
                <w:tcPr>
                  <w:tcW w:w="849" w:type="dxa"/>
                  <w:tcBorders>
                    <w:tl2br w:val="nil"/>
                    <w:tr2bl w:val="nil"/>
                  </w:tcBorders>
                  <w:vAlign w:val="center"/>
                </w:tcPr>
                <w:p>
                  <w:pPr>
                    <w:tabs>
                      <w:tab w:val="left" w:pos="360"/>
                      <w:tab w:val="left" w:pos="540"/>
                    </w:tabs>
                    <w:spacing w:line="340" w:lineRule="exact"/>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widowControl/>
                    <w:jc w:val="center"/>
                    <w:textAlignment w:val="center"/>
                    <w:rPr>
                      <w:bCs/>
                      <w:szCs w:val="21"/>
                    </w:rPr>
                  </w:pPr>
                  <w:r>
                    <w:rPr>
                      <w:rFonts w:hint="eastAsia"/>
                      <w:bCs/>
                      <w:szCs w:val="21"/>
                    </w:rPr>
                    <w:t>焊接烟尘</w:t>
                  </w:r>
                </w:p>
              </w:tc>
              <w:tc>
                <w:tcPr>
                  <w:tcW w:w="791" w:type="dxa"/>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szCs w:val="21"/>
                    </w:rPr>
                  </w:pPr>
                  <w:r>
                    <w:rPr>
                      <w:rFonts w:hint="eastAsia"/>
                      <w:szCs w:val="21"/>
                    </w:rPr>
                    <w:t>0</w:t>
                  </w:r>
                </w:p>
              </w:tc>
              <w:tc>
                <w:tcPr>
                  <w:tcW w:w="851" w:type="dxa"/>
                  <w:tcBorders>
                    <w:tl2br w:val="nil"/>
                    <w:tr2bl w:val="nil"/>
                  </w:tcBorders>
                  <w:vAlign w:val="center"/>
                </w:tcPr>
                <w:p>
                  <w:pPr>
                    <w:widowControl/>
                    <w:jc w:val="center"/>
                    <w:textAlignment w:val="center"/>
                    <w:rPr>
                      <w:szCs w:val="21"/>
                    </w:rPr>
                  </w:pPr>
                  <w:r>
                    <w:rPr>
                      <w:rFonts w:hint="eastAsia"/>
                      <w:szCs w:val="21"/>
                    </w:rPr>
                    <w:t>0</w:t>
                  </w:r>
                </w:p>
              </w:tc>
              <w:tc>
                <w:tcPr>
                  <w:tcW w:w="881" w:type="dxa"/>
                  <w:tcBorders>
                    <w:tl2br w:val="nil"/>
                    <w:tr2bl w:val="nil"/>
                  </w:tcBorders>
                  <w:vAlign w:val="center"/>
                </w:tcPr>
                <w:p>
                  <w:pPr>
                    <w:tabs>
                      <w:tab w:val="left" w:pos="360"/>
                      <w:tab w:val="left" w:pos="540"/>
                    </w:tabs>
                    <w:spacing w:line="340" w:lineRule="exact"/>
                    <w:jc w:val="center"/>
                  </w:pPr>
                  <w:r>
                    <w:rPr>
                      <w:rFonts w:hint="eastAsia"/>
                    </w:rPr>
                    <w:t>0</w:t>
                  </w:r>
                </w:p>
              </w:tc>
              <w:tc>
                <w:tcPr>
                  <w:tcW w:w="891" w:type="dxa"/>
                  <w:tcBorders>
                    <w:tl2br w:val="nil"/>
                    <w:tr2bl w:val="nil"/>
                  </w:tcBorders>
                  <w:vAlign w:val="center"/>
                </w:tcPr>
                <w:p>
                  <w:pPr>
                    <w:tabs>
                      <w:tab w:val="left" w:pos="360"/>
                      <w:tab w:val="left" w:pos="540"/>
                    </w:tabs>
                    <w:spacing w:line="340" w:lineRule="exact"/>
                    <w:jc w:val="center"/>
                  </w:pPr>
                  <w:r>
                    <w:rPr>
                      <w:rFonts w:hint="eastAsia"/>
                    </w:rPr>
                    <w:t>0</w:t>
                  </w:r>
                </w:p>
              </w:tc>
              <w:tc>
                <w:tcPr>
                  <w:tcW w:w="780" w:type="dxa"/>
                  <w:tcBorders>
                    <w:tl2br w:val="nil"/>
                    <w:tr2bl w:val="nil"/>
                  </w:tcBorders>
                  <w:vAlign w:val="center"/>
                </w:tcPr>
                <w:p>
                  <w:pPr>
                    <w:tabs>
                      <w:tab w:val="left" w:pos="360"/>
                      <w:tab w:val="left" w:pos="540"/>
                    </w:tabs>
                    <w:spacing w:line="340" w:lineRule="exact"/>
                    <w:jc w:val="center"/>
                  </w:pPr>
                  <w:r>
                    <w:rPr>
                      <w:rFonts w:hint="eastAsia"/>
                    </w:rPr>
                    <w:t>0</w:t>
                  </w:r>
                </w:p>
              </w:tc>
              <w:tc>
                <w:tcPr>
                  <w:tcW w:w="849" w:type="dxa"/>
                  <w:tcBorders>
                    <w:tl2br w:val="nil"/>
                    <w:tr2bl w:val="nil"/>
                  </w:tcBorders>
                  <w:vAlign w:val="center"/>
                </w:tcPr>
                <w:p>
                  <w:pPr>
                    <w:tabs>
                      <w:tab w:val="left" w:pos="360"/>
                      <w:tab w:val="left" w:pos="540"/>
                    </w:tabs>
                    <w:spacing w:line="340" w:lineRule="exact"/>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widowControl/>
                    <w:jc w:val="center"/>
                    <w:textAlignment w:val="center"/>
                    <w:rPr>
                      <w:bCs/>
                      <w:szCs w:val="21"/>
                    </w:rPr>
                  </w:pPr>
                  <w:r>
                    <w:rPr>
                      <w:rFonts w:hint="eastAsia"/>
                      <w:bCs/>
                      <w:szCs w:val="21"/>
                    </w:rPr>
                    <w:t>焊渣</w:t>
                  </w:r>
                </w:p>
              </w:tc>
              <w:tc>
                <w:tcPr>
                  <w:tcW w:w="791" w:type="dxa"/>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szCs w:val="21"/>
                    </w:rPr>
                  </w:pPr>
                  <w:r>
                    <w:rPr>
                      <w:rFonts w:hint="eastAsia"/>
                      <w:szCs w:val="21"/>
                    </w:rPr>
                    <w:t>0</w:t>
                  </w:r>
                </w:p>
              </w:tc>
              <w:tc>
                <w:tcPr>
                  <w:tcW w:w="851" w:type="dxa"/>
                  <w:tcBorders>
                    <w:tl2br w:val="nil"/>
                    <w:tr2bl w:val="nil"/>
                  </w:tcBorders>
                  <w:vAlign w:val="center"/>
                </w:tcPr>
                <w:p>
                  <w:pPr>
                    <w:widowControl/>
                    <w:jc w:val="center"/>
                    <w:textAlignment w:val="center"/>
                    <w:rPr>
                      <w:szCs w:val="21"/>
                    </w:rPr>
                  </w:pPr>
                  <w:r>
                    <w:rPr>
                      <w:rFonts w:hint="eastAsia"/>
                      <w:szCs w:val="21"/>
                    </w:rPr>
                    <w:t>0</w:t>
                  </w:r>
                </w:p>
              </w:tc>
              <w:tc>
                <w:tcPr>
                  <w:tcW w:w="881" w:type="dxa"/>
                  <w:tcBorders>
                    <w:tl2br w:val="nil"/>
                    <w:tr2bl w:val="nil"/>
                  </w:tcBorders>
                  <w:vAlign w:val="center"/>
                </w:tcPr>
                <w:p>
                  <w:pPr>
                    <w:tabs>
                      <w:tab w:val="left" w:pos="360"/>
                      <w:tab w:val="left" w:pos="540"/>
                    </w:tabs>
                    <w:spacing w:line="340" w:lineRule="exact"/>
                    <w:jc w:val="center"/>
                  </w:pPr>
                  <w:r>
                    <w:rPr>
                      <w:rFonts w:hint="eastAsia"/>
                    </w:rPr>
                    <w:t>0</w:t>
                  </w:r>
                </w:p>
              </w:tc>
              <w:tc>
                <w:tcPr>
                  <w:tcW w:w="891" w:type="dxa"/>
                  <w:tcBorders>
                    <w:tl2br w:val="nil"/>
                    <w:tr2bl w:val="nil"/>
                  </w:tcBorders>
                  <w:vAlign w:val="center"/>
                </w:tcPr>
                <w:p>
                  <w:pPr>
                    <w:tabs>
                      <w:tab w:val="left" w:pos="360"/>
                      <w:tab w:val="left" w:pos="540"/>
                    </w:tabs>
                    <w:spacing w:line="340" w:lineRule="exact"/>
                    <w:jc w:val="center"/>
                  </w:pPr>
                  <w:r>
                    <w:rPr>
                      <w:rFonts w:hint="eastAsia"/>
                    </w:rPr>
                    <w:t>0</w:t>
                  </w:r>
                </w:p>
              </w:tc>
              <w:tc>
                <w:tcPr>
                  <w:tcW w:w="780" w:type="dxa"/>
                  <w:tcBorders>
                    <w:tl2br w:val="nil"/>
                    <w:tr2bl w:val="nil"/>
                  </w:tcBorders>
                  <w:vAlign w:val="center"/>
                </w:tcPr>
                <w:p>
                  <w:pPr>
                    <w:tabs>
                      <w:tab w:val="left" w:pos="360"/>
                      <w:tab w:val="left" w:pos="540"/>
                    </w:tabs>
                    <w:spacing w:line="340" w:lineRule="exact"/>
                    <w:jc w:val="center"/>
                  </w:pPr>
                  <w:r>
                    <w:rPr>
                      <w:rFonts w:hint="eastAsia"/>
                    </w:rPr>
                    <w:t>0</w:t>
                  </w:r>
                </w:p>
              </w:tc>
              <w:tc>
                <w:tcPr>
                  <w:tcW w:w="849" w:type="dxa"/>
                  <w:tcBorders>
                    <w:tl2br w:val="nil"/>
                    <w:tr2bl w:val="nil"/>
                  </w:tcBorders>
                  <w:vAlign w:val="center"/>
                </w:tcPr>
                <w:p>
                  <w:pPr>
                    <w:tabs>
                      <w:tab w:val="left" w:pos="360"/>
                      <w:tab w:val="left" w:pos="540"/>
                    </w:tabs>
                    <w:spacing w:line="340" w:lineRule="exact"/>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widowControl/>
                    <w:jc w:val="center"/>
                    <w:textAlignment w:val="center"/>
                    <w:rPr>
                      <w:bCs/>
                      <w:szCs w:val="21"/>
                    </w:rPr>
                  </w:pPr>
                  <w:r>
                    <w:rPr>
                      <w:rFonts w:hint="eastAsia"/>
                      <w:bCs/>
                      <w:szCs w:val="21"/>
                    </w:rPr>
                    <w:t>废润滑油</w:t>
                  </w:r>
                </w:p>
              </w:tc>
              <w:tc>
                <w:tcPr>
                  <w:tcW w:w="791" w:type="dxa"/>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szCs w:val="21"/>
                    </w:rPr>
                  </w:pPr>
                  <w:r>
                    <w:rPr>
                      <w:rFonts w:hint="eastAsia"/>
                      <w:szCs w:val="21"/>
                    </w:rPr>
                    <w:t>0.2</w:t>
                  </w:r>
                </w:p>
              </w:tc>
              <w:tc>
                <w:tcPr>
                  <w:tcW w:w="851" w:type="dxa"/>
                  <w:tcBorders>
                    <w:tl2br w:val="nil"/>
                    <w:tr2bl w:val="nil"/>
                  </w:tcBorders>
                  <w:vAlign w:val="center"/>
                </w:tcPr>
                <w:p>
                  <w:pPr>
                    <w:widowControl/>
                    <w:jc w:val="center"/>
                    <w:textAlignment w:val="center"/>
                    <w:rPr>
                      <w:szCs w:val="21"/>
                    </w:rPr>
                  </w:pPr>
                  <w:r>
                    <w:rPr>
                      <w:rFonts w:hint="eastAsia"/>
                      <w:szCs w:val="21"/>
                    </w:rPr>
                    <w:t>0.2</w:t>
                  </w:r>
                </w:p>
              </w:tc>
              <w:tc>
                <w:tcPr>
                  <w:tcW w:w="881" w:type="dxa"/>
                  <w:tcBorders>
                    <w:tl2br w:val="nil"/>
                    <w:tr2bl w:val="nil"/>
                  </w:tcBorders>
                  <w:vAlign w:val="center"/>
                </w:tcPr>
                <w:p>
                  <w:pPr>
                    <w:tabs>
                      <w:tab w:val="left" w:pos="360"/>
                      <w:tab w:val="left" w:pos="540"/>
                    </w:tabs>
                    <w:spacing w:line="340" w:lineRule="exact"/>
                    <w:jc w:val="center"/>
                  </w:pPr>
                  <w:r>
                    <w:rPr>
                      <w:rFonts w:hint="eastAsia"/>
                    </w:rPr>
                    <w:t>0</w:t>
                  </w:r>
                </w:p>
              </w:tc>
              <w:tc>
                <w:tcPr>
                  <w:tcW w:w="891" w:type="dxa"/>
                  <w:tcBorders>
                    <w:tl2br w:val="nil"/>
                    <w:tr2bl w:val="nil"/>
                  </w:tcBorders>
                  <w:vAlign w:val="center"/>
                </w:tcPr>
                <w:p>
                  <w:pPr>
                    <w:tabs>
                      <w:tab w:val="left" w:pos="360"/>
                      <w:tab w:val="left" w:pos="540"/>
                    </w:tabs>
                    <w:spacing w:line="340" w:lineRule="exact"/>
                    <w:jc w:val="center"/>
                  </w:pPr>
                  <w:r>
                    <w:rPr>
                      <w:rFonts w:hint="eastAsia"/>
                    </w:rPr>
                    <w:t>0</w:t>
                  </w:r>
                </w:p>
              </w:tc>
              <w:tc>
                <w:tcPr>
                  <w:tcW w:w="780" w:type="dxa"/>
                  <w:tcBorders>
                    <w:tl2br w:val="nil"/>
                    <w:tr2bl w:val="nil"/>
                  </w:tcBorders>
                  <w:vAlign w:val="center"/>
                </w:tcPr>
                <w:p>
                  <w:pPr>
                    <w:tabs>
                      <w:tab w:val="left" w:pos="360"/>
                      <w:tab w:val="left" w:pos="540"/>
                    </w:tabs>
                    <w:spacing w:line="340" w:lineRule="exact"/>
                    <w:jc w:val="center"/>
                  </w:pPr>
                  <w:r>
                    <w:rPr>
                      <w:rFonts w:hint="eastAsia"/>
                    </w:rPr>
                    <w:t>0</w:t>
                  </w:r>
                </w:p>
              </w:tc>
              <w:tc>
                <w:tcPr>
                  <w:tcW w:w="849" w:type="dxa"/>
                  <w:tcBorders>
                    <w:tl2br w:val="nil"/>
                    <w:tr2bl w:val="nil"/>
                  </w:tcBorders>
                  <w:vAlign w:val="center"/>
                </w:tcPr>
                <w:p>
                  <w:pPr>
                    <w:tabs>
                      <w:tab w:val="left" w:pos="360"/>
                      <w:tab w:val="left" w:pos="540"/>
                    </w:tabs>
                    <w:spacing w:line="340" w:lineRule="exact"/>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widowControl/>
                    <w:jc w:val="center"/>
                    <w:textAlignment w:val="center"/>
                    <w:rPr>
                      <w:bCs/>
                      <w:szCs w:val="21"/>
                    </w:rPr>
                  </w:pPr>
                  <w:r>
                    <w:rPr>
                      <w:rFonts w:hint="eastAsia"/>
                      <w:bCs/>
                      <w:szCs w:val="21"/>
                    </w:rPr>
                    <w:t>废钢砂</w:t>
                  </w:r>
                </w:p>
              </w:tc>
              <w:tc>
                <w:tcPr>
                  <w:tcW w:w="791" w:type="dxa"/>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szCs w:val="21"/>
                    </w:rPr>
                  </w:pPr>
                  <w:r>
                    <w:rPr>
                      <w:rFonts w:hint="eastAsia"/>
                      <w:szCs w:val="21"/>
                    </w:rPr>
                    <w:t>28.4</w:t>
                  </w:r>
                </w:p>
              </w:tc>
              <w:tc>
                <w:tcPr>
                  <w:tcW w:w="851" w:type="dxa"/>
                  <w:tcBorders>
                    <w:tl2br w:val="nil"/>
                    <w:tr2bl w:val="nil"/>
                  </w:tcBorders>
                  <w:vAlign w:val="center"/>
                </w:tcPr>
                <w:p>
                  <w:pPr>
                    <w:widowControl/>
                    <w:jc w:val="center"/>
                    <w:textAlignment w:val="center"/>
                    <w:rPr>
                      <w:szCs w:val="21"/>
                    </w:rPr>
                  </w:pPr>
                  <w:r>
                    <w:rPr>
                      <w:rFonts w:hint="eastAsia"/>
                      <w:szCs w:val="21"/>
                    </w:rPr>
                    <w:t>28.4</w:t>
                  </w:r>
                </w:p>
              </w:tc>
              <w:tc>
                <w:tcPr>
                  <w:tcW w:w="881" w:type="dxa"/>
                  <w:tcBorders>
                    <w:tl2br w:val="nil"/>
                    <w:tr2bl w:val="nil"/>
                  </w:tcBorders>
                  <w:vAlign w:val="center"/>
                </w:tcPr>
                <w:p>
                  <w:pPr>
                    <w:tabs>
                      <w:tab w:val="left" w:pos="360"/>
                      <w:tab w:val="left" w:pos="540"/>
                    </w:tabs>
                    <w:spacing w:line="340" w:lineRule="exact"/>
                    <w:jc w:val="center"/>
                  </w:pPr>
                  <w:r>
                    <w:rPr>
                      <w:rFonts w:hint="eastAsia"/>
                    </w:rPr>
                    <w:t>0</w:t>
                  </w:r>
                </w:p>
              </w:tc>
              <w:tc>
                <w:tcPr>
                  <w:tcW w:w="891" w:type="dxa"/>
                  <w:tcBorders>
                    <w:tl2br w:val="nil"/>
                    <w:tr2bl w:val="nil"/>
                  </w:tcBorders>
                  <w:vAlign w:val="center"/>
                </w:tcPr>
                <w:p>
                  <w:pPr>
                    <w:tabs>
                      <w:tab w:val="left" w:pos="360"/>
                      <w:tab w:val="left" w:pos="540"/>
                    </w:tabs>
                    <w:spacing w:line="340" w:lineRule="exact"/>
                    <w:jc w:val="center"/>
                  </w:pPr>
                  <w:r>
                    <w:rPr>
                      <w:rFonts w:hint="eastAsia"/>
                    </w:rPr>
                    <w:t>0</w:t>
                  </w:r>
                </w:p>
              </w:tc>
              <w:tc>
                <w:tcPr>
                  <w:tcW w:w="780" w:type="dxa"/>
                  <w:tcBorders>
                    <w:tl2br w:val="nil"/>
                    <w:tr2bl w:val="nil"/>
                  </w:tcBorders>
                  <w:vAlign w:val="center"/>
                </w:tcPr>
                <w:p>
                  <w:pPr>
                    <w:tabs>
                      <w:tab w:val="left" w:pos="360"/>
                      <w:tab w:val="left" w:pos="540"/>
                    </w:tabs>
                    <w:spacing w:line="340" w:lineRule="exact"/>
                    <w:jc w:val="center"/>
                  </w:pPr>
                  <w:r>
                    <w:rPr>
                      <w:rFonts w:hint="eastAsia"/>
                    </w:rPr>
                    <w:t>0</w:t>
                  </w:r>
                </w:p>
              </w:tc>
              <w:tc>
                <w:tcPr>
                  <w:tcW w:w="849" w:type="dxa"/>
                  <w:tcBorders>
                    <w:tl2br w:val="nil"/>
                    <w:tr2bl w:val="nil"/>
                  </w:tcBorders>
                  <w:vAlign w:val="center"/>
                </w:tcPr>
                <w:p>
                  <w:pPr>
                    <w:tabs>
                      <w:tab w:val="left" w:pos="360"/>
                      <w:tab w:val="left" w:pos="540"/>
                    </w:tabs>
                    <w:spacing w:line="340" w:lineRule="exact"/>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widowControl/>
                    <w:jc w:val="center"/>
                    <w:textAlignment w:val="center"/>
                    <w:rPr>
                      <w:bCs/>
                      <w:szCs w:val="21"/>
                    </w:rPr>
                  </w:pPr>
                  <w:r>
                    <w:rPr>
                      <w:rFonts w:hint="eastAsia"/>
                      <w:bCs/>
                      <w:szCs w:val="21"/>
                    </w:rPr>
                    <w:t>废乳化液</w:t>
                  </w:r>
                </w:p>
              </w:tc>
              <w:tc>
                <w:tcPr>
                  <w:tcW w:w="791" w:type="dxa"/>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szCs w:val="21"/>
                    </w:rPr>
                  </w:pPr>
                  <w:r>
                    <w:rPr>
                      <w:rFonts w:hint="eastAsia"/>
                      <w:szCs w:val="21"/>
                    </w:rPr>
                    <w:t>0</w:t>
                  </w:r>
                </w:p>
              </w:tc>
              <w:tc>
                <w:tcPr>
                  <w:tcW w:w="851" w:type="dxa"/>
                  <w:tcBorders>
                    <w:tl2br w:val="nil"/>
                    <w:tr2bl w:val="nil"/>
                  </w:tcBorders>
                  <w:vAlign w:val="center"/>
                </w:tcPr>
                <w:p>
                  <w:pPr>
                    <w:widowControl/>
                    <w:jc w:val="center"/>
                    <w:textAlignment w:val="center"/>
                    <w:rPr>
                      <w:szCs w:val="21"/>
                    </w:rPr>
                  </w:pPr>
                  <w:r>
                    <w:rPr>
                      <w:rFonts w:hint="eastAsia"/>
                      <w:szCs w:val="21"/>
                    </w:rPr>
                    <w:t>0</w:t>
                  </w:r>
                </w:p>
              </w:tc>
              <w:tc>
                <w:tcPr>
                  <w:tcW w:w="881" w:type="dxa"/>
                  <w:tcBorders>
                    <w:tl2br w:val="nil"/>
                    <w:tr2bl w:val="nil"/>
                  </w:tcBorders>
                  <w:vAlign w:val="center"/>
                </w:tcPr>
                <w:p>
                  <w:pPr>
                    <w:tabs>
                      <w:tab w:val="left" w:pos="360"/>
                      <w:tab w:val="left" w:pos="540"/>
                    </w:tabs>
                    <w:spacing w:line="340" w:lineRule="exact"/>
                    <w:jc w:val="center"/>
                  </w:pPr>
                  <w:r>
                    <w:rPr>
                      <w:rFonts w:hint="eastAsia"/>
                    </w:rPr>
                    <w:t>0</w:t>
                  </w:r>
                </w:p>
              </w:tc>
              <w:tc>
                <w:tcPr>
                  <w:tcW w:w="891" w:type="dxa"/>
                  <w:tcBorders>
                    <w:tl2br w:val="nil"/>
                    <w:tr2bl w:val="nil"/>
                  </w:tcBorders>
                  <w:vAlign w:val="center"/>
                </w:tcPr>
                <w:p>
                  <w:pPr>
                    <w:tabs>
                      <w:tab w:val="left" w:pos="360"/>
                      <w:tab w:val="left" w:pos="540"/>
                    </w:tabs>
                    <w:spacing w:line="340" w:lineRule="exact"/>
                    <w:jc w:val="center"/>
                  </w:pPr>
                  <w:r>
                    <w:rPr>
                      <w:rFonts w:hint="eastAsia"/>
                    </w:rPr>
                    <w:t>0</w:t>
                  </w:r>
                </w:p>
              </w:tc>
              <w:tc>
                <w:tcPr>
                  <w:tcW w:w="780" w:type="dxa"/>
                  <w:tcBorders>
                    <w:tl2br w:val="nil"/>
                    <w:tr2bl w:val="nil"/>
                  </w:tcBorders>
                  <w:vAlign w:val="center"/>
                </w:tcPr>
                <w:p>
                  <w:pPr>
                    <w:tabs>
                      <w:tab w:val="left" w:pos="360"/>
                      <w:tab w:val="left" w:pos="540"/>
                    </w:tabs>
                    <w:spacing w:line="340" w:lineRule="exact"/>
                    <w:jc w:val="center"/>
                  </w:pPr>
                  <w:r>
                    <w:rPr>
                      <w:rFonts w:hint="eastAsia"/>
                    </w:rPr>
                    <w:t>0</w:t>
                  </w:r>
                </w:p>
              </w:tc>
              <w:tc>
                <w:tcPr>
                  <w:tcW w:w="849" w:type="dxa"/>
                  <w:tcBorders>
                    <w:tl2br w:val="nil"/>
                    <w:tr2bl w:val="nil"/>
                  </w:tcBorders>
                  <w:vAlign w:val="center"/>
                </w:tcPr>
                <w:p>
                  <w:pPr>
                    <w:tabs>
                      <w:tab w:val="left" w:pos="360"/>
                      <w:tab w:val="left" w:pos="540"/>
                    </w:tabs>
                    <w:spacing w:line="340" w:lineRule="exact"/>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widowControl/>
                    <w:jc w:val="center"/>
                    <w:textAlignment w:val="center"/>
                    <w:rPr>
                      <w:bCs/>
                      <w:szCs w:val="21"/>
                    </w:rPr>
                  </w:pPr>
                  <w:r>
                    <w:rPr>
                      <w:kern w:val="0"/>
                      <w:szCs w:val="21"/>
                      <w:lang w:bidi="ar"/>
                    </w:rPr>
                    <w:t>废</w:t>
                  </w:r>
                  <w:r>
                    <w:rPr>
                      <w:rStyle w:val="721"/>
                      <w:color w:val="auto"/>
                      <w:vertAlign w:val="baseline"/>
                      <w:lang w:bidi="ar"/>
                    </w:rPr>
                    <w:t>过滤棉</w:t>
                  </w:r>
                  <w:r>
                    <w:rPr>
                      <w:rStyle w:val="721"/>
                      <w:rFonts w:hint="eastAsia"/>
                      <w:color w:val="auto"/>
                      <w:vertAlign w:val="baseline"/>
                      <w:lang w:bidi="ar"/>
                    </w:rPr>
                    <w:t>及漆渣</w:t>
                  </w:r>
                </w:p>
              </w:tc>
              <w:tc>
                <w:tcPr>
                  <w:tcW w:w="791" w:type="dxa"/>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szCs w:val="21"/>
                    </w:rPr>
                  </w:pPr>
                  <w:r>
                    <w:rPr>
                      <w:rFonts w:hint="eastAsia"/>
                      <w:kern w:val="0"/>
                      <w:szCs w:val="21"/>
                      <w:lang w:bidi="ar"/>
                    </w:rPr>
                    <w:t>5.25</w:t>
                  </w:r>
                </w:p>
              </w:tc>
              <w:tc>
                <w:tcPr>
                  <w:tcW w:w="851" w:type="dxa"/>
                  <w:tcBorders>
                    <w:tl2br w:val="nil"/>
                    <w:tr2bl w:val="nil"/>
                  </w:tcBorders>
                  <w:vAlign w:val="center"/>
                </w:tcPr>
                <w:p>
                  <w:pPr>
                    <w:widowControl/>
                    <w:jc w:val="center"/>
                    <w:textAlignment w:val="center"/>
                    <w:rPr>
                      <w:szCs w:val="21"/>
                    </w:rPr>
                  </w:pPr>
                  <w:r>
                    <w:rPr>
                      <w:rFonts w:hint="eastAsia"/>
                      <w:kern w:val="0"/>
                      <w:szCs w:val="21"/>
                      <w:lang w:bidi="ar"/>
                    </w:rPr>
                    <w:t>5.25</w:t>
                  </w:r>
                </w:p>
              </w:tc>
              <w:tc>
                <w:tcPr>
                  <w:tcW w:w="881" w:type="dxa"/>
                  <w:tcBorders>
                    <w:tl2br w:val="nil"/>
                    <w:tr2bl w:val="nil"/>
                  </w:tcBorders>
                  <w:vAlign w:val="center"/>
                </w:tcPr>
                <w:p>
                  <w:pPr>
                    <w:tabs>
                      <w:tab w:val="left" w:pos="360"/>
                      <w:tab w:val="left" w:pos="540"/>
                    </w:tabs>
                    <w:spacing w:line="340" w:lineRule="exact"/>
                    <w:jc w:val="center"/>
                  </w:pPr>
                  <w:r>
                    <w:t>0</w:t>
                  </w:r>
                </w:p>
              </w:tc>
              <w:tc>
                <w:tcPr>
                  <w:tcW w:w="891" w:type="dxa"/>
                  <w:tcBorders>
                    <w:tl2br w:val="nil"/>
                    <w:tr2bl w:val="nil"/>
                  </w:tcBorders>
                  <w:vAlign w:val="center"/>
                </w:tcPr>
                <w:p>
                  <w:pPr>
                    <w:tabs>
                      <w:tab w:val="left" w:pos="360"/>
                      <w:tab w:val="left" w:pos="540"/>
                    </w:tabs>
                    <w:spacing w:line="340" w:lineRule="exact"/>
                    <w:jc w:val="center"/>
                  </w:pPr>
                  <w:r>
                    <w:t>0</w:t>
                  </w:r>
                </w:p>
              </w:tc>
              <w:tc>
                <w:tcPr>
                  <w:tcW w:w="780" w:type="dxa"/>
                  <w:tcBorders>
                    <w:tl2br w:val="nil"/>
                    <w:tr2bl w:val="nil"/>
                  </w:tcBorders>
                  <w:vAlign w:val="center"/>
                </w:tcPr>
                <w:p>
                  <w:pPr>
                    <w:tabs>
                      <w:tab w:val="left" w:pos="360"/>
                      <w:tab w:val="left" w:pos="540"/>
                    </w:tabs>
                    <w:spacing w:line="340" w:lineRule="exact"/>
                    <w:jc w:val="center"/>
                  </w:pPr>
                  <w:r>
                    <w:t>0</w:t>
                  </w:r>
                </w:p>
              </w:tc>
              <w:tc>
                <w:tcPr>
                  <w:tcW w:w="849" w:type="dxa"/>
                  <w:tcBorders>
                    <w:tl2br w:val="nil"/>
                    <w:tr2bl w:val="nil"/>
                  </w:tcBorders>
                  <w:vAlign w:val="center"/>
                </w:tcPr>
                <w:p>
                  <w:pPr>
                    <w:tabs>
                      <w:tab w:val="left" w:pos="360"/>
                      <w:tab w:val="left" w:pos="540"/>
                    </w:tabs>
                    <w:spacing w:line="340" w:lineRule="exact"/>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废油漆桶</w:t>
                  </w:r>
                </w:p>
              </w:tc>
              <w:tc>
                <w:tcPr>
                  <w:tcW w:w="791" w:type="dxa"/>
                  <w:tcBorders>
                    <w:tl2br w:val="nil"/>
                    <w:tr2bl w:val="nil"/>
                  </w:tcBorders>
                  <w:tcMar>
                    <w:top w:w="0" w:type="dxa"/>
                    <w:left w:w="0" w:type="dxa"/>
                    <w:bottom w:w="0" w:type="dxa"/>
                    <w:right w:w="0" w:type="dxa"/>
                  </w:tcMar>
                  <w:vAlign w:val="center"/>
                </w:tcPr>
                <w:p>
                  <w:pPr>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bCs/>
                      <w:sz w:val="24"/>
                    </w:rPr>
                  </w:pPr>
                  <w:r>
                    <w:rPr>
                      <w:rFonts w:hint="eastAsia"/>
                      <w:kern w:val="0"/>
                      <w:szCs w:val="21"/>
                      <w:lang w:bidi="ar"/>
                    </w:rPr>
                    <w:t>1.02</w:t>
                  </w:r>
                </w:p>
              </w:tc>
              <w:tc>
                <w:tcPr>
                  <w:tcW w:w="851" w:type="dxa"/>
                  <w:tcBorders>
                    <w:tl2br w:val="nil"/>
                    <w:tr2bl w:val="nil"/>
                  </w:tcBorders>
                  <w:vAlign w:val="center"/>
                </w:tcPr>
                <w:p>
                  <w:pPr>
                    <w:widowControl/>
                    <w:jc w:val="center"/>
                    <w:textAlignment w:val="center"/>
                    <w:rPr>
                      <w:bCs/>
                      <w:sz w:val="24"/>
                    </w:rPr>
                  </w:pPr>
                  <w:r>
                    <w:rPr>
                      <w:rFonts w:hint="eastAsia"/>
                      <w:kern w:val="0"/>
                      <w:szCs w:val="21"/>
                      <w:lang w:bidi="ar"/>
                    </w:rPr>
                    <w:t>1.02</w:t>
                  </w:r>
                </w:p>
              </w:tc>
              <w:tc>
                <w:tcPr>
                  <w:tcW w:w="881" w:type="dxa"/>
                  <w:tcBorders>
                    <w:tl2br w:val="nil"/>
                    <w:tr2bl w:val="nil"/>
                  </w:tcBorders>
                  <w:vAlign w:val="center"/>
                </w:tcPr>
                <w:p>
                  <w:pPr>
                    <w:spacing w:line="340" w:lineRule="exact"/>
                    <w:jc w:val="center"/>
                  </w:pPr>
                  <w:r>
                    <w:t>0</w:t>
                  </w:r>
                </w:p>
              </w:tc>
              <w:tc>
                <w:tcPr>
                  <w:tcW w:w="891" w:type="dxa"/>
                  <w:tcBorders>
                    <w:tl2br w:val="nil"/>
                    <w:tr2bl w:val="nil"/>
                  </w:tcBorders>
                  <w:vAlign w:val="center"/>
                </w:tcPr>
                <w:p>
                  <w:pPr>
                    <w:spacing w:line="340" w:lineRule="exact"/>
                    <w:jc w:val="center"/>
                  </w:pPr>
                  <w:r>
                    <w:t>0</w:t>
                  </w:r>
                </w:p>
              </w:tc>
              <w:tc>
                <w:tcPr>
                  <w:tcW w:w="780" w:type="dxa"/>
                  <w:tcBorders>
                    <w:tl2br w:val="nil"/>
                    <w:tr2bl w:val="nil"/>
                  </w:tcBorders>
                  <w:vAlign w:val="center"/>
                </w:tcPr>
                <w:p>
                  <w:pPr>
                    <w:spacing w:line="340" w:lineRule="exact"/>
                    <w:jc w:val="center"/>
                  </w:pPr>
                  <w:r>
                    <w:t>0</w:t>
                  </w:r>
                </w:p>
              </w:tc>
              <w:tc>
                <w:tcPr>
                  <w:tcW w:w="849" w:type="dxa"/>
                  <w:tcBorders>
                    <w:tl2br w:val="nil"/>
                    <w:tr2bl w:val="nil"/>
                  </w:tcBorders>
                  <w:vAlign w:val="center"/>
                </w:tcPr>
                <w:p>
                  <w:pPr>
                    <w:spacing w:line="340" w:lineRule="exact"/>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废活性炭</w:t>
                  </w:r>
                </w:p>
              </w:tc>
              <w:tc>
                <w:tcPr>
                  <w:tcW w:w="791" w:type="dxa"/>
                  <w:tcBorders>
                    <w:tl2br w:val="nil"/>
                    <w:tr2bl w:val="nil"/>
                  </w:tcBorders>
                  <w:tcMar>
                    <w:top w:w="0" w:type="dxa"/>
                    <w:left w:w="0" w:type="dxa"/>
                    <w:bottom w:w="0" w:type="dxa"/>
                    <w:right w:w="0" w:type="dxa"/>
                  </w:tcMar>
                  <w:vAlign w:val="center"/>
                </w:tcPr>
                <w:p>
                  <w:pPr>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bCs/>
                      <w:sz w:val="24"/>
                    </w:rPr>
                  </w:pPr>
                  <w:r>
                    <w:rPr>
                      <w:rFonts w:hint="eastAsia"/>
                      <w:kern w:val="0"/>
                      <w:szCs w:val="21"/>
                      <w:lang w:bidi="ar"/>
                    </w:rPr>
                    <w:t>9.0</w:t>
                  </w:r>
                </w:p>
              </w:tc>
              <w:tc>
                <w:tcPr>
                  <w:tcW w:w="851" w:type="dxa"/>
                  <w:tcBorders>
                    <w:tl2br w:val="nil"/>
                    <w:tr2bl w:val="nil"/>
                  </w:tcBorders>
                  <w:vAlign w:val="center"/>
                </w:tcPr>
                <w:p>
                  <w:pPr>
                    <w:widowControl/>
                    <w:jc w:val="center"/>
                    <w:textAlignment w:val="center"/>
                    <w:rPr>
                      <w:bCs/>
                      <w:sz w:val="24"/>
                    </w:rPr>
                  </w:pPr>
                  <w:r>
                    <w:rPr>
                      <w:rFonts w:hint="eastAsia"/>
                      <w:kern w:val="0"/>
                      <w:szCs w:val="21"/>
                      <w:lang w:bidi="ar"/>
                    </w:rPr>
                    <w:t>9.0</w:t>
                  </w:r>
                </w:p>
              </w:tc>
              <w:tc>
                <w:tcPr>
                  <w:tcW w:w="881" w:type="dxa"/>
                  <w:tcBorders>
                    <w:tl2br w:val="nil"/>
                    <w:tr2bl w:val="nil"/>
                  </w:tcBorders>
                  <w:vAlign w:val="center"/>
                </w:tcPr>
                <w:p>
                  <w:pPr>
                    <w:spacing w:line="340" w:lineRule="exact"/>
                    <w:jc w:val="center"/>
                  </w:pPr>
                  <w:r>
                    <w:t>0</w:t>
                  </w:r>
                </w:p>
              </w:tc>
              <w:tc>
                <w:tcPr>
                  <w:tcW w:w="891" w:type="dxa"/>
                  <w:tcBorders>
                    <w:tl2br w:val="nil"/>
                    <w:tr2bl w:val="nil"/>
                  </w:tcBorders>
                  <w:vAlign w:val="center"/>
                </w:tcPr>
                <w:p>
                  <w:pPr>
                    <w:spacing w:line="340" w:lineRule="exact"/>
                    <w:jc w:val="center"/>
                  </w:pPr>
                  <w:r>
                    <w:t>0</w:t>
                  </w:r>
                </w:p>
              </w:tc>
              <w:tc>
                <w:tcPr>
                  <w:tcW w:w="780" w:type="dxa"/>
                  <w:tcBorders>
                    <w:tl2br w:val="nil"/>
                    <w:tr2bl w:val="nil"/>
                  </w:tcBorders>
                  <w:vAlign w:val="center"/>
                </w:tcPr>
                <w:p>
                  <w:pPr>
                    <w:spacing w:line="340" w:lineRule="exact"/>
                    <w:jc w:val="center"/>
                  </w:pPr>
                  <w:r>
                    <w:t>0</w:t>
                  </w:r>
                </w:p>
              </w:tc>
              <w:tc>
                <w:tcPr>
                  <w:tcW w:w="849" w:type="dxa"/>
                  <w:tcBorders>
                    <w:tl2br w:val="nil"/>
                    <w:tr2bl w:val="nil"/>
                  </w:tcBorders>
                  <w:vAlign w:val="center"/>
                </w:tcPr>
                <w:p>
                  <w:pPr>
                    <w:spacing w:line="340" w:lineRule="exact"/>
                    <w:jc w:val="center"/>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废润滑油桶</w:t>
                  </w:r>
                </w:p>
              </w:tc>
              <w:tc>
                <w:tcPr>
                  <w:tcW w:w="791" w:type="dxa"/>
                  <w:tcBorders>
                    <w:tl2br w:val="nil"/>
                    <w:tr2bl w:val="nil"/>
                  </w:tcBorders>
                  <w:tcMar>
                    <w:top w:w="0" w:type="dxa"/>
                    <w:left w:w="0" w:type="dxa"/>
                    <w:bottom w:w="0" w:type="dxa"/>
                    <w:right w:w="0" w:type="dxa"/>
                  </w:tcMar>
                  <w:vAlign w:val="center"/>
                </w:tcPr>
                <w:p>
                  <w:pPr>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kern w:val="0"/>
                      <w:szCs w:val="21"/>
                      <w:lang w:bidi="ar"/>
                    </w:rPr>
                  </w:pPr>
                  <w:r>
                    <w:rPr>
                      <w:rFonts w:hint="eastAsia"/>
                      <w:kern w:val="0"/>
                      <w:szCs w:val="21"/>
                      <w:lang w:bidi="ar"/>
                    </w:rPr>
                    <w:t>0.02</w:t>
                  </w:r>
                </w:p>
              </w:tc>
              <w:tc>
                <w:tcPr>
                  <w:tcW w:w="851" w:type="dxa"/>
                  <w:tcBorders>
                    <w:tl2br w:val="nil"/>
                    <w:tr2bl w:val="nil"/>
                  </w:tcBorders>
                  <w:vAlign w:val="center"/>
                </w:tcPr>
                <w:p>
                  <w:pPr>
                    <w:widowControl/>
                    <w:jc w:val="center"/>
                    <w:textAlignment w:val="center"/>
                    <w:rPr>
                      <w:kern w:val="0"/>
                      <w:szCs w:val="21"/>
                      <w:lang w:bidi="ar"/>
                    </w:rPr>
                  </w:pPr>
                  <w:r>
                    <w:rPr>
                      <w:rFonts w:hint="eastAsia"/>
                      <w:kern w:val="0"/>
                      <w:szCs w:val="21"/>
                      <w:lang w:bidi="ar"/>
                    </w:rPr>
                    <w:t>0.02</w:t>
                  </w:r>
                </w:p>
              </w:tc>
              <w:tc>
                <w:tcPr>
                  <w:tcW w:w="881" w:type="dxa"/>
                  <w:tcBorders>
                    <w:tl2br w:val="nil"/>
                    <w:tr2bl w:val="nil"/>
                  </w:tcBorders>
                  <w:vAlign w:val="center"/>
                </w:tcPr>
                <w:p>
                  <w:pPr>
                    <w:spacing w:line="340" w:lineRule="exact"/>
                    <w:jc w:val="center"/>
                  </w:pPr>
                  <w:r>
                    <w:rPr>
                      <w:rFonts w:hint="eastAsia"/>
                    </w:rPr>
                    <w:t>0</w:t>
                  </w:r>
                </w:p>
              </w:tc>
              <w:tc>
                <w:tcPr>
                  <w:tcW w:w="891" w:type="dxa"/>
                  <w:tcBorders>
                    <w:tl2br w:val="nil"/>
                    <w:tr2bl w:val="nil"/>
                  </w:tcBorders>
                  <w:vAlign w:val="center"/>
                </w:tcPr>
                <w:p>
                  <w:pPr>
                    <w:spacing w:line="340" w:lineRule="exact"/>
                    <w:jc w:val="center"/>
                  </w:pPr>
                  <w:r>
                    <w:rPr>
                      <w:rFonts w:hint="eastAsia"/>
                    </w:rPr>
                    <w:t>0</w:t>
                  </w:r>
                </w:p>
              </w:tc>
              <w:tc>
                <w:tcPr>
                  <w:tcW w:w="780" w:type="dxa"/>
                  <w:tcBorders>
                    <w:tl2br w:val="nil"/>
                    <w:tr2bl w:val="nil"/>
                  </w:tcBorders>
                  <w:vAlign w:val="center"/>
                </w:tcPr>
                <w:p>
                  <w:pPr>
                    <w:spacing w:line="340" w:lineRule="exact"/>
                    <w:jc w:val="center"/>
                  </w:pPr>
                  <w:r>
                    <w:rPr>
                      <w:rFonts w:hint="eastAsia"/>
                    </w:rPr>
                    <w:t>0</w:t>
                  </w:r>
                </w:p>
              </w:tc>
              <w:tc>
                <w:tcPr>
                  <w:tcW w:w="849" w:type="dxa"/>
                  <w:tcBorders>
                    <w:tl2br w:val="nil"/>
                    <w:tr2bl w:val="nil"/>
                  </w:tcBorders>
                  <w:vAlign w:val="center"/>
                </w:tcPr>
                <w:p>
                  <w:pPr>
                    <w:spacing w:line="340" w:lineRule="exact"/>
                    <w:jc w:val="center"/>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27" w:type="dxa"/>
                  <w:vMerge w:val="continue"/>
                  <w:tcBorders>
                    <w:tl2br w:val="nil"/>
                    <w:tr2bl w:val="nil"/>
                  </w:tcBorders>
                  <w:tcMar>
                    <w:top w:w="0" w:type="dxa"/>
                    <w:left w:w="0" w:type="dxa"/>
                    <w:bottom w:w="0" w:type="dxa"/>
                    <w:right w:w="0" w:type="dxa"/>
                  </w:tcMar>
                  <w:vAlign w:val="center"/>
                </w:tcPr>
                <w:p>
                  <w:pPr>
                    <w:tabs>
                      <w:tab w:val="left" w:pos="360"/>
                      <w:tab w:val="left" w:pos="540"/>
                    </w:tabs>
                    <w:spacing w:line="340" w:lineRule="exact"/>
                    <w:jc w:val="center"/>
                  </w:pPr>
                </w:p>
              </w:tc>
              <w:tc>
                <w:tcPr>
                  <w:tcW w:w="1836" w:type="dxa"/>
                  <w:tcBorders>
                    <w:tl2br w:val="nil"/>
                    <w:tr2bl w:val="nil"/>
                  </w:tcBorders>
                  <w:tcMar>
                    <w:top w:w="0" w:type="dxa"/>
                    <w:left w:w="0" w:type="dxa"/>
                    <w:bottom w:w="0" w:type="dxa"/>
                    <w:right w:w="0" w:type="dxa"/>
                  </w:tcMar>
                  <w:vAlign w:val="center"/>
                </w:tcPr>
                <w:p>
                  <w:pPr>
                    <w:jc w:val="center"/>
                    <w:rPr>
                      <w:szCs w:val="21"/>
                    </w:rPr>
                  </w:pPr>
                  <w:r>
                    <w:rPr>
                      <w:rFonts w:hint="eastAsia"/>
                      <w:color w:val="000000"/>
                      <w:szCs w:val="21"/>
                    </w:rPr>
                    <w:t>废含油手套、抹布</w:t>
                  </w:r>
                </w:p>
              </w:tc>
              <w:tc>
                <w:tcPr>
                  <w:tcW w:w="791" w:type="dxa"/>
                  <w:tcBorders>
                    <w:tl2br w:val="nil"/>
                    <w:tr2bl w:val="nil"/>
                  </w:tcBorders>
                  <w:tcMar>
                    <w:top w:w="0" w:type="dxa"/>
                    <w:left w:w="0" w:type="dxa"/>
                    <w:bottom w:w="0" w:type="dxa"/>
                    <w:right w:w="0" w:type="dxa"/>
                  </w:tcMar>
                  <w:vAlign w:val="center"/>
                </w:tcPr>
                <w:p>
                  <w:pPr>
                    <w:spacing w:line="340" w:lineRule="exact"/>
                    <w:jc w:val="center"/>
                  </w:pPr>
                  <w:r>
                    <w:rPr>
                      <w:rFonts w:hint="eastAsia"/>
                    </w:rPr>
                    <w:t>0</w:t>
                  </w:r>
                </w:p>
              </w:tc>
              <w:tc>
                <w:tcPr>
                  <w:tcW w:w="671" w:type="dxa"/>
                  <w:tcBorders>
                    <w:tl2br w:val="nil"/>
                    <w:tr2bl w:val="nil"/>
                  </w:tcBorders>
                  <w:tcMar>
                    <w:top w:w="0" w:type="dxa"/>
                    <w:left w:w="0" w:type="dxa"/>
                    <w:bottom w:w="0" w:type="dxa"/>
                    <w:right w:w="0" w:type="dxa"/>
                  </w:tcMar>
                  <w:vAlign w:val="center"/>
                </w:tcPr>
                <w:p>
                  <w:pPr>
                    <w:widowControl/>
                    <w:jc w:val="center"/>
                    <w:textAlignment w:val="center"/>
                    <w:rPr>
                      <w:kern w:val="0"/>
                      <w:szCs w:val="21"/>
                      <w:lang w:bidi="ar"/>
                    </w:rPr>
                  </w:pPr>
                  <w:r>
                    <w:rPr>
                      <w:rFonts w:hint="eastAsia"/>
                      <w:kern w:val="0"/>
                      <w:szCs w:val="21"/>
                      <w:lang w:bidi="ar"/>
                    </w:rPr>
                    <w:t>0.01</w:t>
                  </w:r>
                </w:p>
              </w:tc>
              <w:tc>
                <w:tcPr>
                  <w:tcW w:w="851" w:type="dxa"/>
                  <w:tcBorders>
                    <w:tl2br w:val="nil"/>
                    <w:tr2bl w:val="nil"/>
                  </w:tcBorders>
                  <w:vAlign w:val="center"/>
                </w:tcPr>
                <w:p>
                  <w:pPr>
                    <w:widowControl/>
                    <w:jc w:val="center"/>
                    <w:textAlignment w:val="center"/>
                    <w:rPr>
                      <w:kern w:val="0"/>
                      <w:szCs w:val="21"/>
                      <w:lang w:bidi="ar"/>
                    </w:rPr>
                  </w:pPr>
                  <w:r>
                    <w:rPr>
                      <w:rFonts w:hint="eastAsia"/>
                      <w:kern w:val="0"/>
                      <w:szCs w:val="21"/>
                      <w:lang w:bidi="ar"/>
                    </w:rPr>
                    <w:t>0.01</w:t>
                  </w:r>
                </w:p>
              </w:tc>
              <w:tc>
                <w:tcPr>
                  <w:tcW w:w="881" w:type="dxa"/>
                  <w:tcBorders>
                    <w:tl2br w:val="nil"/>
                    <w:tr2bl w:val="nil"/>
                  </w:tcBorders>
                  <w:vAlign w:val="center"/>
                </w:tcPr>
                <w:p>
                  <w:pPr>
                    <w:spacing w:line="340" w:lineRule="exact"/>
                    <w:jc w:val="center"/>
                  </w:pPr>
                  <w:r>
                    <w:rPr>
                      <w:rFonts w:hint="eastAsia"/>
                    </w:rPr>
                    <w:t>0</w:t>
                  </w:r>
                </w:p>
              </w:tc>
              <w:tc>
                <w:tcPr>
                  <w:tcW w:w="891" w:type="dxa"/>
                  <w:tcBorders>
                    <w:tl2br w:val="nil"/>
                    <w:tr2bl w:val="nil"/>
                  </w:tcBorders>
                  <w:vAlign w:val="center"/>
                </w:tcPr>
                <w:p>
                  <w:pPr>
                    <w:spacing w:line="340" w:lineRule="exact"/>
                    <w:jc w:val="center"/>
                  </w:pPr>
                  <w:r>
                    <w:rPr>
                      <w:rFonts w:hint="eastAsia"/>
                    </w:rPr>
                    <w:t>0</w:t>
                  </w:r>
                </w:p>
              </w:tc>
              <w:tc>
                <w:tcPr>
                  <w:tcW w:w="780" w:type="dxa"/>
                  <w:tcBorders>
                    <w:tl2br w:val="nil"/>
                    <w:tr2bl w:val="nil"/>
                  </w:tcBorders>
                  <w:vAlign w:val="center"/>
                </w:tcPr>
                <w:p>
                  <w:pPr>
                    <w:spacing w:line="340" w:lineRule="exact"/>
                    <w:jc w:val="center"/>
                  </w:pPr>
                  <w:r>
                    <w:rPr>
                      <w:rFonts w:hint="eastAsia"/>
                    </w:rPr>
                    <w:t>0</w:t>
                  </w:r>
                </w:p>
              </w:tc>
              <w:tc>
                <w:tcPr>
                  <w:tcW w:w="849" w:type="dxa"/>
                  <w:tcBorders>
                    <w:tl2br w:val="nil"/>
                    <w:tr2bl w:val="nil"/>
                  </w:tcBorders>
                  <w:vAlign w:val="center"/>
                </w:tcPr>
                <w:p>
                  <w:pPr>
                    <w:spacing w:line="340" w:lineRule="exact"/>
                    <w:jc w:val="center"/>
                  </w:pPr>
                  <w:r>
                    <w:rPr>
                      <w:rFonts w:hint="eastAsia"/>
                    </w:rPr>
                    <w:t>0</w:t>
                  </w:r>
                </w:p>
              </w:tc>
            </w:tr>
          </w:tbl>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 w:type="dxa"/>
            <w:vMerge w:val="continue"/>
            <w:shd w:val="clear" w:color="auto" w:fill="auto"/>
          </w:tcPr>
          <w:p>
            <w:pPr>
              <w:tabs>
                <w:tab w:val="left" w:pos="1077"/>
              </w:tabs>
              <w:rPr>
                <w:rFonts w:cs="宋体"/>
                <w:color w:val="000000"/>
                <w:sz w:val="24"/>
              </w:rPr>
            </w:pPr>
          </w:p>
        </w:tc>
        <w:tc>
          <w:tcPr>
            <w:tcW w:w="8629" w:type="dxa"/>
            <w:shd w:val="clear" w:color="auto" w:fill="auto"/>
          </w:tcPr>
          <w:p>
            <w:pPr>
              <w:widowControl/>
              <w:spacing w:line="480" w:lineRule="exact"/>
              <w:ind w:firstLine="482" w:firstLineChars="200"/>
              <w:jc w:val="left"/>
              <w:rPr>
                <w:b/>
                <w:color w:val="000000"/>
                <w:kern w:val="0"/>
                <w:sz w:val="24"/>
              </w:rPr>
            </w:pPr>
            <w:r>
              <w:rPr>
                <w:rFonts w:hint="eastAsia"/>
                <w:b/>
                <w:color w:val="000000"/>
                <w:kern w:val="0"/>
                <w:sz w:val="24"/>
              </w:rPr>
              <w:t>八、环保投资估算</w:t>
            </w:r>
          </w:p>
          <w:p>
            <w:pPr>
              <w:widowControl/>
              <w:spacing w:line="480" w:lineRule="exact"/>
              <w:ind w:firstLine="480" w:firstLineChars="200"/>
              <w:jc w:val="left"/>
              <w:rPr>
                <w:color w:val="000000"/>
                <w:kern w:val="0"/>
                <w:sz w:val="24"/>
              </w:rPr>
            </w:pPr>
            <w:r>
              <w:rPr>
                <w:rFonts w:hint="eastAsia"/>
                <w:color w:val="000000"/>
                <w:kern w:val="0"/>
                <w:sz w:val="24"/>
              </w:rPr>
              <w:t>本项目环保投资约105万元，环境保护投资估算详见表4-</w:t>
            </w:r>
            <w:r>
              <w:rPr>
                <w:color w:val="000000"/>
                <w:kern w:val="0"/>
                <w:sz w:val="24"/>
              </w:rPr>
              <w:t>3</w:t>
            </w:r>
            <w:r>
              <w:rPr>
                <w:rFonts w:hint="eastAsia"/>
                <w:color w:val="000000"/>
                <w:kern w:val="0"/>
                <w:sz w:val="24"/>
              </w:rPr>
              <w:t>3。</w:t>
            </w:r>
          </w:p>
          <w:p>
            <w:pPr>
              <w:widowControl/>
              <w:adjustRightInd w:val="0"/>
              <w:snapToGrid w:val="0"/>
              <w:spacing w:before="100" w:beforeAutospacing="1"/>
              <w:jc w:val="center"/>
              <w:rPr>
                <w:b/>
                <w:color w:val="000000"/>
                <w:kern w:val="0"/>
                <w:sz w:val="24"/>
                <w:szCs w:val="20"/>
              </w:rPr>
            </w:pPr>
            <w:r>
              <w:rPr>
                <w:b/>
                <w:color w:val="000000"/>
                <w:kern w:val="0"/>
                <w:sz w:val="24"/>
                <w:szCs w:val="20"/>
              </w:rPr>
              <w:t>表</w:t>
            </w:r>
            <w:r>
              <w:rPr>
                <w:rFonts w:hint="eastAsia"/>
                <w:b/>
                <w:color w:val="000000"/>
                <w:kern w:val="0"/>
                <w:sz w:val="24"/>
                <w:szCs w:val="20"/>
              </w:rPr>
              <w:t>4</w:t>
            </w:r>
            <w:r>
              <w:rPr>
                <w:b/>
                <w:color w:val="000000"/>
                <w:kern w:val="0"/>
                <w:sz w:val="24"/>
                <w:szCs w:val="20"/>
              </w:rPr>
              <w:t>-</w:t>
            </w:r>
            <w:r>
              <w:rPr>
                <w:rFonts w:hint="eastAsia"/>
                <w:b/>
                <w:color w:val="000000"/>
                <w:kern w:val="0"/>
                <w:sz w:val="24"/>
                <w:szCs w:val="20"/>
              </w:rPr>
              <w:t>24</w:t>
            </w:r>
            <w:r>
              <w:rPr>
                <w:b/>
                <w:color w:val="000000"/>
                <w:kern w:val="0"/>
                <w:sz w:val="24"/>
                <w:szCs w:val="20"/>
              </w:rPr>
              <w:t xml:space="preserve">  本项目污染防治措施及投资估算一览表</w:t>
            </w:r>
            <w:r>
              <w:rPr>
                <w:rFonts w:hint="eastAsia"/>
                <w:b/>
                <w:color w:val="000000"/>
                <w:kern w:val="0"/>
                <w:sz w:val="24"/>
                <w:szCs w:val="20"/>
              </w:rPr>
              <w:t xml:space="preserve">  </w:t>
            </w:r>
            <w:r>
              <w:rPr>
                <w:rFonts w:hint="eastAsia"/>
                <w:b/>
                <w:color w:val="000000"/>
                <w:kern w:val="0"/>
                <w:sz w:val="20"/>
                <w:szCs w:val="21"/>
              </w:rPr>
              <w:t>单位：</w:t>
            </w:r>
            <w:r>
              <w:rPr>
                <w:b/>
                <w:color w:val="000000"/>
                <w:kern w:val="0"/>
                <w:sz w:val="20"/>
                <w:szCs w:val="21"/>
              </w:rPr>
              <w:t>万元</w:t>
            </w:r>
          </w:p>
          <w:tbl>
            <w:tblPr>
              <w:tblStyle w:val="58"/>
              <w:tblW w:w="4885"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565"/>
              <w:gridCol w:w="311"/>
              <w:gridCol w:w="1002"/>
              <w:gridCol w:w="2833"/>
              <w:gridCol w:w="662"/>
              <w:gridCol w:w="2146"/>
              <w:gridCol w:w="69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40" w:hRule="atLeast"/>
                <w:tblHeader/>
                <w:jc w:val="center"/>
              </w:trPr>
              <w:tc>
                <w:tcPr>
                  <w:tcW w:w="344" w:type="pct"/>
                  <w:vAlign w:val="center"/>
                </w:tcPr>
                <w:p>
                  <w:pPr>
                    <w:widowControl/>
                    <w:adjustRightInd w:val="0"/>
                    <w:snapToGrid w:val="0"/>
                    <w:ind w:left="-105" w:leftChars="-50" w:right="-105" w:rightChars="-50"/>
                    <w:jc w:val="center"/>
                    <w:rPr>
                      <w:b/>
                      <w:color w:val="000000"/>
                      <w:kern w:val="0"/>
                      <w:szCs w:val="21"/>
                    </w:rPr>
                  </w:pPr>
                  <w:r>
                    <w:rPr>
                      <w:b/>
                      <w:color w:val="000000"/>
                      <w:kern w:val="0"/>
                      <w:szCs w:val="21"/>
                    </w:rPr>
                    <w:t>分类</w:t>
                  </w:r>
                </w:p>
              </w:tc>
              <w:tc>
                <w:tcPr>
                  <w:tcW w:w="799" w:type="pct"/>
                  <w:gridSpan w:val="2"/>
                  <w:vAlign w:val="center"/>
                </w:tcPr>
                <w:p>
                  <w:pPr>
                    <w:widowControl/>
                    <w:ind w:left="-105" w:leftChars="-50" w:right="-105" w:rightChars="-50"/>
                    <w:jc w:val="center"/>
                    <w:rPr>
                      <w:b/>
                      <w:color w:val="000000"/>
                      <w:kern w:val="0"/>
                      <w:szCs w:val="21"/>
                    </w:rPr>
                  </w:pPr>
                  <w:r>
                    <w:rPr>
                      <w:b/>
                      <w:color w:val="000000"/>
                      <w:kern w:val="0"/>
                      <w:szCs w:val="21"/>
                    </w:rPr>
                    <w:t>治理对象</w:t>
                  </w:r>
                </w:p>
              </w:tc>
              <w:tc>
                <w:tcPr>
                  <w:tcW w:w="1724" w:type="pct"/>
                  <w:vAlign w:val="center"/>
                </w:tcPr>
                <w:p>
                  <w:pPr>
                    <w:widowControl/>
                    <w:adjustRightInd w:val="0"/>
                    <w:snapToGrid w:val="0"/>
                    <w:ind w:left="-105" w:leftChars="-50" w:right="-105" w:rightChars="-50"/>
                    <w:jc w:val="center"/>
                    <w:rPr>
                      <w:b/>
                      <w:color w:val="000000"/>
                      <w:kern w:val="0"/>
                      <w:szCs w:val="21"/>
                    </w:rPr>
                  </w:pPr>
                  <w:r>
                    <w:rPr>
                      <w:b/>
                      <w:color w:val="000000"/>
                      <w:kern w:val="0"/>
                      <w:szCs w:val="21"/>
                    </w:rPr>
                    <w:t>污染防治措施</w:t>
                  </w:r>
                </w:p>
              </w:tc>
              <w:tc>
                <w:tcPr>
                  <w:tcW w:w="403" w:type="pct"/>
                  <w:vAlign w:val="center"/>
                </w:tcPr>
                <w:p>
                  <w:pPr>
                    <w:widowControl/>
                    <w:adjustRightInd w:val="0"/>
                    <w:snapToGrid w:val="0"/>
                    <w:ind w:left="-105" w:leftChars="-50" w:right="-105" w:rightChars="-50"/>
                    <w:jc w:val="center"/>
                    <w:rPr>
                      <w:b/>
                      <w:color w:val="000000"/>
                      <w:kern w:val="0"/>
                      <w:szCs w:val="21"/>
                    </w:rPr>
                  </w:pPr>
                  <w:r>
                    <w:rPr>
                      <w:b/>
                      <w:color w:val="000000"/>
                      <w:kern w:val="0"/>
                      <w:szCs w:val="21"/>
                    </w:rPr>
                    <w:t>数量</w:t>
                  </w:r>
                </w:p>
              </w:tc>
              <w:tc>
                <w:tcPr>
                  <w:tcW w:w="1306" w:type="pct"/>
                  <w:vAlign w:val="center"/>
                </w:tcPr>
                <w:p>
                  <w:pPr>
                    <w:widowControl/>
                    <w:adjustRightInd w:val="0"/>
                    <w:snapToGrid w:val="0"/>
                    <w:ind w:left="-105" w:leftChars="-50" w:right="-105" w:rightChars="-50"/>
                    <w:jc w:val="center"/>
                    <w:rPr>
                      <w:b/>
                      <w:color w:val="000000"/>
                      <w:kern w:val="0"/>
                      <w:szCs w:val="21"/>
                    </w:rPr>
                  </w:pPr>
                  <w:r>
                    <w:rPr>
                      <w:b/>
                      <w:color w:val="000000"/>
                      <w:kern w:val="0"/>
                      <w:szCs w:val="21"/>
                    </w:rPr>
                    <w:t>预期治理效果</w:t>
                  </w:r>
                </w:p>
              </w:tc>
              <w:tc>
                <w:tcPr>
                  <w:tcW w:w="421" w:type="pct"/>
                  <w:vAlign w:val="center"/>
                </w:tcPr>
                <w:p>
                  <w:pPr>
                    <w:widowControl/>
                    <w:adjustRightInd w:val="0"/>
                    <w:snapToGrid w:val="0"/>
                    <w:ind w:left="-105" w:leftChars="-50" w:right="-105" w:rightChars="-50"/>
                    <w:jc w:val="center"/>
                    <w:rPr>
                      <w:b/>
                      <w:color w:val="000000"/>
                      <w:kern w:val="0"/>
                      <w:szCs w:val="21"/>
                    </w:rPr>
                  </w:pPr>
                  <w:r>
                    <w:rPr>
                      <w:b/>
                      <w:color w:val="000000"/>
                      <w:kern w:val="0"/>
                      <w:szCs w:val="21"/>
                    </w:rPr>
                    <w:t>投资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344" w:type="pct"/>
                  <w:vMerge w:val="restart"/>
                  <w:vAlign w:val="center"/>
                </w:tcPr>
                <w:p>
                  <w:pPr>
                    <w:widowControl/>
                    <w:adjustRightInd w:val="0"/>
                    <w:snapToGrid w:val="0"/>
                    <w:ind w:left="-50" w:right="-50"/>
                    <w:jc w:val="center"/>
                    <w:rPr>
                      <w:color w:val="000000"/>
                      <w:kern w:val="0"/>
                      <w:szCs w:val="21"/>
                    </w:rPr>
                  </w:pPr>
                  <w:r>
                    <w:rPr>
                      <w:color w:val="000000"/>
                      <w:kern w:val="0"/>
                      <w:szCs w:val="21"/>
                    </w:rPr>
                    <w:t>废气</w:t>
                  </w:r>
                </w:p>
              </w:tc>
              <w:tc>
                <w:tcPr>
                  <w:tcW w:w="799" w:type="pct"/>
                  <w:gridSpan w:val="2"/>
                  <w:vAlign w:val="center"/>
                </w:tcPr>
                <w:p>
                  <w:pPr>
                    <w:widowControl/>
                    <w:adjustRightInd w:val="0"/>
                    <w:snapToGrid w:val="0"/>
                    <w:spacing w:line="320" w:lineRule="exact"/>
                    <w:ind w:left="-50" w:right="-50"/>
                    <w:jc w:val="center"/>
                    <w:rPr>
                      <w:color w:val="000000"/>
                      <w:szCs w:val="21"/>
                    </w:rPr>
                  </w:pPr>
                  <w:r>
                    <w:rPr>
                      <w:rFonts w:hint="eastAsia"/>
                      <w:bCs/>
                      <w:color w:val="000000"/>
                      <w:kern w:val="0"/>
                      <w:szCs w:val="21"/>
                    </w:rPr>
                    <w:t>喷砂粉尘</w:t>
                  </w:r>
                </w:p>
              </w:tc>
              <w:tc>
                <w:tcPr>
                  <w:tcW w:w="1724" w:type="pct"/>
                  <w:vAlign w:val="center"/>
                </w:tcPr>
                <w:p>
                  <w:pPr>
                    <w:autoSpaceDE w:val="0"/>
                    <w:autoSpaceDN w:val="0"/>
                    <w:ind w:left="8" w:leftChars="1" w:right="-50" w:hanging="6" w:hangingChars="3"/>
                    <w:jc w:val="center"/>
                    <w:rPr>
                      <w:color w:val="000000"/>
                      <w:szCs w:val="21"/>
                    </w:rPr>
                  </w:pPr>
                  <w:r>
                    <w:rPr>
                      <w:rFonts w:hint="eastAsia"/>
                      <w:color w:val="000000"/>
                      <w:szCs w:val="21"/>
                    </w:rPr>
                    <w:t>密闭环境+</w:t>
                  </w:r>
                  <w:r>
                    <w:rPr>
                      <w:rFonts w:hint="eastAsia"/>
                      <w:color w:val="000000"/>
                      <w:kern w:val="0"/>
                      <w:szCs w:val="21"/>
                    </w:rPr>
                    <w:t>负压收集+</w:t>
                  </w:r>
                  <w:r>
                    <w:rPr>
                      <w:rFonts w:hint="eastAsia"/>
                      <w:color w:val="000000"/>
                      <w:szCs w:val="21"/>
                    </w:rPr>
                    <w:t>布袋除尘器</w:t>
                  </w:r>
                  <w:r>
                    <w:rPr>
                      <w:color w:val="000000"/>
                      <w:kern w:val="0"/>
                      <w:szCs w:val="21"/>
                    </w:rPr>
                    <w:t>+</w:t>
                  </w:r>
                  <w:r>
                    <w:rPr>
                      <w:rFonts w:hint="eastAsia"/>
                      <w:color w:val="000000"/>
                      <w:kern w:val="0"/>
                      <w:szCs w:val="21"/>
                    </w:rPr>
                    <w:t>15米</w:t>
                  </w:r>
                  <w:r>
                    <w:rPr>
                      <w:color w:val="000000"/>
                      <w:kern w:val="0"/>
                      <w:szCs w:val="21"/>
                    </w:rPr>
                    <w:t>高排气筒（DA00</w:t>
                  </w:r>
                  <w:r>
                    <w:rPr>
                      <w:rFonts w:hint="eastAsia"/>
                      <w:color w:val="000000"/>
                      <w:kern w:val="0"/>
                      <w:szCs w:val="21"/>
                    </w:rPr>
                    <w:t>3</w:t>
                  </w:r>
                  <w:r>
                    <w:rPr>
                      <w:color w:val="000000"/>
                      <w:kern w:val="0"/>
                      <w:szCs w:val="21"/>
                    </w:rPr>
                    <w:t>）</w:t>
                  </w:r>
                </w:p>
              </w:tc>
              <w:tc>
                <w:tcPr>
                  <w:tcW w:w="403" w:type="pct"/>
                  <w:vAlign w:val="center"/>
                </w:tcPr>
                <w:p>
                  <w:pPr>
                    <w:widowControl/>
                    <w:adjustRightInd w:val="0"/>
                    <w:snapToGrid w:val="0"/>
                    <w:ind w:left="-50" w:right="-50"/>
                    <w:jc w:val="center"/>
                    <w:rPr>
                      <w:color w:val="000000"/>
                      <w:kern w:val="0"/>
                      <w:szCs w:val="21"/>
                    </w:rPr>
                  </w:pPr>
                  <w:r>
                    <w:rPr>
                      <w:rFonts w:hint="eastAsia"/>
                      <w:color w:val="000000"/>
                      <w:kern w:val="0"/>
                      <w:szCs w:val="21"/>
                    </w:rPr>
                    <w:t>1</w:t>
                  </w:r>
                </w:p>
              </w:tc>
              <w:tc>
                <w:tcPr>
                  <w:tcW w:w="1306" w:type="pct"/>
                  <w:vMerge w:val="restart"/>
                  <w:vAlign w:val="center"/>
                </w:tcPr>
                <w:p>
                  <w:pPr>
                    <w:widowControl/>
                    <w:adjustRightInd w:val="0"/>
                    <w:snapToGrid w:val="0"/>
                    <w:ind w:left="-50" w:right="-50"/>
                    <w:jc w:val="center"/>
                    <w:rPr>
                      <w:color w:val="000000"/>
                      <w:kern w:val="0"/>
                      <w:szCs w:val="21"/>
                    </w:rPr>
                  </w:pPr>
                  <w:r>
                    <w:rPr>
                      <w:rFonts w:hint="eastAsia"/>
                      <w:color w:val="000000"/>
                      <w:kern w:val="0"/>
                      <w:szCs w:val="21"/>
                    </w:rPr>
                    <w:t>上海市地方标准《大气污染物综合排放标准》（DB31/933-2015）表1及表3排放监控浓度限值、</w:t>
                  </w:r>
                  <w:r>
                    <w:rPr>
                      <w:color w:val="000000"/>
                      <w:szCs w:val="21"/>
                    </w:rPr>
                    <w:t>《挥发性有机物无组织排放控制标准》（GB37822-2019）</w:t>
                  </w:r>
                  <w:r>
                    <w:rPr>
                      <w:rFonts w:hint="eastAsia"/>
                      <w:color w:val="000000"/>
                      <w:szCs w:val="21"/>
                    </w:rPr>
                    <w:t>附录A中VOCs无组织特别排放限值</w:t>
                  </w:r>
                </w:p>
              </w:tc>
              <w:tc>
                <w:tcPr>
                  <w:tcW w:w="421" w:type="pct"/>
                  <w:vAlign w:val="center"/>
                </w:tcPr>
                <w:p>
                  <w:pPr>
                    <w:widowControl/>
                    <w:adjustRightInd w:val="0"/>
                    <w:snapToGrid w:val="0"/>
                    <w:ind w:left="-50" w:right="-50"/>
                    <w:jc w:val="center"/>
                    <w:rPr>
                      <w:color w:val="000000"/>
                      <w:kern w:val="0"/>
                      <w:szCs w:val="21"/>
                    </w:rPr>
                  </w:pPr>
                  <w:r>
                    <w:rPr>
                      <w:color w:val="000000"/>
                      <w:kern w:val="0"/>
                      <w:szCs w:val="21"/>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8" w:hRule="atLeast"/>
                <w:jc w:val="center"/>
              </w:trPr>
              <w:tc>
                <w:tcPr>
                  <w:tcW w:w="344" w:type="pct"/>
                  <w:vMerge w:val="continue"/>
                  <w:vAlign w:val="center"/>
                </w:tcPr>
                <w:p>
                  <w:pPr>
                    <w:widowControl/>
                    <w:adjustRightInd w:val="0"/>
                    <w:snapToGrid w:val="0"/>
                    <w:ind w:left="-50" w:right="-50"/>
                    <w:jc w:val="center"/>
                    <w:rPr>
                      <w:color w:val="000000"/>
                      <w:kern w:val="0"/>
                      <w:szCs w:val="21"/>
                    </w:rPr>
                  </w:pPr>
                </w:p>
              </w:tc>
              <w:tc>
                <w:tcPr>
                  <w:tcW w:w="799" w:type="pct"/>
                  <w:gridSpan w:val="2"/>
                  <w:vAlign w:val="center"/>
                </w:tcPr>
                <w:p>
                  <w:pPr>
                    <w:widowControl/>
                    <w:adjustRightInd w:val="0"/>
                    <w:snapToGrid w:val="0"/>
                    <w:spacing w:line="320" w:lineRule="exact"/>
                    <w:ind w:left="-50" w:right="-50"/>
                    <w:jc w:val="center"/>
                    <w:rPr>
                      <w:color w:val="000000"/>
                      <w:szCs w:val="21"/>
                    </w:rPr>
                  </w:pPr>
                  <w:r>
                    <w:rPr>
                      <w:rFonts w:hint="eastAsia"/>
                      <w:color w:val="000000"/>
                      <w:szCs w:val="21"/>
                    </w:rPr>
                    <w:t>调漆、喷漆及晾干废气废气</w:t>
                  </w:r>
                </w:p>
              </w:tc>
              <w:tc>
                <w:tcPr>
                  <w:tcW w:w="1724" w:type="pct"/>
                  <w:vAlign w:val="center"/>
                </w:tcPr>
                <w:p>
                  <w:pPr>
                    <w:autoSpaceDE w:val="0"/>
                    <w:autoSpaceDN w:val="0"/>
                    <w:ind w:left="8" w:leftChars="1" w:right="-50" w:hanging="6" w:hangingChars="3"/>
                    <w:jc w:val="center"/>
                    <w:rPr>
                      <w:color w:val="000000"/>
                      <w:szCs w:val="21"/>
                    </w:rPr>
                  </w:pPr>
                  <w:r>
                    <w:rPr>
                      <w:rFonts w:hint="eastAsia"/>
                      <w:color w:val="000000"/>
                      <w:szCs w:val="21"/>
                    </w:rPr>
                    <w:t>密闭环境+</w:t>
                  </w:r>
                  <w:r>
                    <w:rPr>
                      <w:rFonts w:hint="eastAsia"/>
                      <w:color w:val="000000"/>
                      <w:kern w:val="0"/>
                      <w:szCs w:val="21"/>
                    </w:rPr>
                    <w:t>负压收集</w:t>
                  </w:r>
                  <w:r>
                    <w:rPr>
                      <w:rFonts w:hint="eastAsia"/>
                      <w:color w:val="000000"/>
                      <w:szCs w:val="21"/>
                    </w:rPr>
                    <w:t>+</w:t>
                  </w:r>
                  <w:r>
                    <w:rPr>
                      <w:color w:val="000000"/>
                      <w:szCs w:val="21"/>
                    </w:rPr>
                    <w:t>过滤棉</w:t>
                  </w:r>
                  <w:r>
                    <w:rPr>
                      <w:rFonts w:hint="eastAsia"/>
                      <w:color w:val="000000"/>
                      <w:szCs w:val="21"/>
                    </w:rPr>
                    <w:t>+活性炭+RCO</w:t>
                  </w:r>
                  <w:r>
                    <w:rPr>
                      <w:color w:val="000000"/>
                      <w:kern w:val="0"/>
                      <w:szCs w:val="21"/>
                    </w:rPr>
                    <w:t xml:space="preserve"> +</w:t>
                  </w:r>
                  <w:r>
                    <w:rPr>
                      <w:rFonts w:hint="eastAsia"/>
                      <w:color w:val="000000"/>
                      <w:kern w:val="0"/>
                      <w:szCs w:val="21"/>
                    </w:rPr>
                    <w:t>15米</w:t>
                  </w:r>
                  <w:r>
                    <w:rPr>
                      <w:color w:val="000000"/>
                      <w:kern w:val="0"/>
                      <w:szCs w:val="21"/>
                    </w:rPr>
                    <w:t>高排气筒（DA00</w:t>
                  </w:r>
                  <w:r>
                    <w:rPr>
                      <w:rFonts w:hint="eastAsia"/>
                      <w:color w:val="000000"/>
                      <w:kern w:val="0"/>
                      <w:szCs w:val="21"/>
                    </w:rPr>
                    <w:t>4</w:t>
                  </w:r>
                  <w:r>
                    <w:rPr>
                      <w:color w:val="000000"/>
                      <w:kern w:val="0"/>
                      <w:szCs w:val="21"/>
                    </w:rPr>
                    <w:t>）</w:t>
                  </w:r>
                </w:p>
              </w:tc>
              <w:tc>
                <w:tcPr>
                  <w:tcW w:w="403" w:type="pct"/>
                  <w:vAlign w:val="center"/>
                </w:tcPr>
                <w:p>
                  <w:pPr>
                    <w:widowControl/>
                    <w:adjustRightInd w:val="0"/>
                    <w:snapToGrid w:val="0"/>
                    <w:ind w:left="-50" w:right="-50"/>
                    <w:jc w:val="center"/>
                    <w:rPr>
                      <w:color w:val="000000"/>
                      <w:kern w:val="0"/>
                      <w:szCs w:val="21"/>
                    </w:rPr>
                  </w:pPr>
                  <w:r>
                    <w:rPr>
                      <w:rFonts w:hint="eastAsia"/>
                      <w:color w:val="000000"/>
                      <w:kern w:val="0"/>
                      <w:szCs w:val="21"/>
                    </w:rPr>
                    <w:t>1</w:t>
                  </w:r>
                </w:p>
              </w:tc>
              <w:tc>
                <w:tcPr>
                  <w:tcW w:w="1306" w:type="pct"/>
                  <w:vMerge w:val="continue"/>
                  <w:vAlign w:val="center"/>
                </w:tcPr>
                <w:p>
                  <w:pPr>
                    <w:autoSpaceDE w:val="0"/>
                    <w:autoSpaceDN w:val="0"/>
                    <w:adjustRightInd w:val="0"/>
                    <w:ind w:left="-50" w:right="-50"/>
                    <w:jc w:val="center"/>
                    <w:rPr>
                      <w:color w:val="000000"/>
                      <w:kern w:val="0"/>
                      <w:szCs w:val="21"/>
                    </w:rPr>
                  </w:pPr>
                </w:p>
              </w:tc>
              <w:tc>
                <w:tcPr>
                  <w:tcW w:w="421" w:type="pct"/>
                  <w:vAlign w:val="center"/>
                </w:tcPr>
                <w:p>
                  <w:pPr>
                    <w:adjustRightInd w:val="0"/>
                    <w:snapToGrid w:val="0"/>
                    <w:ind w:left="-50" w:right="-50"/>
                    <w:jc w:val="center"/>
                    <w:rPr>
                      <w:color w:val="000000"/>
                      <w:kern w:val="0"/>
                      <w:szCs w:val="21"/>
                    </w:rPr>
                  </w:pPr>
                  <w:r>
                    <w:rPr>
                      <w:rFonts w:hint="eastAsia"/>
                      <w:color w:val="000000"/>
                      <w:kern w:val="0"/>
                      <w:szCs w:val="21"/>
                    </w:rPr>
                    <w:t>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344" w:type="pct"/>
                  <w:vAlign w:val="center"/>
                </w:tcPr>
                <w:p>
                  <w:pPr>
                    <w:widowControl/>
                    <w:adjustRightInd w:val="0"/>
                    <w:snapToGrid w:val="0"/>
                    <w:ind w:left="-50" w:right="-50"/>
                    <w:jc w:val="center"/>
                    <w:rPr>
                      <w:color w:val="000000"/>
                      <w:kern w:val="0"/>
                      <w:szCs w:val="21"/>
                    </w:rPr>
                  </w:pPr>
                  <w:r>
                    <w:rPr>
                      <w:color w:val="000000"/>
                      <w:kern w:val="0"/>
                      <w:szCs w:val="21"/>
                    </w:rPr>
                    <w:t>噪声</w:t>
                  </w:r>
                </w:p>
              </w:tc>
              <w:tc>
                <w:tcPr>
                  <w:tcW w:w="799" w:type="pct"/>
                  <w:gridSpan w:val="2"/>
                  <w:vAlign w:val="center"/>
                </w:tcPr>
                <w:p>
                  <w:pPr>
                    <w:widowControl/>
                    <w:adjustRightInd w:val="0"/>
                    <w:snapToGrid w:val="0"/>
                    <w:ind w:left="-50" w:right="-50"/>
                    <w:jc w:val="center"/>
                    <w:rPr>
                      <w:color w:val="000000"/>
                      <w:kern w:val="0"/>
                      <w:szCs w:val="21"/>
                    </w:rPr>
                  </w:pPr>
                  <w:r>
                    <w:rPr>
                      <w:color w:val="000000"/>
                      <w:kern w:val="0"/>
                      <w:szCs w:val="21"/>
                    </w:rPr>
                    <w:t>设备噪声</w:t>
                  </w:r>
                </w:p>
              </w:tc>
              <w:tc>
                <w:tcPr>
                  <w:tcW w:w="1724" w:type="pct"/>
                  <w:vAlign w:val="center"/>
                </w:tcPr>
                <w:p>
                  <w:pPr>
                    <w:widowControl/>
                    <w:adjustRightInd w:val="0"/>
                    <w:snapToGrid w:val="0"/>
                    <w:ind w:left="-50" w:right="-50"/>
                    <w:jc w:val="center"/>
                    <w:rPr>
                      <w:color w:val="000000"/>
                      <w:kern w:val="0"/>
                      <w:szCs w:val="21"/>
                    </w:rPr>
                  </w:pPr>
                  <w:r>
                    <w:rPr>
                      <w:color w:val="000000"/>
                      <w:kern w:val="0"/>
                      <w:szCs w:val="21"/>
                    </w:rPr>
                    <w:t>合理布局、隔声、减振、消声等措施</w:t>
                  </w:r>
                </w:p>
              </w:tc>
              <w:tc>
                <w:tcPr>
                  <w:tcW w:w="403" w:type="pct"/>
                  <w:vAlign w:val="center"/>
                </w:tcPr>
                <w:p>
                  <w:pPr>
                    <w:widowControl/>
                    <w:adjustRightInd w:val="0"/>
                    <w:snapToGrid w:val="0"/>
                    <w:ind w:left="-50" w:right="-50"/>
                    <w:jc w:val="center"/>
                    <w:rPr>
                      <w:color w:val="000000"/>
                      <w:kern w:val="0"/>
                      <w:szCs w:val="21"/>
                    </w:rPr>
                  </w:pPr>
                  <w:r>
                    <w:rPr>
                      <w:color w:val="000000"/>
                      <w:kern w:val="0"/>
                      <w:szCs w:val="21"/>
                    </w:rPr>
                    <w:t>若干</w:t>
                  </w:r>
                </w:p>
              </w:tc>
              <w:tc>
                <w:tcPr>
                  <w:tcW w:w="1306" w:type="pct"/>
                  <w:vAlign w:val="center"/>
                </w:tcPr>
                <w:p>
                  <w:pPr>
                    <w:widowControl/>
                    <w:adjustRightInd w:val="0"/>
                    <w:snapToGrid w:val="0"/>
                    <w:ind w:left="-105" w:leftChars="-50" w:right="-105" w:rightChars="-50"/>
                    <w:jc w:val="center"/>
                    <w:rPr>
                      <w:color w:val="000000"/>
                      <w:spacing w:val="-2"/>
                      <w:kern w:val="0"/>
                      <w:szCs w:val="21"/>
                    </w:rPr>
                  </w:pPr>
                  <w:r>
                    <w:rPr>
                      <w:color w:val="000000"/>
                      <w:kern w:val="0"/>
                      <w:szCs w:val="21"/>
                    </w:rPr>
                    <w:t>满足</w:t>
                  </w:r>
                  <w:r>
                    <w:rPr>
                      <w:color w:val="000000"/>
                      <w:spacing w:val="-2"/>
                      <w:kern w:val="0"/>
                      <w:szCs w:val="21"/>
                    </w:rPr>
                    <w:t>《工业企业厂界环境噪声排放标准》（GB12348-2008）</w:t>
                  </w:r>
                </w:p>
                <w:p>
                  <w:pPr>
                    <w:widowControl/>
                    <w:adjustRightInd w:val="0"/>
                    <w:snapToGrid w:val="0"/>
                    <w:ind w:left="-105" w:leftChars="-50" w:right="-105" w:rightChars="-50"/>
                    <w:jc w:val="center"/>
                    <w:rPr>
                      <w:color w:val="000000"/>
                      <w:kern w:val="0"/>
                      <w:szCs w:val="21"/>
                    </w:rPr>
                  </w:pPr>
                  <w:r>
                    <w:rPr>
                      <w:rFonts w:hint="eastAsia"/>
                      <w:color w:val="000000"/>
                      <w:spacing w:val="-2"/>
                      <w:kern w:val="0"/>
                      <w:szCs w:val="21"/>
                    </w:rPr>
                    <w:t>3</w:t>
                  </w:r>
                  <w:r>
                    <w:rPr>
                      <w:color w:val="000000"/>
                      <w:spacing w:val="-2"/>
                      <w:kern w:val="0"/>
                      <w:szCs w:val="21"/>
                    </w:rPr>
                    <w:t>类标准</w:t>
                  </w:r>
                </w:p>
              </w:tc>
              <w:tc>
                <w:tcPr>
                  <w:tcW w:w="421" w:type="pct"/>
                  <w:vAlign w:val="center"/>
                </w:tcPr>
                <w:p>
                  <w:pPr>
                    <w:widowControl/>
                    <w:adjustRightInd w:val="0"/>
                    <w:snapToGrid w:val="0"/>
                    <w:ind w:left="-50" w:right="-50"/>
                    <w:jc w:val="center"/>
                    <w:rPr>
                      <w:color w:val="000000"/>
                      <w:kern w:val="0"/>
                      <w:szCs w:val="21"/>
                    </w:rPr>
                  </w:pPr>
                  <w:r>
                    <w:rPr>
                      <w:rFonts w:hint="eastAsia"/>
                      <w:color w:val="000000"/>
                      <w:kern w:val="0"/>
                      <w:szCs w:val="21"/>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5" w:hRule="atLeast"/>
                <w:jc w:val="center"/>
              </w:trPr>
              <w:tc>
                <w:tcPr>
                  <w:tcW w:w="344" w:type="pct"/>
                  <w:vMerge w:val="restart"/>
                  <w:vAlign w:val="center"/>
                </w:tcPr>
                <w:p>
                  <w:pPr>
                    <w:widowControl/>
                    <w:adjustRightInd w:val="0"/>
                    <w:snapToGrid w:val="0"/>
                    <w:ind w:left="-50" w:right="-50"/>
                    <w:jc w:val="center"/>
                    <w:rPr>
                      <w:color w:val="000000"/>
                      <w:kern w:val="0"/>
                      <w:szCs w:val="21"/>
                    </w:rPr>
                  </w:pPr>
                  <w:r>
                    <w:rPr>
                      <w:color w:val="000000"/>
                      <w:kern w:val="0"/>
                      <w:szCs w:val="21"/>
                    </w:rPr>
                    <w:t>固废</w:t>
                  </w:r>
                </w:p>
              </w:tc>
              <w:tc>
                <w:tcPr>
                  <w:tcW w:w="799" w:type="pct"/>
                  <w:gridSpan w:val="2"/>
                  <w:vAlign w:val="center"/>
                </w:tcPr>
                <w:p>
                  <w:pPr>
                    <w:adjustRightInd w:val="0"/>
                    <w:snapToGrid w:val="0"/>
                    <w:ind w:left="-50" w:right="-50"/>
                    <w:jc w:val="center"/>
                    <w:rPr>
                      <w:color w:val="000000"/>
                      <w:kern w:val="0"/>
                      <w:szCs w:val="21"/>
                    </w:rPr>
                  </w:pPr>
                  <w:r>
                    <w:rPr>
                      <w:color w:val="000000"/>
                      <w:kern w:val="0"/>
                      <w:szCs w:val="21"/>
                    </w:rPr>
                    <w:t>一般固废</w:t>
                  </w:r>
                </w:p>
              </w:tc>
              <w:tc>
                <w:tcPr>
                  <w:tcW w:w="1724" w:type="pct"/>
                  <w:vAlign w:val="center"/>
                </w:tcPr>
                <w:p>
                  <w:pPr>
                    <w:autoSpaceDE w:val="0"/>
                    <w:autoSpaceDN w:val="0"/>
                    <w:adjustRightInd w:val="0"/>
                    <w:ind w:left="-50" w:right="-50"/>
                    <w:jc w:val="center"/>
                    <w:rPr>
                      <w:color w:val="262626" w:themeColor="text1" w:themeTint="D9"/>
                      <w:kern w:val="0"/>
                      <w:szCs w:val="21"/>
                      <w14:textFill>
                        <w14:solidFill>
                          <w14:schemeClr w14:val="tx1">
                            <w14:lumMod w14:val="85000"/>
                            <w14:lumOff w14:val="15000"/>
                          </w14:schemeClr>
                        </w14:solidFill>
                      </w14:textFill>
                    </w:rPr>
                  </w:pPr>
                  <w:r>
                    <w:rPr>
                      <w:color w:val="262626" w:themeColor="text1" w:themeTint="D9"/>
                      <w:kern w:val="0"/>
                      <w:szCs w:val="21"/>
                      <w14:textFill>
                        <w14:solidFill>
                          <w14:schemeClr w14:val="tx1">
                            <w14:lumMod w14:val="85000"/>
                            <w14:lumOff w14:val="15000"/>
                          </w14:schemeClr>
                        </w14:solidFill>
                      </w14:textFill>
                    </w:rPr>
                    <w:t>一般固废库收集暂存，定期外售综合利用</w:t>
                  </w:r>
                  <w:r>
                    <w:rPr>
                      <w:rFonts w:hint="eastAsia"/>
                      <w:color w:val="262626" w:themeColor="text1" w:themeTint="D9"/>
                      <w:kern w:val="0"/>
                      <w:szCs w:val="21"/>
                      <w14:textFill>
                        <w14:solidFill>
                          <w14:schemeClr w14:val="tx1">
                            <w14:lumMod w14:val="85000"/>
                            <w14:lumOff w14:val="15000"/>
                          </w14:schemeClr>
                        </w14:solidFill>
                      </w14:textFill>
                    </w:rPr>
                    <w:t>（依托现有）</w:t>
                  </w:r>
                </w:p>
              </w:tc>
              <w:tc>
                <w:tcPr>
                  <w:tcW w:w="403" w:type="pct"/>
                  <w:vAlign w:val="center"/>
                </w:tcPr>
                <w:p>
                  <w:pPr>
                    <w:adjustRightInd w:val="0"/>
                    <w:snapToGrid w:val="0"/>
                    <w:ind w:left="-50" w:right="-50"/>
                    <w:jc w:val="center"/>
                    <w:rPr>
                      <w:color w:val="000000"/>
                      <w:kern w:val="0"/>
                      <w:szCs w:val="21"/>
                    </w:rPr>
                  </w:pPr>
                  <w:r>
                    <w:rPr>
                      <w:rFonts w:hint="eastAsia"/>
                      <w:color w:val="000000"/>
                      <w:kern w:val="0"/>
                      <w:szCs w:val="21"/>
                    </w:rPr>
                    <w:t>1</w:t>
                  </w:r>
                </w:p>
              </w:tc>
              <w:tc>
                <w:tcPr>
                  <w:tcW w:w="1306" w:type="pct"/>
                  <w:vMerge w:val="restart"/>
                  <w:vAlign w:val="center"/>
                </w:tcPr>
                <w:p>
                  <w:pPr>
                    <w:adjustRightInd w:val="0"/>
                    <w:snapToGrid w:val="0"/>
                    <w:ind w:left="-50" w:right="-50"/>
                    <w:jc w:val="center"/>
                    <w:rPr>
                      <w:color w:val="000000"/>
                      <w:kern w:val="0"/>
                      <w:szCs w:val="21"/>
                    </w:rPr>
                  </w:pPr>
                  <w:r>
                    <w:rPr>
                      <w:rFonts w:hint="eastAsia"/>
                      <w:kern w:val="0"/>
                      <w:szCs w:val="21"/>
                      <w:lang w:val="zh-CN"/>
                    </w:rPr>
                    <w:t>一般工业固废</w:t>
                  </w:r>
                  <w:r>
                    <w:rPr>
                      <w:kern w:val="0"/>
                      <w:szCs w:val="21"/>
                      <w:lang w:val="zh-CN"/>
                    </w:rPr>
                    <w:t>分类收集，</w:t>
                  </w:r>
                  <w:r>
                    <w:rPr>
                      <w:rFonts w:hint="eastAsia"/>
                      <w:kern w:val="0"/>
                      <w:szCs w:val="21"/>
                      <w:lang w:val="zh-CN"/>
                    </w:rPr>
                    <w:t>综合</w:t>
                  </w:r>
                  <w:r>
                    <w:rPr>
                      <w:kern w:val="0"/>
                      <w:szCs w:val="21"/>
                      <w:lang w:val="zh-CN"/>
                    </w:rPr>
                    <w:t>利用；</w:t>
                  </w:r>
                  <w:r>
                    <w:rPr>
                      <w:rFonts w:hint="eastAsia"/>
                      <w:kern w:val="0"/>
                      <w:szCs w:val="21"/>
                      <w:lang w:val="zh-CN"/>
                    </w:rPr>
                    <w:t>危废委托资质单位处理</w:t>
                  </w:r>
                </w:p>
              </w:tc>
              <w:tc>
                <w:tcPr>
                  <w:tcW w:w="421" w:type="pct"/>
                  <w:vAlign w:val="center"/>
                </w:tcPr>
                <w:p>
                  <w:pPr>
                    <w:adjustRightInd w:val="0"/>
                    <w:snapToGrid w:val="0"/>
                    <w:ind w:left="-50" w:right="-50"/>
                    <w:jc w:val="center"/>
                    <w:rPr>
                      <w:color w:val="000000"/>
                      <w:kern w:val="0"/>
                      <w:szCs w:val="21"/>
                    </w:rPr>
                  </w:pPr>
                  <w:r>
                    <w:rPr>
                      <w:rFonts w:hint="eastAsia"/>
                      <w:color w:val="000000"/>
                      <w:kern w:val="0"/>
                      <w:szCs w:val="21"/>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13" w:hRule="atLeast"/>
                <w:jc w:val="center"/>
              </w:trPr>
              <w:tc>
                <w:tcPr>
                  <w:tcW w:w="344" w:type="pct"/>
                  <w:vMerge w:val="continue"/>
                  <w:vAlign w:val="center"/>
                </w:tcPr>
                <w:p>
                  <w:pPr>
                    <w:widowControl/>
                    <w:adjustRightInd w:val="0"/>
                    <w:snapToGrid w:val="0"/>
                    <w:ind w:left="-50" w:right="-50"/>
                    <w:jc w:val="center"/>
                    <w:rPr>
                      <w:color w:val="000000"/>
                      <w:kern w:val="0"/>
                      <w:szCs w:val="21"/>
                    </w:rPr>
                  </w:pPr>
                </w:p>
              </w:tc>
              <w:tc>
                <w:tcPr>
                  <w:tcW w:w="189" w:type="pct"/>
                  <w:vAlign w:val="center"/>
                </w:tcPr>
                <w:p>
                  <w:pPr>
                    <w:widowControl/>
                    <w:adjustRightInd w:val="0"/>
                    <w:snapToGrid w:val="0"/>
                    <w:ind w:left="-105" w:leftChars="-50" w:right="-105" w:rightChars="-50"/>
                    <w:jc w:val="center"/>
                    <w:rPr>
                      <w:color w:val="000000"/>
                      <w:kern w:val="0"/>
                      <w:szCs w:val="21"/>
                    </w:rPr>
                  </w:pPr>
                  <w:r>
                    <w:rPr>
                      <w:color w:val="000000"/>
                      <w:kern w:val="0"/>
                      <w:szCs w:val="21"/>
                    </w:rPr>
                    <w:t>危险废物</w:t>
                  </w:r>
                </w:p>
              </w:tc>
              <w:tc>
                <w:tcPr>
                  <w:tcW w:w="610" w:type="pct"/>
                  <w:vAlign w:val="center"/>
                </w:tcPr>
                <w:p>
                  <w:pPr>
                    <w:adjustRightInd w:val="0"/>
                    <w:snapToGrid w:val="0"/>
                    <w:ind w:left="-50" w:right="-50"/>
                    <w:jc w:val="center"/>
                    <w:rPr>
                      <w:color w:val="000000"/>
                      <w:kern w:val="0"/>
                      <w:szCs w:val="21"/>
                    </w:rPr>
                  </w:pPr>
                  <w:r>
                    <w:rPr>
                      <w:color w:val="000000"/>
                      <w:kern w:val="0"/>
                      <w:szCs w:val="21"/>
                    </w:rPr>
                    <w:t>废过滤棉及漆渣</w:t>
                  </w:r>
                  <w:r>
                    <w:rPr>
                      <w:rFonts w:hint="eastAsia"/>
                      <w:color w:val="000000"/>
                      <w:kern w:val="0"/>
                      <w:szCs w:val="21"/>
                    </w:rPr>
                    <w:t>、</w:t>
                  </w:r>
                  <w:r>
                    <w:rPr>
                      <w:color w:val="000000"/>
                      <w:kern w:val="0"/>
                      <w:szCs w:val="21"/>
                    </w:rPr>
                    <w:t>废漆桶</w:t>
                  </w:r>
                  <w:r>
                    <w:rPr>
                      <w:rFonts w:hint="eastAsia"/>
                      <w:color w:val="000000"/>
                      <w:kern w:val="0"/>
                      <w:szCs w:val="21"/>
                    </w:rPr>
                    <w:t>、</w:t>
                  </w:r>
                  <w:r>
                    <w:rPr>
                      <w:color w:val="000000"/>
                      <w:kern w:val="0"/>
                      <w:szCs w:val="21"/>
                    </w:rPr>
                    <w:t>废活性炭</w:t>
                  </w:r>
                  <w:r>
                    <w:rPr>
                      <w:rFonts w:hint="eastAsia"/>
                      <w:color w:val="000000"/>
                      <w:kern w:val="0"/>
                      <w:szCs w:val="21"/>
                    </w:rPr>
                    <w:t>、</w:t>
                  </w:r>
                  <w:r>
                    <w:rPr>
                      <w:color w:val="000000"/>
                      <w:kern w:val="0"/>
                      <w:szCs w:val="21"/>
                    </w:rPr>
                    <w:t>废润滑油</w:t>
                  </w:r>
                </w:p>
              </w:tc>
              <w:tc>
                <w:tcPr>
                  <w:tcW w:w="1724" w:type="pct"/>
                  <w:vAlign w:val="center"/>
                </w:tcPr>
                <w:p>
                  <w:pPr>
                    <w:adjustRightInd w:val="0"/>
                    <w:snapToGrid w:val="0"/>
                    <w:ind w:left="-50" w:right="-50"/>
                    <w:jc w:val="center"/>
                    <w:rPr>
                      <w:color w:val="262626" w:themeColor="text1" w:themeTint="D9"/>
                      <w:kern w:val="0"/>
                      <w:szCs w:val="21"/>
                      <w14:textFill>
                        <w14:solidFill>
                          <w14:schemeClr w14:val="tx1">
                            <w14:lumMod w14:val="85000"/>
                            <w14:lumOff w14:val="15000"/>
                          </w14:schemeClr>
                        </w14:solidFill>
                      </w14:textFill>
                    </w:rPr>
                  </w:pPr>
                  <w:r>
                    <w:rPr>
                      <w:color w:val="262626" w:themeColor="text1" w:themeTint="D9"/>
                      <w:kern w:val="0"/>
                      <w:szCs w:val="21"/>
                      <w14:textFill>
                        <w14:solidFill>
                          <w14:schemeClr w14:val="tx1">
                            <w14:lumMod w14:val="85000"/>
                            <w14:lumOff w14:val="15000"/>
                          </w14:schemeClr>
                        </w14:solidFill>
                      </w14:textFill>
                    </w:rPr>
                    <w:t>危废暂存场所</w:t>
                  </w:r>
                  <w:r>
                    <w:rPr>
                      <w:rFonts w:hint="eastAsia"/>
                      <w:color w:val="262626" w:themeColor="text1" w:themeTint="D9"/>
                      <w:kern w:val="0"/>
                      <w:szCs w:val="21"/>
                      <w14:textFill>
                        <w14:solidFill>
                          <w14:schemeClr w14:val="tx1">
                            <w14:lumMod w14:val="85000"/>
                            <w14:lumOff w14:val="15000"/>
                          </w14:schemeClr>
                        </w14:solidFill>
                      </w14:textFill>
                    </w:rPr>
                    <w:t>（依托现有）</w:t>
                  </w:r>
                  <w:r>
                    <w:rPr>
                      <w:color w:val="262626" w:themeColor="text1" w:themeTint="D9"/>
                      <w:kern w:val="0"/>
                      <w:szCs w:val="21"/>
                      <w14:textFill>
                        <w14:solidFill>
                          <w14:schemeClr w14:val="tx1">
                            <w14:lumMod w14:val="85000"/>
                            <w14:lumOff w14:val="15000"/>
                          </w14:schemeClr>
                        </w14:solidFill>
                      </w14:textFill>
                    </w:rPr>
                    <w:t>，</w:t>
                  </w:r>
                  <w:r>
                    <w:rPr>
                      <w:rFonts w:hint="eastAsia"/>
                      <w:color w:val="262626" w:themeColor="text1" w:themeTint="D9"/>
                      <w:kern w:val="0"/>
                      <w:szCs w:val="21"/>
                      <w14:textFill>
                        <w14:solidFill>
                          <w14:schemeClr w14:val="tx1">
                            <w14:lumMod w14:val="85000"/>
                            <w14:lumOff w14:val="15000"/>
                          </w14:schemeClr>
                        </w14:solidFill>
                      </w14:textFill>
                    </w:rPr>
                    <w:t>占地100</w:t>
                  </w:r>
                  <w:r>
                    <w:rPr>
                      <w:color w:val="262626" w:themeColor="text1" w:themeTint="D9"/>
                      <w:kern w:val="0"/>
                      <w:szCs w:val="21"/>
                      <w14:textFill>
                        <w14:solidFill>
                          <w14:schemeClr w14:val="tx1">
                            <w14:lumMod w14:val="85000"/>
                            <w14:lumOff w14:val="15000"/>
                          </w14:schemeClr>
                        </w14:solidFill>
                      </w14:textFill>
                    </w:rPr>
                    <w:t>m</w:t>
                  </w:r>
                  <w:r>
                    <w:rPr>
                      <w:color w:val="262626" w:themeColor="text1" w:themeTint="D9"/>
                      <w:kern w:val="0"/>
                      <w:szCs w:val="21"/>
                      <w:vertAlign w:val="superscript"/>
                      <w14:textFill>
                        <w14:solidFill>
                          <w14:schemeClr w14:val="tx1">
                            <w14:lumMod w14:val="85000"/>
                            <w14:lumOff w14:val="15000"/>
                          </w14:schemeClr>
                        </w14:solidFill>
                      </w14:textFill>
                    </w:rPr>
                    <w:t>2</w:t>
                  </w:r>
                  <w:r>
                    <w:rPr>
                      <w:color w:val="262626" w:themeColor="text1" w:themeTint="D9"/>
                      <w:kern w:val="0"/>
                      <w:szCs w:val="21"/>
                      <w14:textFill>
                        <w14:solidFill>
                          <w14:schemeClr w14:val="tx1">
                            <w14:lumMod w14:val="85000"/>
                            <w14:lumOff w14:val="15000"/>
                          </w14:schemeClr>
                        </w14:solidFill>
                      </w14:textFill>
                    </w:rPr>
                    <w:t>，并采取防风、防雨、防渗和防腐措施；危废收集后及时</w:t>
                  </w:r>
                  <w:r>
                    <w:rPr>
                      <w:rFonts w:hint="eastAsia"/>
                      <w:color w:val="262626" w:themeColor="text1" w:themeTint="D9"/>
                      <w:kern w:val="0"/>
                      <w:szCs w:val="21"/>
                      <w14:textFill>
                        <w14:solidFill>
                          <w14:schemeClr w14:val="tx1">
                            <w14:lumMod w14:val="85000"/>
                            <w14:lumOff w14:val="15000"/>
                          </w14:schemeClr>
                        </w14:solidFill>
                      </w14:textFill>
                    </w:rPr>
                    <w:t>委托资质单位处理</w:t>
                  </w:r>
                </w:p>
              </w:tc>
              <w:tc>
                <w:tcPr>
                  <w:tcW w:w="403" w:type="pct"/>
                  <w:vAlign w:val="center"/>
                </w:tcPr>
                <w:p>
                  <w:pPr>
                    <w:widowControl/>
                    <w:adjustRightInd w:val="0"/>
                    <w:snapToGrid w:val="0"/>
                    <w:ind w:left="-50" w:right="-50"/>
                    <w:jc w:val="center"/>
                    <w:rPr>
                      <w:color w:val="000000"/>
                      <w:kern w:val="0"/>
                      <w:szCs w:val="21"/>
                    </w:rPr>
                  </w:pPr>
                  <w:r>
                    <w:rPr>
                      <w:color w:val="000000"/>
                      <w:kern w:val="0"/>
                      <w:szCs w:val="21"/>
                    </w:rPr>
                    <w:t>1</w:t>
                  </w:r>
                </w:p>
              </w:tc>
              <w:tc>
                <w:tcPr>
                  <w:tcW w:w="1306" w:type="pct"/>
                  <w:vMerge w:val="continue"/>
                  <w:vAlign w:val="center"/>
                </w:tcPr>
                <w:p>
                  <w:pPr>
                    <w:widowControl/>
                    <w:adjustRightInd w:val="0"/>
                    <w:snapToGrid w:val="0"/>
                    <w:ind w:left="-50" w:right="-50"/>
                    <w:jc w:val="center"/>
                    <w:rPr>
                      <w:color w:val="000000"/>
                      <w:kern w:val="0"/>
                      <w:szCs w:val="21"/>
                    </w:rPr>
                  </w:pPr>
                </w:p>
              </w:tc>
              <w:tc>
                <w:tcPr>
                  <w:tcW w:w="421" w:type="pct"/>
                  <w:vAlign w:val="center"/>
                </w:tcPr>
                <w:p>
                  <w:pPr>
                    <w:widowControl/>
                    <w:adjustRightInd w:val="0"/>
                    <w:snapToGrid w:val="0"/>
                    <w:ind w:left="-50" w:right="-50"/>
                    <w:jc w:val="center"/>
                    <w:rPr>
                      <w:color w:val="000000"/>
                      <w:kern w:val="0"/>
                      <w:szCs w:val="21"/>
                    </w:rPr>
                  </w:pPr>
                  <w:r>
                    <w:rPr>
                      <w:rFonts w:hint="eastAsia"/>
                      <w:color w:val="000000"/>
                      <w:kern w:val="0"/>
                      <w:szCs w:val="21"/>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97" w:hRule="atLeast"/>
                <w:jc w:val="center"/>
              </w:trPr>
              <w:tc>
                <w:tcPr>
                  <w:tcW w:w="1143" w:type="pct"/>
                  <w:gridSpan w:val="3"/>
                  <w:vAlign w:val="center"/>
                </w:tcPr>
                <w:p>
                  <w:pPr>
                    <w:widowControl/>
                    <w:adjustRightInd w:val="0"/>
                    <w:snapToGrid w:val="0"/>
                    <w:ind w:left="-105" w:leftChars="-50" w:right="-105" w:rightChars="-50"/>
                    <w:jc w:val="center"/>
                    <w:rPr>
                      <w:color w:val="000000"/>
                      <w:kern w:val="0"/>
                      <w:szCs w:val="21"/>
                    </w:rPr>
                  </w:pPr>
                  <w:r>
                    <w:rPr>
                      <w:color w:val="000000"/>
                      <w:kern w:val="0"/>
                      <w:szCs w:val="21"/>
                    </w:rPr>
                    <w:t>地下水防渗措施</w:t>
                  </w:r>
                </w:p>
              </w:tc>
              <w:tc>
                <w:tcPr>
                  <w:tcW w:w="1724" w:type="pct"/>
                  <w:vAlign w:val="center"/>
                </w:tcPr>
                <w:p>
                  <w:pPr>
                    <w:widowControl/>
                    <w:adjustRightInd w:val="0"/>
                    <w:snapToGrid w:val="0"/>
                    <w:ind w:left="-105" w:leftChars="-50" w:right="-105" w:rightChars="-50"/>
                    <w:jc w:val="center"/>
                    <w:rPr>
                      <w:color w:val="000000"/>
                      <w:kern w:val="0"/>
                      <w:szCs w:val="21"/>
                    </w:rPr>
                  </w:pPr>
                  <w:r>
                    <w:rPr>
                      <w:color w:val="000000"/>
                      <w:kern w:val="0"/>
                      <w:szCs w:val="21"/>
                    </w:rPr>
                    <w:t>一般防渗、重点防渗</w:t>
                  </w:r>
                </w:p>
              </w:tc>
              <w:tc>
                <w:tcPr>
                  <w:tcW w:w="403" w:type="pct"/>
                  <w:vAlign w:val="center"/>
                </w:tcPr>
                <w:p>
                  <w:pPr>
                    <w:widowControl/>
                    <w:adjustRightInd w:val="0"/>
                    <w:snapToGrid w:val="0"/>
                    <w:ind w:left="-50" w:right="-50"/>
                    <w:jc w:val="center"/>
                    <w:rPr>
                      <w:color w:val="000000"/>
                      <w:kern w:val="0"/>
                      <w:szCs w:val="21"/>
                    </w:rPr>
                  </w:pPr>
                  <w:r>
                    <w:rPr>
                      <w:color w:val="000000"/>
                      <w:kern w:val="0"/>
                      <w:szCs w:val="21"/>
                    </w:rPr>
                    <w:t>/</w:t>
                  </w:r>
                </w:p>
              </w:tc>
              <w:tc>
                <w:tcPr>
                  <w:tcW w:w="1306" w:type="pct"/>
                  <w:vAlign w:val="center"/>
                </w:tcPr>
                <w:p>
                  <w:pPr>
                    <w:widowControl/>
                    <w:adjustRightInd w:val="0"/>
                    <w:snapToGrid w:val="0"/>
                    <w:ind w:left="-50" w:right="-50"/>
                    <w:jc w:val="center"/>
                    <w:rPr>
                      <w:color w:val="000000"/>
                      <w:kern w:val="0"/>
                      <w:szCs w:val="21"/>
                    </w:rPr>
                  </w:pPr>
                  <w:r>
                    <w:rPr>
                      <w:color w:val="000000"/>
                      <w:kern w:val="0"/>
                      <w:szCs w:val="21"/>
                    </w:rPr>
                    <w:t>满足防渗要求</w:t>
                  </w:r>
                </w:p>
              </w:tc>
              <w:tc>
                <w:tcPr>
                  <w:tcW w:w="421" w:type="pct"/>
                  <w:vAlign w:val="center"/>
                </w:tcPr>
                <w:p>
                  <w:pPr>
                    <w:widowControl/>
                    <w:adjustRightInd w:val="0"/>
                    <w:snapToGrid w:val="0"/>
                    <w:ind w:left="-50" w:right="-50"/>
                    <w:jc w:val="center"/>
                    <w:rPr>
                      <w:color w:val="000000"/>
                      <w:kern w:val="0"/>
                      <w:szCs w:val="21"/>
                    </w:rPr>
                  </w:pPr>
                  <w:r>
                    <w:rPr>
                      <w:rFonts w:hint="eastAsia"/>
                      <w:color w:val="000000"/>
                      <w:kern w:val="0"/>
                      <w:szCs w:val="21"/>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82" w:hRule="atLeast"/>
                <w:jc w:val="center"/>
              </w:trPr>
              <w:tc>
                <w:tcPr>
                  <w:tcW w:w="1143" w:type="pct"/>
                  <w:gridSpan w:val="3"/>
                  <w:vAlign w:val="center"/>
                </w:tcPr>
                <w:p>
                  <w:pPr>
                    <w:widowControl/>
                    <w:adjustRightInd w:val="0"/>
                    <w:snapToGrid w:val="0"/>
                    <w:ind w:left="-50" w:right="-50"/>
                    <w:jc w:val="center"/>
                    <w:rPr>
                      <w:color w:val="000000"/>
                      <w:kern w:val="0"/>
                      <w:szCs w:val="21"/>
                    </w:rPr>
                  </w:pPr>
                  <w:r>
                    <w:rPr>
                      <w:color w:val="000000"/>
                      <w:kern w:val="0"/>
                      <w:szCs w:val="21"/>
                    </w:rPr>
                    <w:t>风险防范</w:t>
                  </w:r>
                </w:p>
              </w:tc>
              <w:tc>
                <w:tcPr>
                  <w:tcW w:w="1724" w:type="pct"/>
                  <w:vAlign w:val="center"/>
                </w:tcPr>
                <w:p>
                  <w:pPr>
                    <w:widowControl/>
                    <w:adjustRightInd w:val="0"/>
                    <w:snapToGrid w:val="0"/>
                    <w:ind w:left="-50" w:right="-50"/>
                    <w:jc w:val="center"/>
                    <w:rPr>
                      <w:color w:val="000000"/>
                      <w:kern w:val="0"/>
                      <w:szCs w:val="21"/>
                    </w:rPr>
                  </w:pPr>
                  <w:r>
                    <w:rPr>
                      <w:color w:val="000000"/>
                      <w:kern w:val="0"/>
                      <w:szCs w:val="21"/>
                    </w:rPr>
                    <w:t>配备相应消防器材</w:t>
                  </w:r>
                  <w:r>
                    <w:rPr>
                      <w:rFonts w:hint="eastAsia"/>
                      <w:color w:val="000000"/>
                      <w:kern w:val="0"/>
                      <w:szCs w:val="21"/>
                    </w:rPr>
                    <w:t>、事故池</w:t>
                  </w:r>
                  <w:r>
                    <w:rPr>
                      <w:color w:val="000000"/>
                      <w:kern w:val="0"/>
                      <w:szCs w:val="21"/>
                    </w:rPr>
                    <w:t>等</w:t>
                  </w:r>
                </w:p>
              </w:tc>
              <w:tc>
                <w:tcPr>
                  <w:tcW w:w="403" w:type="pct"/>
                  <w:vAlign w:val="center"/>
                </w:tcPr>
                <w:p>
                  <w:pPr>
                    <w:widowControl/>
                    <w:adjustRightInd w:val="0"/>
                    <w:snapToGrid w:val="0"/>
                    <w:ind w:left="-50" w:right="-50"/>
                    <w:jc w:val="center"/>
                    <w:rPr>
                      <w:color w:val="000000"/>
                      <w:kern w:val="0"/>
                      <w:szCs w:val="21"/>
                    </w:rPr>
                  </w:pPr>
                  <w:r>
                    <w:rPr>
                      <w:color w:val="000000"/>
                      <w:kern w:val="0"/>
                      <w:szCs w:val="21"/>
                    </w:rPr>
                    <w:t>/</w:t>
                  </w:r>
                </w:p>
              </w:tc>
              <w:tc>
                <w:tcPr>
                  <w:tcW w:w="1306" w:type="pct"/>
                  <w:vAlign w:val="center"/>
                </w:tcPr>
                <w:p>
                  <w:pPr>
                    <w:widowControl/>
                    <w:adjustRightInd w:val="0"/>
                    <w:snapToGrid w:val="0"/>
                    <w:ind w:left="-50" w:right="-50"/>
                    <w:jc w:val="center"/>
                    <w:rPr>
                      <w:color w:val="000000"/>
                      <w:kern w:val="0"/>
                      <w:szCs w:val="21"/>
                    </w:rPr>
                  </w:pPr>
                  <w:r>
                    <w:rPr>
                      <w:color w:val="000000"/>
                      <w:kern w:val="0"/>
                      <w:szCs w:val="21"/>
                    </w:rPr>
                    <w:t>满足风险防范要求</w:t>
                  </w:r>
                </w:p>
              </w:tc>
              <w:tc>
                <w:tcPr>
                  <w:tcW w:w="421" w:type="pct"/>
                  <w:vAlign w:val="center"/>
                </w:tcPr>
                <w:p>
                  <w:pPr>
                    <w:widowControl/>
                    <w:adjustRightInd w:val="0"/>
                    <w:snapToGrid w:val="0"/>
                    <w:ind w:left="-50" w:right="-50"/>
                    <w:jc w:val="center"/>
                    <w:rPr>
                      <w:color w:val="000000"/>
                      <w:kern w:val="0"/>
                      <w:szCs w:val="21"/>
                    </w:rPr>
                  </w:pPr>
                  <w:r>
                    <w:rPr>
                      <w:rFonts w:hint="eastAsia"/>
                      <w:color w:val="000000"/>
                      <w:kern w:val="0"/>
                      <w:szCs w:val="21"/>
                    </w:rPr>
                    <w:t>15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1143" w:type="pct"/>
                  <w:gridSpan w:val="3"/>
                  <w:vAlign w:val="center"/>
                </w:tcPr>
                <w:p>
                  <w:pPr>
                    <w:widowControl/>
                    <w:adjustRightInd w:val="0"/>
                    <w:snapToGrid w:val="0"/>
                    <w:ind w:left="-50" w:right="-50"/>
                    <w:jc w:val="center"/>
                    <w:rPr>
                      <w:color w:val="000000"/>
                      <w:kern w:val="0"/>
                      <w:szCs w:val="21"/>
                    </w:rPr>
                  </w:pPr>
                  <w:r>
                    <w:rPr>
                      <w:color w:val="000000"/>
                      <w:kern w:val="0"/>
                      <w:szCs w:val="21"/>
                    </w:rPr>
                    <w:t>合计</w:t>
                  </w:r>
                </w:p>
              </w:tc>
              <w:tc>
                <w:tcPr>
                  <w:tcW w:w="1724" w:type="pct"/>
                  <w:vAlign w:val="center"/>
                </w:tcPr>
                <w:p>
                  <w:pPr>
                    <w:widowControl/>
                    <w:adjustRightInd w:val="0"/>
                    <w:snapToGrid w:val="0"/>
                    <w:ind w:left="-50" w:right="-50"/>
                    <w:jc w:val="center"/>
                    <w:rPr>
                      <w:color w:val="000000"/>
                      <w:kern w:val="0"/>
                      <w:szCs w:val="21"/>
                    </w:rPr>
                  </w:pPr>
                  <w:r>
                    <w:rPr>
                      <w:color w:val="000000"/>
                      <w:kern w:val="0"/>
                      <w:szCs w:val="21"/>
                    </w:rPr>
                    <w:t>/</w:t>
                  </w:r>
                </w:p>
              </w:tc>
              <w:tc>
                <w:tcPr>
                  <w:tcW w:w="403" w:type="pct"/>
                  <w:vAlign w:val="center"/>
                </w:tcPr>
                <w:p>
                  <w:pPr>
                    <w:widowControl/>
                    <w:adjustRightInd w:val="0"/>
                    <w:snapToGrid w:val="0"/>
                    <w:ind w:left="-50" w:right="-50"/>
                    <w:jc w:val="center"/>
                    <w:rPr>
                      <w:color w:val="000000"/>
                      <w:kern w:val="0"/>
                      <w:szCs w:val="21"/>
                    </w:rPr>
                  </w:pPr>
                  <w:r>
                    <w:rPr>
                      <w:color w:val="000000"/>
                      <w:kern w:val="0"/>
                      <w:szCs w:val="21"/>
                    </w:rPr>
                    <w:t>/</w:t>
                  </w:r>
                </w:p>
              </w:tc>
              <w:tc>
                <w:tcPr>
                  <w:tcW w:w="1306" w:type="pct"/>
                  <w:vAlign w:val="center"/>
                </w:tcPr>
                <w:p>
                  <w:pPr>
                    <w:widowControl/>
                    <w:adjustRightInd w:val="0"/>
                    <w:snapToGrid w:val="0"/>
                    <w:ind w:left="-50" w:right="-50"/>
                    <w:jc w:val="center"/>
                    <w:rPr>
                      <w:color w:val="000000"/>
                      <w:kern w:val="0"/>
                      <w:szCs w:val="21"/>
                    </w:rPr>
                  </w:pPr>
                  <w:r>
                    <w:rPr>
                      <w:color w:val="000000"/>
                      <w:kern w:val="0"/>
                      <w:szCs w:val="21"/>
                    </w:rPr>
                    <w:t>/</w:t>
                  </w:r>
                </w:p>
              </w:tc>
              <w:tc>
                <w:tcPr>
                  <w:tcW w:w="421" w:type="pct"/>
                  <w:vAlign w:val="center"/>
                </w:tcPr>
                <w:p>
                  <w:pPr>
                    <w:widowControl/>
                    <w:adjustRightInd w:val="0"/>
                    <w:snapToGrid w:val="0"/>
                    <w:ind w:left="-50" w:right="-50"/>
                    <w:jc w:val="center"/>
                    <w:rPr>
                      <w:color w:val="000000"/>
                      <w:kern w:val="0"/>
                      <w:szCs w:val="21"/>
                    </w:rPr>
                  </w:pPr>
                  <w:r>
                    <w:rPr>
                      <w:rFonts w:hint="eastAsia"/>
                      <w:color w:val="000000"/>
                      <w:kern w:val="0"/>
                      <w:szCs w:val="21"/>
                    </w:rPr>
                    <w:t>105</w:t>
                  </w:r>
                </w:p>
              </w:tc>
            </w:tr>
          </w:tbl>
          <w:p>
            <w:pPr>
              <w:widowControl/>
              <w:adjustRightInd w:val="0"/>
              <w:snapToGrid w:val="0"/>
              <w:spacing w:before="100" w:beforeAutospacing="1"/>
              <w:jc w:val="center"/>
              <w:rPr>
                <w:b/>
                <w:color w:val="000000"/>
                <w:kern w:val="0"/>
                <w:sz w:val="24"/>
                <w:szCs w:val="20"/>
              </w:rPr>
            </w:pPr>
          </w:p>
          <w:p>
            <w:pPr>
              <w:tabs>
                <w:tab w:val="left" w:pos="1077"/>
              </w:tabs>
              <w:rPr>
                <w:rFonts w:cs="宋体"/>
                <w:color w:val="000000"/>
                <w:sz w:val="24"/>
              </w:rPr>
            </w:pPr>
          </w:p>
        </w:tc>
      </w:tr>
    </w:tbl>
    <w:p>
      <w:pPr>
        <w:rPr>
          <w:rFonts w:cs="宋体"/>
          <w:color w:val="000000"/>
          <w:sz w:val="24"/>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pPr>
        <w:pStyle w:val="53"/>
        <w:jc w:val="center"/>
        <w:outlineLvl w:val="0"/>
        <w:rPr>
          <w:rFonts w:ascii="Times New Roman" w:hAnsi="Times New Roman"/>
          <w:b/>
          <w:snapToGrid w:val="0"/>
          <w:color w:val="000000"/>
          <w:sz w:val="30"/>
          <w:szCs w:val="30"/>
        </w:rPr>
      </w:pPr>
      <w:r>
        <w:rPr>
          <w:rFonts w:hint="eastAsia" w:ascii="Times New Roman" w:hAnsi="Times New Roman"/>
          <w:b/>
          <w:snapToGrid w:val="0"/>
          <w:color w:val="000000"/>
          <w:sz w:val="30"/>
          <w:szCs w:val="30"/>
        </w:rPr>
        <w:t>五、</w:t>
      </w:r>
      <w:bookmarkStart w:id="8" w:name="_Hlk54167917"/>
      <w:r>
        <w:rPr>
          <w:rFonts w:hint="eastAsia" w:ascii="Times New Roman" w:hAnsi="Times New Roman"/>
          <w:b/>
          <w:snapToGrid w:val="0"/>
          <w:color w:val="000000"/>
          <w:sz w:val="30"/>
          <w:szCs w:val="30"/>
        </w:rPr>
        <w:t>环境保护措施监督检查清单</w:t>
      </w:r>
      <w:bookmarkEnd w:id="8"/>
    </w:p>
    <w:tbl>
      <w:tblPr>
        <w:tblStyle w:val="5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9"/>
        <w:gridCol w:w="2126"/>
        <w:gridCol w:w="1276"/>
        <w:gridCol w:w="2268"/>
        <w:gridCol w:w="23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9" w:type="dxa"/>
            <w:tcBorders>
              <w:top w:val="single" w:color="auto" w:sz="12" w:space="0"/>
              <w:left w:val="single" w:color="auto" w:sz="12" w:space="0"/>
              <w:bottom w:val="single" w:color="auto" w:sz="4" w:space="0"/>
              <w:tl2br w:val="single" w:color="auto" w:sz="4" w:space="0"/>
            </w:tcBorders>
          </w:tcPr>
          <w:p>
            <w:pPr>
              <w:adjustRightInd w:val="0"/>
              <w:snapToGrid w:val="0"/>
              <w:rPr>
                <w:rFonts w:cs="宋体"/>
                <w:b/>
                <w:color w:val="000000"/>
                <w:szCs w:val="21"/>
              </w:rPr>
            </w:pPr>
            <w:r>
              <w:rPr>
                <w:rFonts w:hint="eastAsia" w:cs="宋体"/>
                <w:b/>
                <w:color w:val="000000"/>
                <w:szCs w:val="21"/>
              </w:rPr>
              <w:t>内容</w:t>
            </w:r>
          </w:p>
          <w:p>
            <w:pPr>
              <w:adjustRightInd w:val="0"/>
              <w:snapToGrid w:val="0"/>
              <w:rPr>
                <w:rFonts w:cs="宋体"/>
                <w:b/>
                <w:color w:val="000000"/>
                <w:szCs w:val="21"/>
              </w:rPr>
            </w:pPr>
            <w:r>
              <w:rPr>
                <w:rFonts w:hint="eastAsia" w:cs="宋体"/>
                <w:b/>
                <w:color w:val="000000"/>
                <w:szCs w:val="21"/>
              </w:rPr>
              <w:t>要素</w:t>
            </w:r>
          </w:p>
        </w:tc>
        <w:tc>
          <w:tcPr>
            <w:tcW w:w="2126" w:type="dxa"/>
            <w:tcBorders>
              <w:top w:val="single" w:color="auto" w:sz="12" w:space="0"/>
              <w:bottom w:val="single" w:color="auto" w:sz="4" w:space="0"/>
            </w:tcBorders>
            <w:vAlign w:val="center"/>
          </w:tcPr>
          <w:p>
            <w:pPr>
              <w:adjustRightInd w:val="0"/>
              <w:snapToGrid w:val="0"/>
              <w:jc w:val="center"/>
              <w:rPr>
                <w:rFonts w:cs="宋体"/>
                <w:b/>
                <w:color w:val="000000"/>
                <w:szCs w:val="21"/>
              </w:rPr>
            </w:pPr>
            <w:r>
              <w:rPr>
                <w:rFonts w:hint="eastAsia" w:cs="宋体"/>
                <w:b/>
                <w:color w:val="000000"/>
                <w:szCs w:val="21"/>
              </w:rPr>
              <w:t>排放口</w:t>
            </w:r>
          </w:p>
          <w:p>
            <w:pPr>
              <w:adjustRightInd w:val="0"/>
              <w:snapToGrid w:val="0"/>
              <w:jc w:val="center"/>
              <w:rPr>
                <w:rFonts w:cs="宋体"/>
                <w:b/>
                <w:color w:val="000000"/>
                <w:szCs w:val="21"/>
              </w:rPr>
            </w:pPr>
            <w:r>
              <w:rPr>
                <w:rFonts w:hint="eastAsia" w:cs="宋体"/>
                <w:b/>
                <w:color w:val="000000"/>
                <w:szCs w:val="21"/>
              </w:rPr>
              <w:t>(编号、名称)/污染源</w:t>
            </w:r>
          </w:p>
        </w:tc>
        <w:tc>
          <w:tcPr>
            <w:tcW w:w="1276" w:type="dxa"/>
            <w:tcBorders>
              <w:top w:val="single" w:color="auto" w:sz="12" w:space="0"/>
              <w:bottom w:val="single" w:color="auto" w:sz="4" w:space="0"/>
            </w:tcBorders>
            <w:vAlign w:val="center"/>
          </w:tcPr>
          <w:p>
            <w:pPr>
              <w:adjustRightInd w:val="0"/>
              <w:snapToGrid w:val="0"/>
              <w:jc w:val="center"/>
              <w:rPr>
                <w:rFonts w:cs="宋体"/>
                <w:b/>
                <w:color w:val="000000"/>
                <w:szCs w:val="21"/>
              </w:rPr>
            </w:pPr>
            <w:r>
              <w:rPr>
                <w:rFonts w:hint="eastAsia" w:cs="宋体"/>
                <w:b/>
                <w:color w:val="000000"/>
                <w:szCs w:val="21"/>
              </w:rPr>
              <w:t>污染物项目</w:t>
            </w:r>
          </w:p>
        </w:tc>
        <w:tc>
          <w:tcPr>
            <w:tcW w:w="2268" w:type="dxa"/>
            <w:tcBorders>
              <w:top w:val="single" w:color="auto" w:sz="12" w:space="0"/>
              <w:bottom w:val="single" w:color="auto" w:sz="4" w:space="0"/>
            </w:tcBorders>
            <w:vAlign w:val="center"/>
          </w:tcPr>
          <w:p>
            <w:pPr>
              <w:adjustRightInd w:val="0"/>
              <w:snapToGrid w:val="0"/>
              <w:jc w:val="center"/>
              <w:rPr>
                <w:rFonts w:cs="宋体"/>
                <w:b/>
                <w:color w:val="000000"/>
                <w:szCs w:val="21"/>
              </w:rPr>
            </w:pPr>
            <w:r>
              <w:rPr>
                <w:rFonts w:hint="eastAsia" w:cs="宋体"/>
                <w:b/>
                <w:color w:val="000000"/>
                <w:szCs w:val="21"/>
              </w:rPr>
              <w:t>环境保护措施</w:t>
            </w:r>
          </w:p>
        </w:tc>
        <w:tc>
          <w:tcPr>
            <w:tcW w:w="2301" w:type="dxa"/>
            <w:tcBorders>
              <w:top w:val="single" w:color="auto" w:sz="12" w:space="0"/>
              <w:bottom w:val="single" w:color="auto" w:sz="4" w:space="0"/>
              <w:right w:val="single" w:color="auto" w:sz="12" w:space="0"/>
            </w:tcBorders>
            <w:vAlign w:val="center"/>
          </w:tcPr>
          <w:p>
            <w:pPr>
              <w:adjustRightInd w:val="0"/>
              <w:snapToGrid w:val="0"/>
              <w:jc w:val="center"/>
              <w:rPr>
                <w:rFonts w:cs="宋体"/>
                <w:b/>
                <w:color w:val="000000"/>
                <w:szCs w:val="21"/>
              </w:rPr>
            </w:pPr>
            <w:r>
              <w:rPr>
                <w:rFonts w:hint="eastAsia" w:cs="宋体"/>
                <w:b/>
                <w:color w:val="000000"/>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9" w:type="dxa"/>
            <w:vMerge w:val="restart"/>
            <w:tcBorders>
              <w:top w:val="single" w:color="auto" w:sz="4" w:space="0"/>
              <w:left w:val="single" w:color="auto" w:sz="12" w:space="0"/>
            </w:tcBorders>
            <w:vAlign w:val="center"/>
          </w:tcPr>
          <w:p>
            <w:pPr>
              <w:adjustRightInd w:val="0"/>
              <w:snapToGrid w:val="0"/>
              <w:jc w:val="center"/>
              <w:rPr>
                <w:rFonts w:cs="宋体"/>
                <w:color w:val="000000"/>
                <w:szCs w:val="21"/>
              </w:rPr>
            </w:pPr>
            <w:r>
              <w:rPr>
                <w:rFonts w:hint="eastAsia" w:cs="宋体"/>
                <w:color w:val="000000"/>
                <w:szCs w:val="21"/>
              </w:rPr>
              <w:t>大气环境</w:t>
            </w:r>
          </w:p>
        </w:tc>
        <w:tc>
          <w:tcPr>
            <w:tcW w:w="2126" w:type="dxa"/>
            <w:tcBorders>
              <w:top w:val="single" w:color="auto" w:sz="4" w:space="0"/>
              <w:bottom w:val="single" w:color="auto" w:sz="4" w:space="0"/>
            </w:tcBorders>
            <w:vAlign w:val="center"/>
          </w:tcPr>
          <w:p>
            <w:pPr>
              <w:adjustRightInd w:val="0"/>
              <w:snapToGrid w:val="0"/>
              <w:jc w:val="center"/>
              <w:rPr>
                <w:color w:val="000000"/>
                <w:szCs w:val="21"/>
              </w:rPr>
            </w:pPr>
            <w:r>
              <w:rPr>
                <w:rFonts w:hint="eastAsia"/>
                <w:color w:val="000000"/>
                <w:szCs w:val="21"/>
              </w:rPr>
              <w:t>DA003</w:t>
            </w:r>
          </w:p>
          <w:p>
            <w:pPr>
              <w:adjustRightInd w:val="0"/>
              <w:snapToGrid w:val="0"/>
              <w:jc w:val="center"/>
              <w:rPr>
                <w:rFonts w:cs="宋体"/>
                <w:color w:val="000000"/>
                <w:szCs w:val="21"/>
              </w:rPr>
            </w:pPr>
            <w:r>
              <w:rPr>
                <w:rFonts w:hint="eastAsia"/>
                <w:color w:val="000000"/>
                <w:szCs w:val="21"/>
              </w:rPr>
              <w:t>（喷砂粉尘）</w:t>
            </w:r>
          </w:p>
        </w:tc>
        <w:tc>
          <w:tcPr>
            <w:tcW w:w="1276" w:type="dxa"/>
            <w:tcBorders>
              <w:top w:val="single" w:color="auto" w:sz="4" w:space="0"/>
              <w:bottom w:val="single" w:color="auto" w:sz="4" w:space="0"/>
            </w:tcBorders>
            <w:vAlign w:val="center"/>
          </w:tcPr>
          <w:p>
            <w:pPr>
              <w:widowControl/>
              <w:jc w:val="center"/>
              <w:rPr>
                <w:b/>
                <w:color w:val="000000"/>
                <w:kern w:val="0"/>
                <w:szCs w:val="21"/>
              </w:rPr>
            </w:pPr>
            <w:r>
              <w:rPr>
                <w:color w:val="000000"/>
                <w:kern w:val="0"/>
                <w:szCs w:val="21"/>
              </w:rPr>
              <w:t>颗粒物</w:t>
            </w:r>
          </w:p>
        </w:tc>
        <w:tc>
          <w:tcPr>
            <w:tcW w:w="2268" w:type="dxa"/>
            <w:tcBorders>
              <w:top w:val="single" w:color="auto" w:sz="4" w:space="0"/>
              <w:bottom w:val="single" w:color="auto" w:sz="4" w:space="0"/>
            </w:tcBorders>
            <w:vAlign w:val="center"/>
          </w:tcPr>
          <w:p>
            <w:pPr>
              <w:widowControl/>
              <w:adjustRightInd w:val="0"/>
              <w:snapToGrid w:val="0"/>
              <w:ind w:left="-50" w:right="-50"/>
              <w:jc w:val="center"/>
              <w:rPr>
                <w:color w:val="000000"/>
                <w:kern w:val="0"/>
                <w:szCs w:val="21"/>
              </w:rPr>
            </w:pPr>
            <w:r>
              <w:rPr>
                <w:rFonts w:hint="eastAsia"/>
                <w:color w:val="000000"/>
                <w:kern w:val="0"/>
                <w:szCs w:val="21"/>
              </w:rPr>
              <w:t>密闭环境+布袋除尘器</w:t>
            </w:r>
            <w:r>
              <w:rPr>
                <w:color w:val="000000"/>
                <w:kern w:val="0"/>
                <w:szCs w:val="21"/>
              </w:rPr>
              <w:t>+</w:t>
            </w:r>
            <w:r>
              <w:rPr>
                <w:rFonts w:hint="eastAsia"/>
                <w:color w:val="000000"/>
                <w:kern w:val="0"/>
                <w:szCs w:val="21"/>
              </w:rPr>
              <w:t>15米</w:t>
            </w:r>
            <w:r>
              <w:rPr>
                <w:color w:val="000000"/>
                <w:kern w:val="0"/>
                <w:szCs w:val="21"/>
              </w:rPr>
              <w:t>高排气筒（</w:t>
            </w:r>
            <w:r>
              <w:rPr>
                <w:rFonts w:hint="eastAsia"/>
                <w:color w:val="000000"/>
                <w:kern w:val="0"/>
                <w:szCs w:val="21"/>
              </w:rPr>
              <w:t>DA003</w:t>
            </w:r>
            <w:r>
              <w:rPr>
                <w:color w:val="000000"/>
                <w:kern w:val="0"/>
                <w:szCs w:val="21"/>
              </w:rPr>
              <w:t>）</w:t>
            </w:r>
          </w:p>
        </w:tc>
        <w:tc>
          <w:tcPr>
            <w:tcW w:w="2301" w:type="dxa"/>
            <w:vMerge w:val="restart"/>
            <w:tcBorders>
              <w:top w:val="single" w:color="auto" w:sz="4" w:space="0"/>
              <w:right w:val="single" w:color="auto" w:sz="12" w:space="0"/>
            </w:tcBorders>
            <w:vAlign w:val="center"/>
          </w:tcPr>
          <w:p>
            <w:pPr>
              <w:autoSpaceDE w:val="0"/>
              <w:autoSpaceDN w:val="0"/>
              <w:snapToGrid w:val="0"/>
              <w:ind w:left="-105" w:leftChars="-50" w:right="-105" w:rightChars="-50"/>
              <w:jc w:val="center"/>
              <w:rPr>
                <w:rFonts w:cs="宋体"/>
                <w:color w:val="000000"/>
                <w:szCs w:val="21"/>
              </w:rPr>
            </w:pPr>
            <w:bookmarkStart w:id="9" w:name="_Toc63415129"/>
            <w:r>
              <w:rPr>
                <w:rFonts w:hint="eastAsia"/>
                <w:color w:val="000000"/>
                <w:szCs w:val="21"/>
              </w:rPr>
              <w:t>执行</w:t>
            </w:r>
            <w:bookmarkEnd w:id="9"/>
            <w:r>
              <w:rPr>
                <w:rFonts w:hint="eastAsia"/>
                <w:color w:val="000000"/>
                <w:kern w:val="0"/>
                <w:szCs w:val="21"/>
              </w:rPr>
              <w:t>上海市地方标准《大气污染物综合排放标准》（DB31/933-2015）表1及表3排放监控浓度限值、</w:t>
            </w:r>
            <w:r>
              <w:rPr>
                <w:color w:val="000000"/>
                <w:szCs w:val="21"/>
              </w:rPr>
              <w:t>《挥发性有机物无组织排放控制标准》（GB37822-2019）</w:t>
            </w:r>
            <w:r>
              <w:rPr>
                <w:rFonts w:hint="eastAsia"/>
                <w:color w:val="000000"/>
                <w:szCs w:val="21"/>
              </w:rPr>
              <w:t>附录A中VOCs无组织特别排放限值</w:t>
            </w:r>
            <w:r>
              <w:rPr>
                <w:color w:val="000000"/>
                <w:kern w:val="0"/>
                <w:szCs w:val="21"/>
              </w:rP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829" w:type="dxa"/>
            <w:vMerge w:val="continue"/>
            <w:tcBorders>
              <w:left w:val="single" w:color="auto" w:sz="12" w:space="0"/>
            </w:tcBorders>
            <w:vAlign w:val="center"/>
          </w:tcPr>
          <w:p>
            <w:pPr>
              <w:adjustRightInd w:val="0"/>
              <w:snapToGrid w:val="0"/>
              <w:jc w:val="center"/>
              <w:rPr>
                <w:rFonts w:cs="宋体"/>
                <w:color w:val="000000"/>
                <w:szCs w:val="21"/>
              </w:rPr>
            </w:pPr>
          </w:p>
        </w:tc>
        <w:tc>
          <w:tcPr>
            <w:tcW w:w="2126" w:type="dxa"/>
            <w:tcBorders>
              <w:top w:val="single" w:color="auto" w:sz="4" w:space="0"/>
              <w:bottom w:val="single" w:color="auto" w:sz="4" w:space="0"/>
            </w:tcBorders>
            <w:vAlign w:val="center"/>
          </w:tcPr>
          <w:p>
            <w:pPr>
              <w:adjustRightInd w:val="0"/>
              <w:snapToGrid w:val="0"/>
              <w:jc w:val="center"/>
              <w:rPr>
                <w:color w:val="000000"/>
                <w:szCs w:val="21"/>
              </w:rPr>
            </w:pPr>
            <w:r>
              <w:rPr>
                <w:color w:val="000000"/>
                <w:szCs w:val="21"/>
              </w:rPr>
              <w:t>DA00</w:t>
            </w:r>
            <w:r>
              <w:rPr>
                <w:rFonts w:hint="eastAsia"/>
                <w:color w:val="000000"/>
                <w:szCs w:val="21"/>
              </w:rPr>
              <w:t>4</w:t>
            </w:r>
          </w:p>
          <w:p>
            <w:pPr>
              <w:adjustRightInd w:val="0"/>
              <w:snapToGrid w:val="0"/>
              <w:ind w:left="-105" w:leftChars="-50" w:right="-105" w:rightChars="-50"/>
              <w:jc w:val="center"/>
              <w:rPr>
                <w:color w:val="000000"/>
                <w:szCs w:val="21"/>
              </w:rPr>
            </w:pPr>
            <w:r>
              <w:rPr>
                <w:rFonts w:hint="eastAsia"/>
                <w:color w:val="000000"/>
                <w:szCs w:val="21"/>
              </w:rPr>
              <w:t>（调漆、喷漆及晾干废气）</w:t>
            </w:r>
          </w:p>
        </w:tc>
        <w:tc>
          <w:tcPr>
            <w:tcW w:w="1276" w:type="dxa"/>
            <w:tcBorders>
              <w:top w:val="single" w:color="auto" w:sz="4" w:space="0"/>
              <w:bottom w:val="single" w:color="auto" w:sz="4" w:space="0"/>
            </w:tcBorders>
            <w:vAlign w:val="center"/>
          </w:tcPr>
          <w:p>
            <w:pPr>
              <w:widowControl/>
              <w:jc w:val="center"/>
              <w:rPr>
                <w:b/>
                <w:color w:val="000000"/>
                <w:kern w:val="0"/>
                <w:szCs w:val="21"/>
              </w:rPr>
            </w:pPr>
            <w:r>
              <w:rPr>
                <w:color w:val="000000"/>
                <w:kern w:val="0"/>
                <w:szCs w:val="21"/>
              </w:rPr>
              <w:t>非甲烷总烃</w:t>
            </w:r>
            <w:r>
              <w:rPr>
                <w:rFonts w:hint="eastAsia"/>
                <w:color w:val="000000"/>
                <w:kern w:val="0"/>
                <w:szCs w:val="21"/>
              </w:rPr>
              <w:t>、二甲苯、甲苯、</w:t>
            </w:r>
            <w:r>
              <w:rPr>
                <w:color w:val="000000"/>
                <w:kern w:val="0"/>
                <w:szCs w:val="21"/>
              </w:rPr>
              <w:t>颗粒物</w:t>
            </w:r>
          </w:p>
        </w:tc>
        <w:tc>
          <w:tcPr>
            <w:tcW w:w="2268" w:type="dxa"/>
            <w:tcBorders>
              <w:top w:val="single" w:color="auto" w:sz="4" w:space="0"/>
              <w:bottom w:val="single" w:color="auto" w:sz="4" w:space="0"/>
            </w:tcBorders>
            <w:vAlign w:val="center"/>
          </w:tcPr>
          <w:p>
            <w:pPr>
              <w:autoSpaceDE w:val="0"/>
              <w:autoSpaceDN w:val="0"/>
              <w:ind w:left="8" w:leftChars="1" w:right="-50" w:hanging="6" w:hangingChars="3"/>
              <w:jc w:val="center"/>
              <w:rPr>
                <w:color w:val="000000"/>
                <w:szCs w:val="21"/>
              </w:rPr>
            </w:pPr>
            <w:r>
              <w:rPr>
                <w:rFonts w:hint="eastAsia"/>
                <w:color w:val="000000"/>
                <w:szCs w:val="21"/>
              </w:rPr>
              <w:t>密闭环境+</w:t>
            </w:r>
            <w:r>
              <w:rPr>
                <w:color w:val="000000"/>
                <w:szCs w:val="21"/>
              </w:rPr>
              <w:t>过滤棉</w:t>
            </w:r>
            <w:r>
              <w:rPr>
                <w:rFonts w:hint="eastAsia"/>
                <w:color w:val="000000"/>
                <w:szCs w:val="21"/>
              </w:rPr>
              <w:t>+活性炭+RCO</w:t>
            </w:r>
            <w:r>
              <w:rPr>
                <w:color w:val="000000"/>
                <w:kern w:val="0"/>
                <w:szCs w:val="21"/>
              </w:rPr>
              <w:t xml:space="preserve"> +</w:t>
            </w:r>
            <w:r>
              <w:rPr>
                <w:rFonts w:hint="eastAsia"/>
                <w:color w:val="000000"/>
                <w:kern w:val="0"/>
                <w:szCs w:val="21"/>
              </w:rPr>
              <w:t>15米</w:t>
            </w:r>
            <w:r>
              <w:rPr>
                <w:color w:val="000000"/>
                <w:kern w:val="0"/>
                <w:szCs w:val="21"/>
              </w:rPr>
              <w:t>高排气筒（DA00</w:t>
            </w:r>
            <w:r>
              <w:rPr>
                <w:rFonts w:hint="eastAsia"/>
                <w:color w:val="000000"/>
                <w:kern w:val="0"/>
                <w:szCs w:val="21"/>
              </w:rPr>
              <w:t>4</w:t>
            </w:r>
            <w:r>
              <w:rPr>
                <w:color w:val="000000"/>
                <w:kern w:val="0"/>
                <w:szCs w:val="21"/>
              </w:rPr>
              <w:t>）</w:t>
            </w:r>
          </w:p>
        </w:tc>
        <w:tc>
          <w:tcPr>
            <w:tcW w:w="2301" w:type="dxa"/>
            <w:vMerge w:val="continue"/>
            <w:tcBorders>
              <w:right w:val="single" w:color="auto" w:sz="12" w:space="0"/>
            </w:tcBorders>
            <w:vAlign w:val="center"/>
          </w:tcPr>
          <w:p>
            <w:pPr>
              <w:outlineLvl w:val="0"/>
              <w:rPr>
                <w:rFonts w:cs="宋体"/>
                <w:color w:val="00000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地表水环境</w:t>
            </w:r>
          </w:p>
        </w:tc>
        <w:tc>
          <w:tcPr>
            <w:tcW w:w="2126" w:type="dxa"/>
            <w:tcBorders>
              <w:top w:val="single" w:color="auto" w:sz="4" w:space="0"/>
              <w:bottom w:val="single" w:color="auto" w:sz="4" w:space="0"/>
            </w:tcBorders>
            <w:vAlign w:val="center"/>
          </w:tcPr>
          <w:p>
            <w:pPr>
              <w:adjustRightInd w:val="0"/>
              <w:snapToGrid w:val="0"/>
              <w:ind w:left="-105" w:leftChars="-50" w:right="-105" w:rightChars="-50"/>
              <w:jc w:val="center"/>
              <w:rPr>
                <w:color w:val="000000"/>
                <w:szCs w:val="21"/>
              </w:rPr>
            </w:pPr>
            <w:r>
              <w:rPr>
                <w:rFonts w:hint="eastAsia"/>
                <w:color w:val="000000"/>
                <w:szCs w:val="21"/>
              </w:rPr>
              <w:t>DW001</w:t>
            </w:r>
          </w:p>
          <w:p>
            <w:pPr>
              <w:adjustRightInd w:val="0"/>
              <w:snapToGrid w:val="0"/>
              <w:ind w:left="-105" w:leftChars="-50" w:right="-105" w:rightChars="-50"/>
              <w:jc w:val="center"/>
              <w:rPr>
                <w:color w:val="000000"/>
                <w:szCs w:val="21"/>
              </w:rPr>
            </w:pPr>
            <w:r>
              <w:rPr>
                <w:rFonts w:hint="eastAsia"/>
                <w:color w:val="000000"/>
                <w:szCs w:val="21"/>
              </w:rPr>
              <w:t>（</w:t>
            </w:r>
            <w:bookmarkStart w:id="10" w:name="_Toc63415134"/>
            <w:r>
              <w:rPr>
                <w:rFonts w:hint="eastAsia"/>
                <w:color w:val="000000"/>
                <w:szCs w:val="21"/>
              </w:rPr>
              <w:t>废水</w:t>
            </w:r>
            <w:bookmarkEnd w:id="10"/>
            <w:r>
              <w:rPr>
                <w:rFonts w:hint="eastAsia"/>
                <w:color w:val="000000"/>
                <w:szCs w:val="21"/>
              </w:rPr>
              <w:t>总排口）</w:t>
            </w:r>
          </w:p>
        </w:tc>
        <w:tc>
          <w:tcPr>
            <w:tcW w:w="1276" w:type="dxa"/>
            <w:tcBorders>
              <w:top w:val="single" w:color="auto" w:sz="4" w:space="0"/>
              <w:bottom w:val="single" w:color="auto" w:sz="4" w:space="0"/>
            </w:tcBorders>
            <w:vAlign w:val="center"/>
          </w:tcPr>
          <w:p>
            <w:pPr>
              <w:jc w:val="center"/>
              <w:outlineLvl w:val="0"/>
              <w:rPr>
                <w:color w:val="000000"/>
                <w:szCs w:val="21"/>
              </w:rPr>
            </w:pPr>
            <w:r>
              <w:rPr>
                <w:rFonts w:hint="eastAsia" w:eastAsia="TimesNewRomanPSMT" w:cs="TimesNewRomanPSMT"/>
                <w:color w:val="0D0D0D" w:themeColor="text1" w:themeTint="F2"/>
                <w:kern w:val="0"/>
                <w:szCs w:val="21"/>
                <w14:textFill>
                  <w14:solidFill>
                    <w14:schemeClr w14:val="tx1">
                      <w14:lumMod w14:val="95000"/>
                      <w14:lumOff w14:val="5000"/>
                    </w14:schemeClr>
                  </w14:solidFill>
                </w14:textFill>
              </w:rPr>
              <w:t>pH</w:t>
            </w:r>
            <w:r>
              <w:rPr>
                <w:rFonts w:hint="eastAsia" w:ascii="宋体" w:hAnsi="宋体" w:cs="宋体"/>
                <w:color w:val="0D0D0D" w:themeColor="text1" w:themeTint="F2"/>
                <w:kern w:val="0"/>
                <w:szCs w:val="21"/>
                <w14:textFill>
                  <w14:solidFill>
                    <w14:schemeClr w14:val="tx1">
                      <w14:lumMod w14:val="95000"/>
                      <w14:lumOff w14:val="5000"/>
                    </w14:schemeClr>
                  </w14:solidFill>
                </w14:textFill>
              </w:rPr>
              <w:t>、</w:t>
            </w:r>
            <w:r>
              <w:rPr>
                <w:rFonts w:eastAsia="TimesNewRomanPSMT" w:cs="TimesNewRomanPSMT"/>
                <w:color w:val="0D0D0D" w:themeColor="text1" w:themeTint="F2"/>
                <w:kern w:val="0"/>
                <w:szCs w:val="21"/>
                <w14:textFill>
                  <w14:solidFill>
                    <w14:schemeClr w14:val="tx1">
                      <w14:lumMod w14:val="95000"/>
                      <w14:lumOff w14:val="5000"/>
                    </w14:schemeClr>
                  </w14:solidFill>
                </w14:textFill>
              </w:rPr>
              <w:t>COD</w:t>
            </w:r>
            <w:r>
              <w:rPr>
                <w:rFonts w:hint="eastAsia" w:cs="宋体"/>
                <w:color w:val="0D0D0D" w:themeColor="text1" w:themeTint="F2"/>
                <w:kern w:val="0"/>
                <w:szCs w:val="21"/>
                <w14:textFill>
                  <w14:solidFill>
                    <w14:schemeClr w14:val="tx1">
                      <w14:lumMod w14:val="95000"/>
                      <w14:lumOff w14:val="5000"/>
                    </w14:schemeClr>
                  </w14:solidFill>
                </w14:textFill>
              </w:rPr>
              <w:t>、BOD</w:t>
            </w:r>
            <w:r>
              <w:rPr>
                <w:rFonts w:hint="eastAsia" w:cs="宋体"/>
                <w:color w:val="0D0D0D" w:themeColor="text1" w:themeTint="F2"/>
                <w:kern w:val="0"/>
                <w:szCs w:val="21"/>
                <w:vertAlign w:val="subscript"/>
                <w14:textFill>
                  <w14:solidFill>
                    <w14:schemeClr w14:val="tx1">
                      <w14:lumMod w14:val="95000"/>
                      <w14:lumOff w14:val="5000"/>
                    </w14:schemeClr>
                  </w14:solidFill>
                </w14:textFill>
              </w:rPr>
              <w:t>5</w:t>
            </w:r>
            <w:r>
              <w:rPr>
                <w:rFonts w:hint="eastAsia" w:cs="宋体"/>
                <w:color w:val="0D0D0D" w:themeColor="text1" w:themeTint="F2"/>
                <w:kern w:val="0"/>
                <w:szCs w:val="21"/>
                <w14:textFill>
                  <w14:solidFill>
                    <w14:schemeClr w14:val="tx1">
                      <w14:lumMod w14:val="95000"/>
                      <w14:lumOff w14:val="5000"/>
                    </w14:schemeClr>
                  </w14:solidFill>
                </w14:textFill>
              </w:rPr>
              <w:t>、</w:t>
            </w:r>
            <w:r>
              <w:rPr>
                <w:rFonts w:eastAsia="TimesNewRomanPSMT" w:cs="TimesNewRomanPSMT"/>
                <w:color w:val="0D0D0D" w:themeColor="text1" w:themeTint="F2"/>
                <w:kern w:val="0"/>
                <w:szCs w:val="21"/>
                <w14:textFill>
                  <w14:solidFill>
                    <w14:schemeClr w14:val="tx1">
                      <w14:lumMod w14:val="95000"/>
                      <w14:lumOff w14:val="5000"/>
                    </w14:schemeClr>
                  </w14:solidFill>
                </w14:textFill>
              </w:rPr>
              <w:t>SS</w:t>
            </w:r>
            <w:r>
              <w:rPr>
                <w:rFonts w:hint="eastAsia" w:cs="宋体"/>
                <w:color w:val="0D0D0D" w:themeColor="text1" w:themeTint="F2"/>
                <w:kern w:val="0"/>
                <w:szCs w:val="21"/>
                <w14:textFill>
                  <w14:solidFill>
                    <w14:schemeClr w14:val="tx1">
                      <w14:lumMod w14:val="95000"/>
                      <w14:lumOff w14:val="5000"/>
                    </w14:schemeClr>
                  </w14:solidFill>
                </w14:textFill>
              </w:rPr>
              <w:t>、氨氮</w:t>
            </w:r>
          </w:p>
        </w:tc>
        <w:tc>
          <w:tcPr>
            <w:tcW w:w="2268" w:type="dxa"/>
            <w:tcBorders>
              <w:top w:val="single" w:color="auto" w:sz="4" w:space="0"/>
              <w:bottom w:val="single" w:color="auto" w:sz="4" w:space="0"/>
            </w:tcBorders>
            <w:vAlign w:val="center"/>
          </w:tcPr>
          <w:p>
            <w:pPr>
              <w:autoSpaceDE w:val="0"/>
              <w:autoSpaceDN w:val="0"/>
              <w:snapToGrid w:val="0"/>
              <w:ind w:left="-105" w:leftChars="-50" w:right="-105" w:rightChars="-50"/>
              <w:jc w:val="center"/>
              <w:rPr>
                <w:color w:val="000000"/>
                <w:kern w:val="0"/>
                <w:szCs w:val="21"/>
              </w:rPr>
            </w:pPr>
            <w:bookmarkStart w:id="11" w:name="_Toc63415136"/>
            <w:r>
              <w:rPr>
                <w:rFonts w:hint="eastAsia"/>
                <w:color w:val="000000"/>
                <w:kern w:val="0"/>
                <w:szCs w:val="21"/>
              </w:rPr>
              <w:t>化粪池</w:t>
            </w:r>
            <w:bookmarkEnd w:id="11"/>
          </w:p>
        </w:tc>
        <w:tc>
          <w:tcPr>
            <w:tcW w:w="2301" w:type="dxa"/>
            <w:tcBorders>
              <w:top w:val="single" w:color="auto" w:sz="4" w:space="0"/>
              <w:bottom w:val="single" w:color="auto" w:sz="4" w:space="0"/>
              <w:right w:val="single" w:color="auto" w:sz="12" w:space="0"/>
            </w:tcBorders>
            <w:vAlign w:val="center"/>
          </w:tcPr>
          <w:p>
            <w:pPr>
              <w:autoSpaceDE w:val="0"/>
              <w:autoSpaceDN w:val="0"/>
              <w:snapToGrid w:val="0"/>
              <w:ind w:left="-105" w:leftChars="-50" w:right="-105" w:rightChars="-50"/>
              <w:jc w:val="center"/>
              <w:rPr>
                <w:color w:val="000000"/>
                <w:kern w:val="0"/>
                <w:szCs w:val="21"/>
              </w:rPr>
            </w:pPr>
            <w:bookmarkStart w:id="12" w:name="_Toc63415137"/>
            <w:r>
              <w:rPr>
                <w:rFonts w:hint="eastAsia"/>
                <w:color w:val="000000"/>
                <w:kern w:val="0"/>
                <w:szCs w:val="21"/>
              </w:rPr>
              <w:t>执行</w:t>
            </w:r>
            <w:r>
              <w:rPr>
                <w:color w:val="000000"/>
                <w:kern w:val="0"/>
                <w:szCs w:val="21"/>
              </w:rPr>
              <w:t>《污水综合排放标准》（GB8978-1996）表4中的三级标准</w:t>
            </w:r>
            <w:bookmarkEnd w:id="12"/>
            <w:r>
              <w:rPr>
                <w:color w:val="000000"/>
                <w:kern w:val="0"/>
                <w:szCs w:val="21"/>
              </w:rP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声环境</w:t>
            </w:r>
          </w:p>
        </w:tc>
        <w:tc>
          <w:tcPr>
            <w:tcW w:w="2126" w:type="dxa"/>
            <w:tcBorders>
              <w:top w:val="single" w:color="auto" w:sz="4" w:space="0"/>
              <w:bottom w:val="single" w:color="auto" w:sz="4" w:space="0"/>
            </w:tcBorders>
            <w:vAlign w:val="center"/>
          </w:tcPr>
          <w:p>
            <w:pPr>
              <w:adjustRightInd w:val="0"/>
              <w:snapToGrid w:val="0"/>
              <w:ind w:left="-105" w:leftChars="-50" w:right="-105" w:rightChars="-50"/>
              <w:jc w:val="center"/>
              <w:rPr>
                <w:color w:val="000000"/>
                <w:szCs w:val="21"/>
              </w:rPr>
            </w:pPr>
            <w:r>
              <w:rPr>
                <w:rFonts w:hint="eastAsia"/>
                <w:color w:val="000000"/>
                <w:szCs w:val="21"/>
              </w:rPr>
              <w:t>小型喷砂机、无漆喷涂机、无动力平车等设备</w:t>
            </w:r>
          </w:p>
        </w:tc>
        <w:tc>
          <w:tcPr>
            <w:tcW w:w="1276" w:type="dxa"/>
            <w:tcBorders>
              <w:top w:val="single" w:color="auto" w:sz="4" w:space="0"/>
              <w:bottom w:val="single" w:color="auto" w:sz="4" w:space="0"/>
            </w:tcBorders>
            <w:vAlign w:val="center"/>
          </w:tcPr>
          <w:p>
            <w:pPr>
              <w:adjustRightInd w:val="0"/>
              <w:snapToGrid w:val="0"/>
              <w:ind w:left="-105" w:leftChars="-50" w:right="-105" w:rightChars="-50"/>
              <w:jc w:val="center"/>
              <w:rPr>
                <w:color w:val="000000"/>
                <w:szCs w:val="21"/>
              </w:rPr>
            </w:pPr>
            <w:r>
              <w:rPr>
                <w:rFonts w:hint="eastAsia"/>
                <w:color w:val="000000"/>
                <w:szCs w:val="21"/>
              </w:rPr>
              <w:t>/</w:t>
            </w:r>
          </w:p>
        </w:tc>
        <w:tc>
          <w:tcPr>
            <w:tcW w:w="2268" w:type="dxa"/>
            <w:tcBorders>
              <w:top w:val="single" w:color="auto" w:sz="4" w:space="0"/>
              <w:bottom w:val="single" w:color="auto" w:sz="4" w:space="0"/>
            </w:tcBorders>
            <w:vAlign w:val="center"/>
          </w:tcPr>
          <w:p>
            <w:pPr>
              <w:adjustRightInd w:val="0"/>
              <w:snapToGrid w:val="0"/>
              <w:ind w:left="-105" w:leftChars="-50" w:right="-105" w:rightChars="-50"/>
              <w:jc w:val="center"/>
              <w:rPr>
                <w:color w:val="000000"/>
                <w:szCs w:val="21"/>
              </w:rPr>
            </w:pPr>
            <w:r>
              <w:rPr>
                <w:rFonts w:hint="eastAsia"/>
                <w:color w:val="000000"/>
                <w:szCs w:val="21"/>
              </w:rPr>
              <w:t>减振、建筑隔声</w:t>
            </w:r>
          </w:p>
        </w:tc>
        <w:tc>
          <w:tcPr>
            <w:tcW w:w="2301" w:type="dxa"/>
            <w:tcBorders>
              <w:top w:val="single" w:color="auto" w:sz="4" w:space="0"/>
              <w:bottom w:val="single" w:color="auto" w:sz="4" w:space="0"/>
              <w:right w:val="single" w:color="auto" w:sz="12" w:space="0"/>
            </w:tcBorders>
            <w:vAlign w:val="center"/>
          </w:tcPr>
          <w:p>
            <w:pPr>
              <w:adjustRightInd w:val="0"/>
              <w:snapToGrid w:val="0"/>
              <w:ind w:left="-105" w:leftChars="-50" w:right="-105" w:rightChars="-50"/>
              <w:jc w:val="center"/>
              <w:rPr>
                <w:color w:val="000000"/>
                <w:szCs w:val="21"/>
              </w:rPr>
            </w:pPr>
            <w:r>
              <w:rPr>
                <w:rFonts w:hint="eastAsia"/>
                <w:color w:val="000000"/>
                <w:szCs w:val="21"/>
              </w:rPr>
              <w:t>《工业企业厂界环境噪声排放标准》</w:t>
            </w:r>
            <w:r>
              <w:rPr>
                <w:color w:val="000000"/>
                <w:szCs w:val="21"/>
              </w:rPr>
              <w:t>(GB12348-2008)</w:t>
            </w:r>
            <w:r>
              <w:rPr>
                <w:rFonts w:hint="eastAsia"/>
                <w:color w:val="000000"/>
                <w:szCs w:val="21"/>
              </w:rPr>
              <w:t>中</w:t>
            </w:r>
            <w:r>
              <w:rPr>
                <w:color w:val="000000"/>
                <w:szCs w:val="21"/>
              </w:rPr>
              <w:t>3</w:t>
            </w:r>
            <w:r>
              <w:rPr>
                <w:rFonts w:hint="eastAsia"/>
                <w:color w:val="000000"/>
                <w:szCs w:val="21"/>
              </w:rPr>
              <w:t>类标准</w:t>
            </w:r>
            <w:r>
              <w:rPr>
                <w:color w:val="000000"/>
                <w:szCs w:val="21"/>
              </w:rP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电磁辐射</w:t>
            </w:r>
          </w:p>
        </w:tc>
        <w:tc>
          <w:tcPr>
            <w:tcW w:w="2126" w:type="dxa"/>
            <w:tcBorders>
              <w:top w:val="single" w:color="auto" w:sz="4"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w:t>
            </w:r>
          </w:p>
        </w:tc>
        <w:tc>
          <w:tcPr>
            <w:tcW w:w="1276" w:type="dxa"/>
            <w:tcBorders>
              <w:top w:val="single" w:color="auto" w:sz="4" w:space="0"/>
              <w:bottom w:val="single" w:color="auto" w:sz="4" w:space="0"/>
            </w:tcBorders>
            <w:vAlign w:val="center"/>
          </w:tcPr>
          <w:p>
            <w:pPr>
              <w:adjustRightInd w:val="0"/>
              <w:snapToGrid w:val="0"/>
              <w:jc w:val="center"/>
              <w:rPr>
                <w:rFonts w:cs="宋体"/>
                <w:color w:val="262626" w:themeColor="text1" w:themeTint="D9"/>
                <w:szCs w:val="21"/>
                <w14:textFill>
                  <w14:solidFill>
                    <w14:schemeClr w14:val="tx1">
                      <w14:lumMod w14:val="85000"/>
                      <w14:lumOff w14:val="15000"/>
                    </w14:schemeClr>
                  </w14:solidFill>
                </w14:textFill>
              </w:rPr>
            </w:pPr>
            <w:r>
              <w:rPr>
                <w:rFonts w:hint="eastAsia" w:cs="宋体"/>
                <w:color w:val="262626" w:themeColor="text1" w:themeTint="D9"/>
                <w:szCs w:val="21"/>
                <w14:textFill>
                  <w14:solidFill>
                    <w14:schemeClr w14:val="tx1">
                      <w14:lumMod w14:val="85000"/>
                      <w14:lumOff w14:val="15000"/>
                    </w14:schemeClr>
                  </w14:solidFill>
                </w14:textFill>
              </w:rPr>
              <w:t>/</w:t>
            </w:r>
          </w:p>
        </w:tc>
        <w:tc>
          <w:tcPr>
            <w:tcW w:w="2268" w:type="dxa"/>
            <w:tcBorders>
              <w:top w:val="single" w:color="auto" w:sz="4"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w:t>
            </w:r>
          </w:p>
        </w:tc>
        <w:tc>
          <w:tcPr>
            <w:tcW w:w="2301" w:type="dxa"/>
            <w:tcBorders>
              <w:top w:val="single" w:color="auto" w:sz="4" w:space="0"/>
              <w:bottom w:val="single" w:color="auto" w:sz="4" w:space="0"/>
              <w:right w:val="single" w:color="auto" w:sz="12" w:space="0"/>
            </w:tcBorders>
            <w:vAlign w:val="center"/>
          </w:tcPr>
          <w:p>
            <w:pPr>
              <w:adjustRightInd w:val="0"/>
              <w:snapToGrid w:val="0"/>
              <w:jc w:val="center"/>
              <w:rPr>
                <w:rFonts w:cs="宋体"/>
                <w:color w:val="000000"/>
                <w:szCs w:val="21"/>
              </w:rPr>
            </w:pPr>
            <w:r>
              <w:rPr>
                <w:rFonts w:hint="eastAsia" w:cs="宋体"/>
                <w:color w:val="00000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固体废物</w:t>
            </w:r>
          </w:p>
        </w:tc>
        <w:tc>
          <w:tcPr>
            <w:tcW w:w="7971" w:type="dxa"/>
            <w:gridSpan w:val="4"/>
            <w:tcBorders>
              <w:top w:val="single" w:color="auto" w:sz="4" w:space="0"/>
              <w:bottom w:val="single" w:color="auto" w:sz="4" w:space="0"/>
              <w:right w:val="single" w:color="auto" w:sz="12" w:space="0"/>
            </w:tcBorders>
            <w:vAlign w:val="center"/>
          </w:tcPr>
          <w:p>
            <w:pPr>
              <w:adjustRightInd w:val="0"/>
              <w:snapToGrid w:val="0"/>
              <w:jc w:val="center"/>
              <w:rPr>
                <w:rFonts w:cs="宋体"/>
                <w:color w:val="262626" w:themeColor="text1" w:themeTint="D9"/>
                <w:szCs w:val="21"/>
                <w14:textFill>
                  <w14:solidFill>
                    <w14:schemeClr w14:val="tx1">
                      <w14:lumMod w14:val="85000"/>
                      <w14:lumOff w14:val="15000"/>
                    </w14:schemeClr>
                  </w14:solidFill>
                </w14:textFill>
              </w:rPr>
            </w:pPr>
            <w:r>
              <w:rPr>
                <w:color w:val="262626" w:themeColor="text1" w:themeTint="D9"/>
                <w:szCs w:val="21"/>
                <w14:textFill>
                  <w14:solidFill>
                    <w14:schemeClr w14:val="tx1">
                      <w14:lumMod w14:val="85000"/>
                      <w14:lumOff w14:val="15000"/>
                    </w14:schemeClr>
                  </w14:solidFill>
                </w14:textFill>
              </w:rPr>
              <w:t>废钢砂及</w:t>
            </w:r>
            <w:r>
              <w:rPr>
                <w:rFonts w:hint="eastAsia"/>
                <w:color w:val="262626" w:themeColor="text1" w:themeTint="D9"/>
                <w:szCs w:val="21"/>
                <w14:textFill>
                  <w14:solidFill>
                    <w14:schemeClr w14:val="tx1">
                      <w14:lumMod w14:val="85000"/>
                      <w14:lumOff w14:val="15000"/>
                    </w14:schemeClr>
                  </w14:solidFill>
                </w14:textFill>
              </w:rPr>
              <w:t>布袋除尘器</w:t>
            </w:r>
            <w:r>
              <w:rPr>
                <w:color w:val="262626" w:themeColor="text1" w:themeTint="D9"/>
                <w:szCs w:val="21"/>
                <w14:textFill>
                  <w14:solidFill>
                    <w14:schemeClr w14:val="tx1">
                      <w14:lumMod w14:val="85000"/>
                      <w14:lumOff w14:val="15000"/>
                    </w14:schemeClr>
                  </w14:solidFill>
                </w14:textFill>
              </w:rPr>
              <w:t>收集的粉尘等可回收废物一般固废场暂存，</w:t>
            </w:r>
            <w:r>
              <w:rPr>
                <w:rFonts w:hint="eastAsia"/>
                <w:color w:val="262626" w:themeColor="text1" w:themeTint="D9"/>
                <w:szCs w:val="21"/>
                <w14:textFill>
                  <w14:solidFill>
                    <w14:schemeClr w14:val="tx1">
                      <w14:lumMod w14:val="85000"/>
                      <w14:lumOff w14:val="15000"/>
                    </w14:schemeClr>
                  </w14:solidFill>
                </w14:textFill>
              </w:rPr>
              <w:t>集中收集后外售；</w:t>
            </w:r>
            <w:r>
              <w:rPr>
                <w:color w:val="262626" w:themeColor="text1" w:themeTint="D9"/>
                <w:szCs w:val="21"/>
                <w14:textFill>
                  <w14:solidFill>
                    <w14:schemeClr w14:val="tx1">
                      <w14:lumMod w14:val="85000"/>
                      <w14:lumOff w14:val="15000"/>
                    </w14:schemeClr>
                  </w14:solidFill>
                </w14:textFill>
              </w:rPr>
              <w:t>废过滤棉及漆渣</w:t>
            </w:r>
            <w:r>
              <w:rPr>
                <w:rFonts w:hint="eastAsia"/>
                <w:color w:val="262626" w:themeColor="text1" w:themeTint="D9"/>
                <w:szCs w:val="21"/>
                <w14:textFill>
                  <w14:solidFill>
                    <w14:schemeClr w14:val="tx1">
                      <w14:lumMod w14:val="85000"/>
                      <w14:lumOff w14:val="15000"/>
                    </w14:schemeClr>
                  </w14:solidFill>
                </w14:textFill>
              </w:rPr>
              <w:t>、</w:t>
            </w:r>
            <w:r>
              <w:rPr>
                <w:color w:val="262626" w:themeColor="text1" w:themeTint="D9"/>
                <w:szCs w:val="21"/>
                <w14:textFill>
                  <w14:solidFill>
                    <w14:schemeClr w14:val="tx1">
                      <w14:lumMod w14:val="85000"/>
                      <w14:lumOff w14:val="15000"/>
                    </w14:schemeClr>
                  </w14:solidFill>
                </w14:textFill>
              </w:rPr>
              <w:t>废漆桶</w:t>
            </w:r>
            <w:r>
              <w:rPr>
                <w:rFonts w:hint="eastAsia"/>
                <w:color w:val="262626" w:themeColor="text1" w:themeTint="D9"/>
                <w:szCs w:val="21"/>
                <w14:textFill>
                  <w14:solidFill>
                    <w14:schemeClr w14:val="tx1">
                      <w14:lumMod w14:val="85000"/>
                      <w14:lumOff w14:val="15000"/>
                    </w14:schemeClr>
                  </w14:solidFill>
                </w14:textFill>
              </w:rPr>
              <w:t>、</w:t>
            </w:r>
            <w:r>
              <w:rPr>
                <w:color w:val="262626" w:themeColor="text1" w:themeTint="D9"/>
                <w:szCs w:val="21"/>
                <w14:textFill>
                  <w14:solidFill>
                    <w14:schemeClr w14:val="tx1">
                      <w14:lumMod w14:val="85000"/>
                      <w14:lumOff w14:val="15000"/>
                    </w14:schemeClr>
                  </w14:solidFill>
                </w14:textFill>
              </w:rPr>
              <w:t>废活性炭</w:t>
            </w:r>
            <w:r>
              <w:rPr>
                <w:rFonts w:hint="eastAsia"/>
                <w:color w:val="262626" w:themeColor="text1" w:themeTint="D9"/>
                <w:szCs w:val="21"/>
                <w14:textFill>
                  <w14:solidFill>
                    <w14:schemeClr w14:val="tx1">
                      <w14:lumMod w14:val="85000"/>
                      <w14:lumOff w14:val="15000"/>
                    </w14:schemeClr>
                  </w14:solidFill>
                </w14:textFill>
              </w:rPr>
              <w:t>、</w:t>
            </w:r>
            <w:r>
              <w:rPr>
                <w:color w:val="262626" w:themeColor="text1" w:themeTint="D9"/>
                <w:szCs w:val="21"/>
                <w14:textFill>
                  <w14:solidFill>
                    <w14:schemeClr w14:val="tx1">
                      <w14:lumMod w14:val="85000"/>
                      <w14:lumOff w14:val="15000"/>
                    </w14:schemeClr>
                  </w14:solidFill>
                </w14:textFill>
              </w:rPr>
              <w:t>废润滑油</w:t>
            </w:r>
            <w:r>
              <w:rPr>
                <w:rFonts w:hint="eastAsia"/>
                <w:color w:val="262626" w:themeColor="text1" w:themeTint="D9"/>
                <w:szCs w:val="21"/>
                <w14:textFill>
                  <w14:solidFill>
                    <w14:schemeClr w14:val="tx1">
                      <w14:lumMod w14:val="85000"/>
                      <w14:lumOff w14:val="15000"/>
                    </w14:schemeClr>
                  </w14:solidFill>
                </w14:textFill>
              </w:rPr>
              <w:t>、废润滑油桶以及废含油手套、抹布</w:t>
            </w:r>
            <w:r>
              <w:rPr>
                <w:color w:val="262626" w:themeColor="text1" w:themeTint="D9"/>
                <w:szCs w:val="21"/>
                <w14:textFill>
                  <w14:solidFill>
                    <w14:schemeClr w14:val="tx1">
                      <w14:lumMod w14:val="85000"/>
                      <w14:lumOff w14:val="15000"/>
                    </w14:schemeClr>
                  </w14:solidFill>
                </w14:textFill>
              </w:rPr>
              <w:t>等危废暂存</w:t>
            </w:r>
            <w:r>
              <w:rPr>
                <w:rFonts w:hint="eastAsia"/>
                <w:color w:val="262626" w:themeColor="text1" w:themeTint="D9"/>
                <w:szCs w:val="21"/>
                <w14:textFill>
                  <w14:solidFill>
                    <w14:schemeClr w14:val="tx1">
                      <w14:lumMod w14:val="85000"/>
                      <w14:lumOff w14:val="15000"/>
                    </w14:schemeClr>
                  </w14:solidFill>
                </w14:textFill>
              </w:rPr>
              <w:t>间（位于厂区东南侧，100m</w:t>
            </w:r>
            <w:r>
              <w:rPr>
                <w:rFonts w:hint="eastAsia"/>
                <w:color w:val="262626" w:themeColor="text1" w:themeTint="D9"/>
                <w:szCs w:val="21"/>
                <w:vertAlign w:val="superscript"/>
                <w14:textFill>
                  <w14:solidFill>
                    <w14:schemeClr w14:val="tx1">
                      <w14:lumMod w14:val="85000"/>
                      <w14:lumOff w14:val="15000"/>
                    </w14:schemeClr>
                  </w14:solidFill>
                </w14:textFill>
              </w:rPr>
              <w:t>2</w:t>
            </w:r>
            <w:r>
              <w:rPr>
                <w:rFonts w:hint="eastAsia"/>
                <w:color w:val="262626" w:themeColor="text1" w:themeTint="D9"/>
                <w:szCs w:val="21"/>
                <w14:textFill>
                  <w14:solidFill>
                    <w14:schemeClr w14:val="tx1">
                      <w14:lumMod w14:val="85000"/>
                      <w14:lumOff w14:val="15000"/>
                    </w14:schemeClr>
                  </w14:solidFill>
                </w14:textFill>
              </w:rPr>
              <w:t>）暂存</w:t>
            </w:r>
            <w:r>
              <w:rPr>
                <w:color w:val="262626" w:themeColor="text1" w:themeTint="D9"/>
                <w:szCs w:val="21"/>
                <w14:textFill>
                  <w14:solidFill>
                    <w14:schemeClr w14:val="tx1">
                      <w14:lumMod w14:val="85000"/>
                      <w14:lumOff w14:val="15000"/>
                    </w14:schemeClr>
                  </w14:solidFill>
                </w14:textFill>
              </w:rPr>
              <w:t>，定期委托资质单位处理</w:t>
            </w:r>
            <w:r>
              <w:rPr>
                <w:rFonts w:hint="eastAsia"/>
                <w:color w:val="262626" w:themeColor="text1" w:themeTint="D9"/>
                <w:szCs w:val="21"/>
                <w14:textFill>
                  <w14:solidFill>
                    <w14:schemeClr w14:val="tx1">
                      <w14:lumMod w14:val="85000"/>
                      <w14:lumOff w14:val="1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土壤及地下水</w:t>
            </w:r>
          </w:p>
          <w:p>
            <w:pPr>
              <w:adjustRightInd w:val="0"/>
              <w:snapToGrid w:val="0"/>
              <w:jc w:val="center"/>
              <w:rPr>
                <w:rFonts w:cs="宋体"/>
                <w:color w:val="000000"/>
                <w:szCs w:val="21"/>
              </w:rPr>
            </w:pPr>
            <w:r>
              <w:rPr>
                <w:rFonts w:hint="eastAsia" w:cs="宋体"/>
                <w:color w:val="000000"/>
                <w:szCs w:val="21"/>
              </w:rPr>
              <w:t>污染防治措施</w:t>
            </w:r>
          </w:p>
        </w:tc>
        <w:tc>
          <w:tcPr>
            <w:tcW w:w="7971" w:type="dxa"/>
            <w:gridSpan w:val="4"/>
            <w:tcBorders>
              <w:top w:val="single" w:color="auto" w:sz="4" w:space="0"/>
              <w:bottom w:val="single" w:color="auto" w:sz="4" w:space="0"/>
              <w:right w:val="single" w:color="auto" w:sz="12" w:space="0"/>
            </w:tcBorders>
            <w:vAlign w:val="center"/>
          </w:tcPr>
          <w:p>
            <w:pPr>
              <w:adjustRightInd w:val="0"/>
              <w:snapToGrid w:val="0"/>
              <w:jc w:val="center"/>
              <w:rPr>
                <w:rFonts w:cs="宋体"/>
                <w:color w:val="000000"/>
                <w:szCs w:val="21"/>
              </w:rPr>
            </w:pPr>
            <w:r>
              <w:rPr>
                <w:rFonts w:hint="eastAsia"/>
                <w:color w:val="000000"/>
                <w:szCs w:val="21"/>
              </w:rPr>
              <w:t>原料区、喷砂房</w:t>
            </w:r>
            <w:r>
              <w:rPr>
                <w:color w:val="000000"/>
                <w:szCs w:val="21"/>
              </w:rPr>
              <w:t>等一般防渗，</w:t>
            </w:r>
            <w:r>
              <w:rPr>
                <w:rFonts w:hint="eastAsia"/>
                <w:color w:val="000000"/>
                <w:szCs w:val="21"/>
              </w:rPr>
              <w:t>喷漆房</w:t>
            </w:r>
            <w:r>
              <w:rPr>
                <w:color w:val="000000"/>
                <w:szCs w:val="21"/>
              </w:rPr>
              <w:t>重点防渗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68"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zCs w:val="21"/>
              </w:rPr>
            </w:pPr>
            <w:r>
              <w:rPr>
                <w:rFonts w:hint="eastAsia" w:cs="宋体"/>
                <w:color w:val="000000"/>
                <w:szCs w:val="21"/>
              </w:rPr>
              <w:t>生态保护措施</w:t>
            </w:r>
          </w:p>
        </w:tc>
        <w:tc>
          <w:tcPr>
            <w:tcW w:w="7971" w:type="dxa"/>
            <w:gridSpan w:val="4"/>
            <w:tcBorders>
              <w:top w:val="single" w:color="auto" w:sz="4" w:space="0"/>
              <w:bottom w:val="single" w:color="auto" w:sz="4" w:space="0"/>
              <w:right w:val="single" w:color="auto" w:sz="12" w:space="0"/>
            </w:tcBorders>
            <w:vAlign w:val="center"/>
          </w:tcPr>
          <w:p>
            <w:pPr>
              <w:adjustRightInd w:val="0"/>
              <w:snapToGrid w:val="0"/>
              <w:jc w:val="center"/>
              <w:rPr>
                <w:rFonts w:cs="宋体"/>
                <w:color w:val="000000"/>
                <w:szCs w:val="21"/>
              </w:rPr>
            </w:pPr>
            <w:r>
              <w:rPr>
                <w:rFonts w:hint="eastAsia" w:cs="宋体"/>
                <w:color w:val="00000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829" w:type="dxa"/>
            <w:tcBorders>
              <w:top w:val="single" w:color="auto" w:sz="4" w:space="0"/>
              <w:left w:val="single" w:color="auto" w:sz="12" w:space="0"/>
              <w:bottom w:val="single" w:color="auto" w:sz="4" w:space="0"/>
            </w:tcBorders>
            <w:vAlign w:val="center"/>
          </w:tcPr>
          <w:p>
            <w:pPr>
              <w:adjustRightInd w:val="0"/>
              <w:snapToGrid w:val="0"/>
              <w:jc w:val="center"/>
              <w:rPr>
                <w:rFonts w:cs="宋体"/>
                <w:color w:val="000000"/>
                <w:spacing w:val="-8"/>
                <w:szCs w:val="21"/>
              </w:rPr>
            </w:pPr>
            <w:r>
              <w:rPr>
                <w:rFonts w:hint="eastAsia" w:cs="宋体"/>
                <w:color w:val="000000"/>
                <w:spacing w:val="-8"/>
                <w:szCs w:val="21"/>
              </w:rPr>
              <w:t>环境风险防范措施</w:t>
            </w:r>
          </w:p>
        </w:tc>
        <w:tc>
          <w:tcPr>
            <w:tcW w:w="7971" w:type="dxa"/>
            <w:gridSpan w:val="4"/>
            <w:tcBorders>
              <w:top w:val="single" w:color="auto" w:sz="4" w:space="0"/>
              <w:bottom w:val="single" w:color="auto" w:sz="4" w:space="0"/>
              <w:right w:val="single" w:color="auto" w:sz="12" w:space="0"/>
            </w:tcBorders>
            <w:vAlign w:val="center"/>
          </w:tcPr>
          <w:p>
            <w:pPr>
              <w:adjustRightInd w:val="0"/>
              <w:snapToGrid w:val="0"/>
              <w:jc w:val="center"/>
              <w:rPr>
                <w:color w:val="000000"/>
                <w:szCs w:val="21"/>
              </w:rPr>
            </w:pPr>
            <w:r>
              <w:rPr>
                <w:color w:val="000000"/>
                <w:szCs w:val="21"/>
              </w:rPr>
              <w:t>配备相应风险防范物资</w:t>
            </w:r>
            <w:r>
              <w:rPr>
                <w:rFonts w:hint="eastAsia"/>
                <w:color w:val="000000"/>
                <w:szCs w:val="21"/>
              </w:rPr>
              <w:t>。危废暂存间、原料区、喷漆间等</w:t>
            </w:r>
            <w:r>
              <w:rPr>
                <w:color w:val="000000"/>
                <w:szCs w:val="21"/>
              </w:rPr>
              <w:t>按照重点防渗区进行防渗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002" w:hRule="atLeast"/>
          <w:jc w:val="center"/>
        </w:trPr>
        <w:tc>
          <w:tcPr>
            <w:tcW w:w="829" w:type="dxa"/>
            <w:tcBorders>
              <w:top w:val="single" w:color="auto" w:sz="4" w:space="0"/>
              <w:left w:val="single" w:color="auto" w:sz="12" w:space="0"/>
              <w:bottom w:val="single" w:color="auto" w:sz="12" w:space="0"/>
            </w:tcBorders>
            <w:vAlign w:val="center"/>
          </w:tcPr>
          <w:p>
            <w:pPr>
              <w:adjustRightInd w:val="0"/>
              <w:snapToGrid w:val="0"/>
              <w:jc w:val="center"/>
              <w:rPr>
                <w:rFonts w:cs="宋体"/>
                <w:color w:val="000000"/>
                <w:spacing w:val="-8"/>
                <w:szCs w:val="21"/>
              </w:rPr>
            </w:pPr>
            <w:r>
              <w:rPr>
                <w:rFonts w:hint="eastAsia" w:cs="宋体"/>
                <w:color w:val="000000"/>
                <w:spacing w:val="-8"/>
                <w:szCs w:val="21"/>
              </w:rPr>
              <w:t>其他环境管理要求</w:t>
            </w:r>
          </w:p>
        </w:tc>
        <w:tc>
          <w:tcPr>
            <w:tcW w:w="7971" w:type="dxa"/>
            <w:gridSpan w:val="4"/>
            <w:tcBorders>
              <w:top w:val="single" w:color="auto" w:sz="4" w:space="0"/>
              <w:bottom w:val="single" w:color="auto" w:sz="12" w:space="0"/>
              <w:right w:val="single" w:color="auto" w:sz="12" w:space="0"/>
            </w:tcBorders>
            <w:vAlign w:val="center"/>
          </w:tcPr>
          <w:p>
            <w:pPr>
              <w:adjustRightInd w:val="0"/>
              <w:snapToGrid w:val="0"/>
              <w:jc w:val="center"/>
              <w:rPr>
                <w:rFonts w:cs="宋体"/>
                <w:color w:val="000000"/>
                <w:szCs w:val="21"/>
              </w:rPr>
            </w:pPr>
            <w:r>
              <w:rPr>
                <w:rFonts w:hint="eastAsia" w:cs="宋体"/>
                <w:color w:val="000000"/>
                <w:szCs w:val="21"/>
              </w:rPr>
              <w:t>/</w:t>
            </w:r>
          </w:p>
        </w:tc>
      </w:tr>
    </w:tbl>
    <w:p>
      <w:pPr>
        <w:pStyle w:val="53"/>
        <w:jc w:val="center"/>
        <w:outlineLvl w:val="0"/>
        <w:rPr>
          <w:rFonts w:ascii="Times New Roman" w:hAnsi="Times New Roman"/>
          <w:b/>
          <w:snapToGrid w:val="0"/>
          <w:color w:val="000000"/>
          <w:sz w:val="30"/>
          <w:szCs w:val="30"/>
        </w:rPr>
      </w:pPr>
      <w:r>
        <w:rPr>
          <w:rFonts w:ascii="Times New Roman" w:hAnsi="Times New Roman"/>
          <w:snapToGrid w:val="0"/>
          <w:color w:val="000000"/>
          <w:szCs w:val="24"/>
        </w:rPr>
        <w:br w:type="page"/>
      </w:r>
      <w:r>
        <w:rPr>
          <w:rFonts w:hint="eastAsia" w:ascii="Times New Roman" w:hAnsi="Times New Roman"/>
          <w:b/>
          <w:snapToGrid w:val="0"/>
          <w:color w:val="000000"/>
          <w:sz w:val="30"/>
          <w:szCs w:val="30"/>
        </w:rPr>
        <w:t>六、结论</w:t>
      </w:r>
    </w:p>
    <w:tbl>
      <w:tblPr>
        <w:tblStyle w:val="58"/>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991" w:hRule="atLeast"/>
          <w:jc w:val="center"/>
        </w:trPr>
        <w:tc>
          <w:tcPr>
            <w:tcW w:w="8865" w:type="dxa"/>
            <w:vAlign w:val="center"/>
          </w:tcPr>
          <w:p>
            <w:pPr>
              <w:widowControl/>
              <w:tabs>
                <w:tab w:val="left" w:pos="5640"/>
              </w:tabs>
              <w:spacing w:line="360" w:lineRule="auto"/>
              <w:ind w:firstLine="480" w:firstLineChars="200"/>
              <w:jc w:val="left"/>
              <w:rPr>
                <w:rFonts w:cs="宋体"/>
                <w:color w:val="000000"/>
                <w:sz w:val="24"/>
              </w:rPr>
            </w:pPr>
            <w:r>
              <w:rPr>
                <w:rFonts w:hint="eastAsia" w:cs="宋体"/>
                <w:sz w:val="24"/>
              </w:rPr>
              <w:t>项目的建设符合国家和地方产业政策，项目在落实环评中的污染防治措施后，各项污染物可以达标排放，对环境的影响也比较小。因此，从环境保护的角度来讲，本评价认为项目在坚持“三同时”原则并采取一定的环保措施后，项目建设是可行的。</w:t>
            </w:r>
          </w:p>
        </w:tc>
      </w:tr>
    </w:tbl>
    <w:p>
      <w:pPr>
        <w:rPr>
          <w:color w:val="000000"/>
        </w:rPr>
      </w:pPr>
    </w:p>
    <w:p>
      <w:pPr>
        <w:tabs>
          <w:tab w:val="left" w:pos="952"/>
        </w:tabs>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53"/>
        <w:adjustRightInd w:val="0"/>
        <w:snapToGrid w:val="0"/>
        <w:spacing w:before="0" w:beforeAutospacing="0" w:after="0" w:afterAutospacing="0" w:line="360" w:lineRule="auto"/>
        <w:outlineLvl w:val="0"/>
        <w:rPr>
          <w:rFonts w:ascii="Times New Roman" w:hAnsi="Times New Roman"/>
          <w:snapToGrid w:val="0"/>
          <w:color w:val="000000"/>
          <w:sz w:val="32"/>
          <w:szCs w:val="32"/>
        </w:rPr>
      </w:pPr>
      <w:r>
        <w:rPr>
          <w:rFonts w:hint="eastAsia" w:ascii="Times New Roman" w:hAnsi="Times New Roman"/>
          <w:snapToGrid w:val="0"/>
          <w:color w:val="000000"/>
          <w:sz w:val="32"/>
          <w:szCs w:val="32"/>
        </w:rPr>
        <w:t>附表</w:t>
      </w:r>
    </w:p>
    <w:p>
      <w:pPr>
        <w:pStyle w:val="644"/>
        <w:spacing w:line="240" w:lineRule="auto"/>
        <w:ind w:firstLine="720"/>
        <w:jc w:val="center"/>
        <w:rPr>
          <w:snapToGrid w:val="0"/>
          <w:sz w:val="36"/>
          <w:szCs w:val="36"/>
        </w:rPr>
      </w:pPr>
      <w:r>
        <w:rPr>
          <w:rFonts w:hint="eastAsia"/>
          <w:snapToGrid w:val="0"/>
          <w:sz w:val="36"/>
          <w:szCs w:val="36"/>
        </w:rPr>
        <w:t>建设项目污染物排放量汇总表</w:t>
      </w:r>
    </w:p>
    <w:tbl>
      <w:tblPr>
        <w:tblStyle w:val="58"/>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1560"/>
        <w:gridCol w:w="1701"/>
        <w:gridCol w:w="1417"/>
        <w:gridCol w:w="1418"/>
        <w:gridCol w:w="1984"/>
        <w:gridCol w:w="1418"/>
        <w:gridCol w:w="1842"/>
        <w:gridCol w:w="12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62" w:type="dxa"/>
            <w:tcBorders>
              <w:tl2br w:val="single" w:color="auto" w:sz="4" w:space="0"/>
            </w:tcBorders>
            <w:tcMar>
              <w:left w:w="28" w:type="dxa"/>
              <w:right w:w="28" w:type="dxa"/>
            </w:tcMar>
            <w:vAlign w:val="center"/>
          </w:tcPr>
          <w:p>
            <w:pPr>
              <w:pStyle w:val="87"/>
              <w:spacing w:beforeLines="0" w:afterLines="0" w:line="240" w:lineRule="auto"/>
              <w:rPr>
                <w:rFonts w:ascii="Times New Roman" w:cs="宋体"/>
                <w:snapToGrid w:val="0"/>
                <w:color w:val="000000"/>
                <w:spacing w:val="-6"/>
                <w:kern w:val="21"/>
                <w:szCs w:val="21"/>
              </w:rPr>
            </w:pPr>
            <w:r>
              <w:rPr>
                <w:rFonts w:hint="eastAsia" w:ascii="Times New Roman" w:cs="宋体"/>
                <w:snapToGrid w:val="0"/>
                <w:color w:val="000000"/>
                <w:spacing w:val="-6"/>
                <w:kern w:val="21"/>
                <w:szCs w:val="21"/>
              </w:rPr>
              <w:t>项目</w:t>
            </w:r>
          </w:p>
          <w:p>
            <w:pPr>
              <w:pStyle w:val="87"/>
              <w:spacing w:beforeLines="0" w:afterLines="0" w:line="240" w:lineRule="auto"/>
              <w:rPr>
                <w:rFonts w:ascii="Times New Roman" w:cs="宋体"/>
                <w:snapToGrid w:val="0"/>
                <w:color w:val="000000"/>
                <w:spacing w:val="-6"/>
                <w:kern w:val="21"/>
                <w:szCs w:val="21"/>
              </w:rPr>
            </w:pPr>
            <w:r>
              <w:rPr>
                <w:rFonts w:hint="eastAsia" w:ascii="Times New Roman" w:cs="宋体"/>
                <w:snapToGrid w:val="0"/>
                <w:color w:val="000000"/>
                <w:spacing w:val="-6"/>
                <w:kern w:val="21"/>
                <w:szCs w:val="21"/>
              </w:rPr>
              <w:t>分类</w:t>
            </w:r>
          </w:p>
        </w:tc>
        <w:tc>
          <w:tcPr>
            <w:tcW w:w="1560" w:type="dxa"/>
            <w:tcMar>
              <w:left w:w="28" w:type="dxa"/>
              <w:right w:w="28" w:type="dxa"/>
            </w:tcMar>
            <w:vAlign w:val="center"/>
          </w:tcPr>
          <w:p>
            <w:pPr>
              <w:pStyle w:val="87"/>
              <w:spacing w:beforeLines="0" w:afterLines="0" w:line="240" w:lineRule="auto"/>
              <w:rPr>
                <w:rFonts w:ascii="Times New Roman" w:cs="宋体"/>
                <w:snapToGrid w:val="0"/>
                <w:color w:val="000000"/>
                <w:spacing w:val="-6"/>
                <w:kern w:val="21"/>
                <w:szCs w:val="21"/>
              </w:rPr>
            </w:pPr>
            <w:r>
              <w:rPr>
                <w:rFonts w:hint="eastAsia" w:ascii="Times New Roman" w:cs="宋体"/>
                <w:snapToGrid w:val="0"/>
                <w:color w:val="000000"/>
                <w:spacing w:val="-6"/>
                <w:kern w:val="21"/>
                <w:szCs w:val="21"/>
              </w:rPr>
              <w:t>污染物名称</w:t>
            </w:r>
          </w:p>
        </w:tc>
        <w:tc>
          <w:tcPr>
            <w:tcW w:w="1701" w:type="dxa"/>
            <w:tcMar>
              <w:left w:w="28" w:type="dxa"/>
              <w:right w:w="28" w:type="dxa"/>
            </w:tcMar>
            <w:vAlign w:val="center"/>
          </w:tcPr>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w:t>
            </w:r>
            <w:r>
              <w:rPr>
                <w:rFonts w:hint="eastAsia" w:ascii="Times New Roman"/>
                <w:snapToGrid w:val="0"/>
                <w:color w:val="000000"/>
                <w:spacing w:val="-6"/>
                <w:kern w:val="21"/>
                <w:szCs w:val="21"/>
              </w:rPr>
              <w:t xml:space="preserve"> </w:t>
            </w:r>
            <w:r>
              <w:rPr>
                <w:rFonts w:ascii="Times New Roman"/>
                <w:snapToGrid w:val="0"/>
                <w:color w:val="000000"/>
                <w:spacing w:val="-6"/>
                <w:kern w:val="21"/>
                <w:szCs w:val="21"/>
              </w:rPr>
              <w:t>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s="宋体"/>
                <w:color w:val="000000"/>
                <w:kern w:val="2"/>
                <w:szCs w:val="21"/>
              </w:rPr>
              <w:t>①</w:t>
            </w:r>
            <w:r>
              <w:rPr>
                <w:rFonts w:ascii="Times New Roman"/>
                <w:snapToGrid w:val="0"/>
                <w:color w:val="000000"/>
                <w:spacing w:val="-6"/>
                <w:kern w:val="21"/>
                <w:szCs w:val="21"/>
              </w:rPr>
              <w:fldChar w:fldCharType="end"/>
            </w:r>
          </w:p>
        </w:tc>
        <w:tc>
          <w:tcPr>
            <w:tcW w:w="1417" w:type="dxa"/>
            <w:tcMar>
              <w:left w:w="28" w:type="dxa"/>
              <w:right w:w="28" w:type="dxa"/>
            </w:tcMar>
            <w:vAlign w:val="center"/>
          </w:tcPr>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许可排放量</w:t>
            </w:r>
          </w:p>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2 \* GB3 \* MERGEFORMAT </w:instrText>
            </w:r>
            <w:r>
              <w:rPr>
                <w:rFonts w:ascii="Times New Roman"/>
                <w:snapToGrid w:val="0"/>
                <w:color w:val="000000"/>
                <w:spacing w:val="-6"/>
                <w:kern w:val="21"/>
                <w:szCs w:val="21"/>
              </w:rPr>
              <w:fldChar w:fldCharType="separate"/>
            </w:r>
            <w:r>
              <w:rPr>
                <w:rFonts w:hint="eastAsia" w:ascii="Times New Roman" w:cs="宋体"/>
                <w:snapToGrid w:val="0"/>
                <w:color w:val="000000"/>
                <w:spacing w:val="-6"/>
                <w:kern w:val="21"/>
                <w:szCs w:val="21"/>
              </w:rPr>
              <w:t>②</w:t>
            </w:r>
            <w:r>
              <w:rPr>
                <w:rFonts w:ascii="Times New Roman"/>
                <w:snapToGrid w:val="0"/>
                <w:color w:val="000000"/>
                <w:spacing w:val="-6"/>
                <w:kern w:val="21"/>
                <w:szCs w:val="21"/>
              </w:rPr>
              <w:fldChar w:fldCharType="end"/>
            </w:r>
          </w:p>
        </w:tc>
        <w:tc>
          <w:tcPr>
            <w:tcW w:w="1418" w:type="dxa"/>
            <w:tcMar>
              <w:left w:w="28" w:type="dxa"/>
              <w:right w:w="28" w:type="dxa"/>
            </w:tcMar>
            <w:vAlign w:val="center"/>
          </w:tcPr>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在建工程</w:t>
            </w:r>
          </w:p>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hint="eastAsia" w:ascii="Times New Roman" w:cs="宋体"/>
                <w:color w:val="000000"/>
                <w:kern w:val="2"/>
                <w:szCs w:val="21"/>
              </w:rPr>
              <w:t>③</w:t>
            </w:r>
            <w:r>
              <w:rPr>
                <w:rFonts w:ascii="Times New Roman"/>
                <w:snapToGrid w:val="0"/>
                <w:color w:val="000000"/>
                <w:spacing w:val="-6"/>
                <w:kern w:val="21"/>
                <w:szCs w:val="21"/>
              </w:rPr>
              <w:fldChar w:fldCharType="end"/>
            </w:r>
          </w:p>
        </w:tc>
        <w:tc>
          <w:tcPr>
            <w:tcW w:w="1984" w:type="dxa"/>
            <w:tcMar>
              <w:left w:w="28" w:type="dxa"/>
              <w:right w:w="28" w:type="dxa"/>
            </w:tcMar>
            <w:vAlign w:val="center"/>
          </w:tcPr>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本项目</w:t>
            </w:r>
          </w:p>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hint="eastAsia" w:ascii="Times New Roman" w:cs="宋体"/>
                <w:color w:val="000000"/>
                <w:kern w:val="2"/>
                <w:szCs w:val="21"/>
              </w:rPr>
              <w:t>④</w:t>
            </w:r>
            <w:r>
              <w:rPr>
                <w:rFonts w:ascii="Times New Roman"/>
                <w:snapToGrid w:val="0"/>
                <w:color w:val="000000"/>
                <w:spacing w:val="-6"/>
                <w:kern w:val="21"/>
                <w:szCs w:val="21"/>
              </w:rPr>
              <w:fldChar w:fldCharType="end"/>
            </w:r>
          </w:p>
        </w:tc>
        <w:tc>
          <w:tcPr>
            <w:tcW w:w="1418" w:type="dxa"/>
            <w:tcMar>
              <w:left w:w="28" w:type="dxa"/>
              <w:right w:w="28" w:type="dxa"/>
            </w:tcMar>
            <w:vAlign w:val="center"/>
          </w:tcPr>
          <w:p>
            <w:pPr>
              <w:pStyle w:val="87"/>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以新带老削减量</w:t>
            </w:r>
          </w:p>
          <w:p>
            <w:pPr>
              <w:pStyle w:val="87"/>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（新建项目不填）</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hint="eastAsia" w:ascii="Times New Roman" w:cs="宋体"/>
                <w:color w:val="000000"/>
                <w:kern w:val="2"/>
                <w:szCs w:val="21"/>
              </w:rPr>
              <w:t>⑤</w:t>
            </w:r>
            <w:r>
              <w:rPr>
                <w:rFonts w:ascii="Times New Roman"/>
                <w:snapToGrid w:val="0"/>
                <w:color w:val="000000"/>
                <w:spacing w:val="-16"/>
                <w:kern w:val="21"/>
                <w:szCs w:val="21"/>
              </w:rPr>
              <w:fldChar w:fldCharType="end"/>
            </w:r>
          </w:p>
        </w:tc>
        <w:tc>
          <w:tcPr>
            <w:tcW w:w="1842" w:type="dxa"/>
            <w:tcMar>
              <w:left w:w="28" w:type="dxa"/>
              <w:right w:w="28" w:type="dxa"/>
            </w:tcMar>
            <w:vAlign w:val="center"/>
          </w:tcPr>
          <w:p>
            <w:pPr>
              <w:pStyle w:val="87"/>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本项目建成后</w:t>
            </w:r>
          </w:p>
          <w:p>
            <w:pPr>
              <w:pStyle w:val="87"/>
              <w:spacing w:beforeLines="0" w:afterLines="0" w:line="240" w:lineRule="auto"/>
              <w:rPr>
                <w:rFonts w:ascii="Times New Roman"/>
                <w:snapToGrid w:val="0"/>
                <w:color w:val="000000"/>
                <w:spacing w:val="-16"/>
                <w:kern w:val="21"/>
                <w:szCs w:val="21"/>
              </w:rPr>
            </w:pPr>
            <w:r>
              <w:rPr>
                <w:rFonts w:hint="eastAsia" w:ascii="Times New Roman"/>
                <w:snapToGrid w:val="0"/>
                <w:color w:val="000000"/>
                <w:spacing w:val="-16"/>
                <w:kern w:val="21"/>
                <w:szCs w:val="21"/>
              </w:rPr>
              <w:t>全厂</w:t>
            </w:r>
            <w:r>
              <w:rPr>
                <w:rFonts w:ascii="Times New Roman"/>
                <w:snapToGrid w:val="0"/>
                <w:color w:val="000000"/>
                <w:spacing w:val="-16"/>
                <w:kern w:val="21"/>
                <w:szCs w:val="21"/>
              </w:rPr>
              <w:t>排放量（固</w:t>
            </w:r>
            <w:r>
              <w:rPr>
                <w:rFonts w:hint="eastAsia" w:ascii="Times New Roman"/>
                <w:snapToGrid w:val="0"/>
                <w:color w:val="000000"/>
                <w:spacing w:val="-16"/>
                <w:kern w:val="21"/>
                <w:szCs w:val="21"/>
              </w:rPr>
              <w:t>体</w:t>
            </w:r>
            <w:r>
              <w:rPr>
                <w:rFonts w:ascii="Times New Roman"/>
                <w:snapToGrid w:val="0"/>
                <w:color w:val="000000"/>
                <w:spacing w:val="-16"/>
                <w:kern w:val="21"/>
                <w:szCs w:val="21"/>
              </w:rPr>
              <w:t>废</w:t>
            </w:r>
            <w:r>
              <w:rPr>
                <w:rFonts w:hint="eastAsia" w:ascii="Times New Roman"/>
                <w:snapToGrid w:val="0"/>
                <w:color w:val="000000"/>
                <w:spacing w:val="-16"/>
                <w:kern w:val="21"/>
                <w:szCs w:val="21"/>
              </w:rPr>
              <w:t>物</w:t>
            </w:r>
            <w:r>
              <w:rPr>
                <w:rFonts w:ascii="Times New Roman"/>
                <w:snapToGrid w:val="0"/>
                <w:color w:val="000000"/>
                <w:spacing w:val="-16"/>
                <w:kern w:val="21"/>
                <w:szCs w:val="21"/>
              </w:rPr>
              <w:t>产生量）</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s="宋体"/>
                <w:color w:val="000000"/>
                <w:kern w:val="2"/>
                <w:szCs w:val="21"/>
              </w:rPr>
              <w:t>⑥</w:t>
            </w:r>
            <w:r>
              <w:rPr>
                <w:rFonts w:ascii="Times New Roman"/>
                <w:snapToGrid w:val="0"/>
                <w:color w:val="000000"/>
                <w:spacing w:val="-16"/>
                <w:kern w:val="21"/>
                <w:szCs w:val="21"/>
              </w:rPr>
              <w:fldChar w:fldCharType="end"/>
            </w:r>
          </w:p>
        </w:tc>
        <w:tc>
          <w:tcPr>
            <w:tcW w:w="1286" w:type="dxa"/>
            <w:tcMar>
              <w:left w:w="28" w:type="dxa"/>
              <w:right w:w="28" w:type="dxa"/>
            </w:tcMar>
            <w:vAlign w:val="center"/>
          </w:tcPr>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变化量</w:t>
            </w:r>
          </w:p>
          <w:p>
            <w:pPr>
              <w:pStyle w:val="87"/>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hint="eastAsia" w:ascii="Times New Roman" w:cs="宋体"/>
                <w:color w:val="000000"/>
                <w:kern w:val="2"/>
                <w:szCs w:val="21"/>
              </w:rPr>
              <w:t>⑦</w:t>
            </w:r>
            <w:r>
              <w:rPr>
                <w:rFonts w:ascii="Times New Roman"/>
                <w:snapToGrid w:val="0"/>
                <w:color w:val="000000"/>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restart"/>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废气</w:t>
            </w:r>
          </w:p>
        </w:tc>
        <w:tc>
          <w:tcPr>
            <w:tcW w:w="1560" w:type="dxa"/>
            <w:vAlign w:val="center"/>
          </w:tcPr>
          <w:p>
            <w:pPr>
              <w:snapToGrid w:val="0"/>
              <w:jc w:val="center"/>
              <w:rPr>
                <w:color w:val="000000"/>
                <w:szCs w:val="21"/>
              </w:rPr>
            </w:pPr>
            <w:r>
              <w:rPr>
                <w:color w:val="000000"/>
                <w:szCs w:val="21"/>
              </w:rPr>
              <w:t>NMHC</w:t>
            </w:r>
          </w:p>
        </w:tc>
        <w:tc>
          <w:tcPr>
            <w:tcW w:w="1701" w:type="dxa"/>
            <w:vAlign w:val="center"/>
          </w:tcPr>
          <w:p>
            <w:pPr>
              <w:jc w:val="center"/>
            </w:pPr>
            <w:r>
              <w:rPr>
                <w:rFonts w:hint="eastAsia"/>
              </w:rPr>
              <w:t>1.992t/a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rFonts w:cs="宋体"/>
                <w:color w:val="000000"/>
                <w:sz w:val="22"/>
                <w:szCs w:val="22"/>
              </w:rPr>
            </w:pPr>
            <w:r>
              <w:rPr>
                <w:rFonts w:hint="eastAsia"/>
                <w:szCs w:val="21"/>
              </w:rPr>
              <w:t xml:space="preserve">0.211 </w:t>
            </w:r>
            <w:r>
              <w:rPr>
                <w:color w:val="000000"/>
                <w:szCs w:val="21"/>
              </w:rPr>
              <w:t>t/a</w:t>
            </w:r>
          </w:p>
        </w:tc>
        <w:tc>
          <w:tcPr>
            <w:tcW w:w="1418" w:type="dxa"/>
            <w:vAlign w:val="center"/>
          </w:tcPr>
          <w:p>
            <w:pPr>
              <w:jc w:val="center"/>
              <w:rPr>
                <w:color w:val="000000"/>
                <w:sz w:val="22"/>
                <w:szCs w:val="22"/>
              </w:rPr>
            </w:pPr>
            <w:r>
              <w:rPr>
                <w:rFonts w:hint="eastAsia"/>
                <w:color w:val="000000"/>
                <w:sz w:val="22"/>
                <w:szCs w:val="22"/>
              </w:rPr>
              <w:t>0</w:t>
            </w:r>
          </w:p>
        </w:tc>
        <w:tc>
          <w:tcPr>
            <w:tcW w:w="1842" w:type="dxa"/>
            <w:vAlign w:val="center"/>
          </w:tcPr>
          <w:p>
            <w:pPr>
              <w:widowControl/>
              <w:spacing w:line="240" w:lineRule="atLeast"/>
              <w:jc w:val="center"/>
            </w:pPr>
            <w:r>
              <w:rPr>
                <w:rFonts w:hint="eastAsia"/>
              </w:rPr>
              <w:t>2.203t/a</w:t>
            </w:r>
          </w:p>
        </w:tc>
        <w:tc>
          <w:tcPr>
            <w:tcW w:w="1286" w:type="dxa"/>
            <w:vAlign w:val="center"/>
          </w:tcPr>
          <w:p>
            <w:pPr>
              <w:widowControl/>
              <w:spacing w:line="240" w:lineRule="atLeast"/>
              <w:jc w:val="center"/>
              <w:rPr>
                <w:szCs w:val="21"/>
              </w:rPr>
            </w:pPr>
            <w:r>
              <w:rPr>
                <w:rFonts w:hint="eastAsia"/>
                <w:szCs w:val="21"/>
              </w:rPr>
              <w:t>+0.0.211t/a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snapToGrid w:val="0"/>
              <w:jc w:val="center"/>
              <w:rPr>
                <w:color w:val="000000"/>
                <w:szCs w:val="21"/>
              </w:rPr>
            </w:pPr>
            <w:r>
              <w:rPr>
                <w:color w:val="000000"/>
                <w:szCs w:val="21"/>
              </w:rPr>
              <w:t>颗粒物</w:t>
            </w:r>
          </w:p>
        </w:tc>
        <w:tc>
          <w:tcPr>
            <w:tcW w:w="1701" w:type="dxa"/>
            <w:vAlign w:val="center"/>
          </w:tcPr>
          <w:p>
            <w:pPr>
              <w:jc w:val="center"/>
            </w:pPr>
            <w:r>
              <w:t>0.538t/a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rFonts w:cs="宋体"/>
                <w:color w:val="000000"/>
                <w:sz w:val="22"/>
                <w:szCs w:val="22"/>
              </w:rPr>
            </w:pPr>
            <w:r>
              <w:rPr>
                <w:rFonts w:hint="eastAsia"/>
                <w:szCs w:val="21"/>
              </w:rPr>
              <w:t xml:space="preserve">0.199 </w:t>
            </w:r>
            <w:r>
              <w:rPr>
                <w:color w:val="000000"/>
                <w:szCs w:val="21"/>
              </w:rPr>
              <w:t>t/a</w:t>
            </w:r>
          </w:p>
        </w:tc>
        <w:tc>
          <w:tcPr>
            <w:tcW w:w="1418" w:type="dxa"/>
            <w:vAlign w:val="center"/>
          </w:tcPr>
          <w:p>
            <w:pPr>
              <w:jc w:val="center"/>
              <w:rPr>
                <w:color w:val="000000"/>
                <w:sz w:val="22"/>
                <w:szCs w:val="22"/>
              </w:rPr>
            </w:pPr>
            <w:r>
              <w:rPr>
                <w:rFonts w:hint="eastAsia"/>
                <w:color w:val="000000"/>
                <w:sz w:val="22"/>
                <w:szCs w:val="22"/>
              </w:rPr>
              <w:t>0</w:t>
            </w:r>
          </w:p>
        </w:tc>
        <w:tc>
          <w:tcPr>
            <w:tcW w:w="1842" w:type="dxa"/>
            <w:vAlign w:val="center"/>
          </w:tcPr>
          <w:p>
            <w:pPr>
              <w:widowControl/>
              <w:spacing w:line="240" w:lineRule="atLeast"/>
              <w:jc w:val="center"/>
              <w:rPr>
                <w:szCs w:val="21"/>
              </w:rPr>
            </w:pPr>
            <w:r>
              <w:rPr>
                <w:rFonts w:hint="eastAsia"/>
                <w:szCs w:val="21"/>
              </w:rPr>
              <w:t>0.737t/a</w:t>
            </w:r>
          </w:p>
        </w:tc>
        <w:tc>
          <w:tcPr>
            <w:tcW w:w="1286" w:type="dxa"/>
            <w:vAlign w:val="center"/>
          </w:tcPr>
          <w:p>
            <w:pPr>
              <w:widowControl/>
              <w:spacing w:line="240" w:lineRule="atLeast"/>
              <w:jc w:val="center"/>
              <w:rPr>
                <w:szCs w:val="21"/>
              </w:rPr>
            </w:pPr>
            <w:r>
              <w:rPr>
                <w:rFonts w:hint="eastAsia"/>
                <w:szCs w:val="21"/>
              </w:rPr>
              <w:t>+0.199t/a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snapToGrid w:val="0"/>
              <w:jc w:val="center"/>
              <w:rPr>
                <w:color w:val="000000"/>
                <w:szCs w:val="21"/>
              </w:rPr>
            </w:pPr>
            <w:r>
              <w:rPr>
                <w:color w:val="000000"/>
                <w:szCs w:val="21"/>
              </w:rPr>
              <w:t>二甲苯</w:t>
            </w:r>
          </w:p>
        </w:tc>
        <w:tc>
          <w:tcPr>
            <w:tcW w:w="1701" w:type="dxa"/>
            <w:vAlign w:val="center"/>
          </w:tcPr>
          <w:p>
            <w:pPr>
              <w:jc w:val="center"/>
            </w:pPr>
            <w:r>
              <w:rPr>
                <w:rFonts w:hint="eastAsia"/>
              </w:rPr>
              <w:t>0.331t/a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 xml:space="preserve">0.010 </w:t>
            </w:r>
            <w:r>
              <w:rPr>
                <w:color w:val="000000"/>
                <w:szCs w:val="21"/>
              </w:rPr>
              <w:t>t/a</w:t>
            </w:r>
          </w:p>
        </w:tc>
        <w:tc>
          <w:tcPr>
            <w:tcW w:w="1418" w:type="dxa"/>
            <w:vAlign w:val="center"/>
          </w:tcPr>
          <w:p>
            <w:pPr>
              <w:jc w:val="center"/>
              <w:rPr>
                <w:color w:val="000000"/>
                <w:sz w:val="22"/>
                <w:szCs w:val="22"/>
              </w:rPr>
            </w:pPr>
            <w:r>
              <w:rPr>
                <w:rFonts w:hint="eastAsia"/>
                <w:color w:val="000000"/>
                <w:szCs w:val="21"/>
              </w:rPr>
              <w:t>0</w:t>
            </w:r>
          </w:p>
        </w:tc>
        <w:tc>
          <w:tcPr>
            <w:tcW w:w="1842" w:type="dxa"/>
            <w:vAlign w:val="center"/>
          </w:tcPr>
          <w:p>
            <w:pPr>
              <w:widowControl/>
              <w:spacing w:line="240" w:lineRule="atLeast"/>
              <w:jc w:val="center"/>
              <w:rPr>
                <w:szCs w:val="21"/>
              </w:rPr>
            </w:pPr>
            <w:r>
              <w:rPr>
                <w:rFonts w:hint="eastAsia"/>
                <w:szCs w:val="21"/>
              </w:rPr>
              <w:t>0.341t/a</w:t>
            </w:r>
          </w:p>
        </w:tc>
        <w:tc>
          <w:tcPr>
            <w:tcW w:w="1286" w:type="dxa"/>
            <w:vAlign w:val="center"/>
          </w:tcPr>
          <w:p>
            <w:pPr>
              <w:widowControl/>
              <w:spacing w:line="240" w:lineRule="atLeast"/>
              <w:jc w:val="center"/>
              <w:rPr>
                <w:szCs w:val="21"/>
              </w:rPr>
            </w:pPr>
            <w:r>
              <w:rPr>
                <w:rFonts w:hint="eastAsia"/>
                <w:szCs w:val="21"/>
              </w:rPr>
              <w:t>+0.010t/a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snapToGrid w:val="0"/>
              <w:jc w:val="center"/>
              <w:rPr>
                <w:color w:val="000000"/>
                <w:szCs w:val="21"/>
              </w:rPr>
            </w:pPr>
            <w:r>
              <w:rPr>
                <w:rFonts w:hint="eastAsia"/>
                <w:color w:val="000000"/>
                <w:szCs w:val="21"/>
              </w:rPr>
              <w:t>甲苯</w:t>
            </w:r>
          </w:p>
        </w:tc>
        <w:tc>
          <w:tcPr>
            <w:tcW w:w="1701" w:type="dxa"/>
            <w:vAlign w:val="center"/>
          </w:tcPr>
          <w:p>
            <w:pPr>
              <w:snapToGrid w:val="0"/>
              <w:jc w:val="center"/>
              <w:rPr>
                <w:szCs w:val="21"/>
              </w:rPr>
            </w:pPr>
            <w:r>
              <w:rPr>
                <w:rFonts w:hint="eastAsia"/>
                <w:szCs w:val="21"/>
              </w:rPr>
              <w:t>0.147t/a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0.005t/a</w:t>
            </w:r>
          </w:p>
        </w:tc>
        <w:tc>
          <w:tcPr>
            <w:tcW w:w="1418" w:type="dxa"/>
            <w:vAlign w:val="center"/>
          </w:tcPr>
          <w:p>
            <w:pPr>
              <w:jc w:val="center"/>
              <w:rPr>
                <w:color w:val="000000"/>
                <w:szCs w:val="21"/>
              </w:rPr>
            </w:pPr>
            <w:r>
              <w:rPr>
                <w:rFonts w:hint="eastAsia"/>
                <w:color w:val="000000"/>
                <w:szCs w:val="21"/>
              </w:rPr>
              <w:t>0</w:t>
            </w:r>
          </w:p>
        </w:tc>
        <w:tc>
          <w:tcPr>
            <w:tcW w:w="1842" w:type="dxa"/>
            <w:vAlign w:val="center"/>
          </w:tcPr>
          <w:p>
            <w:pPr>
              <w:jc w:val="center"/>
              <w:rPr>
                <w:szCs w:val="21"/>
              </w:rPr>
            </w:pPr>
            <w:r>
              <w:rPr>
                <w:rFonts w:hint="eastAsia"/>
                <w:szCs w:val="21"/>
              </w:rPr>
              <w:t>0.152t/a</w:t>
            </w:r>
          </w:p>
        </w:tc>
        <w:tc>
          <w:tcPr>
            <w:tcW w:w="1286" w:type="dxa"/>
            <w:vAlign w:val="center"/>
          </w:tcPr>
          <w:p>
            <w:pPr>
              <w:widowControl/>
              <w:spacing w:line="240" w:lineRule="atLeast"/>
              <w:jc w:val="center"/>
            </w:pPr>
            <w:r>
              <w:rPr>
                <w:rFonts w:hint="eastAsia"/>
              </w:rPr>
              <w:t>+0.005t/a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restart"/>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废水</w:t>
            </w:r>
          </w:p>
        </w:tc>
        <w:tc>
          <w:tcPr>
            <w:tcW w:w="1560" w:type="dxa"/>
            <w:vAlign w:val="center"/>
          </w:tcPr>
          <w:p>
            <w:pPr>
              <w:ind w:left="-105" w:leftChars="-50" w:right="-105" w:rightChars="-50"/>
              <w:jc w:val="center"/>
              <w:rPr>
                <w:color w:val="000000"/>
                <w:szCs w:val="21"/>
              </w:rPr>
            </w:pPr>
            <w:r>
              <w:rPr>
                <w:rFonts w:hint="eastAsia"/>
                <w:color w:val="000000"/>
                <w:szCs w:val="21"/>
              </w:rPr>
              <w:t>p</w:t>
            </w:r>
            <w:r>
              <w:rPr>
                <w:color w:val="000000"/>
                <w:szCs w:val="21"/>
              </w:rPr>
              <w:t>H</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w:t>
            </w:r>
          </w:p>
        </w:tc>
        <w:tc>
          <w:tcPr>
            <w:tcW w:w="1984" w:type="dxa"/>
            <w:vAlign w:val="center"/>
          </w:tcPr>
          <w:p>
            <w:pPr>
              <w:ind w:left="-105" w:leftChars="-50"/>
              <w:jc w:val="center"/>
              <w:rPr>
                <w:color w:val="000000"/>
                <w:szCs w:val="21"/>
              </w:rPr>
            </w:pPr>
            <w:r>
              <w:rPr>
                <w:rFonts w:hint="eastAsia" w:cs="宋体"/>
                <w:snapToGrid w:val="0"/>
                <w:color w:val="000000"/>
                <w:kern w:val="21"/>
                <w:szCs w:val="21"/>
              </w:rPr>
              <w:t>/</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w:t>
            </w:r>
          </w:p>
        </w:tc>
        <w:tc>
          <w:tcPr>
            <w:tcW w:w="1842" w:type="dxa"/>
            <w:vAlign w:val="center"/>
          </w:tcPr>
          <w:p>
            <w:pPr>
              <w:ind w:left="-105" w:leftChars="-50"/>
              <w:jc w:val="center"/>
              <w:rPr>
                <w:color w:val="000000"/>
                <w:szCs w:val="21"/>
              </w:rPr>
            </w:pPr>
            <w:r>
              <w:rPr>
                <w:rFonts w:hint="eastAsia" w:cs="宋体"/>
                <w:snapToGrid w:val="0"/>
                <w:color w:val="000000"/>
                <w:kern w:val="21"/>
                <w:szCs w:val="21"/>
              </w:rPr>
              <w:t>/</w:t>
            </w:r>
          </w:p>
        </w:tc>
        <w:tc>
          <w:tcPr>
            <w:tcW w:w="1286" w:type="dxa"/>
            <w:vAlign w:val="center"/>
          </w:tcPr>
          <w:p>
            <w:pPr>
              <w:ind w:left="-105" w:leftChars="-50"/>
              <w:jc w:val="center"/>
              <w:rPr>
                <w:color w:val="000000"/>
                <w:szCs w:val="21"/>
              </w:rPr>
            </w:pPr>
            <w:r>
              <w:rPr>
                <w:rFonts w:hint="eastAsia"/>
                <w:color w:val="000000"/>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ind w:left="-105" w:leftChars="-50" w:right="-105" w:rightChars="-50"/>
              <w:jc w:val="center"/>
              <w:rPr>
                <w:color w:val="000000"/>
                <w:szCs w:val="21"/>
              </w:rPr>
            </w:pPr>
            <w:r>
              <w:rPr>
                <w:color w:val="000000"/>
                <w:szCs w:val="21"/>
              </w:rPr>
              <w:t>COD</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0.12t/a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pStyle w:val="8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pStyle w:val="87"/>
              <w:spacing w:beforeLines="0" w:afterLines="0" w:line="240" w:lineRule="auto"/>
              <w:rPr>
                <w:rFonts w:ascii="Times New Roman"/>
                <w:snapToGrid w:val="0"/>
                <w:color w:val="000000"/>
                <w:kern w:val="21"/>
                <w:szCs w:val="21"/>
              </w:rPr>
            </w:pPr>
            <w:r>
              <w:rPr>
                <w:rFonts w:hint="eastAsia" w:ascii="Times New Roman"/>
                <w:color w:val="000000"/>
                <w:szCs w:val="21"/>
              </w:rPr>
              <w:t>0.12</w:t>
            </w:r>
            <w:r>
              <w:rPr>
                <w:rFonts w:ascii="Times New Roman"/>
                <w:color w:val="000000"/>
                <w:szCs w:val="21"/>
              </w:rPr>
              <w:t>t/a</w:t>
            </w:r>
          </w:p>
        </w:tc>
        <w:tc>
          <w:tcPr>
            <w:tcW w:w="1286" w:type="dxa"/>
            <w:vAlign w:val="center"/>
          </w:tcPr>
          <w:p>
            <w:pPr>
              <w:pStyle w:val="8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ind w:left="-105" w:leftChars="-50" w:right="-105" w:rightChars="-50"/>
              <w:jc w:val="center"/>
              <w:rPr>
                <w:color w:val="000000"/>
                <w:szCs w:val="21"/>
              </w:rPr>
            </w:pPr>
            <w:r>
              <w:rPr>
                <w:color w:val="000000"/>
                <w:szCs w:val="21"/>
              </w:rPr>
              <w:t>BOD</w:t>
            </w:r>
            <w:r>
              <w:rPr>
                <w:color w:val="000000"/>
                <w:szCs w:val="21"/>
                <w:vertAlign w:val="subscript"/>
              </w:rPr>
              <w:t>5</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0.024t/a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pStyle w:val="8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pStyle w:val="8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0.024</w:t>
            </w:r>
            <w:r>
              <w:rPr>
                <w:rFonts w:ascii="Times New Roman"/>
                <w:szCs w:val="21"/>
              </w:rPr>
              <w:t xml:space="preserve"> </w:t>
            </w:r>
            <w:r>
              <w:rPr>
                <w:rFonts w:ascii="Times New Roman"/>
                <w:color w:val="000000"/>
                <w:szCs w:val="21"/>
              </w:rPr>
              <w:t>t/a</w:t>
            </w:r>
          </w:p>
        </w:tc>
        <w:tc>
          <w:tcPr>
            <w:tcW w:w="1286" w:type="dxa"/>
            <w:vAlign w:val="center"/>
          </w:tcPr>
          <w:p>
            <w:pPr>
              <w:pStyle w:val="8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ind w:left="-105" w:leftChars="-50" w:right="-105" w:rightChars="-50"/>
              <w:jc w:val="center"/>
              <w:rPr>
                <w:color w:val="000000"/>
                <w:szCs w:val="21"/>
              </w:rPr>
            </w:pPr>
            <w:r>
              <w:rPr>
                <w:color w:val="000000"/>
                <w:szCs w:val="21"/>
              </w:rPr>
              <w:t>SS</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0.024t/a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pStyle w:val="8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pStyle w:val="87"/>
              <w:spacing w:beforeLines="0" w:afterLines="0" w:line="240" w:lineRule="auto"/>
              <w:rPr>
                <w:rFonts w:ascii="Times New Roman"/>
                <w:snapToGrid w:val="0"/>
                <w:color w:val="000000"/>
                <w:kern w:val="21"/>
                <w:szCs w:val="21"/>
              </w:rPr>
            </w:pPr>
            <w:r>
              <w:rPr>
                <w:rFonts w:ascii="Times New Roman"/>
                <w:snapToGrid w:val="0"/>
                <w:color w:val="000000"/>
                <w:kern w:val="21"/>
                <w:szCs w:val="21"/>
              </w:rPr>
              <w:t>0.</w:t>
            </w:r>
            <w:r>
              <w:rPr>
                <w:rFonts w:hint="eastAsia" w:ascii="Times New Roman"/>
                <w:snapToGrid w:val="0"/>
                <w:color w:val="000000"/>
                <w:kern w:val="21"/>
                <w:szCs w:val="21"/>
              </w:rPr>
              <w:t>024</w:t>
            </w:r>
            <w:r>
              <w:rPr>
                <w:rFonts w:ascii="Times New Roman"/>
                <w:szCs w:val="21"/>
              </w:rPr>
              <w:t xml:space="preserve"> </w:t>
            </w:r>
            <w:r>
              <w:rPr>
                <w:rFonts w:ascii="Times New Roman"/>
                <w:color w:val="000000"/>
                <w:szCs w:val="21"/>
              </w:rPr>
              <w:t>t/a</w:t>
            </w:r>
          </w:p>
        </w:tc>
        <w:tc>
          <w:tcPr>
            <w:tcW w:w="1286" w:type="dxa"/>
            <w:vAlign w:val="center"/>
          </w:tcPr>
          <w:p>
            <w:pPr>
              <w:pStyle w:val="8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ind w:left="-105" w:leftChars="-50" w:right="-105" w:rightChars="-50"/>
              <w:jc w:val="center"/>
              <w:rPr>
                <w:color w:val="000000"/>
                <w:szCs w:val="21"/>
              </w:rPr>
            </w:pPr>
            <w:r>
              <w:rPr>
                <w:color w:val="000000"/>
                <w:szCs w:val="21"/>
              </w:rPr>
              <w:t>氨氮</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0.012t/a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pStyle w:val="8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pStyle w:val="87"/>
              <w:spacing w:beforeLines="0" w:afterLines="0" w:line="240" w:lineRule="auto"/>
              <w:rPr>
                <w:rFonts w:ascii="Times New Roman"/>
                <w:snapToGrid w:val="0"/>
                <w:color w:val="000000"/>
                <w:kern w:val="21"/>
                <w:szCs w:val="21"/>
              </w:rPr>
            </w:pPr>
            <w:r>
              <w:rPr>
                <w:rFonts w:ascii="Times New Roman"/>
                <w:color w:val="000000"/>
                <w:szCs w:val="21"/>
              </w:rPr>
              <w:t xml:space="preserve"> 0.0</w:t>
            </w:r>
            <w:r>
              <w:rPr>
                <w:rFonts w:hint="eastAsia" w:ascii="Times New Roman"/>
                <w:color w:val="000000"/>
                <w:szCs w:val="21"/>
              </w:rPr>
              <w:t xml:space="preserve">12 </w:t>
            </w:r>
            <w:r>
              <w:rPr>
                <w:rFonts w:ascii="Times New Roman"/>
                <w:color w:val="000000"/>
                <w:szCs w:val="21"/>
              </w:rPr>
              <w:t>t/a</w:t>
            </w:r>
          </w:p>
        </w:tc>
        <w:tc>
          <w:tcPr>
            <w:tcW w:w="1286" w:type="dxa"/>
            <w:vAlign w:val="center"/>
          </w:tcPr>
          <w:p>
            <w:pPr>
              <w:pStyle w:val="8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ind w:left="-105" w:leftChars="-50" w:right="-105" w:rightChars="-50"/>
              <w:jc w:val="center"/>
              <w:rPr>
                <w:color w:val="000000"/>
                <w:szCs w:val="21"/>
              </w:rPr>
            </w:pPr>
            <w:r>
              <w:rPr>
                <w:rFonts w:hint="eastAsia"/>
                <w:color w:val="000000"/>
                <w:szCs w:val="21"/>
              </w:rPr>
              <w:t>动植物油</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0.0024t/a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pStyle w:val="87"/>
              <w:spacing w:beforeLines="0" w:afterLines="0" w:line="240" w:lineRule="auto"/>
              <w:rPr>
                <w:rFonts w:ascii="Times New Roman"/>
                <w:color w:val="000000"/>
                <w:szCs w:val="21"/>
              </w:rPr>
            </w:pPr>
            <w:r>
              <w:rPr>
                <w:rFonts w:hint="eastAsia" w:ascii="Times New Roman"/>
                <w:color w:val="000000"/>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pStyle w:val="87"/>
              <w:spacing w:beforeLines="0" w:afterLines="0" w:line="240" w:lineRule="auto"/>
              <w:rPr>
                <w:rFonts w:ascii="Times New Roman"/>
                <w:color w:val="000000"/>
                <w:szCs w:val="21"/>
              </w:rPr>
            </w:pPr>
            <w:r>
              <w:rPr>
                <w:rFonts w:hint="eastAsia" w:ascii="Times New Roman"/>
                <w:color w:val="000000"/>
                <w:szCs w:val="21"/>
              </w:rPr>
              <w:t>0.0024t/a</w:t>
            </w:r>
          </w:p>
        </w:tc>
        <w:tc>
          <w:tcPr>
            <w:tcW w:w="1286" w:type="dxa"/>
            <w:vAlign w:val="center"/>
          </w:tcPr>
          <w:p>
            <w:pPr>
              <w:pStyle w:val="8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restart"/>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一般工业</w:t>
            </w:r>
          </w:p>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固体废物</w:t>
            </w:r>
          </w:p>
        </w:tc>
        <w:tc>
          <w:tcPr>
            <w:tcW w:w="1560" w:type="dxa"/>
            <w:vAlign w:val="center"/>
          </w:tcPr>
          <w:p>
            <w:pPr>
              <w:widowControl/>
              <w:jc w:val="center"/>
              <w:textAlignment w:val="center"/>
              <w:rPr>
                <w:szCs w:val="21"/>
              </w:rPr>
            </w:pPr>
            <w:r>
              <w:rPr>
                <w:rFonts w:hint="eastAsia" w:ascii="宋体" w:hAnsi="宋体" w:cs="宋体"/>
                <w:kern w:val="0"/>
                <w:szCs w:val="21"/>
                <w:lang w:bidi="ar"/>
              </w:rPr>
              <w:t>生活垃圾</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30t/a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snapToGrid w:val="0"/>
              <w:ind w:left="-105" w:leftChars="-50" w:right="-105" w:rightChars="-50"/>
              <w:jc w:val="center"/>
              <w:rPr>
                <w:color w:val="000000"/>
                <w:szCs w:val="21"/>
              </w:rPr>
            </w:pPr>
            <w:r>
              <w:rPr>
                <w:rFonts w:hint="eastAsia"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snapToGrid w:val="0"/>
              <w:ind w:left="-105" w:leftChars="-50" w:right="-105" w:rightChars="-50"/>
              <w:jc w:val="center"/>
              <w:rPr>
                <w:color w:val="000000"/>
                <w:szCs w:val="21"/>
              </w:rPr>
            </w:pPr>
            <w:r>
              <w:rPr>
                <w:rFonts w:hint="eastAsia" w:cs="宋体"/>
                <w:snapToGrid w:val="0"/>
                <w:color w:val="000000"/>
                <w:kern w:val="21"/>
                <w:szCs w:val="21"/>
              </w:rPr>
              <w:t>30</w:t>
            </w:r>
            <w:r>
              <w:rPr>
                <w:rFonts w:hint="eastAsia"/>
                <w:color w:val="000000"/>
                <w:szCs w:val="21"/>
              </w:rPr>
              <w:t xml:space="preserve"> t</w:t>
            </w:r>
            <w:r>
              <w:rPr>
                <w:color w:val="000000"/>
                <w:szCs w:val="21"/>
              </w:rPr>
              <w:t>/a</w:t>
            </w:r>
          </w:p>
        </w:tc>
        <w:tc>
          <w:tcPr>
            <w:tcW w:w="1286" w:type="dxa"/>
            <w:vAlign w:val="center"/>
          </w:tcPr>
          <w:p>
            <w:pPr>
              <w:snapToGrid w:val="0"/>
              <w:ind w:left="-105" w:leftChars="-50" w:right="-105" w:rightChars="-50"/>
              <w:jc w:val="center"/>
              <w:rPr>
                <w:color w:val="000000"/>
                <w:szCs w:val="21"/>
              </w:rPr>
            </w:pPr>
            <w:r>
              <w:rPr>
                <w:rFonts w:hint="eastAsia" w:cs="宋体"/>
                <w:snapToGrid w:val="0"/>
                <w:color w:val="000000"/>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widowControl/>
              <w:jc w:val="center"/>
              <w:textAlignment w:val="center"/>
              <w:rPr>
                <w:szCs w:val="21"/>
              </w:rPr>
            </w:pPr>
            <w:r>
              <w:rPr>
                <w:rFonts w:hint="eastAsia" w:ascii="宋体" w:hAnsi="宋体" w:cs="宋体"/>
                <w:kern w:val="0"/>
                <w:szCs w:val="21"/>
                <w:lang w:bidi="ar"/>
              </w:rPr>
              <w:t>金属边角</w:t>
            </w:r>
            <w:r>
              <w:rPr>
                <w:rStyle w:val="721"/>
                <w:color w:val="auto"/>
                <w:vertAlign w:val="baseline"/>
                <w:lang w:bidi="ar"/>
              </w:rPr>
              <w:t>料</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65t/a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snapToGrid w:val="0"/>
              <w:ind w:left="-105" w:leftChars="-50" w:right="-105" w:rightChars="-50"/>
              <w:jc w:val="center"/>
              <w:rPr>
                <w:color w:val="000000"/>
                <w:szCs w:val="21"/>
              </w:rPr>
            </w:pPr>
            <w:r>
              <w:rPr>
                <w:rFonts w:hint="eastAsia"/>
                <w:color w:val="000000"/>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snapToGrid w:val="0"/>
              <w:ind w:left="-105" w:leftChars="-50" w:right="-105" w:rightChars="-50"/>
              <w:jc w:val="center"/>
              <w:rPr>
                <w:color w:val="000000"/>
                <w:szCs w:val="21"/>
              </w:rPr>
            </w:pPr>
            <w:r>
              <w:rPr>
                <w:rFonts w:hint="eastAsia"/>
                <w:color w:val="000000"/>
                <w:szCs w:val="21"/>
              </w:rPr>
              <w:t>65 t</w:t>
            </w:r>
            <w:r>
              <w:rPr>
                <w:color w:val="000000"/>
                <w:szCs w:val="21"/>
              </w:rPr>
              <w:t>/a</w:t>
            </w:r>
          </w:p>
        </w:tc>
        <w:tc>
          <w:tcPr>
            <w:tcW w:w="1286" w:type="dxa"/>
            <w:vAlign w:val="center"/>
          </w:tcPr>
          <w:p>
            <w:pPr>
              <w:snapToGrid w:val="0"/>
              <w:ind w:left="-105" w:leftChars="-50" w:right="-105" w:rightChars="-50"/>
              <w:jc w:val="center"/>
              <w:rPr>
                <w:color w:val="000000"/>
                <w:szCs w:val="21"/>
              </w:rPr>
            </w:pPr>
            <w:r>
              <w:rPr>
                <w:rFonts w:hint="eastAsia" w:cs="宋体"/>
                <w:snapToGrid w:val="0"/>
                <w:color w:val="000000"/>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widowControl/>
              <w:jc w:val="center"/>
              <w:textAlignment w:val="center"/>
              <w:rPr>
                <w:bCs/>
                <w:szCs w:val="21"/>
              </w:rPr>
            </w:pPr>
            <w:r>
              <w:rPr>
                <w:rFonts w:hint="eastAsia" w:ascii="宋体" w:hAnsi="宋体" w:cs="宋体"/>
                <w:kern w:val="0"/>
                <w:szCs w:val="21"/>
                <w:lang w:bidi="ar"/>
              </w:rPr>
              <w:t>机加工粉尘</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3.12t/a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snapToGrid w:val="0"/>
              <w:ind w:left="-105" w:leftChars="-50" w:right="-105" w:rightChars="-50"/>
              <w:jc w:val="center"/>
              <w:rPr>
                <w:color w:val="000000"/>
                <w:szCs w:val="21"/>
              </w:rPr>
            </w:pPr>
            <w:r>
              <w:rPr>
                <w:rFonts w:hint="eastAsia"/>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snapToGrid w:val="0"/>
              <w:ind w:left="-105" w:leftChars="-50" w:right="-105" w:rightChars="-50"/>
              <w:jc w:val="center"/>
              <w:rPr>
                <w:color w:val="000000"/>
                <w:szCs w:val="21"/>
              </w:rPr>
            </w:pPr>
            <w:r>
              <w:rPr>
                <w:rFonts w:hint="eastAsia"/>
                <w:szCs w:val="21"/>
              </w:rPr>
              <w:t>3.12</w:t>
            </w:r>
            <w:r>
              <w:rPr>
                <w:rFonts w:hint="eastAsia"/>
                <w:color w:val="000000"/>
                <w:szCs w:val="21"/>
              </w:rPr>
              <w:t xml:space="preserve"> </w:t>
            </w:r>
            <w:r>
              <w:rPr>
                <w:color w:val="000000"/>
                <w:szCs w:val="21"/>
              </w:rPr>
              <w:t>t/a</w:t>
            </w:r>
          </w:p>
        </w:tc>
        <w:tc>
          <w:tcPr>
            <w:tcW w:w="1286" w:type="dxa"/>
            <w:vAlign w:val="center"/>
          </w:tcPr>
          <w:p>
            <w:pPr>
              <w:snapToGrid w:val="0"/>
              <w:ind w:left="-105" w:leftChars="-50" w:right="-105" w:rightChars="-50"/>
              <w:jc w:val="center"/>
              <w:rPr>
                <w:color w:val="000000"/>
                <w:szCs w:val="21"/>
              </w:rPr>
            </w:pPr>
            <w:r>
              <w:rPr>
                <w:rFonts w:hint="eastAsia" w:cs="宋体"/>
                <w:snapToGrid w:val="0"/>
                <w:color w:val="000000"/>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widowControl/>
              <w:jc w:val="center"/>
              <w:textAlignment w:val="center"/>
              <w:rPr>
                <w:bCs/>
                <w:szCs w:val="21"/>
              </w:rPr>
            </w:pPr>
            <w:r>
              <w:rPr>
                <w:rFonts w:hint="eastAsia" w:ascii="宋体" w:hAnsi="宋体" w:cs="宋体"/>
                <w:kern w:val="0"/>
                <w:szCs w:val="21"/>
                <w:lang w:bidi="ar"/>
              </w:rPr>
              <w:t>抛丸粉尘</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49.57t/a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jc w:val="center"/>
              <w:rPr>
                <w:szCs w:val="21"/>
              </w:rPr>
            </w:pPr>
            <w:r>
              <w:rPr>
                <w:rFonts w:hint="eastAsia"/>
                <w:szCs w:val="21"/>
              </w:rPr>
              <w:t>49.57</w:t>
            </w:r>
            <w:r>
              <w:rPr>
                <w:rFonts w:hint="eastAsia"/>
                <w:color w:val="000000"/>
                <w:szCs w:val="21"/>
              </w:rPr>
              <w:t xml:space="preserve"> </w:t>
            </w:r>
            <w:r>
              <w:rPr>
                <w:color w:val="000000"/>
                <w:szCs w:val="21"/>
              </w:rPr>
              <w:t>t/a</w:t>
            </w:r>
          </w:p>
        </w:tc>
        <w:tc>
          <w:tcPr>
            <w:tcW w:w="1286" w:type="dxa"/>
            <w:vAlign w:val="center"/>
          </w:tcPr>
          <w:p>
            <w:pPr>
              <w:jc w:val="center"/>
              <w:rPr>
                <w:szCs w:val="21"/>
              </w:rPr>
            </w:pPr>
            <w:r>
              <w:rPr>
                <w:rFonts w:hint="eastAsia" w:cs="宋体"/>
                <w:snapToGrid w:val="0"/>
                <w:color w:val="000000"/>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喷砂粉尘</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10.84</w:t>
            </w:r>
            <w:r>
              <w:rPr>
                <w:rFonts w:hint="eastAsia"/>
                <w:color w:val="000000"/>
                <w:szCs w:val="21"/>
              </w:rPr>
              <w:t xml:space="preserve"> </w:t>
            </w:r>
            <w:r>
              <w:rPr>
                <w:color w:val="000000"/>
                <w:szCs w:val="21"/>
              </w:rPr>
              <w:t>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jc w:val="center"/>
              <w:rPr>
                <w:szCs w:val="21"/>
              </w:rPr>
            </w:pPr>
            <w:r>
              <w:rPr>
                <w:rFonts w:hint="eastAsia"/>
                <w:szCs w:val="21"/>
              </w:rPr>
              <w:t>10.84</w:t>
            </w:r>
            <w:r>
              <w:rPr>
                <w:rFonts w:hint="eastAsia"/>
                <w:color w:val="000000"/>
                <w:szCs w:val="21"/>
              </w:rPr>
              <w:t xml:space="preserve"> </w:t>
            </w:r>
            <w:r>
              <w:rPr>
                <w:color w:val="000000"/>
                <w:szCs w:val="21"/>
              </w:rPr>
              <w:t>t/a</w:t>
            </w:r>
          </w:p>
        </w:tc>
        <w:tc>
          <w:tcPr>
            <w:tcW w:w="1286" w:type="dxa"/>
            <w:vAlign w:val="center"/>
          </w:tcPr>
          <w:p>
            <w:pPr>
              <w:jc w:val="center"/>
              <w:rPr>
                <w:szCs w:val="21"/>
              </w:rPr>
            </w:pPr>
            <w:r>
              <w:rPr>
                <w:rFonts w:hint="eastAsia" w:cs="宋体"/>
                <w:snapToGrid w:val="0"/>
                <w:color w:val="000000"/>
                <w:kern w:val="21"/>
                <w:szCs w:val="21"/>
              </w:rPr>
              <w:t>+</w:t>
            </w:r>
            <w:r>
              <w:rPr>
                <w:rFonts w:hint="eastAsia"/>
                <w:szCs w:val="21"/>
              </w:rPr>
              <w:t>10.84</w:t>
            </w:r>
            <w:r>
              <w:rPr>
                <w:rFonts w:hint="eastAsia"/>
                <w:color w:val="000000"/>
                <w:szCs w:val="21"/>
              </w:rPr>
              <w:t xml:space="preserve"> </w:t>
            </w:r>
            <w:r>
              <w:rPr>
                <w:color w:val="000000"/>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widowControl/>
              <w:jc w:val="center"/>
              <w:textAlignment w:val="center"/>
              <w:rPr>
                <w:bCs/>
                <w:szCs w:val="21"/>
              </w:rPr>
            </w:pPr>
            <w:r>
              <w:rPr>
                <w:rFonts w:hint="eastAsia"/>
                <w:bCs/>
                <w:szCs w:val="21"/>
              </w:rPr>
              <w:t>焊接烟尘</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0.038t/a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jc w:val="center"/>
              <w:rPr>
                <w:szCs w:val="21"/>
              </w:rPr>
            </w:pPr>
            <w:r>
              <w:rPr>
                <w:rFonts w:hint="eastAsia"/>
                <w:szCs w:val="21"/>
              </w:rPr>
              <w:t>0</w:t>
            </w:r>
          </w:p>
        </w:tc>
        <w:tc>
          <w:tcPr>
            <w:tcW w:w="1286" w:type="dxa"/>
            <w:vAlign w:val="center"/>
          </w:tcPr>
          <w:p>
            <w:pPr>
              <w:jc w:val="center"/>
              <w:rPr>
                <w:szCs w:val="21"/>
              </w:rPr>
            </w:pPr>
            <w:r>
              <w:rPr>
                <w:rFonts w:hint="eastAsia"/>
                <w:snapToGrid w:val="0"/>
                <w:color w:val="000000"/>
                <w:kern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widowControl/>
              <w:jc w:val="center"/>
              <w:textAlignment w:val="center"/>
              <w:rPr>
                <w:bCs/>
                <w:szCs w:val="21"/>
              </w:rPr>
            </w:pPr>
            <w:r>
              <w:rPr>
                <w:rFonts w:hint="eastAsia"/>
                <w:bCs/>
                <w:szCs w:val="21"/>
              </w:rPr>
              <w:t>焊渣</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0.65t/a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jc w:val="center"/>
              <w:rPr>
                <w:szCs w:val="21"/>
              </w:rPr>
            </w:pPr>
            <w:r>
              <w:rPr>
                <w:rFonts w:hint="eastAsia"/>
                <w:szCs w:val="21"/>
              </w:rPr>
              <w:t>0.65</w:t>
            </w:r>
          </w:p>
        </w:tc>
        <w:tc>
          <w:tcPr>
            <w:tcW w:w="1286" w:type="dxa"/>
            <w:vAlign w:val="center"/>
          </w:tcPr>
          <w:p>
            <w:pPr>
              <w:jc w:val="center"/>
              <w:rPr>
                <w:szCs w:val="21"/>
              </w:rPr>
            </w:pPr>
            <w:r>
              <w:rPr>
                <w:rFonts w:hint="eastAsia"/>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widowControl/>
              <w:jc w:val="center"/>
              <w:textAlignment w:val="center"/>
              <w:rPr>
                <w:bCs/>
                <w:szCs w:val="21"/>
              </w:rPr>
            </w:pPr>
            <w:r>
              <w:rPr>
                <w:rFonts w:hint="eastAsia"/>
                <w:bCs/>
                <w:szCs w:val="21"/>
              </w:rPr>
              <w:t>废钢砂</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28.4</w:t>
            </w:r>
            <w:r>
              <w:rPr>
                <w:rFonts w:hint="eastAsia"/>
                <w:color w:val="000000"/>
                <w:szCs w:val="21"/>
              </w:rPr>
              <w:t xml:space="preserve"> </w:t>
            </w:r>
            <w:r>
              <w:rPr>
                <w:color w:val="000000"/>
                <w:szCs w:val="21"/>
              </w:rPr>
              <w:t>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jc w:val="center"/>
              <w:rPr>
                <w:szCs w:val="21"/>
              </w:rPr>
            </w:pPr>
            <w:r>
              <w:rPr>
                <w:rFonts w:hint="eastAsia"/>
                <w:szCs w:val="21"/>
              </w:rPr>
              <w:t>28.4</w:t>
            </w:r>
            <w:r>
              <w:rPr>
                <w:rFonts w:hint="eastAsia"/>
                <w:color w:val="000000"/>
                <w:szCs w:val="21"/>
              </w:rPr>
              <w:t xml:space="preserve"> </w:t>
            </w:r>
            <w:r>
              <w:rPr>
                <w:color w:val="000000"/>
                <w:szCs w:val="21"/>
              </w:rPr>
              <w:t>t/a</w:t>
            </w:r>
          </w:p>
        </w:tc>
        <w:tc>
          <w:tcPr>
            <w:tcW w:w="1286" w:type="dxa"/>
            <w:vAlign w:val="center"/>
          </w:tcPr>
          <w:p>
            <w:pPr>
              <w:jc w:val="center"/>
              <w:rPr>
                <w:szCs w:val="21"/>
              </w:rPr>
            </w:pPr>
            <w:r>
              <w:rPr>
                <w:rFonts w:hint="eastAsia"/>
                <w:szCs w:val="21"/>
              </w:rPr>
              <w:t>+28.4</w:t>
            </w:r>
            <w:r>
              <w:rPr>
                <w:rFonts w:hint="eastAsia"/>
                <w:color w:val="000000"/>
                <w:szCs w:val="21"/>
              </w:rPr>
              <w:t xml:space="preserve"> </w:t>
            </w:r>
            <w:r>
              <w:rPr>
                <w:color w:val="000000"/>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restart"/>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危险固废</w:t>
            </w:r>
          </w:p>
        </w:tc>
        <w:tc>
          <w:tcPr>
            <w:tcW w:w="1560" w:type="dxa"/>
            <w:vAlign w:val="center"/>
          </w:tcPr>
          <w:p>
            <w:pPr>
              <w:widowControl/>
              <w:jc w:val="center"/>
              <w:textAlignment w:val="center"/>
              <w:rPr>
                <w:bCs/>
                <w:szCs w:val="21"/>
              </w:rPr>
            </w:pPr>
            <w:r>
              <w:rPr>
                <w:bCs/>
                <w:szCs w:val="21"/>
              </w:rPr>
              <w:t>废润滑油</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0.33t/a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0.2t/a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jc w:val="center"/>
              <w:rPr>
                <w:szCs w:val="21"/>
              </w:rPr>
            </w:pPr>
            <w:r>
              <w:rPr>
                <w:rFonts w:hint="eastAsia"/>
                <w:szCs w:val="21"/>
              </w:rPr>
              <w:t>0.53t/a</w:t>
            </w:r>
          </w:p>
        </w:tc>
        <w:tc>
          <w:tcPr>
            <w:tcW w:w="1286" w:type="dxa"/>
            <w:vAlign w:val="center"/>
          </w:tcPr>
          <w:p>
            <w:pPr>
              <w:jc w:val="center"/>
              <w:rPr>
                <w:szCs w:val="21"/>
              </w:rPr>
            </w:pPr>
            <w:r>
              <w:rPr>
                <w:rFonts w:hint="eastAsia"/>
                <w:szCs w:val="21"/>
              </w:rPr>
              <w:t>+0.2t/a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widowControl/>
              <w:jc w:val="center"/>
              <w:textAlignment w:val="center"/>
              <w:rPr>
                <w:bCs/>
                <w:szCs w:val="21"/>
              </w:rPr>
            </w:pPr>
            <w:r>
              <w:rPr>
                <w:rFonts w:hint="eastAsia"/>
                <w:bCs/>
                <w:szCs w:val="21"/>
              </w:rPr>
              <w:t>废乳化液</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0.33t/a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jc w:val="center"/>
              <w:rPr>
                <w:szCs w:val="21"/>
              </w:rPr>
            </w:pPr>
            <w:r>
              <w:rPr>
                <w:rFonts w:hint="eastAsia"/>
                <w:szCs w:val="21"/>
              </w:rPr>
              <w:t>0.33t/a</w:t>
            </w:r>
          </w:p>
        </w:tc>
        <w:tc>
          <w:tcPr>
            <w:tcW w:w="1286" w:type="dxa"/>
            <w:vAlign w:val="center"/>
          </w:tcPr>
          <w:p>
            <w:pPr>
              <w:jc w:val="center"/>
              <w:rPr>
                <w:szCs w:val="21"/>
              </w:rPr>
            </w:pPr>
            <w:r>
              <w:rPr>
                <w:rFonts w:hint="eastAsia"/>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widowControl/>
              <w:jc w:val="center"/>
              <w:textAlignment w:val="center"/>
              <w:rPr>
                <w:bCs/>
                <w:szCs w:val="21"/>
              </w:rPr>
            </w:pPr>
            <w:r>
              <w:rPr>
                <w:kern w:val="0"/>
                <w:szCs w:val="21"/>
                <w:lang w:bidi="ar"/>
              </w:rPr>
              <w:t>废</w:t>
            </w:r>
            <w:r>
              <w:rPr>
                <w:rStyle w:val="721"/>
                <w:color w:val="auto"/>
                <w:vertAlign w:val="baseline"/>
                <w:lang w:bidi="ar"/>
              </w:rPr>
              <w:t>过滤棉</w:t>
            </w:r>
            <w:r>
              <w:rPr>
                <w:rStyle w:val="721"/>
                <w:rFonts w:hint="eastAsia"/>
                <w:color w:val="auto"/>
                <w:vertAlign w:val="baseline"/>
                <w:lang w:bidi="ar"/>
              </w:rPr>
              <w:t>及漆渣</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21.19t/a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5.25t/a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jc w:val="center"/>
              <w:rPr>
                <w:szCs w:val="21"/>
              </w:rPr>
            </w:pPr>
            <w:r>
              <w:rPr>
                <w:rFonts w:hint="eastAsia"/>
                <w:szCs w:val="21"/>
              </w:rPr>
              <w:t>26.44t/a</w:t>
            </w:r>
          </w:p>
        </w:tc>
        <w:tc>
          <w:tcPr>
            <w:tcW w:w="1286" w:type="dxa"/>
            <w:vAlign w:val="center"/>
          </w:tcPr>
          <w:p>
            <w:pPr>
              <w:jc w:val="center"/>
              <w:rPr>
                <w:szCs w:val="21"/>
              </w:rPr>
            </w:pPr>
            <w:r>
              <w:rPr>
                <w:rFonts w:hint="eastAsia"/>
                <w:szCs w:val="21"/>
              </w:rPr>
              <w:t>+5.25t/a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废油漆桶</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6.0t/a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1.02t/a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jc w:val="center"/>
              <w:rPr>
                <w:szCs w:val="21"/>
              </w:rPr>
            </w:pPr>
            <w:r>
              <w:rPr>
                <w:rFonts w:hint="eastAsia"/>
                <w:szCs w:val="21"/>
              </w:rPr>
              <w:t>7.02t/a</w:t>
            </w:r>
          </w:p>
        </w:tc>
        <w:tc>
          <w:tcPr>
            <w:tcW w:w="1286" w:type="dxa"/>
            <w:vAlign w:val="center"/>
          </w:tcPr>
          <w:p>
            <w:pPr>
              <w:jc w:val="center"/>
              <w:rPr>
                <w:szCs w:val="21"/>
              </w:rPr>
            </w:pPr>
            <w:r>
              <w:rPr>
                <w:rFonts w:hint="eastAsia"/>
                <w:szCs w:val="21"/>
              </w:rPr>
              <w:t>+1.02t/a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废活性炭</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3.04t/a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9.0t/a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jc w:val="center"/>
              <w:rPr>
                <w:szCs w:val="21"/>
              </w:rPr>
            </w:pPr>
            <w:r>
              <w:rPr>
                <w:rFonts w:hint="eastAsia"/>
                <w:szCs w:val="21"/>
              </w:rPr>
              <w:t>12.04t/a</w:t>
            </w:r>
          </w:p>
        </w:tc>
        <w:tc>
          <w:tcPr>
            <w:tcW w:w="1286" w:type="dxa"/>
            <w:vAlign w:val="center"/>
          </w:tcPr>
          <w:p>
            <w:pPr>
              <w:jc w:val="center"/>
              <w:rPr>
                <w:szCs w:val="21"/>
              </w:rPr>
            </w:pPr>
            <w:r>
              <w:rPr>
                <w:rFonts w:hint="eastAsia"/>
                <w:szCs w:val="21"/>
              </w:rPr>
              <w:t>+9.0t/a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废润滑油桶</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0.02t/a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jc w:val="center"/>
              <w:rPr>
                <w:szCs w:val="21"/>
              </w:rPr>
            </w:pPr>
            <w:r>
              <w:rPr>
                <w:rFonts w:hint="eastAsia"/>
                <w:szCs w:val="21"/>
              </w:rPr>
              <w:t>0.02t/a</w:t>
            </w:r>
          </w:p>
        </w:tc>
        <w:tc>
          <w:tcPr>
            <w:tcW w:w="1286" w:type="dxa"/>
            <w:vAlign w:val="center"/>
          </w:tcPr>
          <w:p>
            <w:pPr>
              <w:jc w:val="center"/>
              <w:rPr>
                <w:szCs w:val="21"/>
              </w:rPr>
            </w:pPr>
            <w:r>
              <w:rPr>
                <w:rFonts w:hint="eastAsia"/>
                <w:szCs w:val="21"/>
              </w:rPr>
              <w:t>+0.02t/a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62" w:type="dxa"/>
            <w:vMerge w:val="continue"/>
            <w:vAlign w:val="center"/>
          </w:tcPr>
          <w:p>
            <w:pPr>
              <w:pStyle w:val="87"/>
              <w:spacing w:beforeLines="0" w:afterLines="0" w:line="240" w:lineRule="auto"/>
              <w:rPr>
                <w:rFonts w:ascii="Times New Roman" w:cs="宋体"/>
                <w:snapToGrid w:val="0"/>
                <w:color w:val="000000"/>
                <w:kern w:val="21"/>
                <w:szCs w:val="21"/>
              </w:rPr>
            </w:pPr>
          </w:p>
        </w:tc>
        <w:tc>
          <w:tcPr>
            <w:tcW w:w="1560" w:type="dxa"/>
            <w:vAlign w:val="center"/>
          </w:tcPr>
          <w:p>
            <w:pPr>
              <w:jc w:val="center"/>
              <w:rPr>
                <w:szCs w:val="21"/>
              </w:rPr>
            </w:pPr>
            <w:r>
              <w:rPr>
                <w:rFonts w:hint="eastAsia"/>
                <w:color w:val="000000"/>
                <w:szCs w:val="21"/>
              </w:rPr>
              <w:t>废含油手套、抹布</w:t>
            </w:r>
          </w:p>
        </w:tc>
        <w:tc>
          <w:tcPr>
            <w:tcW w:w="1701"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0.05t/a</w:t>
            </w:r>
          </w:p>
        </w:tc>
        <w:tc>
          <w:tcPr>
            <w:tcW w:w="1417"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984" w:type="dxa"/>
            <w:vAlign w:val="center"/>
          </w:tcPr>
          <w:p>
            <w:pPr>
              <w:jc w:val="center"/>
              <w:rPr>
                <w:szCs w:val="21"/>
              </w:rPr>
            </w:pPr>
            <w:r>
              <w:rPr>
                <w:rFonts w:hint="eastAsia"/>
                <w:szCs w:val="21"/>
              </w:rPr>
              <w:t>0.01t/a</w:t>
            </w:r>
          </w:p>
        </w:tc>
        <w:tc>
          <w:tcPr>
            <w:tcW w:w="1418" w:type="dxa"/>
            <w:vAlign w:val="center"/>
          </w:tcPr>
          <w:p>
            <w:pPr>
              <w:pStyle w:val="87"/>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842" w:type="dxa"/>
            <w:vAlign w:val="center"/>
          </w:tcPr>
          <w:p>
            <w:pPr>
              <w:jc w:val="center"/>
              <w:rPr>
                <w:szCs w:val="21"/>
              </w:rPr>
            </w:pPr>
            <w:r>
              <w:rPr>
                <w:rFonts w:hint="eastAsia"/>
                <w:szCs w:val="21"/>
              </w:rPr>
              <w:t>0.06t/a</w:t>
            </w:r>
          </w:p>
        </w:tc>
        <w:tc>
          <w:tcPr>
            <w:tcW w:w="1286" w:type="dxa"/>
            <w:vAlign w:val="center"/>
          </w:tcPr>
          <w:p>
            <w:pPr>
              <w:jc w:val="center"/>
              <w:rPr>
                <w:szCs w:val="21"/>
              </w:rPr>
            </w:pPr>
            <w:r>
              <w:rPr>
                <w:rFonts w:hint="eastAsia"/>
                <w:szCs w:val="21"/>
              </w:rPr>
              <w:t>+0.01t/a</w:t>
            </w:r>
          </w:p>
        </w:tc>
      </w:tr>
    </w:tbl>
    <w:p>
      <w:pPr>
        <w:pStyle w:val="87"/>
        <w:spacing w:before="192" w:beforeLines="80" w:after="24"/>
        <w:jc w:val="left"/>
        <w:rPr>
          <w:rFonts w:ascii="Times New Roman"/>
          <w:color w:val="000000"/>
        </w:rPr>
      </w:pPr>
      <w:r>
        <w:rPr>
          <w:rFonts w:ascii="Times New Roman"/>
          <w:snapToGrid w:val="0"/>
          <w:color w:val="000000"/>
          <w:kern w:val="21"/>
          <w:szCs w:val="21"/>
        </w:rPr>
        <w:t>注：</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olor w:val="000000"/>
          <w:szCs w:val="21"/>
        </w:rPr>
        <w:t>①</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hint="eastAsia" w:ascii="Times New Roman"/>
          <w:color w:val="000000"/>
          <w:szCs w:val="21"/>
        </w:rPr>
        <w:t>③</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hint="eastAsia" w:ascii="Times New Roman"/>
          <w:color w:val="000000"/>
          <w:szCs w:val="21"/>
        </w:rPr>
        <w:t>④</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hint="eastAsia" w:ascii="Times New Roman"/>
          <w:color w:val="000000"/>
          <w:szCs w:val="21"/>
        </w:rPr>
        <w:t>⑤</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hint="eastAsia" w:ascii="Times New Roman"/>
          <w:color w:val="000000"/>
          <w:szCs w:val="21"/>
        </w:rPr>
        <w:t>⑦</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olor w:val="000000"/>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olor w:val="000000"/>
          <w:szCs w:val="21"/>
        </w:rPr>
        <w:t>①</w:t>
      </w:r>
      <w:r>
        <w:rPr>
          <w:rFonts w:ascii="Times New Roman"/>
          <w:snapToGrid w:val="0"/>
          <w:color w:val="000000"/>
          <w:spacing w:val="-6"/>
          <w:kern w:val="21"/>
          <w:szCs w:val="21"/>
        </w:rPr>
        <w:fldChar w:fldCharType="end"/>
      </w:r>
    </w:p>
    <w:p/>
    <w:p/>
    <w:p/>
    <w:p>
      <w:pPr>
        <w:sectPr>
          <w:footerReference r:id="rId4" w:type="default"/>
          <w:pgSz w:w="16838" w:h="11906" w:orient="landscape"/>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tbl>
      <w:tblPr>
        <w:tblStyle w:val="58"/>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06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265" w:hRule="atLeast"/>
        </w:trPr>
        <w:tc>
          <w:tcPr>
            <w:tcW w:w="5000" w:type="pct"/>
          </w:tcPr>
          <w:p>
            <w:pPr>
              <w:spacing w:line="400" w:lineRule="exact"/>
              <w:ind w:right="113"/>
              <w:rPr>
                <w:kern w:val="24"/>
                <w:sz w:val="28"/>
              </w:rPr>
            </w:pPr>
            <w:r>
              <w:rPr>
                <w:sz w:val="28"/>
              </w:rPr>
              <w:t>预审意见：</w:t>
            </w:r>
          </w:p>
          <w:p>
            <w:pPr>
              <w:spacing w:before="120" w:line="400" w:lineRule="exact"/>
              <w:ind w:left="113" w:right="113"/>
              <w:rPr>
                <w:kern w:val="24"/>
                <w:sz w:val="28"/>
              </w:rPr>
            </w:pPr>
          </w:p>
          <w:p>
            <w:pPr>
              <w:spacing w:before="120" w:line="400" w:lineRule="exact"/>
              <w:ind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r>
              <w:t xml:space="preserve">                                                                      </w:t>
            </w:r>
            <w:r>
              <w:rPr>
                <w:sz w:val="28"/>
              </w:rPr>
              <w:t xml:space="preserve"> 公章</w:t>
            </w:r>
          </w:p>
          <w:p>
            <w:pPr>
              <w:spacing w:before="120" w:line="400" w:lineRule="exact"/>
              <w:ind w:left="113" w:right="113"/>
              <w:rPr>
                <w:kern w:val="24"/>
                <w:sz w:val="28"/>
              </w:rPr>
            </w:pPr>
          </w:p>
          <w:p>
            <w:pPr>
              <w:spacing w:line="400" w:lineRule="exact"/>
              <w:jc w:val="left"/>
              <w:rPr>
                <w:rFonts w:eastAsia="黑体"/>
                <w:sz w:val="28"/>
                <w:szCs w:val="28"/>
              </w:rPr>
            </w:pPr>
            <w:r>
              <w:rPr>
                <w:sz w:val="28"/>
              </w:rPr>
              <w:t>经办人：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732" w:hRule="atLeast"/>
        </w:trPr>
        <w:tc>
          <w:tcPr>
            <w:tcW w:w="5000" w:type="pct"/>
          </w:tcPr>
          <w:p>
            <w:pPr>
              <w:spacing w:line="400" w:lineRule="exact"/>
              <w:ind w:right="113"/>
              <w:rPr>
                <w:kern w:val="24"/>
                <w:sz w:val="28"/>
              </w:rPr>
            </w:pPr>
            <w:r>
              <w:rPr>
                <w:sz w:val="28"/>
              </w:rPr>
              <w:t>下一级环境保护行政主管部门审查意见：</w:t>
            </w: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right="113"/>
              <w:rPr>
                <w:kern w:val="24"/>
                <w:sz w:val="28"/>
              </w:rPr>
            </w:pPr>
          </w:p>
          <w:p>
            <w:pPr>
              <w:spacing w:before="120" w:line="400" w:lineRule="exact"/>
              <w:ind w:left="113" w:right="113"/>
              <w:rPr>
                <w:kern w:val="24"/>
                <w:sz w:val="28"/>
              </w:rPr>
            </w:pPr>
            <w:r>
              <w:rPr>
                <w:sz w:val="28"/>
              </w:rPr>
              <w:t xml:space="preserve">                                                      公章</w:t>
            </w:r>
          </w:p>
          <w:p>
            <w:pPr>
              <w:spacing w:before="120" w:line="400" w:lineRule="exact"/>
              <w:ind w:left="113" w:right="113"/>
              <w:rPr>
                <w:kern w:val="24"/>
                <w:sz w:val="28"/>
              </w:rPr>
            </w:pPr>
          </w:p>
          <w:p>
            <w:pPr>
              <w:spacing w:before="120" w:beforeLines="50" w:after="120" w:afterLines="50" w:line="400" w:lineRule="exact"/>
              <w:jc w:val="left"/>
              <w:rPr>
                <w:sz w:val="28"/>
              </w:rPr>
            </w:pPr>
            <w:r>
              <w:rPr>
                <w:sz w:val="28"/>
              </w:rPr>
              <w:t>经办人：                                          年    月    日</w:t>
            </w:r>
          </w:p>
          <w:p>
            <w:pPr>
              <w:spacing w:before="120" w:line="400" w:lineRule="exact"/>
              <w:ind w:left="113" w:right="113"/>
              <w:rPr>
                <w:kern w:val="24"/>
                <w:sz w:val="28"/>
              </w:rPr>
            </w:pPr>
            <w:r>
              <w:rPr>
                <w:sz w:val="28"/>
              </w:rPr>
              <w:t>审批意见：</w:t>
            </w: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left="113" w:right="113"/>
              <w:rPr>
                <w:kern w:val="24"/>
                <w:sz w:val="28"/>
              </w:rPr>
            </w:pPr>
          </w:p>
          <w:p>
            <w:pPr>
              <w:spacing w:before="120" w:line="400" w:lineRule="exact"/>
              <w:ind w:right="113"/>
              <w:rPr>
                <w:kern w:val="24"/>
                <w:sz w:val="28"/>
              </w:rPr>
            </w:pPr>
          </w:p>
          <w:p>
            <w:pPr>
              <w:spacing w:before="120" w:line="400" w:lineRule="exact"/>
              <w:ind w:left="113" w:right="113"/>
              <w:rPr>
                <w:kern w:val="24"/>
                <w:sz w:val="28"/>
              </w:rPr>
            </w:pPr>
            <w:r>
              <w:t xml:space="preserve">   </w:t>
            </w:r>
            <w:r>
              <w:rPr>
                <w:sz w:val="28"/>
              </w:rPr>
              <w:t xml:space="preserve">                                                   公章</w:t>
            </w:r>
          </w:p>
          <w:p>
            <w:pPr>
              <w:spacing w:before="120" w:line="400" w:lineRule="exact"/>
              <w:ind w:left="113" w:right="113"/>
              <w:rPr>
                <w:kern w:val="24"/>
                <w:sz w:val="28"/>
              </w:rPr>
            </w:pPr>
          </w:p>
          <w:p>
            <w:pPr>
              <w:spacing w:before="120" w:beforeLines="50" w:after="120" w:afterLines="50" w:line="400" w:lineRule="exact"/>
              <w:jc w:val="left"/>
              <w:rPr>
                <w:sz w:val="28"/>
              </w:rPr>
            </w:pPr>
            <w:r>
              <w:rPr>
                <w:sz w:val="28"/>
              </w:rPr>
              <w:t>经办人：                                         年    月    日</w:t>
            </w:r>
          </w:p>
          <w:p>
            <w:pPr>
              <w:pStyle w:val="4"/>
              <w:jc w:val="center"/>
            </w:pPr>
          </w:p>
          <w:p>
            <w:pPr>
              <w:spacing w:line="560" w:lineRule="exact"/>
              <w:rPr>
                <w:color w:val="000000"/>
                <w:sz w:val="28"/>
              </w:rPr>
            </w:pPr>
          </w:p>
          <w:p>
            <w:pPr>
              <w:spacing w:line="560" w:lineRule="exact"/>
              <w:ind w:firstLine="560" w:firstLineChars="200"/>
              <w:rPr>
                <w:color w:val="000000"/>
                <w:sz w:val="28"/>
              </w:rPr>
            </w:pPr>
          </w:p>
          <w:p>
            <w:pPr>
              <w:spacing w:line="560" w:lineRule="exact"/>
              <w:ind w:firstLine="560" w:firstLineChars="200"/>
              <w:rPr>
                <w:color w:val="000000"/>
                <w:sz w:val="28"/>
              </w:rPr>
            </w:pPr>
          </w:p>
          <w:p>
            <w:pPr>
              <w:spacing w:line="560" w:lineRule="exact"/>
              <w:ind w:firstLine="560" w:firstLineChars="200"/>
              <w:rPr>
                <w:color w:val="000000"/>
                <w:sz w:val="28"/>
              </w:rPr>
            </w:pPr>
          </w:p>
          <w:p>
            <w:pPr>
              <w:spacing w:line="560" w:lineRule="exact"/>
              <w:ind w:firstLine="560" w:firstLineChars="200"/>
              <w:rPr>
                <w:color w:val="000000"/>
                <w:sz w:val="28"/>
              </w:rPr>
            </w:pPr>
          </w:p>
          <w:p>
            <w:pPr>
              <w:spacing w:line="560" w:lineRule="exact"/>
              <w:ind w:firstLine="560" w:firstLineChars="200"/>
              <w:rPr>
                <w:color w:val="000000"/>
                <w:sz w:val="28"/>
              </w:rPr>
            </w:pPr>
          </w:p>
          <w:p>
            <w:pPr>
              <w:spacing w:line="560" w:lineRule="exact"/>
              <w:rPr>
                <w:color w:val="000000"/>
                <w:sz w:val="28"/>
              </w:rPr>
            </w:pPr>
          </w:p>
          <w:p>
            <w:pPr>
              <w:spacing w:line="560" w:lineRule="exact"/>
              <w:rPr>
                <w:color w:val="000000"/>
                <w:sz w:val="28"/>
              </w:rPr>
            </w:pPr>
          </w:p>
          <w:p>
            <w:pPr>
              <w:spacing w:line="560" w:lineRule="exact"/>
              <w:ind w:firstLine="560" w:firstLineChars="200"/>
              <w:rPr>
                <w:color w:val="000000"/>
                <w:sz w:val="28"/>
              </w:rPr>
            </w:pPr>
          </w:p>
          <w:p>
            <w:pPr>
              <w:spacing w:line="560" w:lineRule="exact"/>
              <w:rPr>
                <w:color w:val="000000"/>
                <w:sz w:val="28"/>
              </w:rPr>
            </w:pPr>
          </w:p>
          <w:p>
            <w:pPr>
              <w:spacing w:line="560" w:lineRule="exact"/>
              <w:rPr>
                <w:color w:val="000000"/>
                <w:sz w:val="28"/>
              </w:rPr>
            </w:pPr>
          </w:p>
        </w:tc>
      </w:tr>
    </w:tbl>
    <w:p>
      <w:pPr>
        <w:widowControl/>
        <w:spacing w:line="440" w:lineRule="exact"/>
        <w:jc w:val="left"/>
        <w:rPr>
          <w:b/>
          <w:color w:val="000000"/>
          <w:kern w:val="0"/>
          <w:sz w:val="24"/>
        </w:rPr>
        <w:sectPr>
          <w:footerReference r:id="rId5" w:type="default"/>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widowControl/>
        <w:spacing w:line="440" w:lineRule="exact"/>
        <w:jc w:val="left"/>
        <w:rPr>
          <w:b/>
          <w:color w:val="000000"/>
          <w:kern w:val="0"/>
          <w:sz w:val="24"/>
        </w:rPr>
      </w:pPr>
      <w:r>
        <w:rPr>
          <w:rFonts w:hint="eastAsia"/>
          <w:b/>
          <w:color w:val="000000"/>
          <w:kern w:val="0"/>
          <w:sz w:val="24"/>
        </w:rPr>
        <w:t>附件:</w:t>
      </w:r>
    </w:p>
    <w:p>
      <w:pPr>
        <w:widowControl/>
        <w:spacing w:line="360" w:lineRule="auto"/>
        <w:ind w:firstLine="700" w:firstLineChars="292"/>
        <w:jc w:val="left"/>
        <w:rPr>
          <w:color w:val="000000"/>
          <w:kern w:val="0"/>
          <w:sz w:val="24"/>
        </w:rPr>
      </w:pPr>
      <w:r>
        <w:rPr>
          <w:color w:val="000000"/>
          <w:kern w:val="0"/>
          <w:sz w:val="24"/>
        </w:rPr>
        <w:t>附件1  委托书</w:t>
      </w:r>
    </w:p>
    <w:p>
      <w:pPr>
        <w:widowControl/>
        <w:spacing w:line="360" w:lineRule="auto"/>
        <w:ind w:firstLine="700" w:firstLineChars="292"/>
        <w:jc w:val="left"/>
        <w:rPr>
          <w:color w:val="000000"/>
          <w:kern w:val="0"/>
          <w:sz w:val="24"/>
        </w:rPr>
      </w:pPr>
      <w:r>
        <w:rPr>
          <w:color w:val="000000"/>
          <w:kern w:val="0"/>
          <w:sz w:val="24"/>
        </w:rPr>
        <w:t>附件2  危废</w:t>
      </w:r>
      <w:r>
        <w:rPr>
          <w:rFonts w:hint="eastAsia"/>
          <w:color w:val="000000"/>
          <w:kern w:val="0"/>
          <w:sz w:val="24"/>
        </w:rPr>
        <w:t>承诺</w:t>
      </w:r>
    </w:p>
    <w:p>
      <w:pPr>
        <w:widowControl/>
        <w:spacing w:line="360" w:lineRule="auto"/>
        <w:ind w:firstLine="700" w:firstLineChars="292"/>
        <w:jc w:val="left"/>
        <w:rPr>
          <w:color w:val="000000"/>
          <w:kern w:val="0"/>
          <w:sz w:val="24"/>
        </w:rPr>
      </w:pPr>
      <w:r>
        <w:rPr>
          <w:color w:val="000000"/>
          <w:kern w:val="0"/>
          <w:sz w:val="24"/>
        </w:rPr>
        <w:t>附件3  真实性承诺</w:t>
      </w:r>
    </w:p>
    <w:p>
      <w:pPr>
        <w:widowControl/>
        <w:spacing w:line="360" w:lineRule="auto"/>
        <w:ind w:firstLine="700" w:firstLineChars="292"/>
        <w:jc w:val="left"/>
        <w:rPr>
          <w:color w:val="000000"/>
          <w:kern w:val="0"/>
          <w:sz w:val="24"/>
        </w:rPr>
      </w:pPr>
      <w:r>
        <w:rPr>
          <w:color w:val="000000"/>
          <w:kern w:val="0"/>
          <w:sz w:val="24"/>
        </w:rPr>
        <w:t xml:space="preserve">附件4  </w:t>
      </w:r>
      <w:r>
        <w:rPr>
          <w:rFonts w:hint="eastAsia"/>
          <w:color w:val="000000"/>
          <w:kern w:val="0"/>
          <w:sz w:val="24"/>
        </w:rPr>
        <w:t>项目备案表</w:t>
      </w:r>
    </w:p>
    <w:p>
      <w:pPr>
        <w:widowControl/>
        <w:spacing w:line="360" w:lineRule="auto"/>
        <w:ind w:firstLine="700" w:firstLineChars="292"/>
        <w:jc w:val="left"/>
        <w:rPr>
          <w:color w:val="000000"/>
          <w:kern w:val="0"/>
          <w:sz w:val="24"/>
        </w:rPr>
      </w:pPr>
      <w:r>
        <w:rPr>
          <w:color w:val="000000"/>
          <w:kern w:val="0"/>
          <w:sz w:val="24"/>
        </w:rPr>
        <w:t>附件</w:t>
      </w:r>
      <w:r>
        <w:rPr>
          <w:rFonts w:hint="eastAsia"/>
          <w:color w:val="000000"/>
          <w:kern w:val="0"/>
          <w:sz w:val="24"/>
        </w:rPr>
        <w:t>5</w:t>
      </w:r>
      <w:r>
        <w:rPr>
          <w:color w:val="000000"/>
          <w:kern w:val="0"/>
          <w:sz w:val="24"/>
        </w:rPr>
        <w:t xml:space="preserve">  营业执照</w:t>
      </w:r>
    </w:p>
    <w:p>
      <w:pPr>
        <w:widowControl/>
        <w:spacing w:line="360" w:lineRule="auto"/>
        <w:ind w:firstLine="700" w:firstLineChars="292"/>
        <w:jc w:val="left"/>
        <w:rPr>
          <w:color w:val="262626" w:themeColor="text1" w:themeTint="D9"/>
          <w:kern w:val="0"/>
          <w:sz w:val="24"/>
          <w14:textFill>
            <w14:solidFill>
              <w14:schemeClr w14:val="tx1">
                <w14:lumMod w14:val="85000"/>
                <w14:lumOff w14:val="15000"/>
              </w14:schemeClr>
            </w14:solidFill>
          </w14:textFill>
        </w:rPr>
      </w:pPr>
      <w:r>
        <w:rPr>
          <w:color w:val="262626" w:themeColor="text1" w:themeTint="D9"/>
          <w:kern w:val="0"/>
          <w:sz w:val="24"/>
          <w14:textFill>
            <w14:solidFill>
              <w14:schemeClr w14:val="tx1">
                <w14:lumMod w14:val="85000"/>
                <w14:lumOff w14:val="15000"/>
              </w14:schemeClr>
            </w14:solidFill>
          </w14:textFill>
        </w:rPr>
        <w:t>附件</w:t>
      </w:r>
      <w:r>
        <w:rPr>
          <w:rFonts w:hint="eastAsia"/>
          <w:color w:val="262626" w:themeColor="text1" w:themeTint="D9"/>
          <w:kern w:val="0"/>
          <w:sz w:val="24"/>
          <w14:textFill>
            <w14:solidFill>
              <w14:schemeClr w14:val="tx1">
                <w14:lumMod w14:val="85000"/>
                <w14:lumOff w14:val="15000"/>
              </w14:schemeClr>
            </w14:solidFill>
          </w14:textFill>
        </w:rPr>
        <w:t>6</w:t>
      </w:r>
      <w:r>
        <w:rPr>
          <w:color w:val="262626" w:themeColor="text1" w:themeTint="D9"/>
          <w:kern w:val="0"/>
          <w:sz w:val="24"/>
          <w14:textFill>
            <w14:solidFill>
              <w14:schemeClr w14:val="tx1">
                <w14:lumMod w14:val="85000"/>
                <w14:lumOff w14:val="15000"/>
              </w14:schemeClr>
            </w14:solidFill>
          </w14:textFill>
        </w:rPr>
        <w:t xml:space="preserve">  </w:t>
      </w:r>
      <w:r>
        <w:rPr>
          <w:rFonts w:hint="eastAsia"/>
          <w:color w:val="262626" w:themeColor="text1" w:themeTint="D9"/>
          <w:kern w:val="0"/>
          <w:sz w:val="24"/>
          <w14:textFill>
            <w14:solidFill>
              <w14:schemeClr w14:val="tx1">
                <w14:lumMod w14:val="85000"/>
                <w14:lumOff w14:val="15000"/>
              </w14:schemeClr>
            </w14:solidFill>
          </w14:textFill>
        </w:rPr>
        <w:t>土地证</w:t>
      </w:r>
    </w:p>
    <w:p>
      <w:pPr>
        <w:widowControl/>
        <w:spacing w:line="360" w:lineRule="auto"/>
        <w:ind w:firstLine="700" w:firstLineChars="292"/>
        <w:jc w:val="left"/>
        <w:rPr>
          <w:color w:val="262626" w:themeColor="text1" w:themeTint="D9"/>
          <w:kern w:val="0"/>
          <w:sz w:val="24"/>
          <w14:textFill>
            <w14:solidFill>
              <w14:schemeClr w14:val="tx1">
                <w14:lumMod w14:val="85000"/>
                <w14:lumOff w14:val="15000"/>
              </w14:schemeClr>
            </w14:solidFill>
          </w14:textFill>
        </w:rPr>
      </w:pPr>
      <w:r>
        <w:rPr>
          <w:color w:val="262626" w:themeColor="text1" w:themeTint="D9"/>
          <w:kern w:val="0"/>
          <w:sz w:val="24"/>
          <w14:textFill>
            <w14:solidFill>
              <w14:schemeClr w14:val="tx1">
                <w14:lumMod w14:val="85000"/>
                <w14:lumOff w14:val="15000"/>
              </w14:schemeClr>
            </w14:solidFill>
          </w14:textFill>
        </w:rPr>
        <w:t>附件</w:t>
      </w:r>
      <w:r>
        <w:rPr>
          <w:rFonts w:hint="eastAsia"/>
          <w:color w:val="262626" w:themeColor="text1" w:themeTint="D9"/>
          <w:kern w:val="0"/>
          <w:sz w:val="24"/>
          <w14:textFill>
            <w14:solidFill>
              <w14:schemeClr w14:val="tx1">
                <w14:lumMod w14:val="85000"/>
                <w14:lumOff w14:val="15000"/>
              </w14:schemeClr>
            </w14:solidFill>
          </w14:textFill>
        </w:rPr>
        <w:t>7</w:t>
      </w:r>
      <w:r>
        <w:rPr>
          <w:color w:val="262626" w:themeColor="text1" w:themeTint="D9"/>
          <w:kern w:val="0"/>
          <w:sz w:val="24"/>
          <w14:textFill>
            <w14:solidFill>
              <w14:schemeClr w14:val="tx1">
                <w14:lumMod w14:val="85000"/>
                <w14:lumOff w14:val="15000"/>
              </w14:schemeClr>
            </w14:solidFill>
          </w14:textFill>
        </w:rPr>
        <w:t xml:space="preserve">  </w:t>
      </w:r>
      <w:r>
        <w:rPr>
          <w:rFonts w:hint="eastAsia"/>
          <w:color w:val="262626" w:themeColor="text1" w:themeTint="D9"/>
          <w:kern w:val="0"/>
          <w:sz w:val="24"/>
          <w14:textFill>
            <w14:solidFill>
              <w14:schemeClr w14:val="tx1">
                <w14:lumMod w14:val="85000"/>
                <w14:lumOff w14:val="15000"/>
              </w14:schemeClr>
            </w14:solidFill>
          </w14:textFill>
        </w:rPr>
        <w:t>漆料MSDS</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附件8  漆料检测报告</w:t>
      </w:r>
    </w:p>
    <w:p>
      <w:pPr>
        <w:widowControl/>
        <w:spacing w:line="360" w:lineRule="auto"/>
        <w:ind w:firstLine="700" w:firstLineChars="292"/>
        <w:jc w:val="left"/>
        <w:rPr>
          <w:color w:val="262626" w:themeColor="text1" w:themeTint="D9"/>
          <w:kern w:val="0"/>
          <w:sz w:val="24"/>
          <w14:textFill>
            <w14:solidFill>
              <w14:schemeClr w14:val="tx1">
                <w14:lumMod w14:val="85000"/>
                <w14:lumOff w14:val="1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 xml:space="preserve">附件9  </w:t>
      </w:r>
      <w:r>
        <w:rPr>
          <w:rFonts w:hint="eastAsia"/>
          <w:color w:val="262626" w:themeColor="text1" w:themeTint="D9"/>
          <w:kern w:val="0"/>
          <w:sz w:val="24"/>
          <w14:textFill>
            <w14:solidFill>
              <w14:schemeClr w14:val="tx1">
                <w14:lumMod w14:val="85000"/>
                <w14:lumOff w14:val="15000"/>
              </w14:schemeClr>
            </w14:solidFill>
          </w14:textFill>
        </w:rPr>
        <w:t>建设项目排污许可申请与填报信息表</w:t>
      </w:r>
    </w:p>
    <w:p>
      <w:pPr>
        <w:widowControl/>
        <w:spacing w:line="360" w:lineRule="auto"/>
        <w:ind w:firstLine="700" w:firstLineChars="292"/>
        <w:jc w:val="left"/>
        <w:rPr>
          <w:color w:val="262626" w:themeColor="text1" w:themeTint="D9"/>
          <w:kern w:val="0"/>
          <w:sz w:val="24"/>
          <w14:textFill>
            <w14:solidFill>
              <w14:schemeClr w14:val="tx1">
                <w14:lumMod w14:val="85000"/>
                <w14:lumOff w14:val="15000"/>
              </w14:schemeClr>
            </w14:solidFill>
          </w14:textFill>
        </w:rPr>
      </w:pPr>
      <w:r>
        <w:rPr>
          <w:rFonts w:hint="eastAsia"/>
          <w:color w:val="262626" w:themeColor="text1" w:themeTint="D9"/>
          <w:kern w:val="0"/>
          <w:sz w:val="24"/>
          <w14:textFill>
            <w14:solidFill>
              <w14:schemeClr w14:val="tx1">
                <w14:lumMod w14:val="85000"/>
                <w14:lumOff w14:val="15000"/>
              </w14:schemeClr>
            </w14:solidFill>
          </w14:textFill>
        </w:rPr>
        <w:t>附件10 原项目环评批复</w:t>
      </w:r>
    </w:p>
    <w:p>
      <w:pPr>
        <w:widowControl/>
        <w:spacing w:line="360" w:lineRule="auto"/>
        <w:ind w:firstLine="700" w:firstLineChars="292"/>
        <w:jc w:val="left"/>
        <w:rPr>
          <w:color w:val="262626" w:themeColor="text1" w:themeTint="D9"/>
          <w:kern w:val="0"/>
          <w:sz w:val="24"/>
          <w14:textFill>
            <w14:solidFill>
              <w14:schemeClr w14:val="tx1">
                <w14:lumMod w14:val="85000"/>
                <w14:lumOff w14:val="15000"/>
              </w14:schemeClr>
            </w14:solidFill>
          </w14:textFill>
        </w:rPr>
      </w:pPr>
      <w:r>
        <w:rPr>
          <w:rFonts w:hint="eastAsia"/>
          <w:color w:val="262626" w:themeColor="text1" w:themeTint="D9"/>
          <w:kern w:val="0"/>
          <w:sz w:val="24"/>
          <w14:textFill>
            <w14:solidFill>
              <w14:schemeClr w14:val="tx1">
                <w14:lumMod w14:val="85000"/>
                <w14:lumOff w14:val="15000"/>
              </w14:schemeClr>
            </w14:solidFill>
          </w14:textFill>
        </w:rPr>
        <w:t>附件11 原有项目验收审查意见</w:t>
      </w:r>
    </w:p>
    <w:p>
      <w:pPr>
        <w:widowControl/>
        <w:spacing w:line="360" w:lineRule="auto"/>
        <w:ind w:firstLine="700" w:firstLineChars="292"/>
        <w:jc w:val="left"/>
        <w:rPr>
          <w:color w:val="262626" w:themeColor="text1" w:themeTint="D9"/>
          <w:kern w:val="0"/>
          <w:sz w:val="24"/>
          <w14:textFill>
            <w14:solidFill>
              <w14:schemeClr w14:val="tx1">
                <w14:lumMod w14:val="85000"/>
                <w14:lumOff w14:val="15000"/>
              </w14:schemeClr>
            </w14:solidFill>
          </w14:textFill>
        </w:rPr>
      </w:pPr>
      <w:r>
        <w:rPr>
          <w:rFonts w:hint="eastAsia"/>
          <w:color w:val="262626" w:themeColor="text1" w:themeTint="D9"/>
          <w:kern w:val="0"/>
          <w:sz w:val="24"/>
          <w14:textFill>
            <w14:solidFill>
              <w14:schemeClr w14:val="tx1">
                <w14:lumMod w14:val="85000"/>
                <w14:lumOff w14:val="15000"/>
              </w14:schemeClr>
            </w14:solidFill>
          </w14:textFill>
        </w:rPr>
        <w:t>附近12 原环评排污许可证</w:t>
      </w:r>
    </w:p>
    <w:p>
      <w:pPr>
        <w:widowControl/>
        <w:spacing w:line="360" w:lineRule="auto"/>
        <w:ind w:firstLine="700" w:firstLineChars="292"/>
        <w:jc w:val="left"/>
        <w:rPr>
          <w:color w:val="262626" w:themeColor="text1" w:themeTint="D9"/>
          <w:kern w:val="0"/>
          <w:sz w:val="24"/>
          <w14:textFill>
            <w14:solidFill>
              <w14:schemeClr w14:val="tx1">
                <w14:lumMod w14:val="85000"/>
                <w14:lumOff w14:val="15000"/>
              </w14:schemeClr>
            </w14:solidFill>
          </w14:textFill>
        </w:rPr>
      </w:pPr>
      <w:r>
        <w:rPr>
          <w:rFonts w:hint="eastAsia"/>
          <w:color w:val="262626" w:themeColor="text1" w:themeTint="D9"/>
          <w:kern w:val="0"/>
          <w:sz w:val="24"/>
          <w14:textFill>
            <w14:solidFill>
              <w14:schemeClr w14:val="tx1">
                <w14:lumMod w14:val="85000"/>
                <w14:lumOff w14:val="15000"/>
              </w14:schemeClr>
            </w14:solidFill>
          </w14:textFill>
        </w:rPr>
        <w:t>附件13 危废协议</w:t>
      </w:r>
    </w:p>
    <w:p>
      <w:pPr>
        <w:widowControl/>
        <w:spacing w:line="440" w:lineRule="exact"/>
        <w:jc w:val="left"/>
        <w:rPr>
          <w:b/>
          <w:color w:val="000000"/>
          <w:kern w:val="0"/>
          <w:sz w:val="24"/>
        </w:rPr>
      </w:pPr>
      <w:r>
        <w:rPr>
          <w:rFonts w:hint="eastAsia"/>
          <w:b/>
          <w:color w:val="000000"/>
          <w:kern w:val="0"/>
          <w:sz w:val="24"/>
        </w:rPr>
        <w:t>附图:</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r>
        <w:rPr>
          <w:color w:val="0D0D0D" w:themeColor="text1" w:themeTint="F2"/>
          <w:kern w:val="0"/>
          <w:sz w:val="24"/>
          <w14:textFill>
            <w14:solidFill>
              <w14:schemeClr w14:val="tx1">
                <w14:lumMod w14:val="95000"/>
                <w14:lumOff w14:val="5000"/>
              </w14:schemeClr>
            </w14:solidFill>
          </w14:textFill>
        </w:rPr>
        <w:t>附图1  项目地理</w:t>
      </w:r>
      <w:r>
        <w:rPr>
          <w:rFonts w:hint="eastAsia"/>
          <w:color w:val="0D0D0D" w:themeColor="text1" w:themeTint="F2"/>
          <w:kern w:val="0"/>
          <w:sz w:val="24"/>
          <w14:textFill>
            <w14:solidFill>
              <w14:schemeClr w14:val="tx1">
                <w14:lumMod w14:val="95000"/>
                <w14:lumOff w14:val="5000"/>
              </w14:schemeClr>
            </w14:solidFill>
          </w14:textFill>
        </w:rPr>
        <w:t>位置</w:t>
      </w:r>
      <w:r>
        <w:rPr>
          <w:color w:val="0D0D0D" w:themeColor="text1" w:themeTint="F2"/>
          <w:kern w:val="0"/>
          <w:sz w:val="24"/>
          <w14:textFill>
            <w14:solidFill>
              <w14:schemeClr w14:val="tx1">
                <w14:lumMod w14:val="95000"/>
                <w14:lumOff w14:val="5000"/>
              </w14:schemeClr>
            </w14:solidFill>
          </w14:textFill>
        </w:rPr>
        <w:t>图</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r>
        <w:rPr>
          <w:color w:val="0D0D0D" w:themeColor="text1" w:themeTint="F2"/>
          <w:kern w:val="0"/>
          <w:sz w:val="24"/>
          <w14:textFill>
            <w14:solidFill>
              <w14:schemeClr w14:val="tx1">
                <w14:lumMod w14:val="95000"/>
                <w14:lumOff w14:val="5000"/>
              </w14:schemeClr>
            </w14:solidFill>
          </w14:textFill>
        </w:rPr>
        <w:t xml:space="preserve">附图2  </w:t>
      </w:r>
      <w:r>
        <w:rPr>
          <w:rFonts w:hint="eastAsia"/>
          <w:color w:val="0D0D0D" w:themeColor="text1" w:themeTint="F2"/>
          <w:kern w:val="0"/>
          <w:sz w:val="24"/>
          <w14:textFill>
            <w14:solidFill>
              <w14:schemeClr w14:val="tx1">
                <w14:lumMod w14:val="95000"/>
                <w14:lumOff w14:val="5000"/>
              </w14:schemeClr>
            </w14:solidFill>
          </w14:textFill>
        </w:rPr>
        <w:t>项目</w:t>
      </w:r>
      <w:r>
        <w:rPr>
          <w:color w:val="0D0D0D" w:themeColor="text1" w:themeTint="F2"/>
          <w:kern w:val="0"/>
          <w:sz w:val="24"/>
          <w14:textFill>
            <w14:solidFill>
              <w14:schemeClr w14:val="tx1">
                <w14:lumMod w14:val="95000"/>
                <w14:lumOff w14:val="5000"/>
              </w14:schemeClr>
            </w14:solidFill>
          </w14:textFill>
        </w:rPr>
        <w:t>周边关系图</w:t>
      </w:r>
    </w:p>
    <w:p>
      <w:pPr>
        <w:widowControl/>
        <w:spacing w:line="360" w:lineRule="auto"/>
        <w:ind w:firstLine="700" w:firstLineChars="292"/>
        <w:jc w:val="left"/>
        <w:rPr>
          <w:rStyle w:val="72"/>
          <w:kern w:val="0"/>
          <w:szCs w:val="20"/>
        </w:rPr>
      </w:pPr>
      <w:r>
        <w:rPr>
          <w:color w:val="0D0D0D" w:themeColor="text1" w:themeTint="F2"/>
          <w:kern w:val="0"/>
          <w:sz w:val="24"/>
          <w14:textFill>
            <w14:solidFill>
              <w14:schemeClr w14:val="tx1">
                <w14:lumMod w14:val="95000"/>
                <w14:lumOff w14:val="5000"/>
              </w14:schemeClr>
            </w14:solidFill>
          </w14:textFill>
        </w:rPr>
        <w:t>附图3  项目平面布置图</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附图4  芜湖鸠江经开区地理位置图</w:t>
      </w:r>
    </w:p>
    <w:p>
      <w:pPr>
        <w:pStyle w:val="53"/>
        <w:adjustRightInd w:val="0"/>
        <w:snapToGrid w:val="0"/>
        <w:spacing w:before="648" w:beforeLines="270" w:beforeAutospacing="0" w:after="648" w:afterLines="270" w:afterAutospacing="0"/>
        <w:outlineLvl w:val="0"/>
        <w:rPr>
          <w:rFonts w:ascii="Times New Roman" w:hAnsi="Times New Roman"/>
          <w:color w:val="000000"/>
        </w:rPr>
      </w:pPr>
    </w:p>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Black">
    <w:panose1 w:val="020B0A04020102020204"/>
    <w:charset w:val="00"/>
    <w:family w:val="swiss"/>
    <w:pitch w:val="default"/>
    <w:sig w:usb0="A00002AF" w:usb1="400078FB" w:usb2="00000000" w:usb3="00000000" w:csb0="6000009F" w:csb1="DFD7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TimesNewRoman">
    <w:altName w:val="Times New Roman"/>
    <w:panose1 w:val="00000000000000000000"/>
    <w:charset w:val="00"/>
    <w:family w:val="roman"/>
    <w:pitch w:val="default"/>
    <w:sig w:usb0="00000000" w:usb1="00000000" w:usb2="00000010" w:usb3="00000000" w:csb0="00040001" w:csb1="00000000"/>
  </w:font>
  <w:font w:name="ˎ̥">
    <w:altName w:val="Times New Roman"/>
    <w:panose1 w:val="00000000000000000000"/>
    <w:charset w:val="00"/>
    <w:family w:val="roman"/>
    <w:pitch w:val="default"/>
    <w:sig w:usb0="00000000" w:usb1="00000000" w:usb2="00000000" w:usb3="00000000" w:csb0="00000000" w:csb1="00000000"/>
  </w:font>
  <w:font w:name="方正魏碑简体">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Lucida Console">
    <w:panose1 w:val="020B0609040504020204"/>
    <w:charset w:val="00"/>
    <w:family w:val="modern"/>
    <w:pitch w:val="default"/>
    <w:sig w:usb0="8000028F" w:usb1="00001800" w:usb2="00000000" w:usb3="00000000" w:csb0="0000001F" w:csb1="D7D7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汉鼎简书宋">
    <w:altName w:val="宋体"/>
    <w:panose1 w:val="00000000000000000000"/>
    <w:charset w:val="86"/>
    <w:family w:val="modern"/>
    <w:pitch w:val="default"/>
    <w:sig w:usb0="00000000" w:usb1="00000000" w:usb2="0000001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Georgia">
    <w:panose1 w:val="02040502050405020303"/>
    <w:charset w:val="00"/>
    <w:family w:val="roman"/>
    <w:pitch w:val="default"/>
    <w:sig w:usb0="00000287" w:usb1="00000000" w:usb2="00000000" w:usb3="00000000" w:csb0="200000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TimesNewRomanPSMT">
    <w:altName w:val="Times New Roman"/>
    <w:panose1 w:val="00000000000000000000"/>
    <w:charset w:val="00"/>
    <w:family w:val="swiss"/>
    <w:pitch w:val="default"/>
    <w:sig w:usb0="00000000" w:usb1="00000000" w:usb2="00000010" w:usb3="00000000" w:csb0="00040001" w:csb1="00000000"/>
  </w:font>
  <w:font w:name="font-weight : 400">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FZShuSong-Z01">
    <w:altName w:val="宋体"/>
    <w:panose1 w:val="00000000000000000000"/>
    <w:charset w:val="86"/>
    <w:family w:val="roman"/>
    <w:pitch w:val="default"/>
    <w:sig w:usb0="00000000" w:usb1="00000000" w:usb2="00000010" w:usb3="00000000" w:csb0="00040000" w:csb1="00000000"/>
  </w:font>
  <w:font w:name="Helvetica">
    <w:panose1 w:val="020B0604020202020204"/>
    <w:charset w:val="00"/>
    <w:family w:val="swiss"/>
    <w:pitch w:val="default"/>
    <w:sig w:usb0="00000000" w:usb1="00000000" w:usb2="00000000" w:usb3="00000000" w:csb0="00000000" w:csb1="00000000"/>
  </w:font>
  <w:font w:name="Times">
    <w:altName w:val="CG Times"/>
    <w:panose1 w:val="02020603050405020304"/>
    <w:charset w:val="00"/>
    <w:family w:val="roman"/>
    <w:pitch w:val="default"/>
    <w:sig w:usb0="00000000" w:usb1="00000000" w:usb2="00000000" w:usb3="00000000" w:csb0="00000001" w:csb1="00000000"/>
  </w:font>
  <w:font w:name="CG Times">
    <w:panose1 w:val="02020603050405020304"/>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0"/>
    <w:family w:val="roman"/>
    <w:pitch w:val="default"/>
    <w:sig w:usb0="E00006FF" w:usb1="420024FF" w:usb2="02000000" w:usb3="00000000" w:csb0="2000019F" w:csb1="00000000"/>
  </w:font>
  <w:font w:name="ﾋﾎﾌ・">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 w:name="FZXBSJW--GB1-0">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3520974"/>
    </w:sdtPr>
    <w:sdtContent>
      <w:p>
        <w:pPr>
          <w:pStyle w:val="38"/>
          <w:jc w:val="center"/>
        </w:pPr>
        <w:r>
          <w:fldChar w:fldCharType="begin"/>
        </w:r>
        <w:r>
          <w:instrText xml:space="preserve">PAGE   \* MERGEFORMAT</w:instrText>
        </w:r>
        <w:r>
          <w:fldChar w:fldCharType="separate"/>
        </w:r>
        <w:r>
          <w:rPr>
            <w:lang w:val="zh-CN"/>
          </w:rPr>
          <w:t>47</w:t>
        </w:r>
        <w:r>
          <w:fldChar w:fldCharType="end"/>
        </w:r>
      </w:p>
    </w:sdtContent>
  </w:sdt>
  <w:p>
    <w:pPr>
      <w:pStyle w:val="3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margin" w:xAlign="center" w:y="1"/>
      <w:rPr>
        <w:rStyle w:val="67"/>
        <w:szCs w:val="18"/>
      </w:rPr>
    </w:pPr>
    <w:r>
      <w:rPr>
        <w:szCs w:val="18"/>
      </w:rPr>
      <w:fldChar w:fldCharType="begin"/>
    </w:r>
    <w:r>
      <w:rPr>
        <w:rStyle w:val="67"/>
        <w:szCs w:val="18"/>
      </w:rPr>
      <w:instrText xml:space="preserve">PAGE  </w:instrText>
    </w:r>
    <w:r>
      <w:rPr>
        <w:szCs w:val="18"/>
      </w:rPr>
      <w:fldChar w:fldCharType="separate"/>
    </w:r>
    <w:r>
      <w:rPr>
        <w:rStyle w:val="67"/>
        <w:szCs w:val="18"/>
      </w:rPr>
      <w:t>91</w:t>
    </w:r>
    <w:r>
      <w:rPr>
        <w:szCs w:val="18"/>
      </w:rPr>
      <w:fldChar w:fldCharType="end"/>
    </w:r>
    <w:r>
      <w:rPr>
        <w:rStyle w:val="67"/>
        <w:szCs w:val="18"/>
      </w:rPr>
      <w:t xml:space="preserve">  </w:t>
    </w:r>
  </w:p>
  <w:p>
    <w:pPr>
      <w:pStyle w:val="38"/>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page" w:x="5911" w:y="-7"/>
      <w:jc w:val="center"/>
      <w:rPr>
        <w:rStyle w:val="67"/>
        <w:szCs w:val="18"/>
      </w:rPr>
    </w:pPr>
    <w:r>
      <w:rPr>
        <w:szCs w:val="18"/>
      </w:rPr>
      <w:fldChar w:fldCharType="begin"/>
    </w:r>
    <w:r>
      <w:rPr>
        <w:rStyle w:val="67"/>
        <w:szCs w:val="18"/>
      </w:rPr>
      <w:instrText xml:space="preserve">PAGE  </w:instrText>
    </w:r>
    <w:r>
      <w:rPr>
        <w:szCs w:val="18"/>
      </w:rPr>
      <w:fldChar w:fldCharType="separate"/>
    </w:r>
    <w:r>
      <w:rPr>
        <w:rStyle w:val="67"/>
        <w:szCs w:val="18"/>
      </w:rPr>
      <w:t>95</w:t>
    </w:r>
    <w:r>
      <w:rPr>
        <w:szCs w:val="18"/>
      </w:rPr>
      <w:fldChar w:fldCharType="end"/>
    </w:r>
  </w:p>
  <w:p>
    <w:pPr>
      <w:pStyle w:val="38"/>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A61993"/>
    <w:multiLevelType w:val="multilevel"/>
    <w:tmpl w:val="30A61993"/>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pStyle w:val="613"/>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562C0D96"/>
    <w:multiLevelType w:val="multilevel"/>
    <w:tmpl w:val="562C0D96"/>
    <w:lvl w:ilvl="0" w:tentative="0">
      <w:start w:val="1"/>
      <w:numFmt w:val="decimalEnclosedCircle"/>
      <w:lvlText w:val="%1"/>
      <w:lvlJc w:val="left"/>
      <w:pPr>
        <w:ind w:left="840" w:hanging="360"/>
      </w:pPr>
      <w:rPr>
        <w:rFonts w:hint="default" w:ascii="宋体" w:hAnsi="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918"/>
    <w:rsid w:val="00000D9D"/>
    <w:rsid w:val="0000415B"/>
    <w:rsid w:val="000057D9"/>
    <w:rsid w:val="000060B3"/>
    <w:rsid w:val="0000620C"/>
    <w:rsid w:val="000067CF"/>
    <w:rsid w:val="00006D4E"/>
    <w:rsid w:val="000074F1"/>
    <w:rsid w:val="00007E9C"/>
    <w:rsid w:val="000109D9"/>
    <w:rsid w:val="000139A2"/>
    <w:rsid w:val="00013BF3"/>
    <w:rsid w:val="00015EDA"/>
    <w:rsid w:val="00016698"/>
    <w:rsid w:val="00016F87"/>
    <w:rsid w:val="00022272"/>
    <w:rsid w:val="00024738"/>
    <w:rsid w:val="000257C7"/>
    <w:rsid w:val="000275B9"/>
    <w:rsid w:val="000305FF"/>
    <w:rsid w:val="00030D4A"/>
    <w:rsid w:val="00034B41"/>
    <w:rsid w:val="00035F05"/>
    <w:rsid w:val="0003697F"/>
    <w:rsid w:val="0003702C"/>
    <w:rsid w:val="0004364B"/>
    <w:rsid w:val="0004422E"/>
    <w:rsid w:val="00045165"/>
    <w:rsid w:val="000510EC"/>
    <w:rsid w:val="000527EC"/>
    <w:rsid w:val="00054433"/>
    <w:rsid w:val="00054762"/>
    <w:rsid w:val="0005722E"/>
    <w:rsid w:val="0006193E"/>
    <w:rsid w:val="00061B1F"/>
    <w:rsid w:val="00062DD5"/>
    <w:rsid w:val="000634CE"/>
    <w:rsid w:val="00063B18"/>
    <w:rsid w:val="00064BCD"/>
    <w:rsid w:val="00065284"/>
    <w:rsid w:val="00067AB1"/>
    <w:rsid w:val="00067D7C"/>
    <w:rsid w:val="000705F6"/>
    <w:rsid w:val="000723C0"/>
    <w:rsid w:val="0007327B"/>
    <w:rsid w:val="000733C4"/>
    <w:rsid w:val="00074783"/>
    <w:rsid w:val="0007665A"/>
    <w:rsid w:val="00080241"/>
    <w:rsid w:val="0008070B"/>
    <w:rsid w:val="000810AC"/>
    <w:rsid w:val="000818A9"/>
    <w:rsid w:val="00081A02"/>
    <w:rsid w:val="00082231"/>
    <w:rsid w:val="0008242A"/>
    <w:rsid w:val="00082E22"/>
    <w:rsid w:val="00083847"/>
    <w:rsid w:val="000844AE"/>
    <w:rsid w:val="000859AD"/>
    <w:rsid w:val="00085C66"/>
    <w:rsid w:val="00092D38"/>
    <w:rsid w:val="0009377B"/>
    <w:rsid w:val="0009776F"/>
    <w:rsid w:val="000A20C9"/>
    <w:rsid w:val="000A38F5"/>
    <w:rsid w:val="000A72D1"/>
    <w:rsid w:val="000B008C"/>
    <w:rsid w:val="000B058F"/>
    <w:rsid w:val="000B0EB2"/>
    <w:rsid w:val="000B2982"/>
    <w:rsid w:val="000B37F8"/>
    <w:rsid w:val="000B4467"/>
    <w:rsid w:val="000B4758"/>
    <w:rsid w:val="000B4DB9"/>
    <w:rsid w:val="000C09AC"/>
    <w:rsid w:val="000C1EEF"/>
    <w:rsid w:val="000C3B23"/>
    <w:rsid w:val="000C3C0E"/>
    <w:rsid w:val="000C46B2"/>
    <w:rsid w:val="000C4D06"/>
    <w:rsid w:val="000C5AF7"/>
    <w:rsid w:val="000C767F"/>
    <w:rsid w:val="000D084F"/>
    <w:rsid w:val="000D3C2D"/>
    <w:rsid w:val="000D54A7"/>
    <w:rsid w:val="000D5A44"/>
    <w:rsid w:val="000D743D"/>
    <w:rsid w:val="000E0EEB"/>
    <w:rsid w:val="000E2241"/>
    <w:rsid w:val="000E3ED2"/>
    <w:rsid w:val="000E726B"/>
    <w:rsid w:val="000E7361"/>
    <w:rsid w:val="000E776A"/>
    <w:rsid w:val="000F10A3"/>
    <w:rsid w:val="000F39B2"/>
    <w:rsid w:val="000F4706"/>
    <w:rsid w:val="000F53E5"/>
    <w:rsid w:val="000F6DB3"/>
    <w:rsid w:val="001002A8"/>
    <w:rsid w:val="00102DE8"/>
    <w:rsid w:val="00107933"/>
    <w:rsid w:val="00111976"/>
    <w:rsid w:val="00111A58"/>
    <w:rsid w:val="00115793"/>
    <w:rsid w:val="00115D18"/>
    <w:rsid w:val="00116803"/>
    <w:rsid w:val="001170A6"/>
    <w:rsid w:val="0012037B"/>
    <w:rsid w:val="00123621"/>
    <w:rsid w:val="00123A1C"/>
    <w:rsid w:val="00123F8F"/>
    <w:rsid w:val="001240F6"/>
    <w:rsid w:val="00124DCE"/>
    <w:rsid w:val="001260D9"/>
    <w:rsid w:val="00127038"/>
    <w:rsid w:val="001307D6"/>
    <w:rsid w:val="00130E84"/>
    <w:rsid w:val="00131F42"/>
    <w:rsid w:val="00132BFF"/>
    <w:rsid w:val="00133B9C"/>
    <w:rsid w:val="001357F1"/>
    <w:rsid w:val="001400BD"/>
    <w:rsid w:val="00140FA8"/>
    <w:rsid w:val="00142FEB"/>
    <w:rsid w:val="00143A2D"/>
    <w:rsid w:val="00145A41"/>
    <w:rsid w:val="001466A4"/>
    <w:rsid w:val="001468AB"/>
    <w:rsid w:val="00147592"/>
    <w:rsid w:val="0014783C"/>
    <w:rsid w:val="0014786A"/>
    <w:rsid w:val="00150069"/>
    <w:rsid w:val="00150AAB"/>
    <w:rsid w:val="00151675"/>
    <w:rsid w:val="00153B93"/>
    <w:rsid w:val="001547D1"/>
    <w:rsid w:val="00157435"/>
    <w:rsid w:val="001607C3"/>
    <w:rsid w:val="001621B8"/>
    <w:rsid w:val="00164E0E"/>
    <w:rsid w:val="001655E8"/>
    <w:rsid w:val="00167E53"/>
    <w:rsid w:val="00170D27"/>
    <w:rsid w:val="00170EC5"/>
    <w:rsid w:val="00172A27"/>
    <w:rsid w:val="0017504D"/>
    <w:rsid w:val="0017671A"/>
    <w:rsid w:val="00177422"/>
    <w:rsid w:val="0018101A"/>
    <w:rsid w:val="001822E4"/>
    <w:rsid w:val="00183CF2"/>
    <w:rsid w:val="00184590"/>
    <w:rsid w:val="001848DB"/>
    <w:rsid w:val="0018696A"/>
    <w:rsid w:val="001870D1"/>
    <w:rsid w:val="0018781E"/>
    <w:rsid w:val="0019262D"/>
    <w:rsid w:val="0019405C"/>
    <w:rsid w:val="00194376"/>
    <w:rsid w:val="00195EC7"/>
    <w:rsid w:val="00196B42"/>
    <w:rsid w:val="001A04F1"/>
    <w:rsid w:val="001A062B"/>
    <w:rsid w:val="001A1AAA"/>
    <w:rsid w:val="001A1B35"/>
    <w:rsid w:val="001A1DB3"/>
    <w:rsid w:val="001A3AB4"/>
    <w:rsid w:val="001A48A2"/>
    <w:rsid w:val="001A4C34"/>
    <w:rsid w:val="001A4C40"/>
    <w:rsid w:val="001A54CB"/>
    <w:rsid w:val="001A6F61"/>
    <w:rsid w:val="001A7958"/>
    <w:rsid w:val="001A7E7E"/>
    <w:rsid w:val="001B1A4A"/>
    <w:rsid w:val="001B1DC5"/>
    <w:rsid w:val="001B2830"/>
    <w:rsid w:val="001B2BD1"/>
    <w:rsid w:val="001B6697"/>
    <w:rsid w:val="001B6943"/>
    <w:rsid w:val="001B72B8"/>
    <w:rsid w:val="001B7EF6"/>
    <w:rsid w:val="001C2E67"/>
    <w:rsid w:val="001C3227"/>
    <w:rsid w:val="001C69B3"/>
    <w:rsid w:val="001D5205"/>
    <w:rsid w:val="001D5595"/>
    <w:rsid w:val="001D760E"/>
    <w:rsid w:val="001D7874"/>
    <w:rsid w:val="001D7F22"/>
    <w:rsid w:val="001E0A5F"/>
    <w:rsid w:val="001E0E01"/>
    <w:rsid w:val="001E2ADF"/>
    <w:rsid w:val="001E3354"/>
    <w:rsid w:val="001E40FC"/>
    <w:rsid w:val="001E4BF7"/>
    <w:rsid w:val="001E4E0B"/>
    <w:rsid w:val="001E56A6"/>
    <w:rsid w:val="001F083F"/>
    <w:rsid w:val="001F0F17"/>
    <w:rsid w:val="001F10B7"/>
    <w:rsid w:val="001F163E"/>
    <w:rsid w:val="001F1C9A"/>
    <w:rsid w:val="001F3347"/>
    <w:rsid w:val="001F33A4"/>
    <w:rsid w:val="001F3C20"/>
    <w:rsid w:val="001F5C19"/>
    <w:rsid w:val="001F69E4"/>
    <w:rsid w:val="002004F6"/>
    <w:rsid w:val="0020234C"/>
    <w:rsid w:val="0020279B"/>
    <w:rsid w:val="002032FE"/>
    <w:rsid w:val="00203EC8"/>
    <w:rsid w:val="002125B4"/>
    <w:rsid w:val="0021355B"/>
    <w:rsid w:val="002135F7"/>
    <w:rsid w:val="00213A61"/>
    <w:rsid w:val="002143CC"/>
    <w:rsid w:val="00214DD7"/>
    <w:rsid w:val="002155B8"/>
    <w:rsid w:val="00216AE2"/>
    <w:rsid w:val="002218BD"/>
    <w:rsid w:val="002218CF"/>
    <w:rsid w:val="00221BCB"/>
    <w:rsid w:val="00222C0B"/>
    <w:rsid w:val="00224839"/>
    <w:rsid w:val="002249B2"/>
    <w:rsid w:val="00224A93"/>
    <w:rsid w:val="0022563E"/>
    <w:rsid w:val="00226574"/>
    <w:rsid w:val="002278EC"/>
    <w:rsid w:val="00227CD7"/>
    <w:rsid w:val="0023280E"/>
    <w:rsid w:val="00232F96"/>
    <w:rsid w:val="002332E7"/>
    <w:rsid w:val="0023406E"/>
    <w:rsid w:val="00236E2A"/>
    <w:rsid w:val="002373A9"/>
    <w:rsid w:val="002377D1"/>
    <w:rsid w:val="00244008"/>
    <w:rsid w:val="00246B70"/>
    <w:rsid w:val="0024757D"/>
    <w:rsid w:val="002506BC"/>
    <w:rsid w:val="002529DD"/>
    <w:rsid w:val="002539C8"/>
    <w:rsid w:val="00254345"/>
    <w:rsid w:val="00255874"/>
    <w:rsid w:val="00255A4E"/>
    <w:rsid w:val="00260166"/>
    <w:rsid w:val="00261559"/>
    <w:rsid w:val="002618E2"/>
    <w:rsid w:val="00262C66"/>
    <w:rsid w:val="00264557"/>
    <w:rsid w:val="00264A17"/>
    <w:rsid w:val="00264BE1"/>
    <w:rsid w:val="00264F36"/>
    <w:rsid w:val="00267103"/>
    <w:rsid w:val="002705DE"/>
    <w:rsid w:val="00271114"/>
    <w:rsid w:val="002721CD"/>
    <w:rsid w:val="00272C40"/>
    <w:rsid w:val="0027328D"/>
    <w:rsid w:val="002805AB"/>
    <w:rsid w:val="00282EE6"/>
    <w:rsid w:val="00284204"/>
    <w:rsid w:val="00286242"/>
    <w:rsid w:val="0029126A"/>
    <w:rsid w:val="00291773"/>
    <w:rsid w:val="002924F8"/>
    <w:rsid w:val="00292519"/>
    <w:rsid w:val="00294828"/>
    <w:rsid w:val="002949AB"/>
    <w:rsid w:val="00297FE4"/>
    <w:rsid w:val="002A042F"/>
    <w:rsid w:val="002A168C"/>
    <w:rsid w:val="002A1CC0"/>
    <w:rsid w:val="002A3DC7"/>
    <w:rsid w:val="002A553E"/>
    <w:rsid w:val="002A7011"/>
    <w:rsid w:val="002A73CB"/>
    <w:rsid w:val="002A7A9E"/>
    <w:rsid w:val="002B11F1"/>
    <w:rsid w:val="002B17E9"/>
    <w:rsid w:val="002B3110"/>
    <w:rsid w:val="002B3128"/>
    <w:rsid w:val="002B49E2"/>
    <w:rsid w:val="002B5174"/>
    <w:rsid w:val="002B530F"/>
    <w:rsid w:val="002B602D"/>
    <w:rsid w:val="002B66C8"/>
    <w:rsid w:val="002B7B00"/>
    <w:rsid w:val="002B7C44"/>
    <w:rsid w:val="002C1D63"/>
    <w:rsid w:val="002C2B17"/>
    <w:rsid w:val="002C4DC7"/>
    <w:rsid w:val="002D03C3"/>
    <w:rsid w:val="002D1631"/>
    <w:rsid w:val="002D1773"/>
    <w:rsid w:val="002D2849"/>
    <w:rsid w:val="002D3B02"/>
    <w:rsid w:val="002D3DD0"/>
    <w:rsid w:val="002D41FD"/>
    <w:rsid w:val="002D46A7"/>
    <w:rsid w:val="002D7587"/>
    <w:rsid w:val="002E00AA"/>
    <w:rsid w:val="002E1F3A"/>
    <w:rsid w:val="002E298A"/>
    <w:rsid w:val="002E29FF"/>
    <w:rsid w:val="002E563A"/>
    <w:rsid w:val="002F0563"/>
    <w:rsid w:val="002F21CE"/>
    <w:rsid w:val="002F2498"/>
    <w:rsid w:val="002F2570"/>
    <w:rsid w:val="002F38B9"/>
    <w:rsid w:val="002F425B"/>
    <w:rsid w:val="002F517C"/>
    <w:rsid w:val="002F5759"/>
    <w:rsid w:val="002F5B0B"/>
    <w:rsid w:val="002F5ED9"/>
    <w:rsid w:val="002F70DF"/>
    <w:rsid w:val="00301978"/>
    <w:rsid w:val="00302514"/>
    <w:rsid w:val="00302F32"/>
    <w:rsid w:val="0030332C"/>
    <w:rsid w:val="0030435A"/>
    <w:rsid w:val="003051C2"/>
    <w:rsid w:val="00312296"/>
    <w:rsid w:val="00312ACA"/>
    <w:rsid w:val="00312F2D"/>
    <w:rsid w:val="00313572"/>
    <w:rsid w:val="0031367F"/>
    <w:rsid w:val="00314F0E"/>
    <w:rsid w:val="00315127"/>
    <w:rsid w:val="003165E5"/>
    <w:rsid w:val="0032018F"/>
    <w:rsid w:val="003219D2"/>
    <w:rsid w:val="00321A6A"/>
    <w:rsid w:val="00321D1D"/>
    <w:rsid w:val="00321D8E"/>
    <w:rsid w:val="00322148"/>
    <w:rsid w:val="0032533F"/>
    <w:rsid w:val="0032550B"/>
    <w:rsid w:val="00325928"/>
    <w:rsid w:val="00325F20"/>
    <w:rsid w:val="003267B0"/>
    <w:rsid w:val="00327FDB"/>
    <w:rsid w:val="00331528"/>
    <w:rsid w:val="00332863"/>
    <w:rsid w:val="00334AEB"/>
    <w:rsid w:val="00335A49"/>
    <w:rsid w:val="0033684D"/>
    <w:rsid w:val="00337B42"/>
    <w:rsid w:val="003415BF"/>
    <w:rsid w:val="00341B42"/>
    <w:rsid w:val="0034348F"/>
    <w:rsid w:val="00352082"/>
    <w:rsid w:val="0035394C"/>
    <w:rsid w:val="00356653"/>
    <w:rsid w:val="0035743F"/>
    <w:rsid w:val="003574CD"/>
    <w:rsid w:val="00357BE2"/>
    <w:rsid w:val="0036061C"/>
    <w:rsid w:val="00360A11"/>
    <w:rsid w:val="00360BE9"/>
    <w:rsid w:val="00361238"/>
    <w:rsid w:val="0036170C"/>
    <w:rsid w:val="00361DDD"/>
    <w:rsid w:val="00362AD2"/>
    <w:rsid w:val="003632CB"/>
    <w:rsid w:val="00366013"/>
    <w:rsid w:val="00366E0F"/>
    <w:rsid w:val="003701B7"/>
    <w:rsid w:val="00372FB7"/>
    <w:rsid w:val="00374781"/>
    <w:rsid w:val="00377726"/>
    <w:rsid w:val="00381A6F"/>
    <w:rsid w:val="00381A72"/>
    <w:rsid w:val="00384676"/>
    <w:rsid w:val="003862CA"/>
    <w:rsid w:val="00386F2E"/>
    <w:rsid w:val="003875AD"/>
    <w:rsid w:val="0039045C"/>
    <w:rsid w:val="00390857"/>
    <w:rsid w:val="00391BF3"/>
    <w:rsid w:val="003926BD"/>
    <w:rsid w:val="00395A39"/>
    <w:rsid w:val="00395CED"/>
    <w:rsid w:val="0039710C"/>
    <w:rsid w:val="003A226D"/>
    <w:rsid w:val="003A4BF3"/>
    <w:rsid w:val="003A5A40"/>
    <w:rsid w:val="003A5F4E"/>
    <w:rsid w:val="003A6AFA"/>
    <w:rsid w:val="003B0C79"/>
    <w:rsid w:val="003B350A"/>
    <w:rsid w:val="003B3A13"/>
    <w:rsid w:val="003B3B8F"/>
    <w:rsid w:val="003B420D"/>
    <w:rsid w:val="003B4522"/>
    <w:rsid w:val="003B5B0D"/>
    <w:rsid w:val="003B6120"/>
    <w:rsid w:val="003B6469"/>
    <w:rsid w:val="003C29BF"/>
    <w:rsid w:val="003C3497"/>
    <w:rsid w:val="003C3499"/>
    <w:rsid w:val="003C3925"/>
    <w:rsid w:val="003C62B2"/>
    <w:rsid w:val="003C6C16"/>
    <w:rsid w:val="003D07D4"/>
    <w:rsid w:val="003D4D20"/>
    <w:rsid w:val="003D51B3"/>
    <w:rsid w:val="003D5941"/>
    <w:rsid w:val="003D5BD7"/>
    <w:rsid w:val="003D794D"/>
    <w:rsid w:val="003E02DA"/>
    <w:rsid w:val="003E251E"/>
    <w:rsid w:val="003E3058"/>
    <w:rsid w:val="003E3BBD"/>
    <w:rsid w:val="003E5489"/>
    <w:rsid w:val="003E76A9"/>
    <w:rsid w:val="003F02D0"/>
    <w:rsid w:val="003F0809"/>
    <w:rsid w:val="003F09D4"/>
    <w:rsid w:val="003F16DF"/>
    <w:rsid w:val="003F448C"/>
    <w:rsid w:val="003F4660"/>
    <w:rsid w:val="003F5299"/>
    <w:rsid w:val="003F5B19"/>
    <w:rsid w:val="003F62F5"/>
    <w:rsid w:val="003F6A8C"/>
    <w:rsid w:val="003F7078"/>
    <w:rsid w:val="003F755C"/>
    <w:rsid w:val="00400A31"/>
    <w:rsid w:val="00402AFD"/>
    <w:rsid w:val="00402CB3"/>
    <w:rsid w:val="00403CB9"/>
    <w:rsid w:val="00406A4D"/>
    <w:rsid w:val="00406CDA"/>
    <w:rsid w:val="00406F01"/>
    <w:rsid w:val="00412D23"/>
    <w:rsid w:val="00415445"/>
    <w:rsid w:val="004162CC"/>
    <w:rsid w:val="004163DC"/>
    <w:rsid w:val="00416D50"/>
    <w:rsid w:val="00416FD5"/>
    <w:rsid w:val="004173BA"/>
    <w:rsid w:val="00417772"/>
    <w:rsid w:val="00420E6A"/>
    <w:rsid w:val="00420ED3"/>
    <w:rsid w:val="0042204F"/>
    <w:rsid w:val="0042213A"/>
    <w:rsid w:val="00422CDD"/>
    <w:rsid w:val="00424306"/>
    <w:rsid w:val="00425A9E"/>
    <w:rsid w:val="00426D6B"/>
    <w:rsid w:val="00430C99"/>
    <w:rsid w:val="00431E6C"/>
    <w:rsid w:val="00433CE7"/>
    <w:rsid w:val="0043568E"/>
    <w:rsid w:val="0043609E"/>
    <w:rsid w:val="00440635"/>
    <w:rsid w:val="00442209"/>
    <w:rsid w:val="00452441"/>
    <w:rsid w:val="00452738"/>
    <w:rsid w:val="004530DF"/>
    <w:rsid w:val="00455693"/>
    <w:rsid w:val="00456091"/>
    <w:rsid w:val="004569E8"/>
    <w:rsid w:val="004606B4"/>
    <w:rsid w:val="00465D61"/>
    <w:rsid w:val="00465FCD"/>
    <w:rsid w:val="00466321"/>
    <w:rsid w:val="00466504"/>
    <w:rsid w:val="004733E5"/>
    <w:rsid w:val="00474107"/>
    <w:rsid w:val="00476A10"/>
    <w:rsid w:val="00483E54"/>
    <w:rsid w:val="00484B9B"/>
    <w:rsid w:val="004855F6"/>
    <w:rsid w:val="0048661E"/>
    <w:rsid w:val="00486A89"/>
    <w:rsid w:val="00490001"/>
    <w:rsid w:val="00492034"/>
    <w:rsid w:val="00493216"/>
    <w:rsid w:val="004942F1"/>
    <w:rsid w:val="00494670"/>
    <w:rsid w:val="00494C97"/>
    <w:rsid w:val="004A1A8F"/>
    <w:rsid w:val="004A3823"/>
    <w:rsid w:val="004B0DF1"/>
    <w:rsid w:val="004B0F90"/>
    <w:rsid w:val="004B1EFF"/>
    <w:rsid w:val="004B2535"/>
    <w:rsid w:val="004B3002"/>
    <w:rsid w:val="004B42F5"/>
    <w:rsid w:val="004B5161"/>
    <w:rsid w:val="004B743F"/>
    <w:rsid w:val="004C5DE6"/>
    <w:rsid w:val="004C6AA4"/>
    <w:rsid w:val="004C756C"/>
    <w:rsid w:val="004D165A"/>
    <w:rsid w:val="004E1B35"/>
    <w:rsid w:val="004E1F87"/>
    <w:rsid w:val="004E6946"/>
    <w:rsid w:val="004F01BD"/>
    <w:rsid w:val="004F0D9D"/>
    <w:rsid w:val="004F1AD8"/>
    <w:rsid w:val="004F33E0"/>
    <w:rsid w:val="00500C9C"/>
    <w:rsid w:val="00502C4C"/>
    <w:rsid w:val="005039CB"/>
    <w:rsid w:val="0050558F"/>
    <w:rsid w:val="00506286"/>
    <w:rsid w:val="00510813"/>
    <w:rsid w:val="00510FD2"/>
    <w:rsid w:val="00511990"/>
    <w:rsid w:val="00511DE0"/>
    <w:rsid w:val="00512FEF"/>
    <w:rsid w:val="00514381"/>
    <w:rsid w:val="005144FF"/>
    <w:rsid w:val="00514870"/>
    <w:rsid w:val="00514B9B"/>
    <w:rsid w:val="00515181"/>
    <w:rsid w:val="00516087"/>
    <w:rsid w:val="0051682C"/>
    <w:rsid w:val="005168FE"/>
    <w:rsid w:val="0051712F"/>
    <w:rsid w:val="00517F02"/>
    <w:rsid w:val="00521122"/>
    <w:rsid w:val="00524303"/>
    <w:rsid w:val="0052565C"/>
    <w:rsid w:val="005258A2"/>
    <w:rsid w:val="005302CD"/>
    <w:rsid w:val="005306CB"/>
    <w:rsid w:val="00531843"/>
    <w:rsid w:val="00534055"/>
    <w:rsid w:val="005364AC"/>
    <w:rsid w:val="00536828"/>
    <w:rsid w:val="00537138"/>
    <w:rsid w:val="005401AE"/>
    <w:rsid w:val="00540355"/>
    <w:rsid w:val="00542E07"/>
    <w:rsid w:val="00545424"/>
    <w:rsid w:val="00547D40"/>
    <w:rsid w:val="00550B14"/>
    <w:rsid w:val="005516A2"/>
    <w:rsid w:val="005518CB"/>
    <w:rsid w:val="0055339A"/>
    <w:rsid w:val="00553A94"/>
    <w:rsid w:val="005544C1"/>
    <w:rsid w:val="00554A7B"/>
    <w:rsid w:val="00554D2F"/>
    <w:rsid w:val="005555E1"/>
    <w:rsid w:val="0055572C"/>
    <w:rsid w:val="00555901"/>
    <w:rsid w:val="00557304"/>
    <w:rsid w:val="005601DB"/>
    <w:rsid w:val="00560EBA"/>
    <w:rsid w:val="0056106A"/>
    <w:rsid w:val="00561FA3"/>
    <w:rsid w:val="00563541"/>
    <w:rsid w:val="0056536E"/>
    <w:rsid w:val="00565881"/>
    <w:rsid w:val="00565C8E"/>
    <w:rsid w:val="00566261"/>
    <w:rsid w:val="005671F3"/>
    <w:rsid w:val="005716CE"/>
    <w:rsid w:val="005720AE"/>
    <w:rsid w:val="00573126"/>
    <w:rsid w:val="005732A7"/>
    <w:rsid w:val="00573A55"/>
    <w:rsid w:val="0057469D"/>
    <w:rsid w:val="005772D7"/>
    <w:rsid w:val="005777CB"/>
    <w:rsid w:val="00577F22"/>
    <w:rsid w:val="00580682"/>
    <w:rsid w:val="00583017"/>
    <w:rsid w:val="005836E3"/>
    <w:rsid w:val="00583E29"/>
    <w:rsid w:val="00585CDE"/>
    <w:rsid w:val="00585F03"/>
    <w:rsid w:val="00586943"/>
    <w:rsid w:val="00587619"/>
    <w:rsid w:val="0058763D"/>
    <w:rsid w:val="00591F39"/>
    <w:rsid w:val="00594D77"/>
    <w:rsid w:val="00595632"/>
    <w:rsid w:val="00595E54"/>
    <w:rsid w:val="0059680A"/>
    <w:rsid w:val="005969E4"/>
    <w:rsid w:val="005A06B7"/>
    <w:rsid w:val="005A0E63"/>
    <w:rsid w:val="005A1759"/>
    <w:rsid w:val="005A19CA"/>
    <w:rsid w:val="005A33F2"/>
    <w:rsid w:val="005A40FD"/>
    <w:rsid w:val="005A68A7"/>
    <w:rsid w:val="005A6D5A"/>
    <w:rsid w:val="005B2A14"/>
    <w:rsid w:val="005B2CB6"/>
    <w:rsid w:val="005B5035"/>
    <w:rsid w:val="005B5DF4"/>
    <w:rsid w:val="005B6EDB"/>
    <w:rsid w:val="005C291D"/>
    <w:rsid w:val="005C463F"/>
    <w:rsid w:val="005C5612"/>
    <w:rsid w:val="005C5969"/>
    <w:rsid w:val="005C5D62"/>
    <w:rsid w:val="005C617A"/>
    <w:rsid w:val="005C7A27"/>
    <w:rsid w:val="005D1818"/>
    <w:rsid w:val="005D2BBC"/>
    <w:rsid w:val="005D36AB"/>
    <w:rsid w:val="005D4BBE"/>
    <w:rsid w:val="005D4DA7"/>
    <w:rsid w:val="005D770C"/>
    <w:rsid w:val="005D7C77"/>
    <w:rsid w:val="005F44E8"/>
    <w:rsid w:val="005F5723"/>
    <w:rsid w:val="005F6B20"/>
    <w:rsid w:val="005F6D94"/>
    <w:rsid w:val="0060102D"/>
    <w:rsid w:val="00601661"/>
    <w:rsid w:val="0060302B"/>
    <w:rsid w:val="0060415B"/>
    <w:rsid w:val="0060592D"/>
    <w:rsid w:val="00605938"/>
    <w:rsid w:val="00606531"/>
    <w:rsid w:val="00607C0B"/>
    <w:rsid w:val="00610051"/>
    <w:rsid w:val="0061279F"/>
    <w:rsid w:val="00614184"/>
    <w:rsid w:val="006154BD"/>
    <w:rsid w:val="00616010"/>
    <w:rsid w:val="00616231"/>
    <w:rsid w:val="00617CC3"/>
    <w:rsid w:val="00623A3A"/>
    <w:rsid w:val="00624F1D"/>
    <w:rsid w:val="00626742"/>
    <w:rsid w:val="0063388E"/>
    <w:rsid w:val="006342BA"/>
    <w:rsid w:val="00635A61"/>
    <w:rsid w:val="00635A9A"/>
    <w:rsid w:val="00635C93"/>
    <w:rsid w:val="0063678E"/>
    <w:rsid w:val="006369BB"/>
    <w:rsid w:val="006377A6"/>
    <w:rsid w:val="00637A3D"/>
    <w:rsid w:val="00637AD6"/>
    <w:rsid w:val="00640626"/>
    <w:rsid w:val="006411EF"/>
    <w:rsid w:val="00641C24"/>
    <w:rsid w:val="006425E8"/>
    <w:rsid w:val="006427C2"/>
    <w:rsid w:val="00642C1A"/>
    <w:rsid w:val="0064316A"/>
    <w:rsid w:val="0064349C"/>
    <w:rsid w:val="00644754"/>
    <w:rsid w:val="00645EA4"/>
    <w:rsid w:val="0064754E"/>
    <w:rsid w:val="006525DB"/>
    <w:rsid w:val="006526A6"/>
    <w:rsid w:val="006572B3"/>
    <w:rsid w:val="00657B54"/>
    <w:rsid w:val="00660B1B"/>
    <w:rsid w:val="006623A1"/>
    <w:rsid w:val="00662506"/>
    <w:rsid w:val="00666642"/>
    <w:rsid w:val="00666772"/>
    <w:rsid w:val="00670351"/>
    <w:rsid w:val="006743F9"/>
    <w:rsid w:val="006748B8"/>
    <w:rsid w:val="006775C3"/>
    <w:rsid w:val="0068198E"/>
    <w:rsid w:val="006838BD"/>
    <w:rsid w:val="006838FE"/>
    <w:rsid w:val="00683DD8"/>
    <w:rsid w:val="0068593E"/>
    <w:rsid w:val="00685986"/>
    <w:rsid w:val="006907CC"/>
    <w:rsid w:val="006917D9"/>
    <w:rsid w:val="0069290A"/>
    <w:rsid w:val="006945C0"/>
    <w:rsid w:val="006949E1"/>
    <w:rsid w:val="00696B9E"/>
    <w:rsid w:val="0069775A"/>
    <w:rsid w:val="00697813"/>
    <w:rsid w:val="006A1D2E"/>
    <w:rsid w:val="006A27C9"/>
    <w:rsid w:val="006A2ECE"/>
    <w:rsid w:val="006A3EE8"/>
    <w:rsid w:val="006A67FC"/>
    <w:rsid w:val="006A72BF"/>
    <w:rsid w:val="006B03F2"/>
    <w:rsid w:val="006B258A"/>
    <w:rsid w:val="006B2631"/>
    <w:rsid w:val="006B37DC"/>
    <w:rsid w:val="006B4F68"/>
    <w:rsid w:val="006B6BFA"/>
    <w:rsid w:val="006C0592"/>
    <w:rsid w:val="006C0954"/>
    <w:rsid w:val="006C1691"/>
    <w:rsid w:val="006C1BFE"/>
    <w:rsid w:val="006C1D03"/>
    <w:rsid w:val="006C272E"/>
    <w:rsid w:val="006C2BEB"/>
    <w:rsid w:val="006C3152"/>
    <w:rsid w:val="006C4419"/>
    <w:rsid w:val="006C4CC0"/>
    <w:rsid w:val="006C503F"/>
    <w:rsid w:val="006C5479"/>
    <w:rsid w:val="006C73B4"/>
    <w:rsid w:val="006D106D"/>
    <w:rsid w:val="006D12B3"/>
    <w:rsid w:val="006D13B5"/>
    <w:rsid w:val="006D533A"/>
    <w:rsid w:val="006D6339"/>
    <w:rsid w:val="006D6666"/>
    <w:rsid w:val="006D6675"/>
    <w:rsid w:val="006E0870"/>
    <w:rsid w:val="006E1055"/>
    <w:rsid w:val="006E12FF"/>
    <w:rsid w:val="006E1548"/>
    <w:rsid w:val="006E2F8C"/>
    <w:rsid w:val="006E3303"/>
    <w:rsid w:val="006E607E"/>
    <w:rsid w:val="006E797E"/>
    <w:rsid w:val="006F0A7F"/>
    <w:rsid w:val="006F122B"/>
    <w:rsid w:val="006F14C8"/>
    <w:rsid w:val="006F1B92"/>
    <w:rsid w:val="006F310C"/>
    <w:rsid w:val="00700909"/>
    <w:rsid w:val="00701C7A"/>
    <w:rsid w:val="00701F35"/>
    <w:rsid w:val="00703684"/>
    <w:rsid w:val="007040D9"/>
    <w:rsid w:val="007049C9"/>
    <w:rsid w:val="007050D2"/>
    <w:rsid w:val="00706AA3"/>
    <w:rsid w:val="00706C5D"/>
    <w:rsid w:val="00711F3C"/>
    <w:rsid w:val="0071215D"/>
    <w:rsid w:val="00713B79"/>
    <w:rsid w:val="0071428D"/>
    <w:rsid w:val="00715871"/>
    <w:rsid w:val="00716619"/>
    <w:rsid w:val="007172C8"/>
    <w:rsid w:val="0072269F"/>
    <w:rsid w:val="00724DDD"/>
    <w:rsid w:val="00725687"/>
    <w:rsid w:val="00726785"/>
    <w:rsid w:val="00731CDC"/>
    <w:rsid w:val="00732922"/>
    <w:rsid w:val="00732E1C"/>
    <w:rsid w:val="0073357E"/>
    <w:rsid w:val="00735110"/>
    <w:rsid w:val="00736384"/>
    <w:rsid w:val="00737ED0"/>
    <w:rsid w:val="00740BDD"/>
    <w:rsid w:val="007415A2"/>
    <w:rsid w:val="0074322E"/>
    <w:rsid w:val="007445DA"/>
    <w:rsid w:val="007449F1"/>
    <w:rsid w:val="00746239"/>
    <w:rsid w:val="0074699F"/>
    <w:rsid w:val="0075162E"/>
    <w:rsid w:val="00752DB8"/>
    <w:rsid w:val="00754034"/>
    <w:rsid w:val="007558F0"/>
    <w:rsid w:val="007563B9"/>
    <w:rsid w:val="00756556"/>
    <w:rsid w:val="007618C4"/>
    <w:rsid w:val="007648B3"/>
    <w:rsid w:val="00767980"/>
    <w:rsid w:val="00767BBC"/>
    <w:rsid w:val="007705C2"/>
    <w:rsid w:val="00770B19"/>
    <w:rsid w:val="00773065"/>
    <w:rsid w:val="00773A26"/>
    <w:rsid w:val="0077463F"/>
    <w:rsid w:val="007750D9"/>
    <w:rsid w:val="00775AF6"/>
    <w:rsid w:val="00775D90"/>
    <w:rsid w:val="007764D8"/>
    <w:rsid w:val="00777821"/>
    <w:rsid w:val="007815B9"/>
    <w:rsid w:val="00781CFB"/>
    <w:rsid w:val="00781E7A"/>
    <w:rsid w:val="00782103"/>
    <w:rsid w:val="00782D81"/>
    <w:rsid w:val="007836EA"/>
    <w:rsid w:val="00784B70"/>
    <w:rsid w:val="00784CDA"/>
    <w:rsid w:val="00785A5B"/>
    <w:rsid w:val="007866EF"/>
    <w:rsid w:val="007906C4"/>
    <w:rsid w:val="00792A13"/>
    <w:rsid w:val="007940EA"/>
    <w:rsid w:val="0079443D"/>
    <w:rsid w:val="007967E8"/>
    <w:rsid w:val="00796C2A"/>
    <w:rsid w:val="007A0DFE"/>
    <w:rsid w:val="007A1D1D"/>
    <w:rsid w:val="007A1E3A"/>
    <w:rsid w:val="007A2170"/>
    <w:rsid w:val="007A22BF"/>
    <w:rsid w:val="007A32E7"/>
    <w:rsid w:val="007A3323"/>
    <w:rsid w:val="007A369F"/>
    <w:rsid w:val="007A3C3A"/>
    <w:rsid w:val="007A4266"/>
    <w:rsid w:val="007A4590"/>
    <w:rsid w:val="007B03C5"/>
    <w:rsid w:val="007B2D82"/>
    <w:rsid w:val="007B3F4C"/>
    <w:rsid w:val="007B57A6"/>
    <w:rsid w:val="007B5E64"/>
    <w:rsid w:val="007B72B8"/>
    <w:rsid w:val="007B7A58"/>
    <w:rsid w:val="007C21B5"/>
    <w:rsid w:val="007C2C29"/>
    <w:rsid w:val="007C4A09"/>
    <w:rsid w:val="007C5794"/>
    <w:rsid w:val="007C64A0"/>
    <w:rsid w:val="007C7C2B"/>
    <w:rsid w:val="007D2CDC"/>
    <w:rsid w:val="007E2BB2"/>
    <w:rsid w:val="007E3906"/>
    <w:rsid w:val="007E4368"/>
    <w:rsid w:val="007E43AA"/>
    <w:rsid w:val="007E4BD2"/>
    <w:rsid w:val="007F00C2"/>
    <w:rsid w:val="007F1FCE"/>
    <w:rsid w:val="007F3BD2"/>
    <w:rsid w:val="007F4A39"/>
    <w:rsid w:val="007F6089"/>
    <w:rsid w:val="007F6A6E"/>
    <w:rsid w:val="00801393"/>
    <w:rsid w:val="00802C3B"/>
    <w:rsid w:val="00802F88"/>
    <w:rsid w:val="00803C8F"/>
    <w:rsid w:val="008045AB"/>
    <w:rsid w:val="008060C3"/>
    <w:rsid w:val="008116B9"/>
    <w:rsid w:val="0081293E"/>
    <w:rsid w:val="00812D89"/>
    <w:rsid w:val="00814025"/>
    <w:rsid w:val="008142E9"/>
    <w:rsid w:val="008151B7"/>
    <w:rsid w:val="00815465"/>
    <w:rsid w:val="008154DC"/>
    <w:rsid w:val="00815554"/>
    <w:rsid w:val="0081608F"/>
    <w:rsid w:val="00816761"/>
    <w:rsid w:val="0081686A"/>
    <w:rsid w:val="008173DB"/>
    <w:rsid w:val="00817E9A"/>
    <w:rsid w:val="00821EEB"/>
    <w:rsid w:val="00825CAD"/>
    <w:rsid w:val="00826316"/>
    <w:rsid w:val="008275BC"/>
    <w:rsid w:val="00830073"/>
    <w:rsid w:val="008306BD"/>
    <w:rsid w:val="00830B40"/>
    <w:rsid w:val="00830EBD"/>
    <w:rsid w:val="00831A80"/>
    <w:rsid w:val="00832376"/>
    <w:rsid w:val="00833743"/>
    <w:rsid w:val="008340A4"/>
    <w:rsid w:val="008350BC"/>
    <w:rsid w:val="00835671"/>
    <w:rsid w:val="0083596B"/>
    <w:rsid w:val="0083631E"/>
    <w:rsid w:val="008369CD"/>
    <w:rsid w:val="00842722"/>
    <w:rsid w:val="00844B82"/>
    <w:rsid w:val="0084587C"/>
    <w:rsid w:val="00846F85"/>
    <w:rsid w:val="00850139"/>
    <w:rsid w:val="008540A2"/>
    <w:rsid w:val="00856A3E"/>
    <w:rsid w:val="008576F7"/>
    <w:rsid w:val="0085791C"/>
    <w:rsid w:val="00857993"/>
    <w:rsid w:val="00857C9E"/>
    <w:rsid w:val="00857E9B"/>
    <w:rsid w:val="00861D08"/>
    <w:rsid w:val="008665C3"/>
    <w:rsid w:val="0087135F"/>
    <w:rsid w:val="00871E8C"/>
    <w:rsid w:val="00871FDB"/>
    <w:rsid w:val="00872794"/>
    <w:rsid w:val="00872D94"/>
    <w:rsid w:val="008735E9"/>
    <w:rsid w:val="00880364"/>
    <w:rsid w:val="008814E4"/>
    <w:rsid w:val="00881790"/>
    <w:rsid w:val="00881E29"/>
    <w:rsid w:val="00882EC8"/>
    <w:rsid w:val="00883503"/>
    <w:rsid w:val="008864D5"/>
    <w:rsid w:val="00887C7D"/>
    <w:rsid w:val="00887F41"/>
    <w:rsid w:val="00891592"/>
    <w:rsid w:val="00891E9E"/>
    <w:rsid w:val="008934A0"/>
    <w:rsid w:val="00894524"/>
    <w:rsid w:val="00894BBD"/>
    <w:rsid w:val="00897EA9"/>
    <w:rsid w:val="008A2853"/>
    <w:rsid w:val="008A2ADC"/>
    <w:rsid w:val="008A2F68"/>
    <w:rsid w:val="008B2CE0"/>
    <w:rsid w:val="008B3067"/>
    <w:rsid w:val="008B3D47"/>
    <w:rsid w:val="008B408E"/>
    <w:rsid w:val="008B4F5E"/>
    <w:rsid w:val="008B4FA6"/>
    <w:rsid w:val="008B5282"/>
    <w:rsid w:val="008B563C"/>
    <w:rsid w:val="008B5B2B"/>
    <w:rsid w:val="008B7C17"/>
    <w:rsid w:val="008B7F53"/>
    <w:rsid w:val="008C047B"/>
    <w:rsid w:val="008C2D01"/>
    <w:rsid w:val="008C3033"/>
    <w:rsid w:val="008C3A1B"/>
    <w:rsid w:val="008C40E6"/>
    <w:rsid w:val="008C42BC"/>
    <w:rsid w:val="008C7BF6"/>
    <w:rsid w:val="008C7CEA"/>
    <w:rsid w:val="008D00D6"/>
    <w:rsid w:val="008D0F7A"/>
    <w:rsid w:val="008D1FE5"/>
    <w:rsid w:val="008D56B0"/>
    <w:rsid w:val="008D6679"/>
    <w:rsid w:val="008D68E4"/>
    <w:rsid w:val="008E0506"/>
    <w:rsid w:val="008E0CFF"/>
    <w:rsid w:val="008E4551"/>
    <w:rsid w:val="008E5D6B"/>
    <w:rsid w:val="008E76F0"/>
    <w:rsid w:val="008E7FAE"/>
    <w:rsid w:val="008F15FE"/>
    <w:rsid w:val="008F19D0"/>
    <w:rsid w:val="008F2D29"/>
    <w:rsid w:val="008F2E2C"/>
    <w:rsid w:val="008F39BB"/>
    <w:rsid w:val="008F5187"/>
    <w:rsid w:val="008F60D8"/>
    <w:rsid w:val="0090001A"/>
    <w:rsid w:val="00902727"/>
    <w:rsid w:val="0090312B"/>
    <w:rsid w:val="009047E5"/>
    <w:rsid w:val="00905157"/>
    <w:rsid w:val="009122EA"/>
    <w:rsid w:val="00913A4C"/>
    <w:rsid w:val="00914A44"/>
    <w:rsid w:val="0091736D"/>
    <w:rsid w:val="00917686"/>
    <w:rsid w:val="009208C1"/>
    <w:rsid w:val="009232B8"/>
    <w:rsid w:val="00925571"/>
    <w:rsid w:val="0093037A"/>
    <w:rsid w:val="00933760"/>
    <w:rsid w:val="009347A9"/>
    <w:rsid w:val="009356C4"/>
    <w:rsid w:val="00935B12"/>
    <w:rsid w:val="00936C2D"/>
    <w:rsid w:val="00936C93"/>
    <w:rsid w:val="0093744E"/>
    <w:rsid w:val="009375F6"/>
    <w:rsid w:val="009400FA"/>
    <w:rsid w:val="00940FE7"/>
    <w:rsid w:val="0094154D"/>
    <w:rsid w:val="00942AF6"/>
    <w:rsid w:val="00946829"/>
    <w:rsid w:val="00946840"/>
    <w:rsid w:val="009507CA"/>
    <w:rsid w:val="00950C33"/>
    <w:rsid w:val="0095155F"/>
    <w:rsid w:val="00951811"/>
    <w:rsid w:val="009523D3"/>
    <w:rsid w:val="00953378"/>
    <w:rsid w:val="00954429"/>
    <w:rsid w:val="009563CE"/>
    <w:rsid w:val="00960D0A"/>
    <w:rsid w:val="00962FDE"/>
    <w:rsid w:val="00966D17"/>
    <w:rsid w:val="009732F8"/>
    <w:rsid w:val="00976328"/>
    <w:rsid w:val="0097680D"/>
    <w:rsid w:val="00976FAF"/>
    <w:rsid w:val="0098181C"/>
    <w:rsid w:val="00982438"/>
    <w:rsid w:val="00983D5B"/>
    <w:rsid w:val="0098404C"/>
    <w:rsid w:val="0098406E"/>
    <w:rsid w:val="00985283"/>
    <w:rsid w:val="00985A08"/>
    <w:rsid w:val="00985B47"/>
    <w:rsid w:val="009866EF"/>
    <w:rsid w:val="009921F0"/>
    <w:rsid w:val="0099309D"/>
    <w:rsid w:val="00993A38"/>
    <w:rsid w:val="0099493D"/>
    <w:rsid w:val="00995992"/>
    <w:rsid w:val="00996A45"/>
    <w:rsid w:val="00997320"/>
    <w:rsid w:val="009A03E5"/>
    <w:rsid w:val="009A0F3B"/>
    <w:rsid w:val="009A101C"/>
    <w:rsid w:val="009A1BB4"/>
    <w:rsid w:val="009A256A"/>
    <w:rsid w:val="009A2628"/>
    <w:rsid w:val="009A3200"/>
    <w:rsid w:val="009A3A57"/>
    <w:rsid w:val="009A41A4"/>
    <w:rsid w:val="009A7AEC"/>
    <w:rsid w:val="009B0897"/>
    <w:rsid w:val="009B10E7"/>
    <w:rsid w:val="009B17ED"/>
    <w:rsid w:val="009B2712"/>
    <w:rsid w:val="009B291A"/>
    <w:rsid w:val="009B3383"/>
    <w:rsid w:val="009B3FA8"/>
    <w:rsid w:val="009B4712"/>
    <w:rsid w:val="009B5F5D"/>
    <w:rsid w:val="009B6E9A"/>
    <w:rsid w:val="009B7BD9"/>
    <w:rsid w:val="009C2FE4"/>
    <w:rsid w:val="009C38CC"/>
    <w:rsid w:val="009C6179"/>
    <w:rsid w:val="009C7DD5"/>
    <w:rsid w:val="009D014F"/>
    <w:rsid w:val="009D01BD"/>
    <w:rsid w:val="009D0CD9"/>
    <w:rsid w:val="009D111D"/>
    <w:rsid w:val="009D22E5"/>
    <w:rsid w:val="009D32B6"/>
    <w:rsid w:val="009D457A"/>
    <w:rsid w:val="009E073B"/>
    <w:rsid w:val="009E0DD2"/>
    <w:rsid w:val="009E1704"/>
    <w:rsid w:val="009E227D"/>
    <w:rsid w:val="009E25F2"/>
    <w:rsid w:val="009E2F37"/>
    <w:rsid w:val="009E487C"/>
    <w:rsid w:val="009E4F0B"/>
    <w:rsid w:val="009E5019"/>
    <w:rsid w:val="009E5AF4"/>
    <w:rsid w:val="009E5E7A"/>
    <w:rsid w:val="009E600A"/>
    <w:rsid w:val="009E635C"/>
    <w:rsid w:val="009E798B"/>
    <w:rsid w:val="009F00F7"/>
    <w:rsid w:val="009F0722"/>
    <w:rsid w:val="009F0F6B"/>
    <w:rsid w:val="009F18AC"/>
    <w:rsid w:val="009F20BC"/>
    <w:rsid w:val="009F37C2"/>
    <w:rsid w:val="009F3C0B"/>
    <w:rsid w:val="009F5497"/>
    <w:rsid w:val="009F549C"/>
    <w:rsid w:val="009F662B"/>
    <w:rsid w:val="00A022B1"/>
    <w:rsid w:val="00A03AE3"/>
    <w:rsid w:val="00A04F1B"/>
    <w:rsid w:val="00A0501B"/>
    <w:rsid w:val="00A06B50"/>
    <w:rsid w:val="00A113BD"/>
    <w:rsid w:val="00A12E02"/>
    <w:rsid w:val="00A13F09"/>
    <w:rsid w:val="00A14947"/>
    <w:rsid w:val="00A16D8A"/>
    <w:rsid w:val="00A17A54"/>
    <w:rsid w:val="00A17C2C"/>
    <w:rsid w:val="00A21729"/>
    <w:rsid w:val="00A2176D"/>
    <w:rsid w:val="00A22A6F"/>
    <w:rsid w:val="00A23FB0"/>
    <w:rsid w:val="00A24B5B"/>
    <w:rsid w:val="00A259B5"/>
    <w:rsid w:val="00A26793"/>
    <w:rsid w:val="00A26E8E"/>
    <w:rsid w:val="00A32A83"/>
    <w:rsid w:val="00A33C06"/>
    <w:rsid w:val="00A363B7"/>
    <w:rsid w:val="00A36500"/>
    <w:rsid w:val="00A368DB"/>
    <w:rsid w:val="00A423AA"/>
    <w:rsid w:val="00A43995"/>
    <w:rsid w:val="00A441E8"/>
    <w:rsid w:val="00A4421B"/>
    <w:rsid w:val="00A449A6"/>
    <w:rsid w:val="00A44FC8"/>
    <w:rsid w:val="00A45C81"/>
    <w:rsid w:val="00A47C9F"/>
    <w:rsid w:val="00A53EC6"/>
    <w:rsid w:val="00A5550B"/>
    <w:rsid w:val="00A55C0F"/>
    <w:rsid w:val="00A55E25"/>
    <w:rsid w:val="00A60108"/>
    <w:rsid w:val="00A64ECD"/>
    <w:rsid w:val="00A66803"/>
    <w:rsid w:val="00A70840"/>
    <w:rsid w:val="00A7227C"/>
    <w:rsid w:val="00A725F1"/>
    <w:rsid w:val="00A73C6D"/>
    <w:rsid w:val="00A77AC5"/>
    <w:rsid w:val="00A80232"/>
    <w:rsid w:val="00A81527"/>
    <w:rsid w:val="00A81992"/>
    <w:rsid w:val="00A835DD"/>
    <w:rsid w:val="00A84381"/>
    <w:rsid w:val="00A86FED"/>
    <w:rsid w:val="00A8713F"/>
    <w:rsid w:val="00A90486"/>
    <w:rsid w:val="00A90BA1"/>
    <w:rsid w:val="00A90E6A"/>
    <w:rsid w:val="00A92A71"/>
    <w:rsid w:val="00A933D4"/>
    <w:rsid w:val="00A949E2"/>
    <w:rsid w:val="00A95E2B"/>
    <w:rsid w:val="00A9640C"/>
    <w:rsid w:val="00A97A9A"/>
    <w:rsid w:val="00AA02FF"/>
    <w:rsid w:val="00AA0671"/>
    <w:rsid w:val="00AA20B8"/>
    <w:rsid w:val="00AA2531"/>
    <w:rsid w:val="00AA26AE"/>
    <w:rsid w:val="00AA33E3"/>
    <w:rsid w:val="00AA5208"/>
    <w:rsid w:val="00AA52CC"/>
    <w:rsid w:val="00AA5A34"/>
    <w:rsid w:val="00AB1E09"/>
    <w:rsid w:val="00AB5330"/>
    <w:rsid w:val="00AB7747"/>
    <w:rsid w:val="00AB7E81"/>
    <w:rsid w:val="00AB7F79"/>
    <w:rsid w:val="00AC01EA"/>
    <w:rsid w:val="00AC0BE7"/>
    <w:rsid w:val="00AC14CE"/>
    <w:rsid w:val="00AC1F54"/>
    <w:rsid w:val="00AC22FF"/>
    <w:rsid w:val="00AC2A56"/>
    <w:rsid w:val="00AC4392"/>
    <w:rsid w:val="00AC4685"/>
    <w:rsid w:val="00AD055E"/>
    <w:rsid w:val="00AD0ACC"/>
    <w:rsid w:val="00AD2D36"/>
    <w:rsid w:val="00AD3596"/>
    <w:rsid w:val="00AD367A"/>
    <w:rsid w:val="00AD4467"/>
    <w:rsid w:val="00AD47A7"/>
    <w:rsid w:val="00AD512F"/>
    <w:rsid w:val="00AD59E5"/>
    <w:rsid w:val="00AD7D23"/>
    <w:rsid w:val="00AD7D41"/>
    <w:rsid w:val="00AE1A1F"/>
    <w:rsid w:val="00AE1D87"/>
    <w:rsid w:val="00AE533C"/>
    <w:rsid w:val="00AE5341"/>
    <w:rsid w:val="00AE619D"/>
    <w:rsid w:val="00AE6B19"/>
    <w:rsid w:val="00AE7B55"/>
    <w:rsid w:val="00AF0CBF"/>
    <w:rsid w:val="00AF0ED9"/>
    <w:rsid w:val="00AF1666"/>
    <w:rsid w:val="00AF178C"/>
    <w:rsid w:val="00AF257F"/>
    <w:rsid w:val="00AF33CF"/>
    <w:rsid w:val="00AF4D50"/>
    <w:rsid w:val="00AF5334"/>
    <w:rsid w:val="00AF6072"/>
    <w:rsid w:val="00AF6179"/>
    <w:rsid w:val="00AF7BB2"/>
    <w:rsid w:val="00B00CF4"/>
    <w:rsid w:val="00B02B74"/>
    <w:rsid w:val="00B036E2"/>
    <w:rsid w:val="00B05710"/>
    <w:rsid w:val="00B06632"/>
    <w:rsid w:val="00B1295A"/>
    <w:rsid w:val="00B13776"/>
    <w:rsid w:val="00B144C7"/>
    <w:rsid w:val="00B17EC8"/>
    <w:rsid w:val="00B20803"/>
    <w:rsid w:val="00B20A45"/>
    <w:rsid w:val="00B20E81"/>
    <w:rsid w:val="00B22524"/>
    <w:rsid w:val="00B22AB7"/>
    <w:rsid w:val="00B22C5C"/>
    <w:rsid w:val="00B22D9E"/>
    <w:rsid w:val="00B2355C"/>
    <w:rsid w:val="00B2419E"/>
    <w:rsid w:val="00B24F30"/>
    <w:rsid w:val="00B25790"/>
    <w:rsid w:val="00B263F6"/>
    <w:rsid w:val="00B279E1"/>
    <w:rsid w:val="00B31ABF"/>
    <w:rsid w:val="00B32867"/>
    <w:rsid w:val="00B32870"/>
    <w:rsid w:val="00B33BE3"/>
    <w:rsid w:val="00B34B1C"/>
    <w:rsid w:val="00B40193"/>
    <w:rsid w:val="00B406BF"/>
    <w:rsid w:val="00B40A1B"/>
    <w:rsid w:val="00B4333A"/>
    <w:rsid w:val="00B452A5"/>
    <w:rsid w:val="00B456EB"/>
    <w:rsid w:val="00B5234F"/>
    <w:rsid w:val="00B52763"/>
    <w:rsid w:val="00B53B5D"/>
    <w:rsid w:val="00B54A95"/>
    <w:rsid w:val="00B564CB"/>
    <w:rsid w:val="00B577D9"/>
    <w:rsid w:val="00B6055E"/>
    <w:rsid w:val="00B60B35"/>
    <w:rsid w:val="00B630C2"/>
    <w:rsid w:val="00B6317D"/>
    <w:rsid w:val="00B64490"/>
    <w:rsid w:val="00B64C1C"/>
    <w:rsid w:val="00B65A20"/>
    <w:rsid w:val="00B667EE"/>
    <w:rsid w:val="00B72CC9"/>
    <w:rsid w:val="00B7599F"/>
    <w:rsid w:val="00B77160"/>
    <w:rsid w:val="00B77169"/>
    <w:rsid w:val="00B7723F"/>
    <w:rsid w:val="00B80534"/>
    <w:rsid w:val="00B81342"/>
    <w:rsid w:val="00B81CD2"/>
    <w:rsid w:val="00B8433C"/>
    <w:rsid w:val="00B85824"/>
    <w:rsid w:val="00B86317"/>
    <w:rsid w:val="00B87491"/>
    <w:rsid w:val="00B905F2"/>
    <w:rsid w:val="00B907C4"/>
    <w:rsid w:val="00B9310B"/>
    <w:rsid w:val="00B935E9"/>
    <w:rsid w:val="00B93AFE"/>
    <w:rsid w:val="00B9484B"/>
    <w:rsid w:val="00B949AC"/>
    <w:rsid w:val="00B94EE5"/>
    <w:rsid w:val="00B95DC7"/>
    <w:rsid w:val="00B962E9"/>
    <w:rsid w:val="00BA29E9"/>
    <w:rsid w:val="00BA7142"/>
    <w:rsid w:val="00BA77A5"/>
    <w:rsid w:val="00BB237C"/>
    <w:rsid w:val="00BB2E42"/>
    <w:rsid w:val="00BB41A3"/>
    <w:rsid w:val="00BB527F"/>
    <w:rsid w:val="00BB5A64"/>
    <w:rsid w:val="00BB5BFF"/>
    <w:rsid w:val="00BB7091"/>
    <w:rsid w:val="00BB709D"/>
    <w:rsid w:val="00BC01AE"/>
    <w:rsid w:val="00BC1F25"/>
    <w:rsid w:val="00BC32DC"/>
    <w:rsid w:val="00BC35B6"/>
    <w:rsid w:val="00BC3721"/>
    <w:rsid w:val="00BC7972"/>
    <w:rsid w:val="00BD1B51"/>
    <w:rsid w:val="00BD1C38"/>
    <w:rsid w:val="00BD4596"/>
    <w:rsid w:val="00BD4761"/>
    <w:rsid w:val="00BD59A2"/>
    <w:rsid w:val="00BD6E5C"/>
    <w:rsid w:val="00BD6F50"/>
    <w:rsid w:val="00BE0903"/>
    <w:rsid w:val="00BE1405"/>
    <w:rsid w:val="00BE2ABC"/>
    <w:rsid w:val="00BE30E6"/>
    <w:rsid w:val="00BE312D"/>
    <w:rsid w:val="00BE4ED6"/>
    <w:rsid w:val="00BE785F"/>
    <w:rsid w:val="00BF03F8"/>
    <w:rsid w:val="00BF1C20"/>
    <w:rsid w:val="00BF2575"/>
    <w:rsid w:val="00BF46E8"/>
    <w:rsid w:val="00BF4826"/>
    <w:rsid w:val="00C00F4E"/>
    <w:rsid w:val="00C010B0"/>
    <w:rsid w:val="00C048FF"/>
    <w:rsid w:val="00C04E6F"/>
    <w:rsid w:val="00C06951"/>
    <w:rsid w:val="00C10578"/>
    <w:rsid w:val="00C135BC"/>
    <w:rsid w:val="00C15C95"/>
    <w:rsid w:val="00C16C4D"/>
    <w:rsid w:val="00C17DD3"/>
    <w:rsid w:val="00C2276D"/>
    <w:rsid w:val="00C22BAC"/>
    <w:rsid w:val="00C234EF"/>
    <w:rsid w:val="00C253C4"/>
    <w:rsid w:val="00C2596A"/>
    <w:rsid w:val="00C26AEF"/>
    <w:rsid w:val="00C27537"/>
    <w:rsid w:val="00C320BA"/>
    <w:rsid w:val="00C328FE"/>
    <w:rsid w:val="00C33507"/>
    <w:rsid w:val="00C33A4F"/>
    <w:rsid w:val="00C34AB5"/>
    <w:rsid w:val="00C3522B"/>
    <w:rsid w:val="00C35C3E"/>
    <w:rsid w:val="00C35D7C"/>
    <w:rsid w:val="00C35D99"/>
    <w:rsid w:val="00C41E89"/>
    <w:rsid w:val="00C423E8"/>
    <w:rsid w:val="00C42691"/>
    <w:rsid w:val="00C43CD5"/>
    <w:rsid w:val="00C4409D"/>
    <w:rsid w:val="00C441A0"/>
    <w:rsid w:val="00C44E72"/>
    <w:rsid w:val="00C44EDC"/>
    <w:rsid w:val="00C45A06"/>
    <w:rsid w:val="00C47E5B"/>
    <w:rsid w:val="00C50485"/>
    <w:rsid w:val="00C50A93"/>
    <w:rsid w:val="00C524E5"/>
    <w:rsid w:val="00C52E63"/>
    <w:rsid w:val="00C53C28"/>
    <w:rsid w:val="00C54266"/>
    <w:rsid w:val="00C544EA"/>
    <w:rsid w:val="00C56F52"/>
    <w:rsid w:val="00C57F66"/>
    <w:rsid w:val="00C61E4B"/>
    <w:rsid w:val="00C623FC"/>
    <w:rsid w:val="00C634E7"/>
    <w:rsid w:val="00C64BFF"/>
    <w:rsid w:val="00C64FF0"/>
    <w:rsid w:val="00C668CA"/>
    <w:rsid w:val="00C67C47"/>
    <w:rsid w:val="00C704E9"/>
    <w:rsid w:val="00C70AA1"/>
    <w:rsid w:val="00C73FD8"/>
    <w:rsid w:val="00C74C5B"/>
    <w:rsid w:val="00C74DE9"/>
    <w:rsid w:val="00C74E9B"/>
    <w:rsid w:val="00C75CE1"/>
    <w:rsid w:val="00C763C9"/>
    <w:rsid w:val="00C771B0"/>
    <w:rsid w:val="00C77BB2"/>
    <w:rsid w:val="00C77C9B"/>
    <w:rsid w:val="00C80057"/>
    <w:rsid w:val="00C81702"/>
    <w:rsid w:val="00C8206B"/>
    <w:rsid w:val="00C82232"/>
    <w:rsid w:val="00C82913"/>
    <w:rsid w:val="00C82B30"/>
    <w:rsid w:val="00C83E2C"/>
    <w:rsid w:val="00C86D49"/>
    <w:rsid w:val="00C91731"/>
    <w:rsid w:val="00C91768"/>
    <w:rsid w:val="00C9236C"/>
    <w:rsid w:val="00C93411"/>
    <w:rsid w:val="00C93787"/>
    <w:rsid w:val="00C972B1"/>
    <w:rsid w:val="00CA1985"/>
    <w:rsid w:val="00CA2CCE"/>
    <w:rsid w:val="00CA3E60"/>
    <w:rsid w:val="00CA43FD"/>
    <w:rsid w:val="00CA6853"/>
    <w:rsid w:val="00CA7EF8"/>
    <w:rsid w:val="00CB091F"/>
    <w:rsid w:val="00CB17DD"/>
    <w:rsid w:val="00CB2D34"/>
    <w:rsid w:val="00CB52C4"/>
    <w:rsid w:val="00CB600A"/>
    <w:rsid w:val="00CB7468"/>
    <w:rsid w:val="00CB7CBE"/>
    <w:rsid w:val="00CC3E86"/>
    <w:rsid w:val="00CC489B"/>
    <w:rsid w:val="00CC48AA"/>
    <w:rsid w:val="00CD0085"/>
    <w:rsid w:val="00CD134E"/>
    <w:rsid w:val="00CD2BCD"/>
    <w:rsid w:val="00CD2E09"/>
    <w:rsid w:val="00CD3A4C"/>
    <w:rsid w:val="00CD4917"/>
    <w:rsid w:val="00CD4E58"/>
    <w:rsid w:val="00CD6BEE"/>
    <w:rsid w:val="00CD7201"/>
    <w:rsid w:val="00CE10E9"/>
    <w:rsid w:val="00CE2910"/>
    <w:rsid w:val="00CE5393"/>
    <w:rsid w:val="00CE6D75"/>
    <w:rsid w:val="00CE714B"/>
    <w:rsid w:val="00CE75E7"/>
    <w:rsid w:val="00CF09EB"/>
    <w:rsid w:val="00CF20BC"/>
    <w:rsid w:val="00CF315E"/>
    <w:rsid w:val="00CF32BA"/>
    <w:rsid w:val="00CF36BE"/>
    <w:rsid w:val="00CF3CB1"/>
    <w:rsid w:val="00CF6000"/>
    <w:rsid w:val="00CF62EA"/>
    <w:rsid w:val="00D003F3"/>
    <w:rsid w:val="00D007D4"/>
    <w:rsid w:val="00D02161"/>
    <w:rsid w:val="00D0364F"/>
    <w:rsid w:val="00D03BD0"/>
    <w:rsid w:val="00D04993"/>
    <w:rsid w:val="00D059A7"/>
    <w:rsid w:val="00D05B9A"/>
    <w:rsid w:val="00D06436"/>
    <w:rsid w:val="00D06447"/>
    <w:rsid w:val="00D06834"/>
    <w:rsid w:val="00D06B18"/>
    <w:rsid w:val="00D152C2"/>
    <w:rsid w:val="00D17704"/>
    <w:rsid w:val="00D17A47"/>
    <w:rsid w:val="00D208A1"/>
    <w:rsid w:val="00D20BE0"/>
    <w:rsid w:val="00D21E0F"/>
    <w:rsid w:val="00D22A36"/>
    <w:rsid w:val="00D23980"/>
    <w:rsid w:val="00D23CA4"/>
    <w:rsid w:val="00D25388"/>
    <w:rsid w:val="00D3054B"/>
    <w:rsid w:val="00D3077B"/>
    <w:rsid w:val="00D308ED"/>
    <w:rsid w:val="00D30992"/>
    <w:rsid w:val="00D34005"/>
    <w:rsid w:val="00D34ADF"/>
    <w:rsid w:val="00D35519"/>
    <w:rsid w:val="00D36D86"/>
    <w:rsid w:val="00D3793F"/>
    <w:rsid w:val="00D40E79"/>
    <w:rsid w:val="00D41405"/>
    <w:rsid w:val="00D42008"/>
    <w:rsid w:val="00D428AA"/>
    <w:rsid w:val="00D43D66"/>
    <w:rsid w:val="00D44379"/>
    <w:rsid w:val="00D4570C"/>
    <w:rsid w:val="00D50A34"/>
    <w:rsid w:val="00D51A36"/>
    <w:rsid w:val="00D51E65"/>
    <w:rsid w:val="00D53E57"/>
    <w:rsid w:val="00D53EFA"/>
    <w:rsid w:val="00D53F05"/>
    <w:rsid w:val="00D60050"/>
    <w:rsid w:val="00D6131A"/>
    <w:rsid w:val="00D627C9"/>
    <w:rsid w:val="00D70319"/>
    <w:rsid w:val="00D707FE"/>
    <w:rsid w:val="00D71F0E"/>
    <w:rsid w:val="00D72345"/>
    <w:rsid w:val="00D72AAE"/>
    <w:rsid w:val="00D7512B"/>
    <w:rsid w:val="00D758C5"/>
    <w:rsid w:val="00D75E42"/>
    <w:rsid w:val="00D81028"/>
    <w:rsid w:val="00D82DEA"/>
    <w:rsid w:val="00D870B7"/>
    <w:rsid w:val="00D87D2D"/>
    <w:rsid w:val="00D92FD2"/>
    <w:rsid w:val="00D93CAF"/>
    <w:rsid w:val="00D94A7C"/>
    <w:rsid w:val="00D95896"/>
    <w:rsid w:val="00D96630"/>
    <w:rsid w:val="00D97DBA"/>
    <w:rsid w:val="00DA1A8F"/>
    <w:rsid w:val="00DA257B"/>
    <w:rsid w:val="00DA508F"/>
    <w:rsid w:val="00DA6031"/>
    <w:rsid w:val="00DA76B9"/>
    <w:rsid w:val="00DA7976"/>
    <w:rsid w:val="00DB2983"/>
    <w:rsid w:val="00DB4926"/>
    <w:rsid w:val="00DC1257"/>
    <w:rsid w:val="00DC1BC2"/>
    <w:rsid w:val="00DC1CFD"/>
    <w:rsid w:val="00DC30D6"/>
    <w:rsid w:val="00DC3196"/>
    <w:rsid w:val="00DC3DC0"/>
    <w:rsid w:val="00DC5B2B"/>
    <w:rsid w:val="00DC6216"/>
    <w:rsid w:val="00DD033F"/>
    <w:rsid w:val="00DD149D"/>
    <w:rsid w:val="00DD1F4A"/>
    <w:rsid w:val="00DD318D"/>
    <w:rsid w:val="00DD32A6"/>
    <w:rsid w:val="00DD4AF1"/>
    <w:rsid w:val="00DD6A0F"/>
    <w:rsid w:val="00DD79E7"/>
    <w:rsid w:val="00DE003E"/>
    <w:rsid w:val="00DE1D5E"/>
    <w:rsid w:val="00DE3B4A"/>
    <w:rsid w:val="00DE430F"/>
    <w:rsid w:val="00DE513E"/>
    <w:rsid w:val="00DE69C1"/>
    <w:rsid w:val="00DF0D44"/>
    <w:rsid w:val="00DF2E12"/>
    <w:rsid w:val="00DF514A"/>
    <w:rsid w:val="00DF6690"/>
    <w:rsid w:val="00DF6804"/>
    <w:rsid w:val="00E0225D"/>
    <w:rsid w:val="00E026F1"/>
    <w:rsid w:val="00E02CF0"/>
    <w:rsid w:val="00E0358D"/>
    <w:rsid w:val="00E04323"/>
    <w:rsid w:val="00E043DF"/>
    <w:rsid w:val="00E04695"/>
    <w:rsid w:val="00E05ED3"/>
    <w:rsid w:val="00E070A2"/>
    <w:rsid w:val="00E10FFE"/>
    <w:rsid w:val="00E11F3C"/>
    <w:rsid w:val="00E12AA8"/>
    <w:rsid w:val="00E14D45"/>
    <w:rsid w:val="00E14F86"/>
    <w:rsid w:val="00E151C5"/>
    <w:rsid w:val="00E161A3"/>
    <w:rsid w:val="00E17AB4"/>
    <w:rsid w:val="00E20B6B"/>
    <w:rsid w:val="00E24CB5"/>
    <w:rsid w:val="00E2564B"/>
    <w:rsid w:val="00E2656A"/>
    <w:rsid w:val="00E26F1C"/>
    <w:rsid w:val="00E27398"/>
    <w:rsid w:val="00E27470"/>
    <w:rsid w:val="00E27FD2"/>
    <w:rsid w:val="00E322C3"/>
    <w:rsid w:val="00E32FD1"/>
    <w:rsid w:val="00E33462"/>
    <w:rsid w:val="00E335F2"/>
    <w:rsid w:val="00E3623A"/>
    <w:rsid w:val="00E36D10"/>
    <w:rsid w:val="00E37F1E"/>
    <w:rsid w:val="00E40D40"/>
    <w:rsid w:val="00E412D0"/>
    <w:rsid w:val="00E42938"/>
    <w:rsid w:val="00E42DA1"/>
    <w:rsid w:val="00E436E6"/>
    <w:rsid w:val="00E4443B"/>
    <w:rsid w:val="00E44745"/>
    <w:rsid w:val="00E46195"/>
    <w:rsid w:val="00E4697A"/>
    <w:rsid w:val="00E51E7F"/>
    <w:rsid w:val="00E5251A"/>
    <w:rsid w:val="00E559DB"/>
    <w:rsid w:val="00E56322"/>
    <w:rsid w:val="00E56BDE"/>
    <w:rsid w:val="00E6093C"/>
    <w:rsid w:val="00E60982"/>
    <w:rsid w:val="00E60F0C"/>
    <w:rsid w:val="00E62C62"/>
    <w:rsid w:val="00E62F5F"/>
    <w:rsid w:val="00E63B3F"/>
    <w:rsid w:val="00E64594"/>
    <w:rsid w:val="00E654C1"/>
    <w:rsid w:val="00E65D97"/>
    <w:rsid w:val="00E6707B"/>
    <w:rsid w:val="00E67DE5"/>
    <w:rsid w:val="00E7080A"/>
    <w:rsid w:val="00E70A4C"/>
    <w:rsid w:val="00E72A5A"/>
    <w:rsid w:val="00E73323"/>
    <w:rsid w:val="00E73354"/>
    <w:rsid w:val="00E745C2"/>
    <w:rsid w:val="00E76BAD"/>
    <w:rsid w:val="00E80AF3"/>
    <w:rsid w:val="00E81594"/>
    <w:rsid w:val="00E82EFD"/>
    <w:rsid w:val="00E83B69"/>
    <w:rsid w:val="00E845DF"/>
    <w:rsid w:val="00E8640B"/>
    <w:rsid w:val="00E9242D"/>
    <w:rsid w:val="00E940FB"/>
    <w:rsid w:val="00E95D19"/>
    <w:rsid w:val="00E977CC"/>
    <w:rsid w:val="00EA1F44"/>
    <w:rsid w:val="00EA22A1"/>
    <w:rsid w:val="00EA2DC4"/>
    <w:rsid w:val="00EA3D26"/>
    <w:rsid w:val="00EA3EB8"/>
    <w:rsid w:val="00EA43FC"/>
    <w:rsid w:val="00EA5910"/>
    <w:rsid w:val="00EA7F9D"/>
    <w:rsid w:val="00EB0F20"/>
    <w:rsid w:val="00EB4813"/>
    <w:rsid w:val="00EB5255"/>
    <w:rsid w:val="00EB5C47"/>
    <w:rsid w:val="00EB62F0"/>
    <w:rsid w:val="00EB7641"/>
    <w:rsid w:val="00EB7EBD"/>
    <w:rsid w:val="00EC049C"/>
    <w:rsid w:val="00EC11F4"/>
    <w:rsid w:val="00EC27BD"/>
    <w:rsid w:val="00EC2BEA"/>
    <w:rsid w:val="00EC428D"/>
    <w:rsid w:val="00ED0266"/>
    <w:rsid w:val="00ED0639"/>
    <w:rsid w:val="00ED32F2"/>
    <w:rsid w:val="00ED3BA9"/>
    <w:rsid w:val="00ED3D10"/>
    <w:rsid w:val="00ED7D3C"/>
    <w:rsid w:val="00ED7E14"/>
    <w:rsid w:val="00EE0FE2"/>
    <w:rsid w:val="00EE11DA"/>
    <w:rsid w:val="00EE215D"/>
    <w:rsid w:val="00EE4E6B"/>
    <w:rsid w:val="00EE739E"/>
    <w:rsid w:val="00EF0363"/>
    <w:rsid w:val="00EF06F0"/>
    <w:rsid w:val="00EF1B92"/>
    <w:rsid w:val="00EF4702"/>
    <w:rsid w:val="00EF4755"/>
    <w:rsid w:val="00EF4874"/>
    <w:rsid w:val="00EF7135"/>
    <w:rsid w:val="00F021A6"/>
    <w:rsid w:val="00F027DB"/>
    <w:rsid w:val="00F14A7A"/>
    <w:rsid w:val="00F16F8F"/>
    <w:rsid w:val="00F17171"/>
    <w:rsid w:val="00F22985"/>
    <w:rsid w:val="00F23CC7"/>
    <w:rsid w:val="00F24531"/>
    <w:rsid w:val="00F24AB5"/>
    <w:rsid w:val="00F261CC"/>
    <w:rsid w:val="00F27030"/>
    <w:rsid w:val="00F3383E"/>
    <w:rsid w:val="00F341CB"/>
    <w:rsid w:val="00F35070"/>
    <w:rsid w:val="00F3508B"/>
    <w:rsid w:val="00F363D6"/>
    <w:rsid w:val="00F36E26"/>
    <w:rsid w:val="00F37AB9"/>
    <w:rsid w:val="00F37C10"/>
    <w:rsid w:val="00F42164"/>
    <w:rsid w:val="00F42AF7"/>
    <w:rsid w:val="00F4377F"/>
    <w:rsid w:val="00F4390B"/>
    <w:rsid w:val="00F43DC4"/>
    <w:rsid w:val="00F4621F"/>
    <w:rsid w:val="00F465A7"/>
    <w:rsid w:val="00F467CC"/>
    <w:rsid w:val="00F47E34"/>
    <w:rsid w:val="00F50B7C"/>
    <w:rsid w:val="00F512C1"/>
    <w:rsid w:val="00F52CFB"/>
    <w:rsid w:val="00F53D0E"/>
    <w:rsid w:val="00F550E6"/>
    <w:rsid w:val="00F551B0"/>
    <w:rsid w:val="00F55CE4"/>
    <w:rsid w:val="00F55E4D"/>
    <w:rsid w:val="00F600E9"/>
    <w:rsid w:val="00F6137B"/>
    <w:rsid w:val="00F6283C"/>
    <w:rsid w:val="00F643FE"/>
    <w:rsid w:val="00F64E68"/>
    <w:rsid w:val="00F6582C"/>
    <w:rsid w:val="00F665C2"/>
    <w:rsid w:val="00F67381"/>
    <w:rsid w:val="00F6798A"/>
    <w:rsid w:val="00F735C6"/>
    <w:rsid w:val="00F74345"/>
    <w:rsid w:val="00F80A0A"/>
    <w:rsid w:val="00F80AA5"/>
    <w:rsid w:val="00F81732"/>
    <w:rsid w:val="00F82B19"/>
    <w:rsid w:val="00F86719"/>
    <w:rsid w:val="00F9212D"/>
    <w:rsid w:val="00F935C3"/>
    <w:rsid w:val="00F944A9"/>
    <w:rsid w:val="00F95375"/>
    <w:rsid w:val="00F9626B"/>
    <w:rsid w:val="00F965DA"/>
    <w:rsid w:val="00F9785C"/>
    <w:rsid w:val="00FA0361"/>
    <w:rsid w:val="00FA1622"/>
    <w:rsid w:val="00FA406A"/>
    <w:rsid w:val="00FA7A5F"/>
    <w:rsid w:val="00FA7E60"/>
    <w:rsid w:val="00FB1C96"/>
    <w:rsid w:val="00FB2AB8"/>
    <w:rsid w:val="00FB2C7B"/>
    <w:rsid w:val="00FB503A"/>
    <w:rsid w:val="00FB516C"/>
    <w:rsid w:val="00FC1424"/>
    <w:rsid w:val="00FC1EF1"/>
    <w:rsid w:val="00FC290C"/>
    <w:rsid w:val="00FD014A"/>
    <w:rsid w:val="00FD0236"/>
    <w:rsid w:val="00FD0635"/>
    <w:rsid w:val="00FD18F4"/>
    <w:rsid w:val="00FD2517"/>
    <w:rsid w:val="00FD29F5"/>
    <w:rsid w:val="00FD4ADF"/>
    <w:rsid w:val="00FD54DB"/>
    <w:rsid w:val="00FD619F"/>
    <w:rsid w:val="00FD6596"/>
    <w:rsid w:val="00FD6C0D"/>
    <w:rsid w:val="00FE13C5"/>
    <w:rsid w:val="00FE18AB"/>
    <w:rsid w:val="00FE293A"/>
    <w:rsid w:val="00FE34EA"/>
    <w:rsid w:val="00FE4743"/>
    <w:rsid w:val="00FE7AFB"/>
    <w:rsid w:val="00FF0C1C"/>
    <w:rsid w:val="00FF32E9"/>
    <w:rsid w:val="00FF3B0D"/>
    <w:rsid w:val="00FF409D"/>
    <w:rsid w:val="00FF48CA"/>
    <w:rsid w:val="00FF4FD7"/>
    <w:rsid w:val="00FF5400"/>
    <w:rsid w:val="00FF5D56"/>
    <w:rsid w:val="01196308"/>
    <w:rsid w:val="01290F7E"/>
    <w:rsid w:val="015D1E09"/>
    <w:rsid w:val="019828C3"/>
    <w:rsid w:val="01A26C86"/>
    <w:rsid w:val="02697903"/>
    <w:rsid w:val="02714E51"/>
    <w:rsid w:val="02B363A4"/>
    <w:rsid w:val="02CF6E20"/>
    <w:rsid w:val="02F96569"/>
    <w:rsid w:val="03151E1E"/>
    <w:rsid w:val="03EA7B21"/>
    <w:rsid w:val="046624C9"/>
    <w:rsid w:val="0589648D"/>
    <w:rsid w:val="05F83EAE"/>
    <w:rsid w:val="063E7D85"/>
    <w:rsid w:val="06A321E6"/>
    <w:rsid w:val="07293586"/>
    <w:rsid w:val="07295285"/>
    <w:rsid w:val="07636392"/>
    <w:rsid w:val="07770C56"/>
    <w:rsid w:val="08D67EDD"/>
    <w:rsid w:val="08D95FDD"/>
    <w:rsid w:val="090E3EC2"/>
    <w:rsid w:val="092217DD"/>
    <w:rsid w:val="093A7294"/>
    <w:rsid w:val="097A1DD3"/>
    <w:rsid w:val="09B83CB8"/>
    <w:rsid w:val="09D773D1"/>
    <w:rsid w:val="0A1D1FF0"/>
    <w:rsid w:val="0A263993"/>
    <w:rsid w:val="0A2D3AC2"/>
    <w:rsid w:val="0A4A5370"/>
    <w:rsid w:val="0AA66873"/>
    <w:rsid w:val="0AA755DF"/>
    <w:rsid w:val="0AC0230C"/>
    <w:rsid w:val="0B120D44"/>
    <w:rsid w:val="0BD27BF6"/>
    <w:rsid w:val="0BE03ECD"/>
    <w:rsid w:val="0C2B1CF4"/>
    <w:rsid w:val="0C3B3C7D"/>
    <w:rsid w:val="0C481334"/>
    <w:rsid w:val="0C8611B1"/>
    <w:rsid w:val="0CAB2EAE"/>
    <w:rsid w:val="0CB45B12"/>
    <w:rsid w:val="0CCC1079"/>
    <w:rsid w:val="0D334F34"/>
    <w:rsid w:val="0D621C7D"/>
    <w:rsid w:val="0DFD00EA"/>
    <w:rsid w:val="0E185D91"/>
    <w:rsid w:val="0E59530E"/>
    <w:rsid w:val="0E73034D"/>
    <w:rsid w:val="0EFC2882"/>
    <w:rsid w:val="0F13775A"/>
    <w:rsid w:val="0F5F45FE"/>
    <w:rsid w:val="0F9A112B"/>
    <w:rsid w:val="0FAD6C5A"/>
    <w:rsid w:val="0FB51193"/>
    <w:rsid w:val="10143EDD"/>
    <w:rsid w:val="106D2F64"/>
    <w:rsid w:val="10B63710"/>
    <w:rsid w:val="10F10820"/>
    <w:rsid w:val="111C2F7A"/>
    <w:rsid w:val="11665CA1"/>
    <w:rsid w:val="11711ECF"/>
    <w:rsid w:val="118B71D4"/>
    <w:rsid w:val="13951726"/>
    <w:rsid w:val="14396509"/>
    <w:rsid w:val="14874C02"/>
    <w:rsid w:val="14DD2C3C"/>
    <w:rsid w:val="15295AF8"/>
    <w:rsid w:val="16087E1D"/>
    <w:rsid w:val="162478FB"/>
    <w:rsid w:val="163630A2"/>
    <w:rsid w:val="167C6E02"/>
    <w:rsid w:val="1712096B"/>
    <w:rsid w:val="17701D14"/>
    <w:rsid w:val="17735226"/>
    <w:rsid w:val="189F624C"/>
    <w:rsid w:val="18A051D4"/>
    <w:rsid w:val="18BB6A37"/>
    <w:rsid w:val="19576DB4"/>
    <w:rsid w:val="19680186"/>
    <w:rsid w:val="1A126384"/>
    <w:rsid w:val="1A1C66C0"/>
    <w:rsid w:val="1A42393B"/>
    <w:rsid w:val="1A4A2E1F"/>
    <w:rsid w:val="1AAD45DE"/>
    <w:rsid w:val="1AE307ED"/>
    <w:rsid w:val="1B046F80"/>
    <w:rsid w:val="1B1073CA"/>
    <w:rsid w:val="1B184EFB"/>
    <w:rsid w:val="1B3267B5"/>
    <w:rsid w:val="1B40161D"/>
    <w:rsid w:val="1B441859"/>
    <w:rsid w:val="1B624598"/>
    <w:rsid w:val="1B6606B1"/>
    <w:rsid w:val="1B915487"/>
    <w:rsid w:val="1BF500FF"/>
    <w:rsid w:val="1C5E7925"/>
    <w:rsid w:val="1CFD070F"/>
    <w:rsid w:val="1D5F6196"/>
    <w:rsid w:val="1D6132A5"/>
    <w:rsid w:val="1D8E56D5"/>
    <w:rsid w:val="1DD825E1"/>
    <w:rsid w:val="1E7A43DA"/>
    <w:rsid w:val="1FE7539E"/>
    <w:rsid w:val="1FFF07C5"/>
    <w:rsid w:val="20191C86"/>
    <w:rsid w:val="20671BE0"/>
    <w:rsid w:val="20963CB8"/>
    <w:rsid w:val="20A81A1B"/>
    <w:rsid w:val="20B07FB6"/>
    <w:rsid w:val="20B646FB"/>
    <w:rsid w:val="20DA1D5A"/>
    <w:rsid w:val="20E416EE"/>
    <w:rsid w:val="213B74B1"/>
    <w:rsid w:val="21550C60"/>
    <w:rsid w:val="215A2310"/>
    <w:rsid w:val="215C6CBB"/>
    <w:rsid w:val="21A7643D"/>
    <w:rsid w:val="21DE318A"/>
    <w:rsid w:val="21EF5B80"/>
    <w:rsid w:val="221E4468"/>
    <w:rsid w:val="22364D4D"/>
    <w:rsid w:val="22576990"/>
    <w:rsid w:val="225F1489"/>
    <w:rsid w:val="22A54C87"/>
    <w:rsid w:val="22F47480"/>
    <w:rsid w:val="232662F8"/>
    <w:rsid w:val="23B52FA7"/>
    <w:rsid w:val="23DE1C48"/>
    <w:rsid w:val="240210CD"/>
    <w:rsid w:val="2415725B"/>
    <w:rsid w:val="24883755"/>
    <w:rsid w:val="24BF09F7"/>
    <w:rsid w:val="24E05F79"/>
    <w:rsid w:val="250B0077"/>
    <w:rsid w:val="252D53FE"/>
    <w:rsid w:val="255B3E39"/>
    <w:rsid w:val="25EC2D81"/>
    <w:rsid w:val="264E3CD8"/>
    <w:rsid w:val="269659D1"/>
    <w:rsid w:val="26D30A98"/>
    <w:rsid w:val="272F7958"/>
    <w:rsid w:val="277057A2"/>
    <w:rsid w:val="2854556C"/>
    <w:rsid w:val="28A9036C"/>
    <w:rsid w:val="29206EB8"/>
    <w:rsid w:val="29595666"/>
    <w:rsid w:val="29874881"/>
    <w:rsid w:val="29C167F0"/>
    <w:rsid w:val="29E325E0"/>
    <w:rsid w:val="2A452503"/>
    <w:rsid w:val="2A827D0E"/>
    <w:rsid w:val="2AEA78ED"/>
    <w:rsid w:val="2AEF727C"/>
    <w:rsid w:val="2B4E5092"/>
    <w:rsid w:val="2B5B3CC0"/>
    <w:rsid w:val="2B882F4B"/>
    <w:rsid w:val="2BA936A8"/>
    <w:rsid w:val="2BCB4AA5"/>
    <w:rsid w:val="2C315A5A"/>
    <w:rsid w:val="2C4B1C25"/>
    <w:rsid w:val="2CF91666"/>
    <w:rsid w:val="2D592488"/>
    <w:rsid w:val="2D9E56F5"/>
    <w:rsid w:val="2E667F96"/>
    <w:rsid w:val="2E8226AB"/>
    <w:rsid w:val="2F237C1E"/>
    <w:rsid w:val="2FD065E6"/>
    <w:rsid w:val="2FD96870"/>
    <w:rsid w:val="30580BC9"/>
    <w:rsid w:val="30BE7BF3"/>
    <w:rsid w:val="31052751"/>
    <w:rsid w:val="31164336"/>
    <w:rsid w:val="311E2ED7"/>
    <w:rsid w:val="315619EE"/>
    <w:rsid w:val="315C449C"/>
    <w:rsid w:val="31B82709"/>
    <w:rsid w:val="31D05482"/>
    <w:rsid w:val="31FF798B"/>
    <w:rsid w:val="32157808"/>
    <w:rsid w:val="322479DE"/>
    <w:rsid w:val="32400B34"/>
    <w:rsid w:val="329E6876"/>
    <w:rsid w:val="32D153DF"/>
    <w:rsid w:val="333015F2"/>
    <w:rsid w:val="334B6320"/>
    <w:rsid w:val="33D934D4"/>
    <w:rsid w:val="33FC0D14"/>
    <w:rsid w:val="33FE2F6A"/>
    <w:rsid w:val="340E07E5"/>
    <w:rsid w:val="342137B3"/>
    <w:rsid w:val="34235BF7"/>
    <w:rsid w:val="358C5FA8"/>
    <w:rsid w:val="35C15DF1"/>
    <w:rsid w:val="36074A7F"/>
    <w:rsid w:val="36597D5F"/>
    <w:rsid w:val="36923549"/>
    <w:rsid w:val="36B75FBF"/>
    <w:rsid w:val="36BD0C45"/>
    <w:rsid w:val="37122B2A"/>
    <w:rsid w:val="373325DE"/>
    <w:rsid w:val="374C68D4"/>
    <w:rsid w:val="37E00298"/>
    <w:rsid w:val="38B302F9"/>
    <w:rsid w:val="38F12CD3"/>
    <w:rsid w:val="38F94775"/>
    <w:rsid w:val="392971ED"/>
    <w:rsid w:val="39325651"/>
    <w:rsid w:val="39DD6D8B"/>
    <w:rsid w:val="3A060035"/>
    <w:rsid w:val="3A4D2CFC"/>
    <w:rsid w:val="3A872856"/>
    <w:rsid w:val="3AB96F42"/>
    <w:rsid w:val="3B3763D1"/>
    <w:rsid w:val="3B420081"/>
    <w:rsid w:val="3B6F455F"/>
    <w:rsid w:val="3C0246BF"/>
    <w:rsid w:val="3C2F6E1E"/>
    <w:rsid w:val="3C4F64BA"/>
    <w:rsid w:val="3CBA559E"/>
    <w:rsid w:val="3CDA245A"/>
    <w:rsid w:val="3D1E06B7"/>
    <w:rsid w:val="3D8E07F4"/>
    <w:rsid w:val="3E575037"/>
    <w:rsid w:val="3EDA0523"/>
    <w:rsid w:val="3F763A71"/>
    <w:rsid w:val="3FBE478E"/>
    <w:rsid w:val="3FE45D80"/>
    <w:rsid w:val="407A6407"/>
    <w:rsid w:val="4121629D"/>
    <w:rsid w:val="415353EB"/>
    <w:rsid w:val="41977E78"/>
    <w:rsid w:val="41B84222"/>
    <w:rsid w:val="41BF3D56"/>
    <w:rsid w:val="4200449D"/>
    <w:rsid w:val="421E255B"/>
    <w:rsid w:val="423A3BCC"/>
    <w:rsid w:val="424E57D2"/>
    <w:rsid w:val="428A47E8"/>
    <w:rsid w:val="42B26C49"/>
    <w:rsid w:val="430A1FF0"/>
    <w:rsid w:val="433A6FE6"/>
    <w:rsid w:val="43480868"/>
    <w:rsid w:val="4350713C"/>
    <w:rsid w:val="43643147"/>
    <w:rsid w:val="436653E0"/>
    <w:rsid w:val="43C4431A"/>
    <w:rsid w:val="44100503"/>
    <w:rsid w:val="44281836"/>
    <w:rsid w:val="445B1465"/>
    <w:rsid w:val="44B951CC"/>
    <w:rsid w:val="44CD14E0"/>
    <w:rsid w:val="44EA464B"/>
    <w:rsid w:val="44F20B0B"/>
    <w:rsid w:val="452E5F4C"/>
    <w:rsid w:val="45612018"/>
    <w:rsid w:val="458946E9"/>
    <w:rsid w:val="45A47C0E"/>
    <w:rsid w:val="4629722B"/>
    <w:rsid w:val="462A6367"/>
    <w:rsid w:val="46577FD6"/>
    <w:rsid w:val="468648F1"/>
    <w:rsid w:val="46C22EA7"/>
    <w:rsid w:val="46D955A7"/>
    <w:rsid w:val="47133957"/>
    <w:rsid w:val="47A07E0C"/>
    <w:rsid w:val="4870272E"/>
    <w:rsid w:val="499C4D0D"/>
    <w:rsid w:val="49B831AA"/>
    <w:rsid w:val="49DC7715"/>
    <w:rsid w:val="4A023139"/>
    <w:rsid w:val="4A4A632A"/>
    <w:rsid w:val="4A675464"/>
    <w:rsid w:val="4A7B576F"/>
    <w:rsid w:val="4AAA6EBE"/>
    <w:rsid w:val="4AF1635F"/>
    <w:rsid w:val="4AF561A9"/>
    <w:rsid w:val="4BCA3EF7"/>
    <w:rsid w:val="4C4A0649"/>
    <w:rsid w:val="4C5932EC"/>
    <w:rsid w:val="4C7E5ECA"/>
    <w:rsid w:val="4C876AA5"/>
    <w:rsid w:val="4CFC70A1"/>
    <w:rsid w:val="4D03123A"/>
    <w:rsid w:val="4D0E00FB"/>
    <w:rsid w:val="4D176606"/>
    <w:rsid w:val="4D415C80"/>
    <w:rsid w:val="4DEC4FB0"/>
    <w:rsid w:val="4E075D8A"/>
    <w:rsid w:val="4E54572F"/>
    <w:rsid w:val="4EC00FAD"/>
    <w:rsid w:val="4EF32833"/>
    <w:rsid w:val="4F082AC9"/>
    <w:rsid w:val="4F2E1142"/>
    <w:rsid w:val="4F9843DC"/>
    <w:rsid w:val="4FC62A8C"/>
    <w:rsid w:val="4FD94143"/>
    <w:rsid w:val="4FE20F0D"/>
    <w:rsid w:val="4FE26485"/>
    <w:rsid w:val="4FE51552"/>
    <w:rsid w:val="4FEF1885"/>
    <w:rsid w:val="50504C4B"/>
    <w:rsid w:val="50777563"/>
    <w:rsid w:val="507A15AE"/>
    <w:rsid w:val="509C6E7C"/>
    <w:rsid w:val="5162104E"/>
    <w:rsid w:val="519443D1"/>
    <w:rsid w:val="52032B55"/>
    <w:rsid w:val="523833E8"/>
    <w:rsid w:val="52871060"/>
    <w:rsid w:val="52B465EF"/>
    <w:rsid w:val="533068C3"/>
    <w:rsid w:val="53442ACE"/>
    <w:rsid w:val="53A039CC"/>
    <w:rsid w:val="53A1505A"/>
    <w:rsid w:val="53FC06EB"/>
    <w:rsid w:val="54063E08"/>
    <w:rsid w:val="542B5E64"/>
    <w:rsid w:val="543437E8"/>
    <w:rsid w:val="546C4990"/>
    <w:rsid w:val="549F3E44"/>
    <w:rsid w:val="54F73313"/>
    <w:rsid w:val="54F80955"/>
    <w:rsid w:val="55470A60"/>
    <w:rsid w:val="555170A7"/>
    <w:rsid w:val="5587536D"/>
    <w:rsid w:val="559B174B"/>
    <w:rsid w:val="55CE0CF4"/>
    <w:rsid w:val="562A5BA5"/>
    <w:rsid w:val="56B22A9C"/>
    <w:rsid w:val="57801444"/>
    <w:rsid w:val="57B72A76"/>
    <w:rsid w:val="57BA2C9A"/>
    <w:rsid w:val="57C3426C"/>
    <w:rsid w:val="57CE1F93"/>
    <w:rsid w:val="58047F03"/>
    <w:rsid w:val="5846191F"/>
    <w:rsid w:val="5880602C"/>
    <w:rsid w:val="588743D1"/>
    <w:rsid w:val="5887701A"/>
    <w:rsid w:val="58D86330"/>
    <w:rsid w:val="59270D34"/>
    <w:rsid w:val="595A3A7B"/>
    <w:rsid w:val="59653EFE"/>
    <w:rsid w:val="59C0439F"/>
    <w:rsid w:val="5A0F0BAB"/>
    <w:rsid w:val="5A14577D"/>
    <w:rsid w:val="5A590D66"/>
    <w:rsid w:val="5ABE2233"/>
    <w:rsid w:val="5AF60DE5"/>
    <w:rsid w:val="5B5F355B"/>
    <w:rsid w:val="5BDF5D95"/>
    <w:rsid w:val="5BFE7528"/>
    <w:rsid w:val="5C186DF5"/>
    <w:rsid w:val="5C96759D"/>
    <w:rsid w:val="5CBA72DE"/>
    <w:rsid w:val="5E226BE3"/>
    <w:rsid w:val="5E2467F1"/>
    <w:rsid w:val="5E2C3ADE"/>
    <w:rsid w:val="5E5E7EA9"/>
    <w:rsid w:val="5E7D207F"/>
    <w:rsid w:val="5EED2DC8"/>
    <w:rsid w:val="5F1A2B43"/>
    <w:rsid w:val="5F2F0B9F"/>
    <w:rsid w:val="5F3D2891"/>
    <w:rsid w:val="5F5069CF"/>
    <w:rsid w:val="5F5A66CA"/>
    <w:rsid w:val="5FB837BB"/>
    <w:rsid w:val="5FBD0F26"/>
    <w:rsid w:val="60CC405A"/>
    <w:rsid w:val="617B3354"/>
    <w:rsid w:val="61E215D8"/>
    <w:rsid w:val="621B3775"/>
    <w:rsid w:val="62364782"/>
    <w:rsid w:val="628C7F71"/>
    <w:rsid w:val="62CB79DA"/>
    <w:rsid w:val="6394356A"/>
    <w:rsid w:val="63C22EF0"/>
    <w:rsid w:val="63C61B2C"/>
    <w:rsid w:val="63D40BE9"/>
    <w:rsid w:val="64102431"/>
    <w:rsid w:val="64A5243A"/>
    <w:rsid w:val="64F531DE"/>
    <w:rsid w:val="64FB3D9E"/>
    <w:rsid w:val="65373578"/>
    <w:rsid w:val="658951E0"/>
    <w:rsid w:val="65BF1320"/>
    <w:rsid w:val="671F124A"/>
    <w:rsid w:val="67310B47"/>
    <w:rsid w:val="677A33C6"/>
    <w:rsid w:val="67850C29"/>
    <w:rsid w:val="681F6961"/>
    <w:rsid w:val="68577E5F"/>
    <w:rsid w:val="68610A2F"/>
    <w:rsid w:val="68616EDB"/>
    <w:rsid w:val="68805514"/>
    <w:rsid w:val="691F6D31"/>
    <w:rsid w:val="69316E2F"/>
    <w:rsid w:val="694E2071"/>
    <w:rsid w:val="69766163"/>
    <w:rsid w:val="697A3B33"/>
    <w:rsid w:val="697E338A"/>
    <w:rsid w:val="69D44760"/>
    <w:rsid w:val="69F304E7"/>
    <w:rsid w:val="6A1E0BCF"/>
    <w:rsid w:val="6A520EC7"/>
    <w:rsid w:val="6A5E515E"/>
    <w:rsid w:val="6A7868B2"/>
    <w:rsid w:val="6AF87E20"/>
    <w:rsid w:val="6B0C2B76"/>
    <w:rsid w:val="6B322639"/>
    <w:rsid w:val="6BCF46B3"/>
    <w:rsid w:val="6C3B077B"/>
    <w:rsid w:val="6C636C38"/>
    <w:rsid w:val="6DB34098"/>
    <w:rsid w:val="6DB545B6"/>
    <w:rsid w:val="6DCB4A40"/>
    <w:rsid w:val="6DE02FB4"/>
    <w:rsid w:val="6DF107AE"/>
    <w:rsid w:val="6DF13802"/>
    <w:rsid w:val="6E514CED"/>
    <w:rsid w:val="6E5D1CA1"/>
    <w:rsid w:val="6EB563D5"/>
    <w:rsid w:val="6ED92677"/>
    <w:rsid w:val="6F225983"/>
    <w:rsid w:val="6FFC5590"/>
    <w:rsid w:val="701C5434"/>
    <w:rsid w:val="706D1DD0"/>
    <w:rsid w:val="70856B87"/>
    <w:rsid w:val="70D527EE"/>
    <w:rsid w:val="70E17D38"/>
    <w:rsid w:val="70F84ABD"/>
    <w:rsid w:val="715B5300"/>
    <w:rsid w:val="71AB3672"/>
    <w:rsid w:val="71D27F8A"/>
    <w:rsid w:val="72553024"/>
    <w:rsid w:val="73122968"/>
    <w:rsid w:val="731F5D5E"/>
    <w:rsid w:val="73C51AD5"/>
    <w:rsid w:val="73D60189"/>
    <w:rsid w:val="741E793C"/>
    <w:rsid w:val="74295FFF"/>
    <w:rsid w:val="745C57BF"/>
    <w:rsid w:val="745E3944"/>
    <w:rsid w:val="748206BB"/>
    <w:rsid w:val="74A13DD6"/>
    <w:rsid w:val="7635099D"/>
    <w:rsid w:val="766A4B94"/>
    <w:rsid w:val="77762421"/>
    <w:rsid w:val="77B56B1F"/>
    <w:rsid w:val="780F09F4"/>
    <w:rsid w:val="78264689"/>
    <w:rsid w:val="78A90480"/>
    <w:rsid w:val="79FC520F"/>
    <w:rsid w:val="7A236170"/>
    <w:rsid w:val="7A364017"/>
    <w:rsid w:val="7A5C57C7"/>
    <w:rsid w:val="7A8265E1"/>
    <w:rsid w:val="7B4C49A5"/>
    <w:rsid w:val="7B686D42"/>
    <w:rsid w:val="7B841746"/>
    <w:rsid w:val="7BD13AC3"/>
    <w:rsid w:val="7C6C5AC7"/>
    <w:rsid w:val="7C8535D1"/>
    <w:rsid w:val="7CC6544B"/>
    <w:rsid w:val="7CFC4EC5"/>
    <w:rsid w:val="7D0239FF"/>
    <w:rsid w:val="7D38768E"/>
    <w:rsid w:val="7D5E40CD"/>
    <w:rsid w:val="7D674E9A"/>
    <w:rsid w:val="7D9A432B"/>
    <w:rsid w:val="7DA27225"/>
    <w:rsid w:val="7DCD56F2"/>
    <w:rsid w:val="7DDF761A"/>
    <w:rsid w:val="7ED40F13"/>
    <w:rsid w:val="7F001CE7"/>
    <w:rsid w:val="7F970008"/>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ocked="1"/>
    <w:lsdException w:uiPriority="0" w:name="index 2" w:locked="1"/>
    <w:lsdException w:uiPriority="0" w:name="index 3" w:locked="1"/>
    <w:lsdException w:qFormat="1" w:unhideWhenUsed="0" w:uiPriority="0" w:semiHidden="0" w:name="index 4" w:locked="1"/>
    <w:lsdException w:uiPriority="0" w:name="index 5" w:locked="1"/>
    <w:lsdException w:qFormat="1" w:unhideWhenUsed="0" w:uiPriority="99" w:semiHidden="0" w:name="index 6" w:locked="1"/>
    <w:lsdException w:uiPriority="0" w:name="index 7" w:locked="1"/>
    <w:lsdException w:qFormat="1" w:unhideWhenUsed="0" w:uiPriority="0" w:semiHidden="0" w:name="index 8" w:locked="1"/>
    <w:lsdException w:uiPriority="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iPriority="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qFormat="1" w:unhideWhenUsed="0" w:uiPriority="0" w:semiHidden="0" w:name="table of figures" w:locked="1"/>
    <w:lsdException w:uiPriority="0" w:name="envelope address" w:locked="1"/>
    <w:lsdException w:uiPriority="0" w:name="envelope return" w:locked="1"/>
    <w:lsdException w:uiPriority="0" w:name="footnote reference" w:locked="1"/>
    <w:lsdException w:qFormat="1" w:unhideWhenUsed="0" w:uiPriority="99" w:semiHidden="0" w:name="annotation reference"/>
    <w:lsdException w:uiPriority="0" w:name="line number" w:locked="1"/>
    <w:lsdException w:qFormat="1" w:unhideWhenUsed="0" w:uiPriority="0" w:semiHidden="0" w:name="page number" w:locked="1"/>
    <w:lsdException w:qFormat="1" w:uiPriority="99" w:semiHidden="0" w:name="endnote reference" w:locked="1"/>
    <w:lsdException w:qFormat="1" w:uiPriority="99" w:semiHidden="0" w:name="endnote text" w:locked="1"/>
    <w:lsdException w:qFormat="1" w:unhideWhenUsed="0" w:uiPriority="0" w:semiHidden="0" w:name="table of authorities" w:locked="1"/>
    <w:lsdException w:uiPriority="0" w:name="macro" w:locked="1"/>
    <w:lsdException w:qFormat="1" w:unhideWhenUsed="0" w:uiPriority="99" w:semiHidden="0" w:name="toa heading" w:locked="1"/>
    <w:lsdException w:qFormat="1" w:unhideWhenUsed="0" w:uiPriority="0" w:semiHidden="0" w:name="List" w:locked="1"/>
    <w:lsdException w:unhideWhenUsed="0" w:uiPriority="0" w:semiHidden="0" w:name="List Bullet" w:locked="1"/>
    <w:lsdException w:qFormat="1" w:unhideWhenUsed="0" w:uiPriority="0" w:semiHidden="0" w:name="List Number" w:locked="1"/>
    <w:lsdException w:qFormat="1" w:unhideWhenUsed="0" w:uiPriority="0" w:semiHidden="0" w:name="List 2" w:locked="1"/>
    <w:lsdException w:uiPriority="0" w:name="List 3" w:locked="1"/>
    <w:lsdException w:uiPriority="0" w:name="List 4" w:locked="1"/>
    <w:lsdException w:uiPriority="0" w:name="List 5" w:locked="1"/>
    <w:lsdException w:qFormat="1" w:unhideWhenUsed="0" w:uiPriority="0" w:semiHidden="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iPriority="0" w:name="Message Header" w:locked="1"/>
    <w:lsdException w:qFormat="1" w:unhideWhenUsed="0" w:uiPriority="0" w:semiHidden="0" w:name="Subtitle" w:locked="1"/>
    <w:lsdException w:uiPriority="0" w:name="Salutation" w:locked="1"/>
    <w:lsdException w:qFormat="1" w:unhideWhenUsed="0" w:uiPriority="99" w:semiHidden="0" w:name="Date"/>
    <w:lsdException w:qFormat="1" w:unhideWhenUsed="0" w:uiPriority="99" w:semiHidden="0" w:name="Body Text First Indent" w:locked="1"/>
    <w:lsdException w:qFormat="1" w:uiPriority="0" w:semiHidden="0" w:name="Body Text First Indent 2" w:locked="1"/>
    <w:lsdException w:qFormat="1" w:unhideWhenUsed="0" w:uiPriority="0" w:semiHidden="0" w:name="Note Heading" w:locked="1"/>
    <w:lsdException w:qFormat="1" w:unhideWhenUsed="0" w:uiPriority="99" w:semiHidden="0" w:name="Body Text 2" w:locked="1"/>
    <w:lsdException w:qFormat="1" w:unhideWhenUsed="0" w:uiPriority="99"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99" w:semiHidden="0" w:name="Document Map" w:locked="1"/>
    <w:lsdException w:qFormat="1" w:unhideWhenUsed="0" w:uiPriority="0" w:semiHidden="0" w:name="Plain Text" w:locked="1"/>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99" w:semiHidden="0" w:name="HTML Preformatted" w:locked="1"/>
    <w:lsdException w:uiPriority="0" w:name="HTML Sample" w:locked="1"/>
    <w:lsdException w:qFormat="1" w:unhideWhenUsed="0" w:uiPriority="0" w:semiHidden="0" w:name="HTML Typewriter" w:locked="1"/>
    <w:lsdException w:uiPriority="0" w:name="HTML Variable" w:locked="1"/>
    <w:lsdException w:qFormat="1" w:uiPriority="99" w:name="Normal Table"/>
    <w:lsdException w:qFormat="1" w:unhideWhenUsed="0" w:uiPriority="99"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qFormat="1" w:unhideWhenUsed="0" w:uiPriority="0" w:semiHidden="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99" w:semiHidden="0" w:name="Balloon Text"/>
    <w:lsdException w:qFormat="1" w:unhideWhenUsed="0" w:uiPriority="0" w:semiHidden="0" w:name="Table Grid"/>
    <w:lsdException w:qFormat="1" w:unhideWhenUsed="0" w:uiPriority="0" w:semiHidden="0" w:name="Table Theme" w:locked="1"/>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7"/>
    <w:qFormat/>
    <w:locked/>
    <w:uiPriority w:val="0"/>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91"/>
    <w:qFormat/>
    <w:locked/>
    <w:uiPriority w:val="0"/>
    <w:pPr>
      <w:keepNext/>
      <w:keepLines/>
      <w:tabs>
        <w:tab w:val="left" w:pos="425"/>
      </w:tabs>
      <w:spacing w:before="120" w:after="120" w:line="480" w:lineRule="exact"/>
      <w:ind w:left="425" w:hanging="425"/>
      <w:outlineLvl w:val="1"/>
    </w:pPr>
    <w:rPr>
      <w:rFonts w:ascii="Arial" w:hAnsi="Arial" w:eastAsia="黑体"/>
      <w:b/>
      <w:sz w:val="36"/>
      <w:szCs w:val="20"/>
    </w:rPr>
  </w:style>
  <w:style w:type="paragraph" w:styleId="4">
    <w:name w:val="heading 3"/>
    <w:basedOn w:val="1"/>
    <w:next w:val="5"/>
    <w:link w:val="92"/>
    <w:qFormat/>
    <w:locked/>
    <w:uiPriority w:val="0"/>
    <w:pPr>
      <w:keepNext/>
      <w:keepLines/>
      <w:tabs>
        <w:tab w:val="left" w:pos="567"/>
      </w:tabs>
      <w:spacing w:before="120" w:after="120" w:line="480" w:lineRule="exact"/>
      <w:ind w:left="567" w:hanging="567"/>
      <w:outlineLvl w:val="2"/>
    </w:pPr>
    <w:rPr>
      <w:rFonts w:ascii="Arial" w:hAnsi="Arial" w:eastAsia="黑体"/>
      <w:b/>
      <w:sz w:val="30"/>
      <w:szCs w:val="20"/>
    </w:rPr>
  </w:style>
  <w:style w:type="paragraph" w:styleId="6">
    <w:name w:val="heading 4"/>
    <w:basedOn w:val="1"/>
    <w:next w:val="5"/>
    <w:link w:val="93"/>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paragraph" w:styleId="7">
    <w:name w:val="heading 5"/>
    <w:basedOn w:val="1"/>
    <w:next w:val="5"/>
    <w:link w:val="94"/>
    <w:qFormat/>
    <w:locked/>
    <w:uiPriority w:val="0"/>
    <w:pPr>
      <w:keepNext/>
      <w:tabs>
        <w:tab w:val="left" w:pos="1080"/>
      </w:tabs>
      <w:ind w:left="851" w:hanging="851"/>
      <w:outlineLvl w:val="4"/>
    </w:pPr>
    <w:rPr>
      <w:rFonts w:ascii="Arial" w:hAnsi="Arial"/>
      <w:b/>
      <w:sz w:val="28"/>
      <w:szCs w:val="20"/>
    </w:rPr>
  </w:style>
  <w:style w:type="paragraph" w:styleId="8">
    <w:name w:val="heading 6"/>
    <w:basedOn w:val="1"/>
    <w:next w:val="1"/>
    <w:link w:val="95"/>
    <w:qFormat/>
    <w:locked/>
    <w:uiPriority w:val="0"/>
    <w:pPr>
      <w:keepNext/>
      <w:widowControl/>
      <w:tabs>
        <w:tab w:val="left" w:pos="0"/>
      </w:tabs>
      <w:jc w:val="center"/>
      <w:outlineLvl w:val="5"/>
    </w:pPr>
    <w:rPr>
      <w:rFonts w:eastAsia="楷体_GB2312"/>
      <w:b/>
      <w:kern w:val="0"/>
      <w:sz w:val="20"/>
      <w:szCs w:val="20"/>
    </w:rPr>
  </w:style>
  <w:style w:type="paragraph" w:styleId="9">
    <w:name w:val="heading 7"/>
    <w:basedOn w:val="1"/>
    <w:next w:val="1"/>
    <w:link w:val="96"/>
    <w:qFormat/>
    <w:locked/>
    <w:uiPriority w:val="0"/>
    <w:pPr>
      <w:keepNext/>
      <w:keepLines/>
      <w:adjustRightInd w:val="0"/>
      <w:spacing w:before="240" w:after="64" w:line="320" w:lineRule="atLeast"/>
      <w:ind w:firstLine="200" w:firstLineChars="200"/>
      <w:textAlignment w:val="baseline"/>
      <w:outlineLvl w:val="6"/>
    </w:pPr>
    <w:rPr>
      <w:rFonts w:eastAsia="仿宋_GB2312"/>
      <w:b/>
      <w:kern w:val="0"/>
      <w:sz w:val="24"/>
      <w:lang w:val="zh-CN"/>
    </w:rPr>
  </w:style>
  <w:style w:type="paragraph" w:styleId="10">
    <w:name w:val="heading 8"/>
    <w:basedOn w:val="1"/>
    <w:next w:val="1"/>
    <w:link w:val="97"/>
    <w:qFormat/>
    <w:locked/>
    <w:uiPriority w:val="0"/>
    <w:pPr>
      <w:keepNext/>
      <w:keepLines/>
      <w:adjustRightInd w:val="0"/>
      <w:spacing w:before="240" w:after="64" w:line="320" w:lineRule="atLeast"/>
      <w:ind w:firstLine="200" w:firstLineChars="200"/>
      <w:textAlignment w:val="baseline"/>
      <w:outlineLvl w:val="7"/>
    </w:pPr>
    <w:rPr>
      <w:rFonts w:ascii="Arial" w:hAnsi="Arial" w:eastAsia="黑体"/>
      <w:bCs/>
      <w:kern w:val="0"/>
      <w:sz w:val="24"/>
      <w:lang w:val="zh-CN"/>
    </w:rPr>
  </w:style>
  <w:style w:type="paragraph" w:styleId="11">
    <w:name w:val="heading 9"/>
    <w:basedOn w:val="1"/>
    <w:next w:val="1"/>
    <w:link w:val="98"/>
    <w:qFormat/>
    <w:locked/>
    <w:uiPriority w:val="0"/>
    <w:pPr>
      <w:keepNext/>
      <w:keepLines/>
      <w:adjustRightInd w:val="0"/>
      <w:spacing w:before="240" w:after="64" w:line="320" w:lineRule="atLeast"/>
      <w:ind w:firstLine="200" w:firstLineChars="200"/>
      <w:textAlignment w:val="baseline"/>
      <w:outlineLvl w:val="8"/>
    </w:pPr>
    <w:rPr>
      <w:rFonts w:ascii="Arial" w:hAnsi="Arial" w:eastAsia="黑体"/>
      <w:bCs/>
      <w:kern w:val="0"/>
      <w:sz w:val="24"/>
      <w:lang w:val="zh-CN"/>
    </w:rPr>
  </w:style>
  <w:style w:type="character" w:default="1" w:styleId="64">
    <w:name w:val="Default Paragraph Font"/>
    <w:semiHidden/>
    <w:unhideWhenUsed/>
    <w:qFormat/>
    <w:uiPriority w:val="1"/>
  </w:style>
  <w:style w:type="table" w:default="1" w:styleId="58">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139"/>
    <w:qFormat/>
    <w:locked/>
    <w:uiPriority w:val="0"/>
    <w:pPr>
      <w:ind w:firstLine="420"/>
    </w:pPr>
    <w:rPr>
      <w:kern w:val="0"/>
      <w:sz w:val="20"/>
      <w:szCs w:val="20"/>
    </w:rPr>
  </w:style>
  <w:style w:type="paragraph" w:styleId="12">
    <w:name w:val="toc 7"/>
    <w:basedOn w:val="1"/>
    <w:next w:val="1"/>
    <w:qFormat/>
    <w:locked/>
    <w:uiPriority w:val="39"/>
    <w:pPr>
      <w:ind w:left="2520" w:leftChars="1200"/>
    </w:pPr>
  </w:style>
  <w:style w:type="paragraph" w:styleId="13">
    <w:name w:val="table of authorities"/>
    <w:basedOn w:val="1"/>
    <w:next w:val="1"/>
    <w:qFormat/>
    <w:locked/>
    <w:uiPriority w:val="0"/>
    <w:rPr>
      <w:rFonts w:ascii="宋体"/>
      <w:sz w:val="28"/>
      <w:szCs w:val="20"/>
    </w:rPr>
  </w:style>
  <w:style w:type="paragraph" w:styleId="14">
    <w:name w:val="Note Heading"/>
    <w:basedOn w:val="1"/>
    <w:next w:val="1"/>
    <w:link w:val="238"/>
    <w:qFormat/>
    <w:locked/>
    <w:uiPriority w:val="0"/>
    <w:pPr>
      <w:jc w:val="center"/>
    </w:pPr>
    <w:rPr>
      <w:rFonts w:ascii="宋体"/>
      <w:szCs w:val="20"/>
    </w:rPr>
  </w:style>
  <w:style w:type="paragraph" w:styleId="15">
    <w:name w:val="index 8"/>
    <w:basedOn w:val="1"/>
    <w:next w:val="1"/>
    <w:qFormat/>
    <w:locked/>
    <w:uiPriority w:val="0"/>
    <w:pPr>
      <w:ind w:left="1400" w:leftChars="1400"/>
    </w:pPr>
  </w:style>
  <w:style w:type="paragraph" w:styleId="16">
    <w:name w:val="List Number"/>
    <w:basedOn w:val="1"/>
    <w:qFormat/>
    <w:locked/>
    <w:uiPriority w:val="0"/>
    <w:pPr>
      <w:tabs>
        <w:tab w:val="left" w:pos="360"/>
        <w:tab w:val="left" w:pos="780"/>
      </w:tabs>
      <w:ind w:left="780" w:hanging="210"/>
    </w:pPr>
  </w:style>
  <w:style w:type="paragraph" w:styleId="17">
    <w:name w:val="caption"/>
    <w:basedOn w:val="1"/>
    <w:next w:val="1"/>
    <w:qFormat/>
    <w:locked/>
    <w:uiPriority w:val="0"/>
    <w:pPr>
      <w:keepNext/>
      <w:snapToGrid w:val="0"/>
      <w:jc w:val="center"/>
    </w:pPr>
    <w:rPr>
      <w:rFonts w:ascii="宋体" w:hAnsi="宋体" w:cs="Arial"/>
      <w:szCs w:val="20"/>
    </w:rPr>
  </w:style>
  <w:style w:type="paragraph" w:styleId="18">
    <w:name w:val="Document Map"/>
    <w:basedOn w:val="1"/>
    <w:link w:val="138"/>
    <w:qFormat/>
    <w:locked/>
    <w:uiPriority w:val="99"/>
    <w:pPr>
      <w:widowControl/>
      <w:jc w:val="left"/>
    </w:pPr>
    <w:rPr>
      <w:rFonts w:ascii="宋体"/>
      <w:kern w:val="0"/>
      <w:sz w:val="18"/>
      <w:szCs w:val="20"/>
    </w:rPr>
  </w:style>
  <w:style w:type="paragraph" w:styleId="19">
    <w:name w:val="toa heading"/>
    <w:basedOn w:val="1"/>
    <w:next w:val="1"/>
    <w:qFormat/>
    <w:locked/>
    <w:uiPriority w:val="99"/>
    <w:pPr>
      <w:adjustRightInd w:val="0"/>
      <w:spacing w:before="120" w:line="360" w:lineRule="auto"/>
      <w:textAlignment w:val="baseline"/>
    </w:pPr>
    <w:rPr>
      <w:rFonts w:ascii="Arial" w:hAnsi="Arial" w:cs="Arial"/>
      <w:kern w:val="0"/>
      <w:sz w:val="24"/>
      <w:szCs w:val="20"/>
    </w:rPr>
  </w:style>
  <w:style w:type="paragraph" w:styleId="20">
    <w:name w:val="annotation text"/>
    <w:basedOn w:val="1"/>
    <w:link w:val="83"/>
    <w:qFormat/>
    <w:uiPriority w:val="99"/>
    <w:pPr>
      <w:jc w:val="left"/>
    </w:pPr>
    <w:rPr>
      <w:kern w:val="0"/>
      <w:sz w:val="24"/>
      <w:szCs w:val="20"/>
    </w:rPr>
  </w:style>
  <w:style w:type="paragraph" w:styleId="21">
    <w:name w:val="index 6"/>
    <w:basedOn w:val="1"/>
    <w:next w:val="1"/>
    <w:qFormat/>
    <w:locked/>
    <w:uiPriority w:val="99"/>
    <w:pPr>
      <w:widowControl/>
      <w:ind w:left="1000" w:leftChars="1000"/>
      <w:jc w:val="left"/>
    </w:pPr>
    <w:rPr>
      <w:kern w:val="0"/>
      <w:sz w:val="20"/>
      <w:szCs w:val="20"/>
    </w:rPr>
  </w:style>
  <w:style w:type="paragraph" w:styleId="22">
    <w:name w:val="Body Text 3"/>
    <w:basedOn w:val="1"/>
    <w:link w:val="251"/>
    <w:qFormat/>
    <w:locked/>
    <w:uiPriority w:val="99"/>
    <w:pPr>
      <w:spacing w:after="120"/>
    </w:pPr>
    <w:rPr>
      <w:rFonts w:ascii="宋体" w:hAnsi="宋体"/>
      <w:sz w:val="16"/>
      <w:szCs w:val="16"/>
    </w:rPr>
  </w:style>
  <w:style w:type="paragraph" w:styleId="23">
    <w:name w:val="Body Text"/>
    <w:basedOn w:val="1"/>
    <w:link w:val="84"/>
    <w:qFormat/>
    <w:uiPriority w:val="0"/>
    <w:pPr>
      <w:widowControl/>
      <w:snapToGrid w:val="0"/>
      <w:spacing w:before="60" w:after="160" w:line="259" w:lineRule="auto"/>
      <w:ind w:right="113"/>
    </w:pPr>
    <w:rPr>
      <w:kern w:val="0"/>
      <w:sz w:val="18"/>
      <w:szCs w:val="20"/>
    </w:rPr>
  </w:style>
  <w:style w:type="paragraph" w:styleId="24">
    <w:name w:val="Body Text Indent"/>
    <w:basedOn w:val="1"/>
    <w:link w:val="78"/>
    <w:qFormat/>
    <w:uiPriority w:val="0"/>
    <w:pPr>
      <w:spacing w:after="120"/>
      <w:ind w:left="420" w:leftChars="200"/>
    </w:pPr>
    <w:rPr>
      <w:kern w:val="0"/>
      <w:sz w:val="24"/>
      <w:szCs w:val="20"/>
    </w:rPr>
  </w:style>
  <w:style w:type="paragraph" w:styleId="25">
    <w:name w:val="List 2"/>
    <w:basedOn w:val="1"/>
    <w:qFormat/>
    <w:locked/>
    <w:uiPriority w:val="0"/>
    <w:pPr>
      <w:spacing w:line="360" w:lineRule="exact"/>
      <w:jc w:val="center"/>
    </w:pPr>
    <w:rPr>
      <w:rFonts w:ascii="仿宋_GB2312" w:eastAsia="仿宋_GB2312"/>
      <w:szCs w:val="20"/>
    </w:rPr>
  </w:style>
  <w:style w:type="paragraph" w:styleId="26">
    <w:name w:val="Block Text"/>
    <w:basedOn w:val="1"/>
    <w:qFormat/>
    <w:locked/>
    <w:uiPriority w:val="0"/>
    <w:pPr>
      <w:widowControl/>
      <w:spacing w:after="120"/>
      <w:ind w:left="1440" w:leftChars="700" w:right="1440" w:rightChars="700"/>
      <w:jc w:val="left"/>
    </w:pPr>
    <w:rPr>
      <w:kern w:val="0"/>
      <w:sz w:val="20"/>
      <w:szCs w:val="20"/>
    </w:rPr>
  </w:style>
  <w:style w:type="paragraph" w:styleId="27">
    <w:name w:val="List Bullet 2"/>
    <w:basedOn w:val="1"/>
    <w:qFormat/>
    <w:locked/>
    <w:uiPriority w:val="0"/>
    <w:pPr>
      <w:tabs>
        <w:tab w:val="left" w:pos="1215"/>
      </w:tabs>
      <w:adjustRightInd w:val="0"/>
      <w:spacing w:line="240" w:lineRule="atLeast"/>
      <w:ind w:left="1215" w:hanging="1215"/>
      <w:jc w:val="left"/>
      <w:textAlignment w:val="baseline"/>
    </w:pPr>
    <w:rPr>
      <w:rFonts w:ascii="宋体"/>
      <w:kern w:val="0"/>
      <w:sz w:val="34"/>
      <w:szCs w:val="34"/>
    </w:rPr>
  </w:style>
  <w:style w:type="paragraph" w:styleId="28">
    <w:name w:val="index 4"/>
    <w:basedOn w:val="1"/>
    <w:next w:val="1"/>
    <w:qFormat/>
    <w:locked/>
    <w:uiPriority w:val="0"/>
    <w:pPr>
      <w:suppressAutoHyphens/>
      <w:adjustRightInd w:val="0"/>
      <w:spacing w:line="300" w:lineRule="auto"/>
      <w:ind w:left="1260"/>
    </w:pPr>
    <w:rPr>
      <w:kern w:val="28"/>
      <w:sz w:val="24"/>
      <w:szCs w:val="20"/>
    </w:rPr>
  </w:style>
  <w:style w:type="paragraph" w:styleId="29">
    <w:name w:val="toc 5"/>
    <w:basedOn w:val="1"/>
    <w:next w:val="1"/>
    <w:qFormat/>
    <w:locked/>
    <w:uiPriority w:val="39"/>
    <w:pPr>
      <w:adjustRightInd w:val="0"/>
      <w:snapToGrid w:val="0"/>
      <w:spacing w:line="360" w:lineRule="auto"/>
      <w:ind w:left="840" w:firstLine="112"/>
      <w:jc w:val="center"/>
    </w:pPr>
    <w:rPr>
      <w:sz w:val="20"/>
      <w:szCs w:val="20"/>
    </w:rPr>
  </w:style>
  <w:style w:type="paragraph" w:styleId="30">
    <w:name w:val="toc 3"/>
    <w:basedOn w:val="1"/>
    <w:next w:val="1"/>
    <w:qFormat/>
    <w:locked/>
    <w:uiPriority w:val="39"/>
    <w:pPr>
      <w:ind w:left="240"/>
      <w:jc w:val="left"/>
    </w:pPr>
    <w:rPr>
      <w:sz w:val="20"/>
      <w:szCs w:val="20"/>
    </w:rPr>
  </w:style>
  <w:style w:type="paragraph" w:styleId="31">
    <w:name w:val="Plain Text"/>
    <w:basedOn w:val="1"/>
    <w:link w:val="99"/>
    <w:qFormat/>
    <w:locked/>
    <w:uiPriority w:val="0"/>
    <w:rPr>
      <w:rFonts w:ascii="宋体" w:hAnsi="Courier New"/>
      <w:kern w:val="0"/>
      <w:szCs w:val="20"/>
    </w:rPr>
  </w:style>
  <w:style w:type="paragraph" w:styleId="32">
    <w:name w:val="List Bullet 5"/>
    <w:basedOn w:val="1"/>
    <w:qFormat/>
    <w:locked/>
    <w:uiPriority w:val="0"/>
    <w:pPr>
      <w:widowControl/>
      <w:spacing w:line="360" w:lineRule="auto"/>
      <w:ind w:firstLine="480"/>
      <w:jc w:val="left"/>
    </w:pPr>
    <w:rPr>
      <w:kern w:val="0"/>
      <w:sz w:val="24"/>
    </w:rPr>
  </w:style>
  <w:style w:type="paragraph" w:styleId="33">
    <w:name w:val="toc 8"/>
    <w:basedOn w:val="1"/>
    <w:next w:val="1"/>
    <w:qFormat/>
    <w:locked/>
    <w:uiPriority w:val="39"/>
    <w:pPr>
      <w:ind w:left="1440"/>
      <w:jc w:val="left"/>
    </w:pPr>
    <w:rPr>
      <w:sz w:val="20"/>
      <w:szCs w:val="20"/>
    </w:rPr>
  </w:style>
  <w:style w:type="paragraph" w:styleId="34">
    <w:name w:val="Date"/>
    <w:basedOn w:val="1"/>
    <w:next w:val="1"/>
    <w:link w:val="81"/>
    <w:qFormat/>
    <w:uiPriority w:val="99"/>
    <w:pPr>
      <w:ind w:left="100" w:leftChars="2500"/>
    </w:pPr>
    <w:rPr>
      <w:kern w:val="0"/>
      <w:sz w:val="24"/>
      <w:szCs w:val="20"/>
    </w:rPr>
  </w:style>
  <w:style w:type="paragraph" w:styleId="35">
    <w:name w:val="Body Text Indent 2"/>
    <w:basedOn w:val="1"/>
    <w:link w:val="103"/>
    <w:qFormat/>
    <w:locked/>
    <w:uiPriority w:val="0"/>
    <w:pPr>
      <w:widowControl/>
      <w:ind w:firstLine="600"/>
    </w:pPr>
    <w:rPr>
      <w:rFonts w:eastAsia="仿宋_GB2312"/>
      <w:b/>
      <w:kern w:val="0"/>
      <w:sz w:val="20"/>
      <w:szCs w:val="20"/>
    </w:rPr>
  </w:style>
  <w:style w:type="paragraph" w:styleId="36">
    <w:name w:val="endnote text"/>
    <w:basedOn w:val="1"/>
    <w:link w:val="539"/>
    <w:unhideWhenUsed/>
    <w:qFormat/>
    <w:locked/>
    <w:uiPriority w:val="99"/>
    <w:pPr>
      <w:adjustRightInd w:val="0"/>
      <w:snapToGrid w:val="0"/>
      <w:spacing w:line="312" w:lineRule="atLeast"/>
      <w:jc w:val="left"/>
      <w:textAlignment w:val="baseline"/>
    </w:pPr>
    <w:rPr>
      <w:kern w:val="0"/>
      <w:szCs w:val="20"/>
      <w:lang w:val="zh-CN"/>
    </w:rPr>
  </w:style>
  <w:style w:type="paragraph" w:styleId="37">
    <w:name w:val="Balloon Text"/>
    <w:basedOn w:val="1"/>
    <w:link w:val="85"/>
    <w:qFormat/>
    <w:uiPriority w:val="99"/>
    <w:rPr>
      <w:kern w:val="0"/>
      <w:sz w:val="18"/>
      <w:szCs w:val="20"/>
    </w:rPr>
  </w:style>
  <w:style w:type="paragraph" w:styleId="38">
    <w:name w:val="footer"/>
    <w:basedOn w:val="1"/>
    <w:link w:val="79"/>
    <w:qFormat/>
    <w:uiPriority w:val="99"/>
    <w:pPr>
      <w:tabs>
        <w:tab w:val="center" w:pos="4153"/>
        <w:tab w:val="right" w:pos="8306"/>
      </w:tabs>
      <w:snapToGrid w:val="0"/>
      <w:jc w:val="left"/>
    </w:pPr>
    <w:rPr>
      <w:kern w:val="0"/>
      <w:sz w:val="18"/>
      <w:szCs w:val="20"/>
    </w:rPr>
  </w:style>
  <w:style w:type="paragraph" w:styleId="39">
    <w:name w:val="header"/>
    <w:basedOn w:val="1"/>
    <w:link w:val="76"/>
    <w:qFormat/>
    <w:uiPriority w:val="99"/>
    <w:pPr>
      <w:pBdr>
        <w:bottom w:val="single" w:color="auto" w:sz="6" w:space="1"/>
      </w:pBdr>
      <w:tabs>
        <w:tab w:val="center" w:pos="4153"/>
        <w:tab w:val="right" w:pos="8306"/>
      </w:tabs>
      <w:snapToGrid w:val="0"/>
      <w:jc w:val="center"/>
    </w:pPr>
    <w:rPr>
      <w:kern w:val="0"/>
      <w:sz w:val="18"/>
      <w:szCs w:val="20"/>
    </w:rPr>
  </w:style>
  <w:style w:type="paragraph" w:styleId="40">
    <w:name w:val="toc 1"/>
    <w:basedOn w:val="1"/>
    <w:next w:val="1"/>
    <w:qFormat/>
    <w:locked/>
    <w:uiPriority w:val="39"/>
    <w:pPr>
      <w:tabs>
        <w:tab w:val="right" w:leader="dot" w:pos="8296"/>
      </w:tabs>
      <w:spacing w:line="360" w:lineRule="auto"/>
      <w:ind w:firstLine="480" w:firstLineChars="200"/>
      <w:jc w:val="left"/>
    </w:pPr>
    <w:rPr>
      <w:rFonts w:ascii="宋体" w:hAnsi="宋体"/>
      <w:caps/>
      <w:color w:val="000000"/>
      <w:sz w:val="24"/>
    </w:rPr>
  </w:style>
  <w:style w:type="paragraph" w:styleId="41">
    <w:name w:val="toc 4"/>
    <w:basedOn w:val="1"/>
    <w:next w:val="1"/>
    <w:qFormat/>
    <w:locked/>
    <w:uiPriority w:val="39"/>
    <w:pPr>
      <w:ind w:left="480"/>
      <w:jc w:val="left"/>
    </w:pPr>
    <w:rPr>
      <w:sz w:val="20"/>
      <w:szCs w:val="20"/>
    </w:rPr>
  </w:style>
  <w:style w:type="paragraph" w:styleId="42">
    <w:name w:val="index heading"/>
    <w:basedOn w:val="1"/>
    <w:next w:val="43"/>
    <w:qFormat/>
    <w:locked/>
    <w:uiPriority w:val="0"/>
    <w:pPr>
      <w:spacing w:line="500" w:lineRule="exact"/>
    </w:pPr>
    <w:rPr>
      <w:rFonts w:ascii="仿宋_GB2312" w:eastAsia="仿宋_GB2312"/>
      <w:sz w:val="28"/>
      <w:szCs w:val="20"/>
    </w:rPr>
  </w:style>
  <w:style w:type="paragraph" w:styleId="43">
    <w:name w:val="index 1"/>
    <w:basedOn w:val="1"/>
    <w:next w:val="1"/>
    <w:qFormat/>
    <w:locked/>
    <w:uiPriority w:val="0"/>
  </w:style>
  <w:style w:type="paragraph" w:styleId="44">
    <w:name w:val="Subtitle"/>
    <w:basedOn w:val="1"/>
    <w:next w:val="1"/>
    <w:link w:val="102"/>
    <w:qFormat/>
    <w:locked/>
    <w:uiPriority w:val="0"/>
    <w:pPr>
      <w:spacing w:line="480" w:lineRule="exact"/>
      <w:jc w:val="center"/>
      <w:outlineLvl w:val="4"/>
    </w:pPr>
    <w:rPr>
      <w:rFonts w:ascii="Cambria" w:hAnsi="Cambria"/>
      <w:kern w:val="0"/>
      <w:sz w:val="24"/>
      <w:szCs w:val="20"/>
      <w:lang w:eastAsia="en-US"/>
    </w:rPr>
  </w:style>
  <w:style w:type="paragraph" w:styleId="45">
    <w:name w:val="List"/>
    <w:basedOn w:val="1"/>
    <w:qFormat/>
    <w:locked/>
    <w:uiPriority w:val="0"/>
    <w:pPr>
      <w:spacing w:line="360" w:lineRule="exact"/>
      <w:jc w:val="center"/>
    </w:pPr>
    <w:rPr>
      <w:rFonts w:ascii="仿宋_GB2312" w:eastAsia="仿宋_GB2312"/>
      <w:sz w:val="24"/>
      <w:szCs w:val="20"/>
    </w:rPr>
  </w:style>
  <w:style w:type="paragraph" w:styleId="46">
    <w:name w:val="toc 6"/>
    <w:basedOn w:val="1"/>
    <w:next w:val="1"/>
    <w:qFormat/>
    <w:locked/>
    <w:uiPriority w:val="39"/>
    <w:pPr>
      <w:ind w:left="960"/>
      <w:jc w:val="left"/>
    </w:pPr>
    <w:rPr>
      <w:sz w:val="20"/>
      <w:szCs w:val="20"/>
    </w:rPr>
  </w:style>
  <w:style w:type="paragraph" w:styleId="47">
    <w:name w:val="Body Text Indent 3"/>
    <w:basedOn w:val="1"/>
    <w:link w:val="110"/>
    <w:qFormat/>
    <w:locked/>
    <w:uiPriority w:val="0"/>
    <w:pPr>
      <w:widowControl/>
      <w:spacing w:line="440" w:lineRule="exact"/>
      <w:ind w:firstLine="561" w:firstLineChars="200"/>
    </w:pPr>
    <w:rPr>
      <w:rFonts w:eastAsia="楷体_GB2312"/>
      <w:b/>
      <w:kern w:val="0"/>
      <w:sz w:val="20"/>
      <w:szCs w:val="20"/>
    </w:rPr>
  </w:style>
  <w:style w:type="paragraph" w:styleId="48">
    <w:name w:val="table of figures"/>
    <w:basedOn w:val="1"/>
    <w:next w:val="1"/>
    <w:qFormat/>
    <w:locked/>
    <w:uiPriority w:val="0"/>
    <w:pPr>
      <w:ind w:left="200" w:leftChars="200" w:hanging="200" w:hangingChars="200"/>
    </w:pPr>
  </w:style>
  <w:style w:type="paragraph" w:styleId="49">
    <w:name w:val="toc 2"/>
    <w:basedOn w:val="1"/>
    <w:next w:val="1"/>
    <w:qFormat/>
    <w:locked/>
    <w:uiPriority w:val="39"/>
    <w:pPr>
      <w:tabs>
        <w:tab w:val="right" w:leader="dot" w:pos="9061"/>
      </w:tabs>
      <w:spacing w:line="360" w:lineRule="auto"/>
      <w:ind w:firstLine="480" w:firstLineChars="200"/>
    </w:pPr>
    <w:rPr>
      <w:sz w:val="24"/>
    </w:rPr>
  </w:style>
  <w:style w:type="paragraph" w:styleId="50">
    <w:name w:val="toc 9"/>
    <w:basedOn w:val="1"/>
    <w:next w:val="1"/>
    <w:qFormat/>
    <w:locked/>
    <w:uiPriority w:val="39"/>
    <w:pPr>
      <w:ind w:left="1680"/>
      <w:jc w:val="left"/>
    </w:pPr>
    <w:rPr>
      <w:sz w:val="20"/>
      <w:szCs w:val="20"/>
    </w:rPr>
  </w:style>
  <w:style w:type="paragraph" w:styleId="51">
    <w:name w:val="Body Text 2"/>
    <w:basedOn w:val="1"/>
    <w:link w:val="155"/>
    <w:qFormat/>
    <w:locked/>
    <w:uiPriority w:val="99"/>
    <w:pPr>
      <w:spacing w:after="120" w:line="480" w:lineRule="auto"/>
    </w:pPr>
    <w:rPr>
      <w:kern w:val="0"/>
      <w:sz w:val="20"/>
      <w:szCs w:val="20"/>
    </w:rPr>
  </w:style>
  <w:style w:type="paragraph" w:styleId="52">
    <w:name w:val="HTML Preformatted"/>
    <w:basedOn w:val="1"/>
    <w:link w:val="270"/>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rPr>
  </w:style>
  <w:style w:type="paragraph" w:styleId="53">
    <w:name w:val="Normal (Web)"/>
    <w:basedOn w:val="1"/>
    <w:link w:val="77"/>
    <w:qFormat/>
    <w:uiPriority w:val="99"/>
    <w:pPr>
      <w:widowControl/>
      <w:spacing w:before="100" w:beforeAutospacing="1" w:after="100" w:afterAutospacing="1"/>
      <w:jc w:val="left"/>
    </w:pPr>
    <w:rPr>
      <w:rFonts w:ascii="宋体" w:hAnsi="宋体"/>
      <w:kern w:val="0"/>
      <w:sz w:val="24"/>
      <w:szCs w:val="20"/>
    </w:rPr>
  </w:style>
  <w:style w:type="paragraph" w:styleId="54">
    <w:name w:val="Title"/>
    <w:basedOn w:val="1"/>
    <w:link w:val="111"/>
    <w:qFormat/>
    <w:locked/>
    <w:uiPriority w:val="0"/>
    <w:pPr>
      <w:widowControl/>
      <w:spacing w:before="100" w:beforeAutospacing="1" w:after="100" w:afterAutospacing="1"/>
      <w:jc w:val="left"/>
    </w:pPr>
    <w:rPr>
      <w:rFonts w:ascii="宋体"/>
      <w:kern w:val="0"/>
      <w:sz w:val="24"/>
      <w:szCs w:val="20"/>
    </w:rPr>
  </w:style>
  <w:style w:type="paragraph" w:styleId="55">
    <w:name w:val="annotation subject"/>
    <w:basedOn w:val="20"/>
    <w:next w:val="20"/>
    <w:link w:val="80"/>
    <w:qFormat/>
    <w:uiPriority w:val="99"/>
    <w:rPr>
      <w:b/>
    </w:rPr>
  </w:style>
  <w:style w:type="paragraph" w:styleId="56">
    <w:name w:val="Body Text First Indent"/>
    <w:basedOn w:val="23"/>
    <w:link w:val="132"/>
    <w:qFormat/>
    <w:locked/>
    <w:uiPriority w:val="99"/>
    <w:pPr>
      <w:widowControl w:val="0"/>
      <w:snapToGrid/>
      <w:spacing w:before="0" w:after="120" w:line="240" w:lineRule="auto"/>
      <w:ind w:right="0" w:firstLine="420" w:firstLineChars="100"/>
    </w:pPr>
    <w:rPr>
      <w:sz w:val="20"/>
    </w:rPr>
  </w:style>
  <w:style w:type="paragraph" w:styleId="57">
    <w:name w:val="Body Text First Indent 2"/>
    <w:basedOn w:val="24"/>
    <w:link w:val="220"/>
    <w:unhideWhenUsed/>
    <w:qFormat/>
    <w:locked/>
    <w:uiPriority w:val="0"/>
    <w:pPr>
      <w:widowControl/>
      <w:ind w:firstLine="420" w:firstLineChars="200"/>
      <w:jc w:val="left"/>
    </w:pPr>
    <w:rPr>
      <w:sz w:val="20"/>
    </w:rPr>
  </w:style>
  <w:style w:type="table" w:styleId="59">
    <w:name w:val="Table Grid"/>
    <w:basedOn w:val="5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0">
    <w:name w:val="Table Theme"/>
    <w:basedOn w:val="58"/>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1">
    <w:name w:val="Table Elegant"/>
    <w:basedOn w:val="58"/>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2">
    <w:name w:val="Table Grid 1"/>
    <w:basedOn w:val="58"/>
    <w:qFormat/>
    <w:locked/>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63">
    <w:name w:val="Table Grid 5"/>
    <w:basedOn w:val="58"/>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65">
    <w:name w:val="Strong"/>
    <w:qFormat/>
    <w:locked/>
    <w:uiPriority w:val="22"/>
    <w:rPr>
      <w:b/>
      <w:bCs/>
    </w:rPr>
  </w:style>
  <w:style w:type="character" w:styleId="66">
    <w:name w:val="endnote reference"/>
    <w:unhideWhenUsed/>
    <w:qFormat/>
    <w:locked/>
    <w:uiPriority w:val="99"/>
    <w:rPr>
      <w:rFonts w:cs="Times New Roman"/>
      <w:vertAlign w:val="superscript"/>
    </w:rPr>
  </w:style>
  <w:style w:type="character" w:styleId="67">
    <w:name w:val="page number"/>
    <w:basedOn w:val="64"/>
    <w:qFormat/>
    <w:locked/>
    <w:uiPriority w:val="0"/>
  </w:style>
  <w:style w:type="character" w:styleId="68">
    <w:name w:val="FollowedHyperlink"/>
    <w:qFormat/>
    <w:locked/>
    <w:uiPriority w:val="0"/>
    <w:rPr>
      <w:color w:val="800080"/>
      <w:u w:val="single"/>
    </w:rPr>
  </w:style>
  <w:style w:type="character" w:styleId="69">
    <w:name w:val="Emphasis"/>
    <w:qFormat/>
    <w:locked/>
    <w:uiPriority w:val="20"/>
    <w:rPr>
      <w:color w:val="CC0000"/>
    </w:rPr>
  </w:style>
  <w:style w:type="character" w:styleId="70">
    <w:name w:val="HTML Typewriter"/>
    <w:qFormat/>
    <w:locked/>
    <w:uiPriority w:val="0"/>
    <w:rPr>
      <w:rFonts w:ascii="宋体" w:hAnsi="宋体" w:eastAsia="宋体" w:cs="宋体"/>
      <w:sz w:val="24"/>
      <w:szCs w:val="24"/>
    </w:rPr>
  </w:style>
  <w:style w:type="character" w:styleId="71">
    <w:name w:val="Hyperlink"/>
    <w:qFormat/>
    <w:locked/>
    <w:uiPriority w:val="99"/>
    <w:rPr>
      <w:rFonts w:cs="Times New Roman"/>
      <w:color w:val="136EC2"/>
      <w:u w:val="single"/>
    </w:rPr>
  </w:style>
  <w:style w:type="character" w:styleId="72">
    <w:name w:val="annotation reference"/>
    <w:qFormat/>
    <w:uiPriority w:val="99"/>
    <w:rPr>
      <w:sz w:val="21"/>
    </w:rPr>
  </w:style>
  <w:style w:type="paragraph" w:customStyle="1" w:styleId="73">
    <w:name w:val="样式1"/>
    <w:basedOn w:val="1"/>
    <w:next w:val="26"/>
    <w:link w:val="157"/>
    <w:qFormat/>
    <w:uiPriority w:val="0"/>
    <w:pPr>
      <w:adjustRightInd w:val="0"/>
      <w:snapToGrid w:val="0"/>
      <w:spacing w:line="320" w:lineRule="exact"/>
      <w:jc w:val="center"/>
    </w:pPr>
    <w:rPr>
      <w:rFonts w:ascii="Calibri" w:hAnsi="Calibri"/>
      <w:color w:val="000000"/>
      <w:kern w:val="0"/>
      <w:sz w:val="24"/>
      <w:szCs w:val="20"/>
    </w:rPr>
  </w:style>
  <w:style w:type="character" w:customStyle="1" w:styleId="74">
    <w:name w:val="批注文字 字符1"/>
    <w:semiHidden/>
    <w:qFormat/>
    <w:uiPriority w:val="0"/>
    <w:rPr>
      <w:rFonts w:ascii="Times New Roman" w:hAnsi="Times New Roman" w:eastAsia="宋体"/>
      <w:sz w:val="24"/>
    </w:rPr>
  </w:style>
  <w:style w:type="character" w:customStyle="1" w:styleId="75">
    <w:name w:val="页脚 字符"/>
    <w:basedOn w:val="64"/>
    <w:qFormat/>
    <w:uiPriority w:val="99"/>
  </w:style>
  <w:style w:type="character" w:customStyle="1" w:styleId="76">
    <w:name w:val="页眉 字符"/>
    <w:link w:val="39"/>
    <w:qFormat/>
    <w:locked/>
    <w:uiPriority w:val="99"/>
    <w:rPr>
      <w:sz w:val="18"/>
    </w:rPr>
  </w:style>
  <w:style w:type="character" w:customStyle="1" w:styleId="77">
    <w:name w:val="普通(网站) 字符1"/>
    <w:link w:val="53"/>
    <w:qFormat/>
    <w:locked/>
    <w:uiPriority w:val="0"/>
    <w:rPr>
      <w:rFonts w:ascii="宋体" w:hAnsi="宋体" w:eastAsia="宋体"/>
      <w:sz w:val="24"/>
    </w:rPr>
  </w:style>
  <w:style w:type="character" w:customStyle="1" w:styleId="78">
    <w:name w:val="正文文本缩进 字符"/>
    <w:link w:val="24"/>
    <w:qFormat/>
    <w:locked/>
    <w:uiPriority w:val="0"/>
    <w:rPr>
      <w:rFonts w:ascii="Times New Roman" w:hAnsi="Times New Roman" w:eastAsia="宋体"/>
      <w:sz w:val="24"/>
    </w:rPr>
  </w:style>
  <w:style w:type="character" w:customStyle="1" w:styleId="79">
    <w:name w:val="页脚 字符1"/>
    <w:link w:val="38"/>
    <w:qFormat/>
    <w:locked/>
    <w:uiPriority w:val="99"/>
    <w:rPr>
      <w:sz w:val="18"/>
    </w:rPr>
  </w:style>
  <w:style w:type="character" w:customStyle="1" w:styleId="80">
    <w:name w:val="批注主题 字符"/>
    <w:link w:val="55"/>
    <w:qFormat/>
    <w:locked/>
    <w:uiPriority w:val="99"/>
    <w:rPr>
      <w:rFonts w:ascii="Times New Roman" w:hAnsi="Times New Roman" w:eastAsia="宋体"/>
      <w:b/>
      <w:kern w:val="2"/>
      <w:sz w:val="24"/>
    </w:rPr>
  </w:style>
  <w:style w:type="character" w:customStyle="1" w:styleId="81">
    <w:name w:val="日期 字符1"/>
    <w:link w:val="34"/>
    <w:qFormat/>
    <w:locked/>
    <w:uiPriority w:val="0"/>
    <w:rPr>
      <w:rFonts w:ascii="Times New Roman" w:hAnsi="Times New Roman" w:eastAsia="宋体"/>
      <w:sz w:val="24"/>
    </w:rPr>
  </w:style>
  <w:style w:type="character" w:customStyle="1" w:styleId="82">
    <w:name w:val="正文文本 字符1"/>
    <w:semiHidden/>
    <w:qFormat/>
    <w:uiPriority w:val="0"/>
    <w:rPr>
      <w:rFonts w:ascii="Times New Roman" w:hAnsi="Times New Roman" w:eastAsia="宋体"/>
      <w:sz w:val="24"/>
    </w:rPr>
  </w:style>
  <w:style w:type="character" w:customStyle="1" w:styleId="83">
    <w:name w:val="批注文字 字符"/>
    <w:link w:val="20"/>
    <w:qFormat/>
    <w:locked/>
    <w:uiPriority w:val="99"/>
    <w:rPr>
      <w:rFonts w:ascii="Times New Roman" w:hAnsi="Times New Roman" w:eastAsia="宋体"/>
      <w:sz w:val="24"/>
    </w:rPr>
  </w:style>
  <w:style w:type="character" w:customStyle="1" w:styleId="84">
    <w:name w:val="正文文本 字符"/>
    <w:link w:val="23"/>
    <w:qFormat/>
    <w:locked/>
    <w:uiPriority w:val="0"/>
    <w:rPr>
      <w:sz w:val="18"/>
    </w:rPr>
  </w:style>
  <w:style w:type="character" w:customStyle="1" w:styleId="85">
    <w:name w:val="批注框文本 字符"/>
    <w:link w:val="37"/>
    <w:qFormat/>
    <w:locked/>
    <w:uiPriority w:val="99"/>
    <w:rPr>
      <w:rFonts w:ascii="Times New Roman" w:hAnsi="Times New Roman" w:eastAsia="宋体"/>
      <w:sz w:val="18"/>
    </w:rPr>
  </w:style>
  <w:style w:type="character" w:customStyle="1" w:styleId="86">
    <w:name w:val="表格 Char"/>
    <w:link w:val="87"/>
    <w:qFormat/>
    <w:locked/>
    <w:uiPriority w:val="0"/>
    <w:rPr>
      <w:rFonts w:ascii="宋体"/>
      <w:sz w:val="21"/>
    </w:rPr>
  </w:style>
  <w:style w:type="paragraph" w:customStyle="1" w:styleId="87">
    <w:name w:val="表格"/>
    <w:basedOn w:val="1"/>
    <w:next w:val="1"/>
    <w:link w:val="86"/>
    <w:qFormat/>
    <w:uiPriority w:val="0"/>
    <w:pPr>
      <w:adjustRightInd w:val="0"/>
      <w:snapToGrid w:val="0"/>
      <w:spacing w:beforeLines="10" w:afterLines="10" w:line="259" w:lineRule="auto"/>
      <w:jc w:val="center"/>
    </w:pPr>
    <w:rPr>
      <w:rFonts w:ascii="宋体"/>
      <w:kern w:val="0"/>
      <w:szCs w:val="20"/>
    </w:rPr>
  </w:style>
  <w:style w:type="character" w:customStyle="1" w:styleId="88">
    <w:name w:val="日期 字符"/>
    <w:qFormat/>
    <w:uiPriority w:val="99"/>
    <w:rPr>
      <w:rFonts w:ascii="Times New Roman" w:hAnsi="Times New Roman" w:eastAsia="宋体"/>
      <w:sz w:val="24"/>
    </w:rPr>
  </w:style>
  <w:style w:type="paragraph" w:customStyle="1" w:styleId="89">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0">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91">
    <w:name w:val="标题 2 字符1"/>
    <w:link w:val="3"/>
    <w:qFormat/>
    <w:uiPriority w:val="99"/>
    <w:rPr>
      <w:rFonts w:ascii="Arial" w:hAnsi="Arial" w:eastAsia="黑体"/>
      <w:b/>
      <w:kern w:val="2"/>
      <w:sz w:val="36"/>
    </w:rPr>
  </w:style>
  <w:style w:type="character" w:customStyle="1" w:styleId="92">
    <w:name w:val="标题 3 字符1"/>
    <w:link w:val="4"/>
    <w:qFormat/>
    <w:uiPriority w:val="0"/>
    <w:rPr>
      <w:rFonts w:ascii="Arial" w:hAnsi="Arial" w:eastAsia="黑体"/>
      <w:b/>
      <w:kern w:val="2"/>
      <w:sz w:val="30"/>
    </w:rPr>
  </w:style>
  <w:style w:type="character" w:customStyle="1" w:styleId="93">
    <w:name w:val="标题 4 字符1"/>
    <w:link w:val="6"/>
    <w:qFormat/>
    <w:uiPriority w:val="99"/>
    <w:rPr>
      <w:rFonts w:ascii="Arial" w:hAnsi="Arial" w:eastAsia="黑体"/>
      <w:b/>
      <w:kern w:val="2"/>
      <w:sz w:val="28"/>
    </w:rPr>
  </w:style>
  <w:style w:type="character" w:customStyle="1" w:styleId="94">
    <w:name w:val="标题 5 字符2"/>
    <w:link w:val="7"/>
    <w:qFormat/>
    <w:uiPriority w:val="0"/>
    <w:rPr>
      <w:rFonts w:ascii="Arial" w:hAnsi="Arial"/>
      <w:b/>
      <w:kern w:val="2"/>
      <w:sz w:val="28"/>
    </w:rPr>
  </w:style>
  <w:style w:type="character" w:customStyle="1" w:styleId="95">
    <w:name w:val="标题 6 字符1"/>
    <w:link w:val="8"/>
    <w:qFormat/>
    <w:uiPriority w:val="0"/>
    <w:rPr>
      <w:rFonts w:eastAsia="楷体_GB2312"/>
      <w:b/>
    </w:rPr>
  </w:style>
  <w:style w:type="character" w:customStyle="1" w:styleId="96">
    <w:name w:val="标题 7 字符1"/>
    <w:link w:val="9"/>
    <w:qFormat/>
    <w:uiPriority w:val="0"/>
    <w:rPr>
      <w:rFonts w:eastAsia="仿宋_GB2312"/>
      <w:b/>
      <w:sz w:val="24"/>
      <w:szCs w:val="24"/>
      <w:lang w:val="zh-CN" w:eastAsia="zh-CN"/>
    </w:rPr>
  </w:style>
  <w:style w:type="character" w:customStyle="1" w:styleId="97">
    <w:name w:val="标题 8 字符1"/>
    <w:link w:val="10"/>
    <w:qFormat/>
    <w:uiPriority w:val="0"/>
    <w:rPr>
      <w:rFonts w:ascii="Arial" w:hAnsi="Arial" w:eastAsia="黑体"/>
      <w:bCs/>
      <w:sz w:val="24"/>
      <w:szCs w:val="24"/>
      <w:lang w:val="zh-CN" w:eastAsia="zh-CN"/>
    </w:rPr>
  </w:style>
  <w:style w:type="character" w:customStyle="1" w:styleId="98">
    <w:name w:val="标题 9 字符1"/>
    <w:link w:val="11"/>
    <w:qFormat/>
    <w:uiPriority w:val="0"/>
    <w:rPr>
      <w:rFonts w:ascii="Arial" w:hAnsi="Arial" w:eastAsia="黑体"/>
      <w:bCs/>
      <w:sz w:val="24"/>
      <w:szCs w:val="24"/>
      <w:lang w:val="zh-CN" w:eastAsia="zh-CN"/>
    </w:rPr>
  </w:style>
  <w:style w:type="character" w:customStyle="1" w:styleId="99">
    <w:name w:val="纯文本 字符2"/>
    <w:link w:val="31"/>
    <w:qFormat/>
    <w:locked/>
    <w:uiPriority w:val="0"/>
    <w:rPr>
      <w:rFonts w:ascii="宋体" w:hAnsi="Courier New"/>
      <w:sz w:val="21"/>
    </w:rPr>
  </w:style>
  <w:style w:type="character" w:customStyle="1" w:styleId="100">
    <w:name w:val="纯文本 Char"/>
    <w:qFormat/>
    <w:uiPriority w:val="0"/>
    <w:rPr>
      <w:rFonts w:ascii="宋体" w:hAnsi="Courier New" w:eastAsia="宋体"/>
      <w:kern w:val="0"/>
      <w:sz w:val="21"/>
    </w:rPr>
  </w:style>
  <w:style w:type="character" w:customStyle="1" w:styleId="101">
    <w:name w:val="height"/>
    <w:qFormat/>
    <w:uiPriority w:val="99"/>
    <w:rPr>
      <w:rFonts w:cs="Times New Roman"/>
    </w:rPr>
  </w:style>
  <w:style w:type="character" w:customStyle="1" w:styleId="102">
    <w:name w:val="副标题 字符1"/>
    <w:link w:val="44"/>
    <w:qFormat/>
    <w:locked/>
    <w:uiPriority w:val="0"/>
    <w:rPr>
      <w:rFonts w:ascii="Cambria" w:hAnsi="Cambria"/>
      <w:sz w:val="24"/>
      <w:lang w:eastAsia="en-US"/>
    </w:rPr>
  </w:style>
  <w:style w:type="character" w:customStyle="1" w:styleId="103">
    <w:name w:val="正文文本缩进 2 字符1"/>
    <w:link w:val="35"/>
    <w:qFormat/>
    <w:locked/>
    <w:uiPriority w:val="99"/>
    <w:rPr>
      <w:rFonts w:eastAsia="仿宋_GB2312"/>
      <w:b/>
    </w:rPr>
  </w:style>
  <w:style w:type="character" w:customStyle="1" w:styleId="104">
    <w:name w:val="apple-converted-space"/>
    <w:qFormat/>
    <w:uiPriority w:val="0"/>
  </w:style>
  <w:style w:type="character" w:customStyle="1" w:styleId="105">
    <w:name w:val="表格内文字 Char Char"/>
    <w:qFormat/>
    <w:uiPriority w:val="0"/>
    <w:rPr>
      <w:rFonts w:eastAsia="仿宋_GB2312"/>
      <w:kern w:val="2"/>
      <w:sz w:val="24"/>
    </w:rPr>
  </w:style>
  <w:style w:type="character" w:customStyle="1" w:styleId="106">
    <w:name w:val="表格文字 Char"/>
    <w:link w:val="107"/>
    <w:qFormat/>
    <w:locked/>
    <w:uiPriority w:val="0"/>
    <w:rPr>
      <w:rFonts w:ascii="仿宋_GB2312" w:hAnsi="Arial Black" w:eastAsia="仿宋_GB2312"/>
      <w:kern w:val="44"/>
      <w:sz w:val="24"/>
    </w:rPr>
  </w:style>
  <w:style w:type="paragraph" w:customStyle="1" w:styleId="107">
    <w:name w:val="表格文字"/>
    <w:basedOn w:val="1"/>
    <w:link w:val="106"/>
    <w:qFormat/>
    <w:uiPriority w:val="0"/>
    <w:pPr>
      <w:jc w:val="center"/>
    </w:pPr>
    <w:rPr>
      <w:rFonts w:ascii="仿宋_GB2312" w:hAnsi="Arial Black" w:eastAsia="仿宋_GB2312"/>
      <w:kern w:val="44"/>
      <w:sz w:val="24"/>
      <w:szCs w:val="20"/>
    </w:rPr>
  </w:style>
  <w:style w:type="character" w:customStyle="1" w:styleId="108">
    <w:name w:val="谏壁正文chen Char Char"/>
    <w:link w:val="109"/>
    <w:qFormat/>
    <w:locked/>
    <w:uiPriority w:val="99"/>
    <w:rPr>
      <w:kern w:val="2"/>
      <w:sz w:val="24"/>
    </w:rPr>
  </w:style>
  <w:style w:type="paragraph" w:customStyle="1" w:styleId="109">
    <w:name w:val="谏壁正文chen"/>
    <w:basedOn w:val="1"/>
    <w:link w:val="108"/>
    <w:qFormat/>
    <w:uiPriority w:val="99"/>
    <w:pPr>
      <w:spacing w:line="360" w:lineRule="auto"/>
      <w:ind w:firstLine="200" w:firstLineChars="200"/>
    </w:pPr>
    <w:rPr>
      <w:sz w:val="24"/>
      <w:szCs w:val="20"/>
    </w:rPr>
  </w:style>
  <w:style w:type="character" w:customStyle="1" w:styleId="110">
    <w:name w:val="正文文本缩进 3 字符1"/>
    <w:link w:val="47"/>
    <w:qFormat/>
    <w:locked/>
    <w:uiPriority w:val="0"/>
    <w:rPr>
      <w:rFonts w:eastAsia="楷体_GB2312"/>
      <w:b/>
    </w:rPr>
  </w:style>
  <w:style w:type="character" w:customStyle="1" w:styleId="111">
    <w:name w:val="标题 字符1"/>
    <w:link w:val="54"/>
    <w:qFormat/>
    <w:locked/>
    <w:uiPriority w:val="0"/>
    <w:rPr>
      <w:rFonts w:ascii="宋体"/>
      <w:sz w:val="24"/>
    </w:rPr>
  </w:style>
  <w:style w:type="character" w:customStyle="1" w:styleId="112">
    <w:name w:val="正文文本 Char"/>
    <w:qFormat/>
    <w:locked/>
    <w:uiPriority w:val="0"/>
    <w:rPr>
      <w:rFonts w:ascii="Times New Roman" w:hAnsi="Times New Roman" w:eastAsia="宋体" w:cs="Times New Roman"/>
      <w:kern w:val="0"/>
      <w:sz w:val="20"/>
    </w:rPr>
  </w:style>
  <w:style w:type="character" w:customStyle="1" w:styleId="113">
    <w:name w:val="批注主题 Char"/>
    <w:qFormat/>
    <w:locked/>
    <w:uiPriority w:val="99"/>
    <w:rPr>
      <w:rFonts w:ascii="Times New Roman" w:hAnsi="Times New Roman" w:cs="Times New Roman"/>
      <w:b/>
    </w:rPr>
  </w:style>
  <w:style w:type="character" w:customStyle="1" w:styleId="114">
    <w:name w:val="price_unline"/>
    <w:qFormat/>
    <w:uiPriority w:val="99"/>
    <w:rPr>
      <w:rFonts w:cs="Times New Roman"/>
    </w:rPr>
  </w:style>
  <w:style w:type="character" w:customStyle="1" w:styleId="115">
    <w:name w:val="表格样式 Char"/>
    <w:link w:val="116"/>
    <w:qFormat/>
    <w:locked/>
    <w:uiPriority w:val="99"/>
    <w:rPr>
      <w:rFonts w:ascii="宋体"/>
      <w:kern w:val="2"/>
      <w:sz w:val="21"/>
    </w:rPr>
  </w:style>
  <w:style w:type="paragraph" w:customStyle="1" w:styleId="116">
    <w:name w:val="表格样式"/>
    <w:basedOn w:val="1"/>
    <w:link w:val="115"/>
    <w:qFormat/>
    <w:uiPriority w:val="99"/>
    <w:pPr>
      <w:jc w:val="center"/>
    </w:pPr>
    <w:rPr>
      <w:rFonts w:ascii="宋体"/>
      <w:szCs w:val="20"/>
    </w:rPr>
  </w:style>
  <w:style w:type="character" w:customStyle="1" w:styleId="117">
    <w:name w:val="表文字 Char1"/>
    <w:link w:val="118"/>
    <w:qFormat/>
    <w:locked/>
    <w:uiPriority w:val="99"/>
  </w:style>
  <w:style w:type="paragraph" w:customStyle="1" w:styleId="118">
    <w:name w:val="表文字"/>
    <w:basedOn w:val="1"/>
    <w:link w:val="117"/>
    <w:qFormat/>
    <w:uiPriority w:val="0"/>
    <w:pPr>
      <w:overflowPunct w:val="0"/>
      <w:autoSpaceDE w:val="0"/>
      <w:autoSpaceDN w:val="0"/>
      <w:adjustRightInd w:val="0"/>
      <w:spacing w:line="240" w:lineRule="atLeast"/>
      <w:jc w:val="center"/>
      <w:textAlignment w:val="baseline"/>
    </w:pPr>
    <w:rPr>
      <w:kern w:val="0"/>
      <w:sz w:val="20"/>
      <w:szCs w:val="20"/>
    </w:rPr>
  </w:style>
  <w:style w:type="character" w:customStyle="1" w:styleId="119">
    <w:name w:val="aspmaker1"/>
    <w:qFormat/>
    <w:uiPriority w:val="0"/>
    <w:rPr>
      <w:sz w:val="20"/>
    </w:rPr>
  </w:style>
  <w:style w:type="character" w:customStyle="1" w:styleId="120">
    <w:name w:val="正文（首行缩进2字） Char1"/>
    <w:link w:val="121"/>
    <w:qFormat/>
    <w:locked/>
    <w:uiPriority w:val="99"/>
    <w:rPr>
      <w:kern w:val="2"/>
      <w:sz w:val="30"/>
    </w:rPr>
  </w:style>
  <w:style w:type="paragraph" w:customStyle="1" w:styleId="121">
    <w:name w:val="正文（首行缩进2字）"/>
    <w:basedOn w:val="1"/>
    <w:link w:val="120"/>
    <w:qFormat/>
    <w:uiPriority w:val="99"/>
    <w:pPr>
      <w:spacing w:line="440" w:lineRule="exact"/>
      <w:ind w:firstLine="480" w:firstLineChars="200"/>
    </w:pPr>
    <w:rPr>
      <w:sz w:val="30"/>
      <w:szCs w:val="20"/>
    </w:rPr>
  </w:style>
  <w:style w:type="character" w:customStyle="1" w:styleId="122">
    <w:name w:val="正文文本 + MingLiU7"/>
    <w:qFormat/>
    <w:uiPriority w:val="99"/>
    <w:rPr>
      <w:rFonts w:ascii="MingLiU" w:hAnsi="宋体" w:eastAsia="MingLiU"/>
      <w:i/>
      <w:sz w:val="19"/>
    </w:rPr>
  </w:style>
  <w:style w:type="character" w:customStyle="1" w:styleId="123">
    <w:name w:val="表格标题博泵 Char"/>
    <w:link w:val="124"/>
    <w:qFormat/>
    <w:locked/>
    <w:uiPriority w:val="99"/>
    <w:rPr>
      <w:b/>
      <w:color w:val="000000"/>
    </w:rPr>
  </w:style>
  <w:style w:type="paragraph" w:customStyle="1" w:styleId="124">
    <w:name w:val="表格标题博泵"/>
    <w:basedOn w:val="1"/>
    <w:link w:val="123"/>
    <w:qFormat/>
    <w:uiPriority w:val="99"/>
    <w:pPr>
      <w:adjustRightInd w:val="0"/>
      <w:snapToGrid w:val="0"/>
      <w:jc w:val="center"/>
      <w:textAlignment w:val="baseline"/>
    </w:pPr>
    <w:rPr>
      <w:b/>
      <w:color w:val="000000"/>
      <w:kern w:val="0"/>
      <w:sz w:val="20"/>
      <w:szCs w:val="20"/>
    </w:rPr>
  </w:style>
  <w:style w:type="character" w:customStyle="1" w:styleId="125">
    <w:name w:val="正文文本 (6)_"/>
    <w:link w:val="126"/>
    <w:qFormat/>
    <w:locked/>
    <w:uiPriority w:val="99"/>
    <w:rPr>
      <w:rFonts w:ascii="宋体"/>
      <w:shd w:val="clear" w:color="auto" w:fill="FFFFFF"/>
    </w:rPr>
  </w:style>
  <w:style w:type="paragraph" w:customStyle="1" w:styleId="126">
    <w:name w:val="正文文本 (6)"/>
    <w:basedOn w:val="1"/>
    <w:link w:val="125"/>
    <w:qFormat/>
    <w:uiPriority w:val="99"/>
    <w:pPr>
      <w:widowControl/>
      <w:shd w:val="clear" w:color="auto" w:fill="FFFFFF"/>
      <w:spacing w:before="120" w:line="307" w:lineRule="exact"/>
      <w:jc w:val="right"/>
    </w:pPr>
    <w:rPr>
      <w:rFonts w:ascii="宋体"/>
      <w:kern w:val="0"/>
      <w:sz w:val="20"/>
      <w:szCs w:val="20"/>
      <w:shd w:val="clear" w:color="auto" w:fill="FFFFFF"/>
    </w:rPr>
  </w:style>
  <w:style w:type="character" w:customStyle="1" w:styleId="127">
    <w:name w:val="日期 Char"/>
    <w:qFormat/>
    <w:locked/>
    <w:uiPriority w:val="99"/>
    <w:rPr>
      <w:rFonts w:ascii="Times New Roman" w:hAnsi="Times New Roman" w:eastAsia="宋体" w:cs="Times New Roman"/>
      <w:sz w:val="20"/>
    </w:rPr>
  </w:style>
  <w:style w:type="character" w:customStyle="1" w:styleId="128">
    <w:name w:val="博泵1 Char"/>
    <w:link w:val="129"/>
    <w:qFormat/>
    <w:locked/>
    <w:uiPriority w:val="0"/>
    <w:rPr>
      <w:rFonts w:hAnsi="宋体"/>
      <w:color w:val="000000"/>
      <w:sz w:val="24"/>
    </w:rPr>
  </w:style>
  <w:style w:type="paragraph" w:customStyle="1" w:styleId="129">
    <w:name w:val="博泵1"/>
    <w:basedOn w:val="1"/>
    <w:link w:val="128"/>
    <w:qFormat/>
    <w:uiPriority w:val="0"/>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130">
    <w:name w:val="批注框文本 Char"/>
    <w:qFormat/>
    <w:locked/>
    <w:uiPriority w:val="99"/>
    <w:rPr>
      <w:rFonts w:ascii="Times New Roman" w:hAnsi="Times New Roman" w:eastAsia="宋体" w:cs="Times New Roman"/>
      <w:kern w:val="0"/>
      <w:sz w:val="18"/>
    </w:rPr>
  </w:style>
  <w:style w:type="character" w:customStyle="1" w:styleId="131">
    <w:name w:val="标题 Char1"/>
    <w:qFormat/>
    <w:uiPriority w:val="99"/>
    <w:rPr>
      <w:rFonts w:ascii="Cambria" w:hAnsi="Cambria" w:eastAsia="宋体"/>
      <w:b/>
      <w:kern w:val="0"/>
      <w:sz w:val="32"/>
    </w:rPr>
  </w:style>
  <w:style w:type="character" w:customStyle="1" w:styleId="132">
    <w:name w:val="正文首行缩进 字符"/>
    <w:link w:val="56"/>
    <w:qFormat/>
    <w:locked/>
    <w:uiPriority w:val="99"/>
  </w:style>
  <w:style w:type="character" w:customStyle="1" w:styleId="133">
    <w:name w:val="正文文本缩进 Char"/>
    <w:qFormat/>
    <w:locked/>
    <w:uiPriority w:val="0"/>
    <w:rPr>
      <w:rFonts w:ascii="Times New Roman" w:hAnsi="Times New Roman" w:eastAsia="楷体_GB2312" w:cs="Times New Roman"/>
      <w:b/>
      <w:kern w:val="0"/>
      <w:sz w:val="20"/>
    </w:rPr>
  </w:style>
  <w:style w:type="character" w:customStyle="1" w:styleId="134">
    <w:name w:val="页眉 Char"/>
    <w:qFormat/>
    <w:locked/>
    <w:uiPriority w:val="99"/>
    <w:rPr>
      <w:rFonts w:cs="Times New Roman"/>
      <w:sz w:val="18"/>
    </w:rPr>
  </w:style>
  <w:style w:type="character" w:customStyle="1" w:styleId="135">
    <w:name w:val="表头 Char"/>
    <w:link w:val="136"/>
    <w:qFormat/>
    <w:locked/>
    <w:uiPriority w:val="0"/>
    <w:rPr>
      <w:rFonts w:eastAsia="黑体"/>
    </w:rPr>
  </w:style>
  <w:style w:type="paragraph" w:customStyle="1" w:styleId="136">
    <w:name w:val="表头"/>
    <w:basedOn w:val="56"/>
    <w:link w:val="135"/>
    <w:qFormat/>
    <w:uiPriority w:val="0"/>
    <w:pPr>
      <w:overflowPunct w:val="0"/>
      <w:autoSpaceDE w:val="0"/>
      <w:autoSpaceDN w:val="0"/>
      <w:adjustRightInd w:val="0"/>
      <w:spacing w:before="60" w:after="60" w:line="360" w:lineRule="auto"/>
      <w:ind w:firstLine="539" w:firstLineChars="0"/>
      <w:jc w:val="center"/>
      <w:textAlignment w:val="baseline"/>
    </w:pPr>
    <w:rPr>
      <w:rFonts w:eastAsia="黑体"/>
    </w:rPr>
  </w:style>
  <w:style w:type="character" w:customStyle="1" w:styleId="137">
    <w:name w:val="标题 1 字符1"/>
    <w:link w:val="2"/>
    <w:qFormat/>
    <w:locked/>
    <w:uiPriority w:val="0"/>
    <w:rPr>
      <w:rFonts w:eastAsia="黑体"/>
      <w:b/>
      <w:bCs/>
      <w:color w:val="000000"/>
      <w:kern w:val="44"/>
      <w:sz w:val="30"/>
      <w:szCs w:val="30"/>
    </w:rPr>
  </w:style>
  <w:style w:type="character" w:customStyle="1" w:styleId="138">
    <w:name w:val="文档结构图 字符1"/>
    <w:link w:val="18"/>
    <w:qFormat/>
    <w:locked/>
    <w:uiPriority w:val="99"/>
    <w:rPr>
      <w:rFonts w:ascii="宋体"/>
      <w:sz w:val="18"/>
    </w:rPr>
  </w:style>
  <w:style w:type="character" w:customStyle="1" w:styleId="139">
    <w:name w:val="正文缩进 字符1"/>
    <w:link w:val="5"/>
    <w:qFormat/>
    <w:locked/>
    <w:uiPriority w:val="0"/>
  </w:style>
  <w:style w:type="character" w:customStyle="1" w:styleId="140">
    <w:name w:val="1正文段落 Char"/>
    <w:link w:val="141"/>
    <w:qFormat/>
    <w:locked/>
    <w:uiPriority w:val="99"/>
    <w:rPr>
      <w:snapToGrid w:val="0"/>
      <w:sz w:val="24"/>
    </w:rPr>
  </w:style>
  <w:style w:type="paragraph" w:customStyle="1" w:styleId="141">
    <w:name w:val="1正文段落"/>
    <w:basedOn w:val="1"/>
    <w:link w:val="140"/>
    <w:qFormat/>
    <w:uiPriority w:val="0"/>
    <w:pPr>
      <w:spacing w:line="360" w:lineRule="auto"/>
      <w:ind w:firstLine="480" w:firstLineChars="200"/>
      <w:jc w:val="left"/>
    </w:pPr>
    <w:rPr>
      <w:snapToGrid w:val="0"/>
      <w:kern w:val="0"/>
      <w:sz w:val="24"/>
      <w:szCs w:val="20"/>
    </w:rPr>
  </w:style>
  <w:style w:type="character" w:customStyle="1" w:styleId="142">
    <w:name w:val="批注文字 Char"/>
    <w:qFormat/>
    <w:locked/>
    <w:uiPriority w:val="99"/>
    <w:rPr>
      <w:rFonts w:ascii="Times New Roman" w:hAnsi="Times New Roman" w:cs="Times New Roman"/>
    </w:rPr>
  </w:style>
  <w:style w:type="character" w:customStyle="1" w:styleId="143">
    <w:name w:val="环评正文 Char1"/>
    <w:link w:val="144"/>
    <w:qFormat/>
    <w:locked/>
    <w:uiPriority w:val="99"/>
    <w:rPr>
      <w:rFonts w:ascii="仿宋_GB2312" w:eastAsia="仿宋_GB2312"/>
      <w:kern w:val="2"/>
      <w:sz w:val="28"/>
      <w:lang w:val="zh-CN"/>
    </w:rPr>
  </w:style>
  <w:style w:type="paragraph" w:customStyle="1" w:styleId="144">
    <w:name w:val="环评正文"/>
    <w:basedOn w:val="34"/>
    <w:link w:val="143"/>
    <w:qFormat/>
    <w:uiPriority w:val="0"/>
    <w:pPr>
      <w:spacing w:line="500" w:lineRule="exact"/>
      <w:ind w:left="0" w:leftChars="0" w:firstLine="560" w:firstLineChars="200"/>
    </w:pPr>
    <w:rPr>
      <w:rFonts w:ascii="仿宋_GB2312" w:eastAsia="仿宋_GB2312"/>
      <w:kern w:val="2"/>
      <w:sz w:val="28"/>
      <w:lang w:val="zh-CN"/>
    </w:rPr>
  </w:style>
  <w:style w:type="character" w:customStyle="1" w:styleId="145">
    <w:name w:val="正文(首行缩进) Char Char"/>
    <w:link w:val="146"/>
    <w:qFormat/>
    <w:locked/>
    <w:uiPriority w:val="99"/>
    <w:rPr>
      <w:snapToGrid w:val="0"/>
      <w:sz w:val="24"/>
    </w:rPr>
  </w:style>
  <w:style w:type="paragraph" w:customStyle="1" w:styleId="146">
    <w:name w:val="正文(首行缩进)"/>
    <w:basedOn w:val="1"/>
    <w:link w:val="145"/>
    <w:qFormat/>
    <w:uiPriority w:val="0"/>
    <w:pPr>
      <w:spacing w:line="360" w:lineRule="auto"/>
      <w:ind w:firstLine="480" w:firstLineChars="200"/>
    </w:pPr>
    <w:rPr>
      <w:snapToGrid w:val="0"/>
      <w:kern w:val="0"/>
      <w:sz w:val="24"/>
      <w:szCs w:val="20"/>
    </w:rPr>
  </w:style>
  <w:style w:type="character" w:customStyle="1" w:styleId="147">
    <w:name w:val="正文01 Char1"/>
    <w:link w:val="148"/>
    <w:qFormat/>
    <w:locked/>
    <w:uiPriority w:val="0"/>
    <w:rPr>
      <w:kern w:val="2"/>
      <w:sz w:val="24"/>
    </w:rPr>
  </w:style>
  <w:style w:type="paragraph" w:customStyle="1" w:styleId="148">
    <w:name w:val="正文01"/>
    <w:basedOn w:val="1"/>
    <w:link w:val="147"/>
    <w:qFormat/>
    <w:uiPriority w:val="0"/>
    <w:pPr>
      <w:adjustRightInd w:val="0"/>
      <w:snapToGrid w:val="0"/>
      <w:spacing w:before="60" w:line="460" w:lineRule="exact"/>
      <w:ind w:firstLine="200" w:firstLineChars="200"/>
    </w:pPr>
    <w:rPr>
      <w:sz w:val="24"/>
      <w:szCs w:val="20"/>
    </w:rPr>
  </w:style>
  <w:style w:type="character" w:customStyle="1" w:styleId="149">
    <w:name w:val="我的样式（正文） Char"/>
    <w:link w:val="150"/>
    <w:qFormat/>
    <w:locked/>
    <w:uiPriority w:val="99"/>
    <w:rPr>
      <w:rFonts w:ascii="宋体"/>
      <w:kern w:val="2"/>
      <w:sz w:val="24"/>
    </w:rPr>
  </w:style>
  <w:style w:type="paragraph" w:customStyle="1" w:styleId="150">
    <w:name w:val="我的样式（正文）"/>
    <w:basedOn w:val="1"/>
    <w:link w:val="149"/>
    <w:qFormat/>
    <w:uiPriority w:val="0"/>
    <w:pPr>
      <w:adjustRightInd w:val="0"/>
      <w:snapToGrid w:val="0"/>
      <w:spacing w:line="360" w:lineRule="auto"/>
      <w:ind w:firstLine="200" w:firstLineChars="200"/>
    </w:pPr>
    <w:rPr>
      <w:rFonts w:ascii="宋体"/>
      <w:sz w:val="24"/>
      <w:szCs w:val="20"/>
    </w:rPr>
  </w:style>
  <w:style w:type="character" w:customStyle="1" w:styleId="151">
    <w:name w:val="页脚 Char"/>
    <w:qFormat/>
    <w:locked/>
    <w:uiPriority w:val="99"/>
    <w:rPr>
      <w:rFonts w:cs="Times New Roman"/>
      <w:sz w:val="18"/>
    </w:rPr>
  </w:style>
  <w:style w:type="character" w:customStyle="1" w:styleId="152">
    <w:name w:val="正文(首行缩进) Char"/>
    <w:qFormat/>
    <w:uiPriority w:val="0"/>
    <w:rPr>
      <w:rFonts w:eastAsia="宋体"/>
      <w:snapToGrid w:val="0"/>
      <w:sz w:val="24"/>
      <w:lang w:val="en-US" w:eastAsia="zh-CN"/>
    </w:rPr>
  </w:style>
  <w:style w:type="character" w:customStyle="1" w:styleId="153">
    <w:name w:val="表格内文字 Char"/>
    <w:link w:val="154"/>
    <w:qFormat/>
    <w:locked/>
    <w:uiPriority w:val="0"/>
    <w:rPr>
      <w:rFonts w:eastAsia="仿宋_GB2312"/>
      <w:sz w:val="24"/>
    </w:rPr>
  </w:style>
  <w:style w:type="paragraph" w:customStyle="1" w:styleId="154">
    <w:name w:val="表格内文字"/>
    <w:basedOn w:val="1"/>
    <w:link w:val="153"/>
    <w:qFormat/>
    <w:uiPriority w:val="0"/>
    <w:pPr>
      <w:tabs>
        <w:tab w:val="left" w:pos="0"/>
      </w:tabs>
      <w:adjustRightInd w:val="0"/>
      <w:snapToGrid w:val="0"/>
      <w:jc w:val="center"/>
    </w:pPr>
    <w:rPr>
      <w:rFonts w:eastAsia="仿宋_GB2312"/>
      <w:kern w:val="0"/>
      <w:sz w:val="24"/>
      <w:szCs w:val="20"/>
    </w:rPr>
  </w:style>
  <w:style w:type="character" w:customStyle="1" w:styleId="155">
    <w:name w:val="正文文本 2 字符1"/>
    <w:link w:val="51"/>
    <w:qFormat/>
    <w:locked/>
    <w:uiPriority w:val="99"/>
  </w:style>
  <w:style w:type="character" w:customStyle="1" w:styleId="156">
    <w:name w:val="crumb"/>
    <w:qFormat/>
    <w:uiPriority w:val="99"/>
  </w:style>
  <w:style w:type="character" w:customStyle="1" w:styleId="157">
    <w:name w:val="样式1 Char"/>
    <w:link w:val="73"/>
    <w:qFormat/>
    <w:locked/>
    <w:uiPriority w:val="0"/>
    <w:rPr>
      <w:rFonts w:ascii="Calibri" w:hAnsi="Calibri"/>
      <w:color w:val="000000"/>
      <w:sz w:val="24"/>
    </w:rPr>
  </w:style>
  <w:style w:type="character" w:customStyle="1" w:styleId="158">
    <w:name w:val="报告正文-连续目录 Char Char"/>
    <w:link w:val="159"/>
    <w:qFormat/>
    <w:locked/>
    <w:uiPriority w:val="99"/>
    <w:rPr>
      <w:rFonts w:ascii="Arial" w:hAnsi="Arial"/>
      <w:snapToGrid w:val="0"/>
      <w:sz w:val="24"/>
    </w:rPr>
  </w:style>
  <w:style w:type="paragraph" w:customStyle="1" w:styleId="159">
    <w:name w:val="报告正文-连续目录"/>
    <w:basedOn w:val="1"/>
    <w:link w:val="158"/>
    <w:qFormat/>
    <w:uiPriority w:val="99"/>
    <w:pPr>
      <w:spacing w:line="440" w:lineRule="exact"/>
      <w:ind w:firstLine="200" w:firstLineChars="200"/>
    </w:pPr>
    <w:rPr>
      <w:rFonts w:ascii="Arial" w:hAnsi="Arial"/>
      <w:snapToGrid w:val="0"/>
      <w:kern w:val="0"/>
      <w:sz w:val="24"/>
      <w:szCs w:val="20"/>
    </w:rPr>
  </w:style>
  <w:style w:type="character" w:customStyle="1" w:styleId="160">
    <w:name w:val="表格 普通文字 Char"/>
    <w:link w:val="161"/>
    <w:qFormat/>
    <w:uiPriority w:val="0"/>
    <w:rPr>
      <w:rFonts w:eastAsia="仿宋_GB2312"/>
      <w:kern w:val="2"/>
      <w:sz w:val="21"/>
      <w:szCs w:val="21"/>
    </w:rPr>
  </w:style>
  <w:style w:type="paragraph" w:customStyle="1" w:styleId="161">
    <w:name w:val="表格 普通文字"/>
    <w:link w:val="160"/>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62">
    <w:name w:val="文档结构图 Char1"/>
    <w:qFormat/>
    <w:uiPriority w:val="99"/>
    <w:rPr>
      <w:rFonts w:ascii="宋体"/>
      <w:kern w:val="2"/>
      <w:sz w:val="18"/>
      <w:szCs w:val="18"/>
    </w:rPr>
  </w:style>
  <w:style w:type="paragraph" w:customStyle="1" w:styleId="163">
    <w:name w:val="海尔正文"/>
    <w:basedOn w:val="1"/>
    <w:qFormat/>
    <w:uiPriority w:val="0"/>
    <w:pPr>
      <w:spacing w:line="360" w:lineRule="auto"/>
      <w:ind w:firstLine="200" w:firstLineChars="200"/>
    </w:pPr>
    <w:rPr>
      <w:rFonts w:ascii="宋体" w:cs="宋体"/>
      <w:sz w:val="28"/>
    </w:rPr>
  </w:style>
  <w:style w:type="paragraph" w:customStyle="1" w:styleId="164">
    <w:name w:val="表标题"/>
    <w:basedOn w:val="1"/>
    <w:qFormat/>
    <w:uiPriority w:val="0"/>
    <w:pPr>
      <w:spacing w:line="360" w:lineRule="auto"/>
      <w:ind w:left="3420"/>
    </w:pPr>
    <w:rPr>
      <w:rFonts w:ascii="宋体" w:hAnsi="宋体"/>
      <w:sz w:val="24"/>
    </w:rPr>
  </w:style>
  <w:style w:type="character" w:customStyle="1" w:styleId="165">
    <w:name w:val="正文文本缩进 3 Char1"/>
    <w:qFormat/>
    <w:uiPriority w:val="0"/>
    <w:rPr>
      <w:kern w:val="2"/>
      <w:sz w:val="16"/>
      <w:szCs w:val="16"/>
    </w:rPr>
  </w:style>
  <w:style w:type="paragraph" w:customStyle="1" w:styleId="166">
    <w:name w:val="样式 (中文) 仿宋_GB2312 四号 首行缩进:  0.98 厘米 行距: 固定值 25 磅"/>
    <w:basedOn w:val="1"/>
    <w:qFormat/>
    <w:uiPriority w:val="99"/>
    <w:pPr>
      <w:spacing w:line="360" w:lineRule="auto"/>
      <w:ind w:firstLine="556"/>
    </w:pPr>
    <w:rPr>
      <w:rFonts w:cs="宋体"/>
      <w:sz w:val="24"/>
      <w:szCs w:val="20"/>
    </w:rPr>
  </w:style>
  <w:style w:type="paragraph" w:customStyle="1" w:styleId="167">
    <w:name w:val="正文文本 (8)1"/>
    <w:basedOn w:val="1"/>
    <w:qFormat/>
    <w:uiPriority w:val="99"/>
    <w:pPr>
      <w:widowControl/>
      <w:shd w:val="clear" w:color="auto" w:fill="FFFFFF"/>
      <w:spacing w:before="120" w:line="307" w:lineRule="exact"/>
      <w:jc w:val="right"/>
    </w:pPr>
    <w:rPr>
      <w:rFonts w:ascii="MingLiU" w:eastAsia="MingLiU"/>
      <w:kern w:val="0"/>
      <w:sz w:val="19"/>
      <w:szCs w:val="19"/>
    </w:rPr>
  </w:style>
  <w:style w:type="paragraph" w:customStyle="1" w:styleId="168">
    <w:name w:val="列出段落1"/>
    <w:basedOn w:val="1"/>
    <w:link w:val="542"/>
    <w:qFormat/>
    <w:uiPriority w:val="0"/>
    <w:pPr>
      <w:widowControl/>
      <w:ind w:firstLine="420" w:firstLineChars="200"/>
      <w:jc w:val="left"/>
    </w:pPr>
    <w:rPr>
      <w:kern w:val="0"/>
      <w:sz w:val="20"/>
      <w:szCs w:val="20"/>
    </w:rPr>
  </w:style>
  <w:style w:type="paragraph" w:customStyle="1" w:styleId="169">
    <w:name w:val="Char Char Char Char Char Char Char Char Char Char Char Char Char Char Char Char"/>
    <w:basedOn w:val="1"/>
    <w:qFormat/>
    <w:uiPriority w:val="0"/>
    <w:pPr>
      <w:autoSpaceDE w:val="0"/>
      <w:autoSpaceDN w:val="0"/>
      <w:adjustRightInd w:val="0"/>
      <w:textAlignment w:val="baseline"/>
    </w:pPr>
    <w:rPr>
      <w:szCs w:val="20"/>
    </w:rPr>
  </w:style>
  <w:style w:type="character" w:customStyle="1" w:styleId="170">
    <w:name w:val="正文文本缩进 2 Char1"/>
    <w:qFormat/>
    <w:uiPriority w:val="0"/>
    <w:rPr>
      <w:kern w:val="2"/>
      <w:sz w:val="21"/>
      <w:szCs w:val="24"/>
    </w:rPr>
  </w:style>
  <w:style w:type="paragraph" w:customStyle="1" w:styleId="171">
    <w:name w:val="Char Char Char1 Char Char Char"/>
    <w:basedOn w:val="1"/>
    <w:qFormat/>
    <w:uiPriority w:val="99"/>
    <w:rPr>
      <w:rFonts w:ascii="Courier New" w:hAnsi="Courier New" w:eastAsia="仿宋" w:cs="Courier New"/>
      <w:sz w:val="24"/>
    </w:rPr>
  </w:style>
  <w:style w:type="character" w:customStyle="1" w:styleId="172">
    <w:name w:val="纯文本 Char2"/>
    <w:qFormat/>
    <w:uiPriority w:val="0"/>
    <w:rPr>
      <w:rFonts w:ascii="宋体" w:hAnsi="Courier New" w:cs="Courier New"/>
      <w:kern w:val="2"/>
      <w:sz w:val="21"/>
      <w:szCs w:val="21"/>
    </w:rPr>
  </w:style>
  <w:style w:type="paragraph" w:customStyle="1" w:styleId="173">
    <w:name w:val="a4"/>
    <w:basedOn w:val="1"/>
    <w:qFormat/>
    <w:uiPriority w:val="99"/>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174">
    <w:name w:val="Char Char Char Char1"/>
    <w:basedOn w:val="1"/>
    <w:qFormat/>
    <w:uiPriority w:val="99"/>
    <w:pPr>
      <w:spacing w:line="360" w:lineRule="auto"/>
      <w:ind w:firstLine="200" w:firstLineChars="200"/>
    </w:pPr>
    <w:rPr>
      <w:rFonts w:ascii="宋体" w:hAnsi="宋体" w:cs="宋体"/>
      <w:sz w:val="24"/>
    </w:rPr>
  </w:style>
  <w:style w:type="paragraph" w:customStyle="1" w:styleId="175">
    <w:name w:val="xl4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176">
    <w:name w:val="表格正文"/>
    <w:basedOn w:val="1"/>
    <w:qFormat/>
    <w:uiPriority w:val="0"/>
    <w:pPr>
      <w:spacing w:line="360" w:lineRule="exact"/>
      <w:jc w:val="center"/>
    </w:pPr>
    <w:rPr>
      <w:szCs w:val="20"/>
    </w:rPr>
  </w:style>
  <w:style w:type="paragraph" w:customStyle="1" w:styleId="177">
    <w:name w:val="Char Char4 Char Char"/>
    <w:basedOn w:val="1"/>
    <w:qFormat/>
    <w:uiPriority w:val="99"/>
    <w:rPr>
      <w:szCs w:val="20"/>
    </w:rPr>
  </w:style>
  <w:style w:type="paragraph" w:customStyle="1" w:styleId="178">
    <w:name w:val="Char Char Char Char Char Char Char Char Char1"/>
    <w:basedOn w:val="1"/>
    <w:qFormat/>
    <w:uiPriority w:val="99"/>
    <w:pPr>
      <w:snapToGrid w:val="0"/>
      <w:spacing w:line="360" w:lineRule="auto"/>
      <w:ind w:firstLine="529" w:firstLineChars="200"/>
    </w:pPr>
    <w:rPr>
      <w:rFonts w:ascii="宋体" w:hAnsi="宋体"/>
      <w:b/>
    </w:rPr>
  </w:style>
  <w:style w:type="paragraph" w:customStyle="1" w:styleId="179">
    <w:name w:val="列出段落2"/>
    <w:basedOn w:val="1"/>
    <w:qFormat/>
    <w:uiPriority w:val="99"/>
    <w:pPr>
      <w:widowControl/>
      <w:ind w:firstLine="420" w:firstLineChars="200"/>
      <w:jc w:val="left"/>
    </w:pPr>
    <w:rPr>
      <w:kern w:val="0"/>
      <w:sz w:val="20"/>
      <w:szCs w:val="20"/>
    </w:rPr>
  </w:style>
  <w:style w:type="character" w:customStyle="1" w:styleId="180">
    <w:name w:val="标题 Char2"/>
    <w:qFormat/>
    <w:uiPriority w:val="0"/>
    <w:rPr>
      <w:rFonts w:ascii="Cambria" w:hAnsi="Cambria" w:cs="Times New Roman"/>
      <w:b/>
      <w:bCs/>
      <w:kern w:val="2"/>
      <w:sz w:val="32"/>
      <w:szCs w:val="32"/>
    </w:rPr>
  </w:style>
  <w:style w:type="paragraph" w:customStyle="1" w:styleId="181">
    <w:name w:val="表格下方正文"/>
    <w:basedOn w:val="1"/>
    <w:qFormat/>
    <w:uiPriority w:val="99"/>
    <w:pPr>
      <w:adjustRightInd w:val="0"/>
      <w:snapToGrid w:val="0"/>
      <w:spacing w:before="300" w:line="460" w:lineRule="exact"/>
      <w:ind w:firstLine="482"/>
    </w:pPr>
    <w:rPr>
      <w:sz w:val="24"/>
    </w:rPr>
  </w:style>
  <w:style w:type="paragraph" w:customStyle="1" w:styleId="18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83">
    <w:name w:val="Char Char Char1 Char Char Char Char Char Char 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184">
    <w:name w:val="样式 样式 正文首行缩进 + 首行缩进:  2 字符 + 首行缩进:  2 字符"/>
    <w:basedOn w:val="1"/>
    <w:qFormat/>
    <w:uiPriority w:val="99"/>
    <w:pPr>
      <w:topLinePunct/>
      <w:adjustRightInd w:val="0"/>
      <w:snapToGrid w:val="0"/>
      <w:spacing w:line="360" w:lineRule="auto"/>
      <w:ind w:firstLine="480"/>
      <w:textAlignment w:val="baseline"/>
    </w:pPr>
    <w:rPr>
      <w:rFonts w:hAnsi="宋体" w:eastAsia="Times New Roman"/>
      <w:kern w:val="0"/>
      <w:sz w:val="24"/>
      <w:szCs w:val="20"/>
    </w:rPr>
  </w:style>
  <w:style w:type="paragraph" w:customStyle="1" w:styleId="185">
    <w:name w:val="二级无标题条"/>
    <w:basedOn w:val="1"/>
    <w:qFormat/>
    <w:uiPriority w:val="0"/>
  </w:style>
  <w:style w:type="paragraph" w:customStyle="1" w:styleId="186">
    <w:name w:val="框图"/>
    <w:basedOn w:val="1"/>
    <w:qFormat/>
    <w:uiPriority w:val="99"/>
    <w:pPr>
      <w:adjustRightInd w:val="0"/>
      <w:snapToGrid w:val="0"/>
      <w:jc w:val="center"/>
    </w:pPr>
    <w:rPr>
      <w:rFonts w:ascii="仿宋_GB2312" w:hAnsi="宋体" w:eastAsia="仿宋_GB2312"/>
      <w:szCs w:val="21"/>
    </w:rPr>
  </w:style>
  <w:style w:type="paragraph" w:customStyle="1" w:styleId="187">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88">
    <w:name w:val="默认段落字体 Para Char Char Char Char"/>
    <w:basedOn w:val="1"/>
    <w:qFormat/>
    <w:uiPriority w:val="0"/>
    <w:rPr>
      <w:sz w:val="24"/>
    </w:rPr>
  </w:style>
  <w:style w:type="paragraph" w:customStyle="1" w:styleId="189">
    <w:name w:val="正文文本 (13)"/>
    <w:basedOn w:val="1"/>
    <w:qFormat/>
    <w:uiPriority w:val="99"/>
    <w:pPr>
      <w:widowControl/>
      <w:shd w:val="clear" w:color="auto" w:fill="FFFFFF"/>
      <w:spacing w:line="240" w:lineRule="atLeast"/>
      <w:jc w:val="left"/>
    </w:pPr>
    <w:rPr>
      <w:rFonts w:ascii="Batang" w:eastAsia="Batang"/>
      <w:kern w:val="0"/>
      <w:sz w:val="14"/>
      <w:szCs w:val="14"/>
    </w:rPr>
  </w:style>
  <w:style w:type="paragraph" w:customStyle="1" w:styleId="190">
    <w:name w:val="Char Char Char Char"/>
    <w:basedOn w:val="1"/>
    <w:qFormat/>
    <w:uiPriority w:val="0"/>
    <w:rPr>
      <w:szCs w:val="20"/>
    </w:rPr>
  </w:style>
  <w:style w:type="paragraph" w:customStyle="1" w:styleId="191">
    <w:name w:val="样式 表中文字 +"/>
    <w:basedOn w:val="1"/>
    <w:qFormat/>
    <w:uiPriority w:val="99"/>
    <w:pPr>
      <w:adjustRightInd w:val="0"/>
      <w:snapToGrid w:val="0"/>
      <w:spacing w:line="400" w:lineRule="exact"/>
      <w:jc w:val="center"/>
    </w:pPr>
    <w:rPr>
      <w:kern w:val="0"/>
      <w:szCs w:val="21"/>
    </w:rPr>
  </w:style>
  <w:style w:type="paragraph" w:customStyle="1" w:styleId="192">
    <w:name w:val="无间隔1"/>
    <w:basedOn w:val="1"/>
    <w:qFormat/>
    <w:uiPriority w:val="99"/>
    <w:pPr>
      <w:widowControl/>
      <w:jc w:val="left"/>
    </w:pPr>
    <w:rPr>
      <w:rFonts w:ascii="宋体" w:hAnsi="宋体"/>
      <w:kern w:val="0"/>
      <w:sz w:val="20"/>
      <w:szCs w:val="20"/>
    </w:rPr>
  </w:style>
  <w:style w:type="paragraph" w:customStyle="1" w:styleId="193">
    <w:name w:val="样式 xl27 + (西文) 楷体_GB2312 (符号) Courier New 小四 段前: 0 磅 段后: 0 磅..."/>
    <w:basedOn w:val="1"/>
    <w:qFormat/>
    <w:uiPriority w:val="99"/>
    <w:pPr>
      <w:widowControl/>
      <w:jc w:val="center"/>
    </w:pPr>
    <w:rPr>
      <w:rFonts w:cs="宋体"/>
      <w:sz w:val="24"/>
      <w:szCs w:val="20"/>
    </w:rPr>
  </w:style>
  <w:style w:type="paragraph" w:customStyle="1" w:styleId="194">
    <w:name w:val="表格文字（对中）"/>
    <w:basedOn w:val="5"/>
    <w:qFormat/>
    <w:uiPriority w:val="0"/>
    <w:pPr>
      <w:spacing w:line="480" w:lineRule="exact"/>
      <w:ind w:firstLine="0"/>
      <w:jc w:val="center"/>
    </w:pPr>
    <w:rPr>
      <w:rFonts w:ascii="黑体" w:hAnsi="Calibri" w:eastAsia="黑体"/>
      <w:color w:val="000000"/>
      <w:sz w:val="24"/>
      <w:szCs w:val="21"/>
    </w:rPr>
  </w:style>
  <w:style w:type="character" w:customStyle="1" w:styleId="195">
    <w:name w:val="正文首行缩进 Char1"/>
    <w:qFormat/>
    <w:uiPriority w:val="99"/>
    <w:rPr>
      <w:kern w:val="2"/>
      <w:sz w:val="21"/>
      <w:szCs w:val="24"/>
    </w:rPr>
  </w:style>
  <w:style w:type="character" w:customStyle="1" w:styleId="196">
    <w:name w:val="正文文本 2 Char1"/>
    <w:qFormat/>
    <w:uiPriority w:val="99"/>
    <w:rPr>
      <w:kern w:val="2"/>
      <w:sz w:val="21"/>
      <w:szCs w:val="24"/>
    </w:rPr>
  </w:style>
  <w:style w:type="character" w:customStyle="1" w:styleId="197">
    <w:name w:val="副标题 Char1"/>
    <w:qFormat/>
    <w:uiPriority w:val="11"/>
    <w:rPr>
      <w:rFonts w:ascii="Cambria" w:hAnsi="Cambria" w:cs="Times New Roman"/>
      <w:b/>
      <w:bCs/>
      <w:kern w:val="28"/>
      <w:sz w:val="32"/>
      <w:szCs w:val="32"/>
    </w:rPr>
  </w:style>
  <w:style w:type="paragraph" w:customStyle="1" w:styleId="198">
    <w:name w:val="默认段落字体 Para Char"/>
    <w:basedOn w:val="1"/>
    <w:qFormat/>
    <w:uiPriority w:val="0"/>
  </w:style>
  <w:style w:type="paragraph" w:customStyle="1" w:styleId="199">
    <w:name w:val="标准样式"/>
    <w:qFormat/>
    <w:uiPriority w:val="99"/>
    <w:pPr>
      <w:widowControl w:val="0"/>
      <w:ind w:firstLine="480" w:firstLineChars="200"/>
      <w:jc w:val="both"/>
    </w:pPr>
    <w:rPr>
      <w:rFonts w:ascii="Times New Roman" w:hAnsi="Times New Roman" w:eastAsia="宋体" w:cs="Times New Roman"/>
      <w:b/>
      <w:sz w:val="24"/>
      <w:lang w:val="en-US" w:eastAsia="zh-CN" w:bidi="ar-SA"/>
    </w:rPr>
  </w:style>
  <w:style w:type="paragraph" w:customStyle="1" w:styleId="200">
    <w:name w:val="Char Char Char Char Char Char"/>
    <w:basedOn w:val="1"/>
    <w:qFormat/>
    <w:uiPriority w:val="0"/>
    <w:rPr>
      <w:sz w:val="24"/>
    </w:rPr>
  </w:style>
  <w:style w:type="paragraph" w:customStyle="1" w:styleId="201">
    <w:name w:val="样式 样式 首行缩进:  2 字符 + 首行缩进:  2 字符"/>
    <w:qFormat/>
    <w:uiPriority w:val="0"/>
    <w:pPr>
      <w:spacing w:line="500" w:lineRule="exact"/>
      <w:ind w:firstLine="200" w:firstLineChars="200"/>
    </w:pPr>
    <w:rPr>
      <w:rFonts w:ascii="Times New Roman" w:hAnsi="Times New Roman" w:eastAsia="宋体" w:cs="宋体"/>
      <w:spacing w:val="30"/>
      <w:sz w:val="28"/>
      <w:lang w:val="en-US" w:eastAsia="zh-CN" w:bidi="ar-SA"/>
    </w:rPr>
  </w:style>
  <w:style w:type="paragraph" w:customStyle="1" w:styleId="202">
    <w:name w:val="正文文本 (11)"/>
    <w:basedOn w:val="1"/>
    <w:qFormat/>
    <w:uiPriority w:val="99"/>
    <w:pPr>
      <w:widowControl/>
      <w:shd w:val="clear" w:color="auto" w:fill="FFFFFF"/>
      <w:spacing w:after="120" w:line="240" w:lineRule="atLeast"/>
      <w:jc w:val="left"/>
    </w:pPr>
    <w:rPr>
      <w:rFonts w:ascii="MingLiU" w:eastAsia="MingLiU"/>
      <w:kern w:val="0"/>
      <w:sz w:val="19"/>
      <w:szCs w:val="19"/>
    </w:rPr>
  </w:style>
  <w:style w:type="paragraph" w:customStyle="1" w:styleId="203">
    <w:name w:val="1 Char Char Char Char"/>
    <w:basedOn w:val="1"/>
    <w:qFormat/>
    <w:uiPriority w:val="0"/>
    <w:pPr>
      <w:spacing w:line="360" w:lineRule="auto"/>
      <w:ind w:firstLine="200" w:firstLineChars="200"/>
    </w:pPr>
    <w:rPr>
      <w:rFonts w:ascii="宋体" w:hAnsi="宋体" w:cs="宋体"/>
      <w:sz w:val="24"/>
    </w:rPr>
  </w:style>
  <w:style w:type="paragraph" w:customStyle="1" w:styleId="204">
    <w:name w:val="正文文本 (9)1"/>
    <w:basedOn w:val="1"/>
    <w:qFormat/>
    <w:uiPriority w:val="99"/>
    <w:pPr>
      <w:widowControl/>
      <w:shd w:val="clear" w:color="auto" w:fill="FFFFFF"/>
      <w:spacing w:line="240" w:lineRule="atLeast"/>
      <w:jc w:val="left"/>
    </w:pPr>
    <w:rPr>
      <w:rFonts w:ascii="MingLiU" w:eastAsia="MingLiU"/>
      <w:kern w:val="0"/>
      <w:sz w:val="16"/>
      <w:szCs w:val="16"/>
    </w:rPr>
  </w:style>
  <w:style w:type="paragraph" w:customStyle="1" w:styleId="205">
    <w:name w:val="新格式表"/>
    <w:basedOn w:val="1"/>
    <w:qFormat/>
    <w:uiPriority w:val="99"/>
    <w:pPr>
      <w:spacing w:line="240" w:lineRule="exact"/>
      <w:jc w:val="center"/>
    </w:pPr>
    <w:rPr>
      <w:bCs/>
      <w:szCs w:val="21"/>
    </w:rPr>
  </w:style>
  <w:style w:type="paragraph" w:customStyle="1" w:styleId="206">
    <w:name w:val="Char"/>
    <w:basedOn w:val="1"/>
    <w:qFormat/>
    <w:uiPriority w:val="99"/>
    <w:rPr>
      <w:sz w:val="24"/>
    </w:rPr>
  </w:style>
  <w:style w:type="paragraph" w:customStyle="1" w:styleId="207">
    <w:name w:val="表格内容自定"/>
    <w:basedOn w:val="1"/>
    <w:qFormat/>
    <w:uiPriority w:val="0"/>
    <w:pPr>
      <w:spacing w:line="280" w:lineRule="exact"/>
      <w:jc w:val="center"/>
    </w:pPr>
    <w:rPr>
      <w:kern w:val="0"/>
      <w:sz w:val="18"/>
      <w:szCs w:val="21"/>
    </w:rPr>
  </w:style>
  <w:style w:type="paragraph" w:customStyle="1" w:styleId="208">
    <w:name w:val="Char Char Char1 Char Char Char1"/>
    <w:basedOn w:val="1"/>
    <w:qFormat/>
    <w:uiPriority w:val="99"/>
    <w:rPr>
      <w:rFonts w:ascii="Courier New" w:hAnsi="Courier New" w:eastAsia="仿宋" w:cs="Courier New"/>
      <w:sz w:val="24"/>
    </w:rPr>
  </w:style>
  <w:style w:type="paragraph" w:customStyle="1" w:styleId="209">
    <w:name w:val="WPS Plain"/>
    <w:qFormat/>
    <w:uiPriority w:val="0"/>
    <w:rPr>
      <w:rFonts w:ascii="Times New Roman" w:hAnsi="Times New Roman" w:eastAsia="宋体" w:cs="Times New Roman"/>
      <w:sz w:val="24"/>
      <w:szCs w:val="24"/>
      <w:lang w:val="en-US" w:eastAsia="zh-CN" w:bidi="ar-SA"/>
    </w:rPr>
  </w:style>
  <w:style w:type="paragraph" w:customStyle="1" w:styleId="210">
    <w:name w:val="Default"/>
    <w:link w:val="1040"/>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1">
    <w:name w:val="码头正文"/>
    <w:basedOn w:val="5"/>
    <w:qFormat/>
    <w:uiPriority w:val="99"/>
    <w:pPr>
      <w:adjustRightInd w:val="0"/>
      <w:snapToGrid w:val="0"/>
      <w:spacing w:line="360" w:lineRule="auto"/>
      <w:ind w:firstLine="480" w:firstLineChars="200"/>
      <w:textAlignment w:val="baseline"/>
    </w:pPr>
    <w:rPr>
      <w:rFonts w:hAnsi="宋体"/>
      <w:bCs/>
      <w:color w:val="FF00FF"/>
      <w:sz w:val="24"/>
      <w:szCs w:val="24"/>
    </w:rPr>
  </w:style>
  <w:style w:type="paragraph" w:customStyle="1" w:styleId="212">
    <w:name w:val="Char Char Char Char Char Char Char"/>
    <w:basedOn w:val="1"/>
    <w:qFormat/>
    <w:uiPriority w:val="0"/>
    <w:rPr>
      <w:sz w:val="24"/>
    </w:rPr>
  </w:style>
  <w:style w:type="paragraph" w:customStyle="1" w:styleId="213">
    <w:name w:val="xl23"/>
    <w:basedOn w:val="1"/>
    <w:qFormat/>
    <w:uiPriority w:val="99"/>
    <w:pPr>
      <w:widowControl/>
      <w:spacing w:before="100" w:beforeAutospacing="1" w:after="100" w:afterAutospacing="1"/>
      <w:jc w:val="center"/>
    </w:pPr>
    <w:rPr>
      <w:rFonts w:ascii="Arial Unicode MS" w:hAnsi="Arial Unicode MS"/>
      <w:kern w:val="0"/>
      <w:sz w:val="24"/>
    </w:rPr>
  </w:style>
  <w:style w:type="table" w:customStyle="1" w:styleId="214">
    <w:name w:val="网格型-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5">
    <w:name w:val="ylf"/>
    <w:basedOn w:val="60"/>
    <w:qFormat/>
    <w:uiPriority w:val="99"/>
    <w:pPr>
      <w:widowControl w:val="0"/>
      <w:jc w:val="center"/>
    </w:pPr>
    <w:rPr>
      <w:sz w:val="21"/>
      <w:szCs w:val="21"/>
    </w:rPr>
    <w:tblPr>
      <w:tblBorders>
        <w:top w:val="single" w:color="auto" w:sz="12" w:space="0"/>
        <w:bottom w:val="single" w:color="auto" w:sz="12" w:space="0"/>
      </w:tblBorders>
    </w:tblPr>
  </w:style>
  <w:style w:type="paragraph" w:customStyle="1" w:styleId="216">
    <w:name w:val="表格文字2"/>
    <w:basedOn w:val="1"/>
    <w:qFormat/>
    <w:uiPriority w:val="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217">
    <w:name w:val="Table Paragraph"/>
    <w:basedOn w:val="1"/>
    <w:qFormat/>
    <w:uiPriority w:val="1"/>
    <w:pPr>
      <w:autoSpaceDE w:val="0"/>
      <w:autoSpaceDN w:val="0"/>
      <w:spacing w:before="58"/>
      <w:jc w:val="center"/>
    </w:pPr>
    <w:rPr>
      <w:rFonts w:ascii="宋体" w:hAnsi="宋体" w:cs="宋体"/>
      <w:kern w:val="0"/>
      <w:sz w:val="22"/>
      <w:szCs w:val="22"/>
      <w:lang w:val="zh-CN" w:bidi="zh-CN"/>
    </w:rPr>
  </w:style>
  <w:style w:type="paragraph" w:styleId="218">
    <w:name w:val="List Paragraph"/>
    <w:basedOn w:val="1"/>
    <w:qFormat/>
    <w:uiPriority w:val="34"/>
    <w:pPr>
      <w:widowControl/>
      <w:ind w:firstLine="420" w:firstLineChars="200"/>
      <w:jc w:val="left"/>
    </w:pPr>
    <w:rPr>
      <w:kern w:val="0"/>
      <w:sz w:val="20"/>
      <w:szCs w:val="20"/>
    </w:rPr>
  </w:style>
  <w:style w:type="character" w:styleId="219">
    <w:name w:val="Placeholder Text"/>
    <w:unhideWhenUsed/>
    <w:qFormat/>
    <w:uiPriority w:val="99"/>
    <w:rPr>
      <w:color w:val="808080"/>
    </w:rPr>
  </w:style>
  <w:style w:type="character" w:customStyle="1" w:styleId="220">
    <w:name w:val="正文首行缩进 2 字符"/>
    <w:basedOn w:val="78"/>
    <w:link w:val="57"/>
    <w:qFormat/>
    <w:uiPriority w:val="0"/>
    <w:rPr>
      <w:rFonts w:ascii="Times New Roman" w:hAnsi="Times New Roman" w:eastAsia="宋体"/>
      <w:sz w:val="24"/>
    </w:rPr>
  </w:style>
  <w:style w:type="character" w:customStyle="1" w:styleId="221">
    <w:name w:val="报告表正文 Char"/>
    <w:link w:val="222"/>
    <w:qFormat/>
    <w:uiPriority w:val="0"/>
    <w:rPr>
      <w:sz w:val="24"/>
    </w:rPr>
  </w:style>
  <w:style w:type="paragraph" w:customStyle="1" w:styleId="222">
    <w:name w:val="报告表正文"/>
    <w:basedOn w:val="1"/>
    <w:link w:val="221"/>
    <w:qFormat/>
    <w:uiPriority w:val="0"/>
    <w:pPr>
      <w:adjustRightInd w:val="0"/>
      <w:spacing w:line="300" w:lineRule="auto"/>
      <w:ind w:left="113" w:right="113"/>
      <w:textAlignment w:val="baseline"/>
    </w:pPr>
    <w:rPr>
      <w:kern w:val="0"/>
      <w:sz w:val="24"/>
      <w:szCs w:val="20"/>
    </w:rPr>
  </w:style>
  <w:style w:type="character" w:customStyle="1" w:styleId="223">
    <w:name w:val="Char Char29"/>
    <w:qFormat/>
    <w:uiPriority w:val="0"/>
    <w:rPr>
      <w:rFonts w:eastAsia="宋体"/>
      <w:b/>
      <w:bCs/>
      <w:kern w:val="2"/>
      <w:sz w:val="32"/>
      <w:szCs w:val="32"/>
      <w:lang w:val="en-US" w:eastAsia="zh-CN" w:bidi="ar-SA"/>
    </w:rPr>
  </w:style>
  <w:style w:type="character" w:customStyle="1" w:styleId="224">
    <w:name w:val="tt"/>
    <w:qFormat/>
    <w:uiPriority w:val="0"/>
  </w:style>
  <w:style w:type="character" w:customStyle="1" w:styleId="225">
    <w:name w:val="3zw1"/>
    <w:qFormat/>
    <w:uiPriority w:val="0"/>
    <w:rPr>
      <w:color w:val="000000"/>
      <w:sz w:val="21"/>
      <w:szCs w:val="21"/>
    </w:rPr>
  </w:style>
  <w:style w:type="character" w:customStyle="1" w:styleId="226">
    <w:name w:val="Char Char11"/>
    <w:qFormat/>
    <w:uiPriority w:val="0"/>
    <w:rPr>
      <w:rFonts w:ascii="Calibri" w:hAnsi="Tahoma" w:eastAsia="Calibri" w:cs="Tahoma"/>
      <w:kern w:val="2"/>
      <w:sz w:val="21"/>
      <w:szCs w:val="21"/>
      <w:lang w:val="en-US" w:eastAsia="zh-CN" w:bidi="ar-SA"/>
    </w:rPr>
  </w:style>
  <w:style w:type="character" w:customStyle="1" w:styleId="227">
    <w:name w:val="未命名11"/>
    <w:qFormat/>
    <w:uiPriority w:val="0"/>
    <w:rPr>
      <w:rFonts w:hint="eastAsia" w:ascii="宋体" w:hAnsi="宋体" w:eastAsia="宋体"/>
      <w:sz w:val="18"/>
      <w:szCs w:val="18"/>
    </w:rPr>
  </w:style>
  <w:style w:type="character" w:customStyle="1" w:styleId="228">
    <w:name w:val="正文文本 + 10 pt8"/>
    <w:qFormat/>
    <w:uiPriority w:val="0"/>
    <w:rPr>
      <w:rFonts w:ascii="宋体" w:eastAsia="宋体" w:cs="宋体"/>
      <w:b/>
      <w:bCs/>
      <w:sz w:val="20"/>
      <w:szCs w:val="20"/>
    </w:rPr>
  </w:style>
  <w:style w:type="character" w:customStyle="1" w:styleId="229">
    <w:name w:val="p18-hei"/>
    <w:qFormat/>
    <w:uiPriority w:val="0"/>
  </w:style>
  <w:style w:type="character" w:customStyle="1" w:styleId="230">
    <w:name w:val="表格内容1 Char"/>
    <w:link w:val="231"/>
    <w:qFormat/>
    <w:uiPriority w:val="0"/>
    <w:rPr>
      <w:kern w:val="24"/>
      <w:sz w:val="21"/>
      <w:szCs w:val="21"/>
    </w:rPr>
  </w:style>
  <w:style w:type="paragraph" w:customStyle="1" w:styleId="231">
    <w:name w:val="表格内容1"/>
    <w:basedOn w:val="1"/>
    <w:link w:val="230"/>
    <w:qFormat/>
    <w:uiPriority w:val="0"/>
    <w:pPr>
      <w:widowControl/>
      <w:jc w:val="center"/>
    </w:pPr>
    <w:rPr>
      <w:kern w:val="24"/>
      <w:szCs w:val="21"/>
    </w:rPr>
  </w:style>
  <w:style w:type="character" w:customStyle="1" w:styleId="232">
    <w:name w:val="正文文本 + 10 pt5"/>
    <w:qFormat/>
    <w:uiPriority w:val="0"/>
    <w:rPr>
      <w:rFonts w:ascii="宋体" w:eastAsia="宋体" w:cs="宋体"/>
      <w:b/>
      <w:bCs/>
      <w:sz w:val="20"/>
      <w:szCs w:val="20"/>
    </w:rPr>
  </w:style>
  <w:style w:type="character" w:customStyle="1" w:styleId="233">
    <w:name w:val="edit_font_color"/>
    <w:qFormat/>
    <w:uiPriority w:val="0"/>
  </w:style>
  <w:style w:type="character" w:customStyle="1" w:styleId="234">
    <w:name w:val="keyword1"/>
    <w:qFormat/>
    <w:uiPriority w:val="0"/>
  </w:style>
  <w:style w:type="character" w:customStyle="1" w:styleId="235">
    <w:name w:val="报告 Char"/>
    <w:link w:val="236"/>
    <w:qFormat/>
    <w:uiPriority w:val="0"/>
    <w:rPr>
      <w:rFonts w:ascii="TimesNewRoman" w:hAnsi="TimesNewRoman"/>
      <w:sz w:val="24"/>
    </w:rPr>
  </w:style>
  <w:style w:type="paragraph" w:customStyle="1" w:styleId="236">
    <w:name w:val="报告"/>
    <w:basedOn w:val="1"/>
    <w:link w:val="235"/>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237">
    <w:name w:val="px141"/>
    <w:qFormat/>
    <w:uiPriority w:val="0"/>
    <w:rPr>
      <w:rFonts w:hint="default" w:ascii="ˎ̥" w:hAnsi="ˎ̥"/>
      <w:sz w:val="21"/>
      <w:szCs w:val="21"/>
    </w:rPr>
  </w:style>
  <w:style w:type="character" w:customStyle="1" w:styleId="238">
    <w:name w:val="注释标题 字符1"/>
    <w:link w:val="14"/>
    <w:qFormat/>
    <w:uiPriority w:val="0"/>
    <w:rPr>
      <w:rFonts w:ascii="宋体"/>
      <w:kern w:val="2"/>
      <w:sz w:val="21"/>
    </w:rPr>
  </w:style>
  <w:style w:type="character" w:customStyle="1" w:styleId="239">
    <w:name w:val="标题1"/>
    <w:qFormat/>
    <w:uiPriority w:val="0"/>
  </w:style>
  <w:style w:type="character" w:customStyle="1" w:styleId="240">
    <w:name w:val="spelle"/>
    <w:qFormat/>
    <w:uiPriority w:val="0"/>
  </w:style>
  <w:style w:type="character" w:customStyle="1" w:styleId="241">
    <w:name w:val="css"/>
    <w:qFormat/>
    <w:uiPriority w:val="0"/>
  </w:style>
  <w:style w:type="character" w:customStyle="1" w:styleId="242">
    <w:name w:val="正文B Char"/>
    <w:link w:val="243"/>
    <w:qFormat/>
    <w:locked/>
    <w:uiPriority w:val="0"/>
    <w:rPr>
      <w:rFonts w:ascii="楷体_GB2312" w:eastAsia="楷体_GB2312"/>
      <w:kern w:val="2"/>
      <w:sz w:val="28"/>
    </w:rPr>
  </w:style>
  <w:style w:type="paragraph" w:customStyle="1" w:styleId="243">
    <w:name w:val="正文B"/>
    <w:basedOn w:val="1"/>
    <w:link w:val="242"/>
    <w:qFormat/>
    <w:uiPriority w:val="0"/>
    <w:pPr>
      <w:spacing w:line="500" w:lineRule="exact"/>
    </w:pPr>
    <w:rPr>
      <w:rFonts w:ascii="楷体_GB2312" w:eastAsia="楷体_GB2312"/>
      <w:sz w:val="28"/>
      <w:szCs w:val="20"/>
    </w:rPr>
  </w:style>
  <w:style w:type="character" w:customStyle="1" w:styleId="244">
    <w:name w:val="标题 3 Char Char2"/>
    <w:qFormat/>
    <w:uiPriority w:val="0"/>
    <w:rPr>
      <w:rFonts w:eastAsia="宋体"/>
      <w:b/>
      <w:bCs/>
      <w:kern w:val="2"/>
      <w:sz w:val="32"/>
      <w:szCs w:val="32"/>
      <w:lang w:val="en-US" w:eastAsia="zh-CN" w:bidi="ar-SA"/>
    </w:rPr>
  </w:style>
  <w:style w:type="character" w:customStyle="1" w:styleId="245">
    <w:name w:val="Char Char4"/>
    <w:qFormat/>
    <w:uiPriority w:val="0"/>
    <w:rPr>
      <w:rFonts w:ascii="宋体" w:hAnsi="Courier New" w:eastAsia="宋体"/>
      <w:kern w:val="2"/>
      <w:sz w:val="21"/>
      <w:lang w:val="en-US" w:eastAsia="zh-CN" w:bidi="ar-SA"/>
    </w:rPr>
  </w:style>
  <w:style w:type="character" w:customStyle="1" w:styleId="246">
    <w:name w:val="正文文本 + 6.5 pt3"/>
    <w:qFormat/>
    <w:uiPriority w:val="0"/>
    <w:rPr>
      <w:rFonts w:ascii="宋体" w:hAnsi="宋体" w:eastAsia="宋体" w:cs="宋体"/>
      <w:b/>
      <w:bCs/>
      <w:sz w:val="13"/>
      <w:szCs w:val="13"/>
      <w:lang w:val="en-US" w:eastAsia="zh-CN"/>
    </w:rPr>
  </w:style>
  <w:style w:type="character" w:customStyle="1" w:styleId="247">
    <w:name w:val="t_tag"/>
    <w:qFormat/>
    <w:uiPriority w:val="0"/>
  </w:style>
  <w:style w:type="character" w:customStyle="1" w:styleId="248">
    <w:name w:val="style31"/>
    <w:qFormat/>
    <w:uiPriority w:val="0"/>
    <w:rPr>
      <w:color w:val="000000"/>
      <w:sz w:val="21"/>
      <w:szCs w:val="21"/>
    </w:rPr>
  </w:style>
  <w:style w:type="character" w:customStyle="1" w:styleId="249">
    <w:name w:val="链接"/>
    <w:qFormat/>
    <w:uiPriority w:val="0"/>
    <w:rPr>
      <w:color w:val="0000FF"/>
      <w:u w:val="single" w:color="0000FF"/>
    </w:rPr>
  </w:style>
  <w:style w:type="character" w:customStyle="1" w:styleId="250">
    <w:name w:val="Char Char9"/>
    <w:qFormat/>
    <w:uiPriority w:val="0"/>
    <w:rPr>
      <w:rFonts w:ascii="宋体" w:hAnsi="宋体" w:eastAsia="宋体"/>
      <w:kern w:val="2"/>
      <w:sz w:val="24"/>
      <w:szCs w:val="24"/>
      <w:lang w:val="en-US" w:eastAsia="zh-CN" w:bidi="ar-SA"/>
    </w:rPr>
  </w:style>
  <w:style w:type="character" w:customStyle="1" w:styleId="251">
    <w:name w:val="正文文本 3 字符1"/>
    <w:link w:val="22"/>
    <w:qFormat/>
    <w:locked/>
    <w:uiPriority w:val="99"/>
    <w:rPr>
      <w:rFonts w:ascii="宋体" w:hAnsi="宋体"/>
      <w:kern w:val="2"/>
      <w:sz w:val="16"/>
      <w:szCs w:val="16"/>
    </w:rPr>
  </w:style>
  <w:style w:type="character" w:customStyle="1" w:styleId="252">
    <w:name w:val="表1 Char"/>
    <w:link w:val="253"/>
    <w:qFormat/>
    <w:uiPriority w:val="0"/>
    <w:rPr>
      <w:rFonts w:eastAsia="Times New Roman"/>
      <w:sz w:val="21"/>
    </w:rPr>
  </w:style>
  <w:style w:type="paragraph" w:customStyle="1" w:styleId="253">
    <w:name w:val="表1"/>
    <w:next w:val="1"/>
    <w:link w:val="252"/>
    <w:qFormat/>
    <w:uiPriority w:val="0"/>
    <w:pPr>
      <w:adjustRightInd w:val="0"/>
      <w:snapToGrid w:val="0"/>
      <w:jc w:val="center"/>
    </w:pPr>
    <w:rPr>
      <w:rFonts w:ascii="Times New Roman" w:hAnsi="Times New Roman" w:eastAsia="Times New Roman" w:cs="Times New Roman"/>
      <w:sz w:val="21"/>
      <w:lang w:val="en-US" w:eastAsia="zh-CN" w:bidi="ar-SA"/>
    </w:rPr>
  </w:style>
  <w:style w:type="character" w:customStyle="1" w:styleId="254">
    <w:name w:val="标题 2 Char3"/>
    <w:qFormat/>
    <w:uiPriority w:val="0"/>
    <w:rPr>
      <w:rFonts w:eastAsia="宋体"/>
      <w:b/>
      <w:bCs/>
      <w:kern w:val="2"/>
      <w:sz w:val="21"/>
      <w:szCs w:val="24"/>
      <w:lang w:val="en-US" w:eastAsia="zh-CN" w:bidi="ar-SA"/>
    </w:rPr>
  </w:style>
  <w:style w:type="character" w:customStyle="1" w:styleId="255">
    <w:name w:val="grame"/>
    <w:qFormat/>
    <w:uiPriority w:val="0"/>
  </w:style>
  <w:style w:type="character" w:customStyle="1" w:styleId="256">
    <w:name w:val="纯文本1"/>
    <w:qFormat/>
    <w:uiPriority w:val="0"/>
    <w:rPr>
      <w:rFonts w:ascii="宋体" w:hAnsi="Courier New" w:eastAsia="宋体" w:cs="Courier New"/>
      <w:kern w:val="2"/>
      <w:sz w:val="21"/>
      <w:szCs w:val="21"/>
      <w:lang w:val="en-US" w:eastAsia="zh-CN" w:bidi="ar-SA"/>
    </w:rPr>
  </w:style>
  <w:style w:type="character" w:customStyle="1" w:styleId="257">
    <w:name w:val="ddd"/>
    <w:qFormat/>
    <w:uiPriority w:val="0"/>
  </w:style>
  <w:style w:type="character" w:customStyle="1" w:styleId="258">
    <w:name w:val="表格 Char1"/>
    <w:qFormat/>
    <w:uiPriority w:val="0"/>
    <w:rPr>
      <w:rFonts w:ascii="Times New Roman" w:hAnsi="Times New Roman" w:eastAsia="仿宋_GB2312"/>
      <w:color w:val="auto"/>
      <w:kern w:val="2"/>
      <w:sz w:val="21"/>
      <w:szCs w:val="24"/>
    </w:rPr>
  </w:style>
  <w:style w:type="character" w:customStyle="1" w:styleId="259">
    <w:name w:val="表 Char1"/>
    <w:qFormat/>
    <w:uiPriority w:val="0"/>
    <w:rPr>
      <w:rFonts w:eastAsia="仿宋_GB2312" w:cs="仿宋_GB2312"/>
      <w:kern w:val="2"/>
      <w:sz w:val="21"/>
      <w:szCs w:val="21"/>
      <w:lang w:val="en-US" w:eastAsia="zh-CN" w:bidi="ar-SA"/>
    </w:rPr>
  </w:style>
  <w:style w:type="character" w:customStyle="1" w:styleId="260">
    <w:name w:val="正文1 Char"/>
    <w:link w:val="261"/>
    <w:qFormat/>
    <w:uiPriority w:val="0"/>
    <w:rPr>
      <w:rFonts w:ascii="宋体" w:hAnsi="宋体"/>
      <w:color w:val="000000"/>
      <w:kern w:val="2"/>
      <w:sz w:val="24"/>
    </w:rPr>
  </w:style>
  <w:style w:type="paragraph" w:customStyle="1" w:styleId="261">
    <w:name w:val="正文1"/>
    <w:basedOn w:val="1"/>
    <w:link w:val="260"/>
    <w:qFormat/>
    <w:uiPriority w:val="0"/>
    <w:pPr>
      <w:snapToGrid w:val="0"/>
      <w:spacing w:beforeLines="20" w:afterLines="20" w:line="312" w:lineRule="auto"/>
      <w:ind w:firstLine="475" w:firstLineChars="198"/>
    </w:pPr>
    <w:rPr>
      <w:rFonts w:ascii="宋体" w:hAnsi="宋体"/>
      <w:color w:val="000000"/>
      <w:sz w:val="24"/>
      <w:szCs w:val="20"/>
    </w:rPr>
  </w:style>
  <w:style w:type="character" w:customStyle="1" w:styleId="262">
    <w:name w:val="正文调整 Char"/>
    <w:link w:val="263"/>
    <w:qFormat/>
    <w:uiPriority w:val="0"/>
    <w:rPr>
      <w:kern w:val="2"/>
      <w:sz w:val="24"/>
      <w:szCs w:val="24"/>
    </w:rPr>
  </w:style>
  <w:style w:type="paragraph" w:customStyle="1" w:styleId="263">
    <w:name w:val="正文调整"/>
    <w:basedOn w:val="1"/>
    <w:link w:val="262"/>
    <w:qFormat/>
    <w:uiPriority w:val="0"/>
    <w:pPr>
      <w:spacing w:before="60" w:line="460" w:lineRule="atLeast"/>
      <w:ind w:firstLine="200" w:firstLineChars="200"/>
    </w:pPr>
    <w:rPr>
      <w:sz w:val="24"/>
    </w:rPr>
  </w:style>
  <w:style w:type="character" w:customStyle="1" w:styleId="264">
    <w:name w:val="表格标题 Char Char"/>
    <w:link w:val="265"/>
    <w:qFormat/>
    <w:uiPriority w:val="0"/>
    <w:rPr>
      <w:rFonts w:eastAsia="方正魏碑简体"/>
      <w:kern w:val="2"/>
      <w:sz w:val="24"/>
    </w:rPr>
  </w:style>
  <w:style w:type="paragraph" w:customStyle="1" w:styleId="265">
    <w:name w:val="表格标题"/>
    <w:basedOn w:val="1"/>
    <w:link w:val="264"/>
    <w:qFormat/>
    <w:uiPriority w:val="0"/>
    <w:pPr>
      <w:spacing w:before="120"/>
      <w:jc w:val="center"/>
    </w:pPr>
    <w:rPr>
      <w:rFonts w:eastAsia="方正魏碑简体"/>
      <w:sz w:val="24"/>
      <w:szCs w:val="20"/>
    </w:rPr>
  </w:style>
  <w:style w:type="paragraph" w:customStyle="1" w:styleId="266">
    <w:name w:val="居中正文"/>
    <w:basedOn w:val="56"/>
    <w:qFormat/>
    <w:uiPriority w:val="0"/>
    <w:pPr>
      <w:adjustRightInd w:val="0"/>
      <w:spacing w:before="120" w:after="0" w:line="360" w:lineRule="auto"/>
      <w:ind w:firstLine="0" w:firstLineChars="0"/>
      <w:jc w:val="center"/>
      <w:textAlignment w:val="baseline"/>
    </w:pPr>
    <w:rPr>
      <w:rFonts w:ascii="宋体"/>
      <w:kern w:val="28"/>
      <w:sz w:val="24"/>
      <w:szCs w:val="24"/>
      <w:lang w:val="zh-CN"/>
    </w:rPr>
  </w:style>
  <w:style w:type="character" w:customStyle="1" w:styleId="267">
    <w:name w:val="注释标题 Char1"/>
    <w:qFormat/>
    <w:uiPriority w:val="99"/>
    <w:rPr>
      <w:kern w:val="2"/>
      <w:sz w:val="21"/>
      <w:szCs w:val="24"/>
    </w:rPr>
  </w:style>
  <w:style w:type="paragraph" w:customStyle="1" w:styleId="268">
    <w:name w:val="正文首行缩进 2 + Times New Roman"/>
    <w:basedOn w:val="1"/>
    <w:qFormat/>
    <w:uiPriority w:val="0"/>
    <w:pPr>
      <w:tabs>
        <w:tab w:val="left" w:pos="0"/>
        <w:tab w:val="left" w:pos="1080"/>
      </w:tabs>
      <w:autoSpaceDE w:val="0"/>
      <w:autoSpaceDN w:val="0"/>
      <w:spacing w:line="540" w:lineRule="exact"/>
      <w:ind w:firstLine="480" w:firstLineChars="200"/>
    </w:pPr>
    <w:rPr>
      <w:sz w:val="24"/>
    </w:rPr>
  </w:style>
  <w:style w:type="paragraph" w:customStyle="1" w:styleId="269">
    <w:name w:val="CM11"/>
    <w:basedOn w:val="210"/>
    <w:next w:val="210"/>
    <w:qFormat/>
    <w:uiPriority w:val="0"/>
    <w:pPr>
      <w:spacing w:line="460" w:lineRule="atLeast"/>
    </w:pPr>
    <w:rPr>
      <w:rFonts w:ascii="黑体" w:eastAsia="黑体" w:cs="Times New Roman"/>
      <w:color w:val="auto"/>
      <w:sz w:val="20"/>
    </w:rPr>
  </w:style>
  <w:style w:type="character" w:customStyle="1" w:styleId="270">
    <w:name w:val="HTML 预设格式 字符1"/>
    <w:link w:val="52"/>
    <w:qFormat/>
    <w:uiPriority w:val="99"/>
    <w:rPr>
      <w:rFonts w:ascii="Arial" w:hAnsi="Arial"/>
      <w:sz w:val="23"/>
      <w:szCs w:val="23"/>
      <w:lang w:val="zh-CN" w:eastAsia="zh-CN"/>
    </w:rPr>
  </w:style>
  <w:style w:type="character" w:customStyle="1" w:styleId="271">
    <w:name w:val="正文文本 3 Char1"/>
    <w:qFormat/>
    <w:uiPriority w:val="99"/>
    <w:rPr>
      <w:kern w:val="2"/>
      <w:sz w:val="16"/>
      <w:szCs w:val="16"/>
    </w:rPr>
  </w:style>
  <w:style w:type="paragraph" w:customStyle="1" w:styleId="272">
    <w:name w:val="IDC A-Head (2nd Line)"/>
    <w:basedOn w:val="1"/>
    <w:next w:val="1"/>
    <w:qFormat/>
    <w:uiPriority w:val="0"/>
    <w:pPr>
      <w:widowControl/>
      <w:jc w:val="center"/>
    </w:pPr>
    <w:rPr>
      <w:caps/>
      <w:kern w:val="0"/>
      <w:sz w:val="24"/>
      <w:szCs w:val="20"/>
    </w:rPr>
  </w:style>
  <w:style w:type="paragraph" w:customStyle="1" w:styleId="273">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74">
    <w:name w:val="默认段落字体 Para Char Char Char Char Char Char Char Char Char Char Char Char Char"/>
    <w:basedOn w:val="1"/>
    <w:qFormat/>
    <w:uiPriority w:val="0"/>
    <w:rPr>
      <w:sz w:val="24"/>
    </w:rPr>
  </w:style>
  <w:style w:type="paragraph" w:customStyle="1" w:styleId="275">
    <w:name w:val="1 Char Char Char Char Char Char Char Char Char Char Char Char Char Char Char Char"/>
    <w:basedOn w:val="1"/>
    <w:qFormat/>
    <w:uiPriority w:val="0"/>
  </w:style>
  <w:style w:type="paragraph" w:customStyle="1" w:styleId="276">
    <w:name w:val="css1"/>
    <w:basedOn w:val="1"/>
    <w:qFormat/>
    <w:uiPriority w:val="0"/>
    <w:pPr>
      <w:widowControl/>
      <w:spacing w:before="100" w:beforeAutospacing="1" w:after="100" w:afterAutospacing="1"/>
      <w:jc w:val="left"/>
    </w:pPr>
    <w:rPr>
      <w:rFonts w:ascii="宋体" w:hAnsi="宋体" w:cs="宋体"/>
      <w:kern w:val="0"/>
      <w:sz w:val="24"/>
    </w:rPr>
  </w:style>
  <w:style w:type="paragraph" w:customStyle="1" w:styleId="277">
    <w:name w:val="表2"/>
    <w:basedOn w:val="5"/>
    <w:qFormat/>
    <w:uiPriority w:val="0"/>
    <w:pPr>
      <w:snapToGrid w:val="0"/>
      <w:ind w:firstLine="0"/>
      <w:jc w:val="center"/>
      <w:textAlignment w:val="baseline"/>
      <w:outlineLvl w:val="7"/>
    </w:pPr>
    <w:rPr>
      <w:rFonts w:eastAsia="仿宋_GB2312"/>
      <w:snapToGrid w:val="0"/>
      <w:color w:val="000000"/>
      <w:sz w:val="21"/>
      <w:szCs w:val="21"/>
    </w:rPr>
  </w:style>
  <w:style w:type="paragraph" w:customStyle="1" w:styleId="278">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279">
    <w:name w:val="码头表"/>
    <w:basedOn w:val="1"/>
    <w:qFormat/>
    <w:uiPriority w:val="0"/>
    <w:pPr>
      <w:jc w:val="center"/>
    </w:pPr>
    <w:rPr>
      <w:rFonts w:ascii="宋体" w:hAnsi="宋体"/>
      <w:color w:val="FF0000"/>
      <w:sz w:val="24"/>
    </w:rPr>
  </w:style>
  <w:style w:type="paragraph" w:customStyle="1" w:styleId="280">
    <w:name w:val="表内式样"/>
    <w:qFormat/>
    <w:uiPriority w:val="0"/>
    <w:pPr>
      <w:widowControl w:val="0"/>
      <w:adjustRightInd w:val="0"/>
      <w:jc w:val="center"/>
      <w:textAlignment w:val="baseline"/>
    </w:pPr>
    <w:rPr>
      <w:rFonts w:ascii="宋体" w:hAnsi="宋体" w:eastAsia="宋体" w:cs="Times New Roman"/>
      <w:kern w:val="2"/>
      <w:sz w:val="21"/>
      <w:lang w:val="en-US" w:eastAsia="zh-CN" w:bidi="ar-SA"/>
    </w:rPr>
  </w:style>
  <w:style w:type="paragraph" w:customStyle="1" w:styleId="281">
    <w:name w:val="Char1"/>
    <w:basedOn w:val="1"/>
    <w:qFormat/>
    <w:uiPriority w:val="0"/>
    <w:rPr>
      <w:sz w:val="24"/>
    </w:rPr>
  </w:style>
  <w:style w:type="paragraph" w:customStyle="1" w:styleId="282">
    <w:name w:val="正文2"/>
    <w:basedOn w:val="1"/>
    <w:qFormat/>
    <w:uiPriority w:val="0"/>
    <w:pPr>
      <w:spacing w:line="500" w:lineRule="exact"/>
      <w:ind w:firstLine="560" w:firstLineChars="200"/>
    </w:pPr>
    <w:rPr>
      <w:rFonts w:ascii="楷体_GB2312" w:eastAsia="楷体_GB2312" w:cs="宋体"/>
      <w:sz w:val="28"/>
      <w:szCs w:val="20"/>
    </w:rPr>
  </w:style>
  <w:style w:type="paragraph" w:customStyle="1" w:styleId="283">
    <w:name w:val="xl37"/>
    <w:basedOn w:val="1"/>
    <w:qFormat/>
    <w:uiPriority w:val="0"/>
    <w:pPr>
      <w:widowControl/>
      <w:pBdr>
        <w:left w:val="single" w:color="auto" w:sz="8" w:space="0"/>
        <w:bottom w:val="single" w:color="auto" w:sz="8"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84">
    <w:name w:val="样式 标题 3ReHead 3 WSAh3标题 3 Char标题 32标题 311Re11Head 3 WSA1..."/>
    <w:basedOn w:val="4"/>
    <w:qFormat/>
    <w:uiPriority w:val="0"/>
    <w:pPr>
      <w:keepNext w:val="0"/>
      <w:keepLines w:val="0"/>
      <w:widowControl/>
      <w:tabs>
        <w:tab w:val="clear" w:pos="567"/>
      </w:tabs>
      <w:spacing w:before="260" w:beforeLines="50" w:after="0"/>
      <w:ind w:left="0" w:firstLine="0"/>
      <w:jc w:val="left"/>
    </w:pPr>
    <w:rPr>
      <w:rFonts w:ascii="宋体" w:hAnsi="宋体" w:eastAsia="宋体" w:cs="宋体"/>
      <w:bCs/>
      <w:color w:val="000000"/>
      <w:kern w:val="0"/>
      <w:sz w:val="24"/>
    </w:rPr>
  </w:style>
  <w:style w:type="paragraph" w:customStyle="1" w:styleId="285">
    <w:name w:val="1 Char Char Char Char Char Char Char Char Char Char"/>
    <w:basedOn w:val="1"/>
    <w:qFormat/>
    <w:uiPriority w:val="0"/>
  </w:style>
  <w:style w:type="paragraph" w:customStyle="1" w:styleId="286">
    <w:name w:val="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87">
    <w:name w:val="xl26"/>
    <w:basedOn w:val="1"/>
    <w:qFormat/>
    <w:uiPriority w:val="99"/>
    <w:pPr>
      <w:widowControl/>
      <w:pBdr>
        <w:left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288">
    <w:name w:val="正文两端对齐"/>
    <w:basedOn w:val="1"/>
    <w:qFormat/>
    <w:uiPriority w:val="0"/>
    <w:pPr>
      <w:spacing w:line="480" w:lineRule="exact"/>
    </w:pPr>
    <w:rPr>
      <w:rFonts w:ascii="宋体"/>
      <w:sz w:val="24"/>
    </w:rPr>
  </w:style>
  <w:style w:type="paragraph" w:customStyle="1" w:styleId="289">
    <w:name w:val="Char2"/>
    <w:basedOn w:val="1"/>
    <w:qFormat/>
    <w:uiPriority w:val="0"/>
    <w:pPr>
      <w:ind w:firstLine="200" w:firstLineChars="200"/>
    </w:pPr>
    <w:rPr>
      <w:rFonts w:ascii="宋体" w:hAnsi="宋体" w:cs="宋体"/>
    </w:rPr>
  </w:style>
  <w:style w:type="paragraph" w:customStyle="1" w:styleId="290">
    <w:name w:val="1 Char Char Char Char Char Char Char Char Char Char Char Char Char"/>
    <w:basedOn w:val="1"/>
    <w:qFormat/>
    <w:uiPriority w:val="0"/>
  </w:style>
  <w:style w:type="paragraph" w:customStyle="1" w:styleId="291">
    <w:name w:val="表格1"/>
    <w:basedOn w:val="1"/>
    <w:qFormat/>
    <w:uiPriority w:val="0"/>
    <w:pPr>
      <w:spacing w:before="120" w:line="360" w:lineRule="auto"/>
    </w:pPr>
    <w:rPr>
      <w:sz w:val="24"/>
      <w:szCs w:val="20"/>
    </w:rPr>
  </w:style>
  <w:style w:type="paragraph" w:customStyle="1" w:styleId="292">
    <w:name w:val="中文报告书样式"/>
    <w:basedOn w:val="1"/>
    <w:qFormat/>
    <w:uiPriority w:val="0"/>
    <w:pPr>
      <w:adjustRightInd w:val="0"/>
      <w:spacing w:line="480" w:lineRule="atLeast"/>
      <w:ind w:firstLine="482"/>
      <w:textAlignment w:val="baseline"/>
    </w:pPr>
    <w:rPr>
      <w:rFonts w:ascii="Lucida Console" w:hAnsi="Lucida Console" w:eastAsia="华文中宋" w:cs="Lucida Console"/>
      <w:kern w:val="24"/>
      <w:sz w:val="24"/>
      <w:szCs w:val="20"/>
    </w:rPr>
  </w:style>
  <w:style w:type="paragraph" w:customStyle="1" w:styleId="293">
    <w:name w:val="大表内容"/>
    <w:qFormat/>
    <w:uiPriority w:val="0"/>
    <w:pPr>
      <w:snapToGrid w:val="0"/>
      <w:jc w:val="center"/>
    </w:pPr>
    <w:rPr>
      <w:rFonts w:ascii="Times New Roman" w:hAnsi="Times New Roman" w:eastAsia="宋体" w:cs="Times New Roman"/>
      <w:sz w:val="21"/>
      <w:szCs w:val="21"/>
      <w:lang w:val="en-US" w:eastAsia="zh-CN" w:bidi="ar-SA"/>
    </w:rPr>
  </w:style>
  <w:style w:type="paragraph" w:customStyle="1" w:styleId="294">
    <w:name w:val="简单回函地址"/>
    <w:basedOn w:val="1"/>
    <w:qFormat/>
    <w:uiPriority w:val="0"/>
    <w:rPr>
      <w:szCs w:val="20"/>
    </w:rPr>
  </w:style>
  <w:style w:type="paragraph" w:customStyle="1" w:styleId="295">
    <w:name w:val="Char Char2"/>
    <w:basedOn w:val="1"/>
    <w:qFormat/>
    <w:uiPriority w:val="0"/>
    <w:pPr>
      <w:adjustRightInd w:val="0"/>
      <w:spacing w:line="360" w:lineRule="auto"/>
    </w:pPr>
    <w:rPr>
      <w:kern w:val="0"/>
      <w:sz w:val="24"/>
    </w:rPr>
  </w:style>
  <w:style w:type="paragraph" w:customStyle="1" w:styleId="296">
    <w:name w:val="二级条标题"/>
    <w:basedOn w:val="297"/>
    <w:next w:val="1"/>
    <w:qFormat/>
    <w:uiPriority w:val="0"/>
    <w:pPr>
      <w:tabs>
        <w:tab w:val="left" w:pos="360"/>
        <w:tab w:val="left" w:pos="903"/>
      </w:tabs>
      <w:outlineLvl w:val="3"/>
    </w:pPr>
  </w:style>
  <w:style w:type="paragraph" w:customStyle="1" w:styleId="297">
    <w:name w:val="一级条标题"/>
    <w:basedOn w:val="298"/>
    <w:next w:val="1"/>
    <w:qFormat/>
    <w:uiPriority w:val="0"/>
    <w:pPr>
      <w:tabs>
        <w:tab w:val="left" w:pos="360"/>
        <w:tab w:val="left" w:pos="903"/>
      </w:tabs>
      <w:spacing w:before="0" w:after="0"/>
      <w:ind w:left="0" w:firstLine="0"/>
      <w:outlineLvl w:val="2"/>
    </w:pPr>
  </w:style>
  <w:style w:type="paragraph" w:customStyle="1" w:styleId="298">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299">
    <w:name w:val="正文缩进1"/>
    <w:basedOn w:val="1"/>
    <w:qFormat/>
    <w:uiPriority w:val="0"/>
    <w:pPr>
      <w:spacing w:beforeLines="50" w:afterLines="50" w:line="360" w:lineRule="auto"/>
      <w:ind w:firstLine="482" w:firstLineChars="200"/>
      <w:jc w:val="center"/>
    </w:pPr>
    <w:rPr>
      <w:b/>
      <w:sz w:val="24"/>
      <w:szCs w:val="20"/>
    </w:rPr>
  </w:style>
  <w:style w:type="paragraph" w:customStyle="1" w:styleId="300">
    <w:name w:val="xl27"/>
    <w:basedOn w:val="1"/>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 w:val="24"/>
    </w:rPr>
  </w:style>
  <w:style w:type="paragraph" w:customStyle="1" w:styleId="301">
    <w:name w:val="标准"/>
    <w:basedOn w:val="1"/>
    <w:qFormat/>
    <w:uiPriority w:val="0"/>
    <w:pPr>
      <w:adjustRightInd w:val="0"/>
      <w:spacing w:line="360" w:lineRule="auto"/>
      <w:textAlignment w:val="baseline"/>
    </w:pPr>
    <w:rPr>
      <w:rFonts w:ascii="楷体_GB2312" w:eastAsia="楷体_GB2312"/>
      <w:kern w:val="0"/>
      <w:sz w:val="28"/>
      <w:szCs w:val="20"/>
    </w:rPr>
  </w:style>
  <w:style w:type="paragraph" w:customStyle="1" w:styleId="302">
    <w:name w:val="表格001"/>
    <w:basedOn w:val="1"/>
    <w:qFormat/>
    <w:uiPriority w:val="0"/>
    <w:pPr>
      <w:jc w:val="center"/>
    </w:pPr>
    <w:rPr>
      <w:rFonts w:ascii="宋体" w:hAnsi="宋体"/>
      <w:sz w:val="24"/>
      <w:szCs w:val="20"/>
    </w:rPr>
  </w:style>
  <w:style w:type="paragraph" w:customStyle="1" w:styleId="303">
    <w:name w:val="三级标题"/>
    <w:basedOn w:val="1"/>
    <w:next w:val="57"/>
    <w:qFormat/>
    <w:uiPriority w:val="0"/>
    <w:pPr>
      <w:spacing w:line="360" w:lineRule="exact"/>
      <w:jc w:val="center"/>
    </w:pPr>
    <w:rPr>
      <w:sz w:val="24"/>
    </w:rPr>
  </w:style>
  <w:style w:type="paragraph" w:customStyle="1" w:styleId="304">
    <w:name w:val="表格内容"/>
    <w:basedOn w:val="1"/>
    <w:link w:val="462"/>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paragraph" w:customStyle="1" w:styleId="305">
    <w:name w:val="1文章"/>
    <w:basedOn w:val="1"/>
    <w:qFormat/>
    <w:uiPriority w:val="0"/>
    <w:pPr>
      <w:snapToGrid w:val="0"/>
      <w:spacing w:line="420" w:lineRule="auto"/>
      <w:ind w:firstLine="454"/>
      <w:outlineLvl w:val="4"/>
    </w:pPr>
    <w:rPr>
      <w:spacing w:val="4"/>
      <w:sz w:val="24"/>
    </w:rPr>
  </w:style>
  <w:style w:type="paragraph" w:customStyle="1" w:styleId="306">
    <w:name w:val="本文正文"/>
    <w:basedOn w:val="1"/>
    <w:qFormat/>
    <w:uiPriority w:val="0"/>
    <w:pPr>
      <w:autoSpaceDE w:val="0"/>
      <w:autoSpaceDN w:val="0"/>
      <w:adjustRightInd w:val="0"/>
      <w:spacing w:line="300" w:lineRule="auto"/>
      <w:ind w:firstLine="560" w:firstLineChars="200"/>
      <w:textAlignment w:val="baseline"/>
    </w:pPr>
    <w:rPr>
      <w:sz w:val="28"/>
      <w:szCs w:val="20"/>
    </w:rPr>
  </w:style>
  <w:style w:type="paragraph" w:customStyle="1" w:styleId="307">
    <w:name w:val="Char Char Char"/>
    <w:basedOn w:val="1"/>
    <w:qFormat/>
    <w:uiPriority w:val="0"/>
  </w:style>
  <w:style w:type="paragraph" w:customStyle="1" w:styleId="308">
    <w:name w:val="样式"/>
    <w:basedOn w:val="1"/>
    <w:next w:val="31"/>
    <w:qFormat/>
    <w:uiPriority w:val="0"/>
    <w:rPr>
      <w:rFonts w:ascii="宋体" w:hAnsi="Courier New"/>
      <w:sz w:val="24"/>
    </w:rPr>
  </w:style>
  <w:style w:type="paragraph" w:customStyle="1" w:styleId="309">
    <w:name w:val="4级标题"/>
    <w:basedOn w:val="141"/>
    <w:qFormat/>
    <w:uiPriority w:val="0"/>
    <w:pPr>
      <w:ind w:firstLine="0" w:firstLineChars="0"/>
    </w:pPr>
    <w:rPr>
      <w:b/>
      <w:szCs w:val="24"/>
      <w:lang w:val="zh-CN"/>
    </w:rPr>
  </w:style>
  <w:style w:type="paragraph" w:customStyle="1" w:styleId="310">
    <w:name w:val="Char Char Char Char Char Char1 Char"/>
    <w:basedOn w:val="1"/>
    <w:qFormat/>
    <w:uiPriority w:val="0"/>
    <w:pPr>
      <w:spacing w:line="360" w:lineRule="auto"/>
    </w:pPr>
    <w:rPr>
      <w:sz w:val="24"/>
    </w:rPr>
  </w:style>
  <w:style w:type="paragraph" w:customStyle="1" w:styleId="311">
    <w:name w:val="样式2"/>
    <w:basedOn w:val="1"/>
    <w:link w:val="401"/>
    <w:qFormat/>
    <w:uiPriority w:val="0"/>
    <w:pPr>
      <w:spacing w:line="240" w:lineRule="exact"/>
      <w:jc w:val="left"/>
      <w:outlineLvl w:val="0"/>
    </w:pPr>
    <w:rPr>
      <w:sz w:val="24"/>
    </w:rPr>
  </w:style>
  <w:style w:type="paragraph" w:customStyle="1" w:styleId="312">
    <w:name w:val="表文"/>
    <w:basedOn w:val="136"/>
    <w:qFormat/>
    <w:uiPriority w:val="0"/>
    <w:pPr>
      <w:overflowPunct/>
      <w:autoSpaceDE/>
      <w:autoSpaceDN/>
      <w:adjustRightInd/>
      <w:spacing w:before="0" w:beforeLines="20" w:after="0" w:afterLines="20" w:line="240" w:lineRule="auto"/>
      <w:ind w:firstLine="0"/>
      <w:textAlignment w:val="auto"/>
    </w:pPr>
    <w:rPr>
      <w:rFonts w:eastAsia="宋体"/>
      <w:b/>
      <w:bCs/>
      <w:kern w:val="2"/>
      <w:sz w:val="24"/>
    </w:rPr>
  </w:style>
  <w:style w:type="paragraph" w:customStyle="1" w:styleId="313">
    <w:name w:val="报告表格"/>
    <w:basedOn w:val="1"/>
    <w:qFormat/>
    <w:uiPriority w:val="0"/>
    <w:pPr>
      <w:autoSpaceDE w:val="0"/>
      <w:autoSpaceDN w:val="0"/>
      <w:adjustRightInd w:val="0"/>
      <w:spacing w:before="40" w:after="40"/>
      <w:jc w:val="center"/>
      <w:textAlignment w:val="bottom"/>
    </w:pPr>
    <w:rPr>
      <w:kern w:val="0"/>
      <w:szCs w:val="20"/>
    </w:rPr>
  </w:style>
  <w:style w:type="paragraph" w:customStyle="1" w:styleId="314">
    <w:name w:val="xl22"/>
    <w:basedOn w:val="1"/>
    <w:qFormat/>
    <w:uiPriority w:val="0"/>
    <w:pPr>
      <w:widowControl/>
      <w:spacing w:before="100" w:after="100"/>
      <w:jc w:val="center"/>
    </w:pPr>
    <w:rPr>
      <w:kern w:val="0"/>
      <w:sz w:val="24"/>
    </w:rPr>
  </w:style>
  <w:style w:type="paragraph" w:customStyle="1" w:styleId="315">
    <w:name w:val="xl29"/>
    <w:basedOn w:val="1"/>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316">
    <w:name w:val="三级条标题"/>
    <w:basedOn w:val="296"/>
    <w:next w:val="1"/>
    <w:qFormat/>
    <w:uiPriority w:val="0"/>
    <w:pPr>
      <w:tabs>
        <w:tab w:val="clear" w:pos="360"/>
      </w:tabs>
      <w:outlineLvl w:val="4"/>
    </w:pPr>
  </w:style>
  <w:style w:type="paragraph" w:customStyle="1" w:styleId="317">
    <w:name w:val="xl28"/>
    <w:basedOn w:val="1"/>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318">
    <w:name w:val="CM2"/>
    <w:basedOn w:val="210"/>
    <w:next w:val="210"/>
    <w:qFormat/>
    <w:uiPriority w:val="0"/>
    <w:pPr>
      <w:spacing w:line="460" w:lineRule="atLeast"/>
    </w:pPr>
    <w:rPr>
      <w:rFonts w:ascii="黑体" w:eastAsia="黑体" w:cs="Times New Roman"/>
      <w:color w:val="auto"/>
      <w:sz w:val="20"/>
    </w:rPr>
  </w:style>
  <w:style w:type="paragraph" w:customStyle="1" w:styleId="319">
    <w:name w:val="表序号"/>
    <w:basedOn w:val="7"/>
    <w:qFormat/>
    <w:uiPriority w:val="0"/>
    <w:pPr>
      <w:keepLines/>
      <w:tabs>
        <w:tab w:val="clear" w:pos="1080"/>
      </w:tabs>
      <w:spacing w:line="360" w:lineRule="auto"/>
      <w:ind w:left="1134" w:hanging="1134"/>
      <w:jc w:val="center"/>
    </w:pPr>
    <w:rPr>
      <w:rFonts w:ascii="宋体" w:hAnsi="宋体"/>
      <w:sz w:val="24"/>
    </w:rPr>
  </w:style>
  <w:style w:type="paragraph" w:customStyle="1" w:styleId="320">
    <w:name w:val="2"/>
    <w:basedOn w:val="1"/>
    <w:next w:val="47"/>
    <w:qFormat/>
    <w:uiPriority w:val="0"/>
    <w:pPr>
      <w:spacing w:line="360" w:lineRule="auto"/>
      <w:ind w:firstLine="480"/>
    </w:pPr>
    <w:rPr>
      <w:sz w:val="24"/>
      <w:szCs w:val="20"/>
    </w:rPr>
  </w:style>
  <w:style w:type="paragraph" w:customStyle="1" w:styleId="321">
    <w:name w:val="标准文本 首行缩进:2 字符 行距1倍"/>
    <w:basedOn w:val="1"/>
    <w:qFormat/>
    <w:uiPriority w:val="0"/>
    <w:pPr>
      <w:adjustRightInd w:val="0"/>
      <w:snapToGrid w:val="0"/>
      <w:spacing w:line="480" w:lineRule="exact"/>
      <w:textAlignment w:val="center"/>
    </w:pPr>
    <w:rPr>
      <w:rFonts w:cs="宋体"/>
      <w:sz w:val="24"/>
      <w:szCs w:val="20"/>
    </w:rPr>
  </w:style>
  <w:style w:type="paragraph" w:customStyle="1" w:styleId="322">
    <w:name w:val="1"/>
    <w:basedOn w:val="1"/>
    <w:next w:val="5"/>
    <w:qFormat/>
    <w:uiPriority w:val="0"/>
    <w:pPr>
      <w:ind w:firstLine="420"/>
    </w:pPr>
    <w:rPr>
      <w:sz w:val="24"/>
    </w:rPr>
  </w:style>
  <w:style w:type="paragraph" w:customStyle="1" w:styleId="323">
    <w:name w:val="正文样式2"/>
    <w:basedOn w:val="1"/>
    <w:qFormat/>
    <w:uiPriority w:val="0"/>
    <w:pPr>
      <w:adjustRightInd w:val="0"/>
      <w:snapToGrid w:val="0"/>
      <w:spacing w:line="360" w:lineRule="auto"/>
      <w:ind w:firstLine="510"/>
      <w:textAlignment w:val="baseline"/>
    </w:pPr>
    <w:rPr>
      <w:rFonts w:ascii="宋体"/>
      <w:kern w:val="24"/>
      <w:sz w:val="24"/>
      <w:szCs w:val="20"/>
    </w:rPr>
  </w:style>
  <w:style w:type="paragraph" w:customStyle="1" w:styleId="324">
    <w:name w:val="y表格"/>
    <w:basedOn w:val="23"/>
    <w:qFormat/>
    <w:uiPriority w:val="0"/>
    <w:pPr>
      <w:adjustRightInd w:val="0"/>
      <w:spacing w:before="0" w:after="0" w:line="240" w:lineRule="auto"/>
      <w:ind w:right="0"/>
      <w:jc w:val="center"/>
      <w:textAlignment w:val="baseline"/>
    </w:pPr>
    <w:rPr>
      <w:rFonts w:hint="eastAsia" w:ascii="宋体" w:hAnsi="宋体"/>
      <w:sz w:val="24"/>
      <w:lang w:val="zh-CN"/>
    </w:rPr>
  </w:style>
  <w:style w:type="paragraph" w:customStyle="1" w:styleId="325">
    <w:name w:val="四级条标题"/>
    <w:basedOn w:val="316"/>
    <w:next w:val="1"/>
    <w:qFormat/>
    <w:uiPriority w:val="0"/>
    <w:pPr>
      <w:outlineLvl w:val="5"/>
    </w:pPr>
  </w:style>
  <w:style w:type="paragraph" w:customStyle="1" w:styleId="326">
    <w:name w:val="五级条标题"/>
    <w:basedOn w:val="325"/>
    <w:next w:val="1"/>
    <w:qFormat/>
    <w:uiPriority w:val="0"/>
    <w:pPr>
      <w:outlineLvl w:val="6"/>
    </w:pPr>
  </w:style>
  <w:style w:type="paragraph" w:customStyle="1" w:styleId="327">
    <w:name w:val="标题b"/>
    <w:basedOn w:val="1"/>
    <w:next w:val="1"/>
    <w:qFormat/>
    <w:uiPriority w:val="0"/>
    <w:pPr>
      <w:spacing w:line="700" w:lineRule="exact"/>
    </w:pPr>
    <w:rPr>
      <w:rFonts w:ascii="楷体_GB2312" w:hAnsi="楷体_GB2312" w:eastAsia="楷体_GB2312"/>
      <w:b/>
      <w:sz w:val="30"/>
      <w:szCs w:val="20"/>
    </w:rPr>
  </w:style>
  <w:style w:type="paragraph" w:customStyle="1" w:styleId="328">
    <w:name w:val="iw_poi_title"/>
    <w:basedOn w:val="1"/>
    <w:qFormat/>
    <w:uiPriority w:val="0"/>
    <w:pPr>
      <w:widowControl/>
      <w:jc w:val="left"/>
    </w:pPr>
    <w:rPr>
      <w:rFonts w:ascii="宋体" w:hAnsi="宋体" w:cs="宋体"/>
      <w:b/>
      <w:bCs/>
      <w:color w:val="CC5522"/>
      <w:kern w:val="0"/>
      <w:szCs w:val="21"/>
    </w:rPr>
  </w:style>
  <w:style w:type="paragraph" w:customStyle="1" w:styleId="329">
    <w:name w:val="表格 32"/>
    <w:basedOn w:val="1"/>
    <w:qFormat/>
    <w:uiPriority w:val="0"/>
    <w:pPr>
      <w:autoSpaceDE w:val="0"/>
      <w:autoSpaceDN w:val="0"/>
      <w:adjustRightInd w:val="0"/>
      <w:spacing w:line="240" w:lineRule="atLeast"/>
      <w:jc w:val="center"/>
      <w:textAlignment w:val="baseline"/>
    </w:pPr>
    <w:rPr>
      <w:kern w:val="0"/>
      <w:sz w:val="24"/>
    </w:rPr>
  </w:style>
  <w:style w:type="paragraph" w:customStyle="1" w:styleId="330">
    <w:name w:val="正文3"/>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331">
    <w:name w:val="样式 表格 32 + 首行缩进:  2 字符"/>
    <w:basedOn w:val="1"/>
    <w:qFormat/>
    <w:uiPriority w:val="0"/>
    <w:pPr>
      <w:autoSpaceDE w:val="0"/>
      <w:autoSpaceDN w:val="0"/>
      <w:adjustRightInd w:val="0"/>
      <w:spacing w:line="0" w:lineRule="atLeast"/>
      <w:jc w:val="center"/>
      <w:textAlignment w:val="baseline"/>
    </w:pPr>
    <w:rPr>
      <w:kern w:val="0"/>
      <w:szCs w:val="21"/>
    </w:rPr>
  </w:style>
  <w:style w:type="paragraph" w:customStyle="1" w:styleId="332">
    <w:name w:val="wpsplain"/>
    <w:basedOn w:val="1"/>
    <w:qFormat/>
    <w:uiPriority w:val="0"/>
    <w:pPr>
      <w:widowControl/>
      <w:spacing w:before="100" w:beforeAutospacing="1" w:after="100" w:afterAutospacing="1"/>
      <w:jc w:val="left"/>
    </w:pPr>
    <w:rPr>
      <w:rFonts w:ascii="宋体" w:hAnsi="宋体" w:cs="宋体"/>
      <w:kern w:val="0"/>
      <w:sz w:val="24"/>
    </w:rPr>
  </w:style>
  <w:style w:type="paragraph" w:customStyle="1" w:styleId="333">
    <w:name w:val="_Style 10"/>
    <w:basedOn w:val="1"/>
    <w:qFormat/>
    <w:uiPriority w:val="0"/>
    <w:rPr>
      <w:sz w:val="24"/>
    </w:rPr>
  </w:style>
  <w:style w:type="paragraph" w:customStyle="1" w:styleId="334">
    <w:name w:val="xl21"/>
    <w:basedOn w:val="1"/>
    <w:qFormat/>
    <w:uiPriority w:val="0"/>
    <w:pPr>
      <w:widowControl/>
      <w:spacing w:before="100" w:beforeAutospacing="1" w:after="100" w:afterAutospacing="1"/>
      <w:jc w:val="center"/>
    </w:pPr>
    <w:rPr>
      <w:rFonts w:ascii="宋体" w:hAnsi="宋体"/>
      <w:kern w:val="0"/>
      <w:sz w:val="24"/>
    </w:rPr>
  </w:style>
  <w:style w:type="paragraph" w:customStyle="1" w:styleId="335">
    <w:name w:val="表前文字"/>
    <w:basedOn w:val="1"/>
    <w:qFormat/>
    <w:uiPriority w:val="0"/>
    <w:pPr>
      <w:jc w:val="center"/>
    </w:pPr>
    <w:rPr>
      <w:sz w:val="24"/>
      <w:szCs w:val="21"/>
    </w:rPr>
  </w:style>
  <w:style w:type="paragraph" w:customStyle="1" w:styleId="336">
    <w:name w:val="表内5号居中"/>
    <w:qFormat/>
    <w:uiPriority w:val="0"/>
    <w:pPr>
      <w:widowControl w:val="0"/>
      <w:ind w:firstLine="1134"/>
      <w:jc w:val="center"/>
    </w:pPr>
    <w:rPr>
      <w:rFonts w:ascii="Times New Roman" w:hAnsi="Times New Roman" w:eastAsia="宋体" w:cs="Times New Roman"/>
      <w:kern w:val="2"/>
      <w:sz w:val="24"/>
      <w:szCs w:val="24"/>
      <w:lang w:val="en-US" w:eastAsia="zh-CN" w:bidi="ar-SA"/>
    </w:rPr>
  </w:style>
  <w:style w:type="paragraph" w:customStyle="1" w:styleId="337">
    <w:name w:val="样式 正文文字缩进 + 小四 首行缩进:  2 字符1"/>
    <w:basedOn w:val="24"/>
    <w:qFormat/>
    <w:uiPriority w:val="0"/>
    <w:pPr>
      <w:spacing w:afterLines="50" w:line="400" w:lineRule="exact"/>
      <w:ind w:left="0" w:leftChars="0" w:firstLine="200" w:firstLineChars="200"/>
    </w:pPr>
    <w:rPr>
      <w:rFonts w:eastAsia="华文楷体" w:cs="宋体"/>
      <w:kern w:val="2"/>
      <w:sz w:val="28"/>
    </w:rPr>
  </w:style>
  <w:style w:type="paragraph" w:customStyle="1" w:styleId="338">
    <w:name w:val="3 Char Char Char 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339">
    <w:name w:val="表格 23"/>
    <w:basedOn w:val="1"/>
    <w:qFormat/>
    <w:uiPriority w:val="0"/>
    <w:pPr>
      <w:autoSpaceDE w:val="0"/>
      <w:autoSpaceDN w:val="0"/>
      <w:adjustRightInd w:val="0"/>
      <w:jc w:val="center"/>
    </w:pPr>
    <w:rPr>
      <w:rFonts w:ascii="宋体" w:hAnsi="宋体" w:eastAsia="仿宋体"/>
      <w:kern w:val="0"/>
      <w:sz w:val="24"/>
      <w:szCs w:val="21"/>
    </w:rPr>
  </w:style>
  <w:style w:type="paragraph" w:customStyle="1" w:styleId="340">
    <w:name w:val="引言"/>
    <w:basedOn w:val="1"/>
    <w:next w:val="1"/>
    <w:qFormat/>
    <w:uiPriority w:val="0"/>
    <w:pPr>
      <w:jc w:val="center"/>
    </w:pPr>
    <w:rPr>
      <w:bCs/>
      <w:color w:val="000000"/>
      <w:szCs w:val="20"/>
    </w:rPr>
  </w:style>
  <w:style w:type="paragraph" w:customStyle="1" w:styleId="341">
    <w:name w:val="正文楷体"/>
    <w:basedOn w:val="1"/>
    <w:qFormat/>
    <w:uiPriority w:val="0"/>
    <w:rPr>
      <w:rFonts w:eastAsia="楷体_GB2312"/>
    </w:rPr>
  </w:style>
  <w:style w:type="paragraph" w:customStyle="1" w:styleId="342">
    <w:name w:val="文本正文"/>
    <w:basedOn w:val="1"/>
    <w:qFormat/>
    <w:uiPriority w:val="0"/>
    <w:pPr>
      <w:spacing w:line="480" w:lineRule="exact"/>
      <w:ind w:firstLine="560" w:firstLineChars="200"/>
    </w:pPr>
    <w:rPr>
      <w:rFonts w:ascii="仿宋_GB2312" w:hAnsi="宋体" w:eastAsia="仿宋_GB2312" w:cs="Courier New"/>
      <w:sz w:val="28"/>
      <w:szCs w:val="28"/>
    </w:rPr>
  </w:style>
  <w:style w:type="paragraph" w:customStyle="1" w:styleId="343">
    <w:name w:val="正文文本缩进 31"/>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344">
    <w:name w:val="body"/>
    <w:basedOn w:val="1"/>
    <w:qFormat/>
    <w:uiPriority w:val="0"/>
    <w:pPr>
      <w:spacing w:line="360" w:lineRule="auto"/>
    </w:pPr>
    <w:rPr>
      <w:rFonts w:ascii="宋体" w:hAnsi="宋体" w:cs="宋体"/>
      <w:sz w:val="24"/>
    </w:rPr>
  </w:style>
  <w:style w:type="paragraph" w:customStyle="1" w:styleId="345">
    <w:name w:val="小四表文左齐"/>
    <w:basedOn w:val="1"/>
    <w:qFormat/>
    <w:uiPriority w:val="0"/>
    <w:pPr>
      <w:jc w:val="center"/>
    </w:pPr>
    <w:rPr>
      <w:rFonts w:ascii="宋体" w:hAnsi="宋体"/>
      <w:color w:val="000000"/>
      <w:szCs w:val="21"/>
    </w:rPr>
  </w:style>
  <w:style w:type="paragraph" w:customStyle="1" w:styleId="346">
    <w:name w:val="表1表2"/>
    <w:basedOn w:val="1"/>
    <w:qFormat/>
    <w:uiPriority w:val="0"/>
    <w:pPr>
      <w:autoSpaceDE w:val="0"/>
      <w:autoSpaceDN w:val="0"/>
      <w:adjustRightInd w:val="0"/>
      <w:spacing w:line="360" w:lineRule="auto"/>
      <w:jc w:val="center"/>
      <w:textAlignment w:val="center"/>
    </w:pPr>
    <w:rPr>
      <w:rFonts w:ascii="宋体" w:hAnsi="宋体" w:eastAsia="仿宋体"/>
      <w:kern w:val="0"/>
      <w:sz w:val="24"/>
    </w:rPr>
  </w:style>
  <w:style w:type="paragraph" w:customStyle="1" w:styleId="347">
    <w:name w:val="新正文样式"/>
    <w:basedOn w:val="1"/>
    <w:qFormat/>
    <w:uiPriority w:val="0"/>
    <w:pPr>
      <w:tabs>
        <w:tab w:val="left" w:pos="567"/>
      </w:tabs>
      <w:spacing w:line="360" w:lineRule="auto"/>
      <w:ind w:firstLine="567"/>
    </w:pPr>
    <w:rPr>
      <w:spacing w:val="20"/>
      <w:sz w:val="24"/>
      <w:szCs w:val="20"/>
    </w:rPr>
  </w:style>
  <w:style w:type="paragraph" w:customStyle="1" w:styleId="348">
    <w:name w:val="标题11"/>
    <w:basedOn w:val="1"/>
    <w:qFormat/>
    <w:uiPriority w:val="0"/>
    <w:pPr>
      <w:spacing w:line="360" w:lineRule="auto"/>
    </w:pPr>
    <w:rPr>
      <w:b/>
      <w:bCs/>
      <w:sz w:val="28"/>
    </w:rPr>
  </w:style>
  <w:style w:type="paragraph" w:customStyle="1" w:styleId="349">
    <w:name w:val="字元 字元"/>
    <w:basedOn w:val="1"/>
    <w:qFormat/>
    <w:uiPriority w:val="0"/>
    <w:rPr>
      <w:sz w:val="24"/>
    </w:rPr>
  </w:style>
  <w:style w:type="paragraph" w:customStyle="1" w:styleId="350">
    <w:name w:val="Char Char Char Char Char Char1 Char Char Char Char Char Char Char Char Char"/>
    <w:basedOn w:val="1"/>
    <w:qFormat/>
    <w:uiPriority w:val="0"/>
    <w:rPr>
      <w:sz w:val="24"/>
    </w:rPr>
  </w:style>
  <w:style w:type="paragraph" w:customStyle="1" w:styleId="351">
    <w:name w:val="默认段落字体 Para Char Char Char1 Char Char Char Char Char Char Char Char Char Char"/>
    <w:basedOn w:val="1"/>
    <w:qFormat/>
    <w:uiPriority w:val="0"/>
    <w:rPr>
      <w:sz w:val="24"/>
    </w:rPr>
  </w:style>
  <w:style w:type="paragraph" w:customStyle="1" w:styleId="352">
    <w:name w:val="Char3"/>
    <w:basedOn w:val="1"/>
    <w:qFormat/>
    <w:uiPriority w:val="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353">
    <w:name w:val="正文 1"/>
    <w:basedOn w:val="1"/>
    <w:qFormat/>
    <w:uiPriority w:val="0"/>
    <w:pPr>
      <w:spacing w:line="480" w:lineRule="exact"/>
      <w:ind w:firstLine="567"/>
    </w:pPr>
    <w:rPr>
      <w:sz w:val="28"/>
    </w:rPr>
  </w:style>
  <w:style w:type="paragraph" w:customStyle="1" w:styleId="354">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table" w:customStyle="1" w:styleId="355">
    <w:name w:val="表格主题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6">
    <w:name w:val="网格型 1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57">
    <w:name w:val="网格型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8">
    <w:name w:val="左右无边框"/>
    <w:basedOn w:val="60"/>
    <w:qFormat/>
    <w:uiPriority w:val="0"/>
    <w:pPr>
      <w:widowControl w:val="0"/>
      <w:jc w:val="both"/>
    </w:pPr>
    <w:tblPr>
      <w:tblBorders>
        <w:top w:val="single" w:color="auto" w:sz="12" w:space="0"/>
        <w:bottom w:val="single" w:color="auto" w:sz="12" w:space="0"/>
      </w:tblBorders>
    </w:tblPr>
  </w:style>
  <w:style w:type="table" w:customStyle="1" w:styleId="359">
    <w:name w:val="网格型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0">
    <w:name w:val="无左右边框型"/>
    <w:basedOn w:val="59"/>
    <w:qFormat/>
    <w:uiPriority w:val="0"/>
    <w:pPr>
      <w:widowControl w:val="0"/>
      <w:jc w:val="both"/>
    </w:pPr>
  </w:style>
  <w:style w:type="table" w:customStyle="1" w:styleId="361">
    <w:name w:val="典雅型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362">
    <w:name w:val="左右无边表格"/>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363">
    <w:name w:val="典雅型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paragraph" w:customStyle="1" w:styleId="364">
    <w:name w:val="Char Char Char1 Char1 Char Char Char"/>
    <w:basedOn w:val="1"/>
    <w:qFormat/>
    <w:uiPriority w:val="0"/>
    <w:pPr>
      <w:spacing w:line="500" w:lineRule="exact"/>
      <w:ind w:firstLine="480" w:firstLineChars="200"/>
    </w:pPr>
    <w:rPr>
      <w:sz w:val="24"/>
      <w:szCs w:val="20"/>
    </w:rPr>
  </w:style>
  <w:style w:type="character" w:customStyle="1" w:styleId="365">
    <w:name w:val="A标准格式 Char Char"/>
    <w:link w:val="366"/>
    <w:qFormat/>
    <w:uiPriority w:val="0"/>
    <w:rPr>
      <w:kern w:val="2"/>
      <w:sz w:val="24"/>
      <w:szCs w:val="24"/>
    </w:rPr>
  </w:style>
  <w:style w:type="paragraph" w:customStyle="1" w:styleId="366">
    <w:name w:val="A标准格式"/>
    <w:basedOn w:val="1"/>
    <w:link w:val="365"/>
    <w:qFormat/>
    <w:uiPriority w:val="0"/>
    <w:pPr>
      <w:spacing w:line="440" w:lineRule="exact"/>
      <w:ind w:firstLine="480" w:firstLineChars="200"/>
    </w:pPr>
    <w:rPr>
      <w:sz w:val="24"/>
    </w:rPr>
  </w:style>
  <w:style w:type="paragraph" w:customStyle="1" w:styleId="367">
    <w:name w:val="reader-word-layer reader-word-s16-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68">
    <w:name w:val="reader-word-layer reader-word-s17-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69">
    <w:name w:val="reader-word-layer reader-word-s17-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70">
    <w:name w:val="reader-word-layer reader-word-s17-11 reader-word-s17-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71">
    <w:name w:val="reader-word-layer reader-word-s17-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2">
    <w:name w:val="reader-word-layer reader-word-s17-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73">
    <w:name w:val="reader-word-layer reader-word-s18-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74">
    <w:name w:val="reader-word-layer reader-word-s18-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5">
    <w:name w:val="reader-word-layer reader-word-s18-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76">
    <w:name w:val="reader-word-layer reader-word-s18-26"/>
    <w:basedOn w:val="1"/>
    <w:qFormat/>
    <w:uiPriority w:val="0"/>
    <w:pPr>
      <w:widowControl/>
      <w:spacing w:before="100" w:beforeAutospacing="1" w:after="100" w:afterAutospacing="1"/>
      <w:jc w:val="left"/>
    </w:pPr>
    <w:rPr>
      <w:rFonts w:ascii="宋体" w:hAnsi="宋体" w:cs="宋体"/>
      <w:kern w:val="0"/>
      <w:sz w:val="24"/>
    </w:rPr>
  </w:style>
  <w:style w:type="paragraph" w:customStyle="1" w:styleId="377">
    <w:name w:val="reader-word-layer reader-word-s19-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78">
    <w:name w:val="reader-word-layer reader-word-s19-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reader-word-layer reader-word-s19-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0">
    <w:name w:val="Normal+3"/>
    <w:basedOn w:val="210"/>
    <w:next w:val="210"/>
    <w:qFormat/>
    <w:uiPriority w:val="0"/>
    <w:rPr>
      <w:rFonts w:cs="Times New Roman"/>
      <w:color w:val="auto"/>
    </w:rPr>
  </w:style>
  <w:style w:type="character" w:customStyle="1" w:styleId="381">
    <w:name w:val="地理段落 Char"/>
    <w:link w:val="382"/>
    <w:qFormat/>
    <w:uiPriority w:val="0"/>
    <w:rPr>
      <w:rFonts w:ascii="仿宋_GB2312" w:eastAsia="仿宋_GB2312"/>
      <w:kern w:val="2"/>
      <w:sz w:val="28"/>
      <w:szCs w:val="28"/>
    </w:rPr>
  </w:style>
  <w:style w:type="paragraph" w:customStyle="1" w:styleId="382">
    <w:name w:val="地理段落"/>
    <w:basedOn w:val="1"/>
    <w:link w:val="381"/>
    <w:qFormat/>
    <w:uiPriority w:val="0"/>
    <w:pPr>
      <w:adjustRightInd w:val="0"/>
      <w:snapToGrid w:val="0"/>
      <w:spacing w:line="360" w:lineRule="auto"/>
      <w:ind w:firstLine="200" w:firstLineChars="200"/>
    </w:pPr>
    <w:rPr>
      <w:rFonts w:ascii="仿宋_GB2312" w:eastAsia="仿宋_GB2312"/>
      <w:sz w:val="28"/>
      <w:szCs w:val="28"/>
    </w:rPr>
  </w:style>
  <w:style w:type="paragraph" w:customStyle="1" w:styleId="383">
    <w:name w:val="报告正文"/>
    <w:basedOn w:val="1"/>
    <w:link w:val="384"/>
    <w:qFormat/>
    <w:uiPriority w:val="0"/>
    <w:pPr>
      <w:spacing w:line="360" w:lineRule="auto"/>
      <w:ind w:firstLine="482"/>
    </w:pPr>
    <w:rPr>
      <w:sz w:val="24"/>
      <w:szCs w:val="21"/>
    </w:rPr>
  </w:style>
  <w:style w:type="character" w:customStyle="1" w:styleId="384">
    <w:name w:val="报告正文 Char"/>
    <w:link w:val="383"/>
    <w:qFormat/>
    <w:uiPriority w:val="0"/>
    <w:rPr>
      <w:kern w:val="2"/>
      <w:sz w:val="24"/>
      <w:szCs w:val="21"/>
    </w:rPr>
  </w:style>
  <w:style w:type="character" w:customStyle="1" w:styleId="385">
    <w:name w:val="Char Char30"/>
    <w:qFormat/>
    <w:uiPriority w:val="0"/>
    <w:rPr>
      <w:rFonts w:eastAsia="宋体"/>
      <w:b/>
      <w:bCs/>
      <w:kern w:val="2"/>
      <w:sz w:val="21"/>
      <w:szCs w:val="24"/>
      <w:lang w:val="en-US" w:eastAsia="zh-CN" w:bidi="ar-SA"/>
    </w:rPr>
  </w:style>
  <w:style w:type="character" w:customStyle="1" w:styleId="386">
    <w:name w:val="Char Char17"/>
    <w:qFormat/>
    <w:locked/>
    <w:uiPriority w:val="0"/>
    <w:rPr>
      <w:rFonts w:eastAsia="宋体"/>
      <w:b/>
      <w:bCs/>
      <w:kern w:val="2"/>
      <w:sz w:val="32"/>
      <w:szCs w:val="32"/>
      <w:lang w:val="en-US" w:eastAsia="zh-CN" w:bidi="ar-SA"/>
    </w:rPr>
  </w:style>
  <w:style w:type="character" w:customStyle="1" w:styleId="387">
    <w:name w:val="Char Char6"/>
    <w:qFormat/>
    <w:locked/>
    <w:uiPriority w:val="0"/>
    <w:rPr>
      <w:rFonts w:eastAsia="宋体"/>
      <w:kern w:val="2"/>
      <w:sz w:val="21"/>
      <w:szCs w:val="24"/>
      <w:lang w:val="en-US" w:eastAsia="zh-CN" w:bidi="ar-SA"/>
    </w:rPr>
  </w:style>
  <w:style w:type="character" w:customStyle="1" w:styleId="388">
    <w:name w:val="Char Char1"/>
    <w:qFormat/>
    <w:uiPriority w:val="0"/>
    <w:rPr>
      <w:rFonts w:eastAsia="宋体"/>
      <w:kern w:val="2"/>
      <w:sz w:val="18"/>
      <w:szCs w:val="18"/>
      <w:lang w:val="en-US" w:eastAsia="zh-CN" w:bidi="ar-SA"/>
    </w:rPr>
  </w:style>
  <w:style w:type="character" w:customStyle="1" w:styleId="389">
    <w:name w:val="text06"/>
    <w:qFormat/>
    <w:uiPriority w:val="0"/>
  </w:style>
  <w:style w:type="character" w:customStyle="1" w:styleId="390">
    <w:name w:val="标题 4 Char1"/>
    <w:qFormat/>
    <w:locked/>
    <w:uiPriority w:val="0"/>
    <w:rPr>
      <w:rFonts w:ascii="Arial" w:hAnsi="Arial" w:eastAsia="黑体"/>
      <w:b/>
      <w:bCs/>
      <w:kern w:val="2"/>
      <w:sz w:val="28"/>
      <w:szCs w:val="28"/>
      <w:lang w:val="en-US" w:eastAsia="zh-CN" w:bidi="ar-SA"/>
    </w:rPr>
  </w:style>
  <w:style w:type="character" w:customStyle="1" w:styleId="391">
    <w:name w:val="表 标题 Char"/>
    <w:link w:val="392"/>
    <w:qFormat/>
    <w:uiPriority w:val="0"/>
    <w:rPr>
      <w:rFonts w:hAnsi="宋体" w:cs="宋体"/>
      <w:b/>
      <w:smallCaps/>
      <w:kern w:val="2"/>
      <w:sz w:val="24"/>
    </w:rPr>
  </w:style>
  <w:style w:type="paragraph" w:customStyle="1" w:styleId="392">
    <w:name w:val="表 标题"/>
    <w:basedOn w:val="48"/>
    <w:next w:val="1"/>
    <w:link w:val="391"/>
    <w:qFormat/>
    <w:uiPriority w:val="0"/>
    <w:pPr>
      <w:spacing w:beforeLines="50"/>
      <w:ind w:left="420" w:leftChars="0" w:firstLine="0" w:firstLineChars="0"/>
      <w:jc w:val="center"/>
    </w:pPr>
    <w:rPr>
      <w:rFonts w:hAnsi="宋体" w:cs="宋体"/>
      <w:b/>
      <w:smallCaps/>
      <w:sz w:val="24"/>
      <w:szCs w:val="20"/>
    </w:rPr>
  </w:style>
  <w:style w:type="character" w:customStyle="1" w:styleId="393">
    <w:name w:val="文本 Char"/>
    <w:link w:val="394"/>
    <w:qFormat/>
    <w:uiPriority w:val="0"/>
    <w:rPr>
      <w:rFonts w:eastAsia="Times New Roman"/>
      <w:kern w:val="2"/>
      <w:sz w:val="24"/>
      <w:szCs w:val="24"/>
    </w:rPr>
  </w:style>
  <w:style w:type="paragraph" w:customStyle="1" w:styleId="394">
    <w:name w:val="文本"/>
    <w:link w:val="393"/>
    <w:qFormat/>
    <w:uiPriority w:val="0"/>
    <w:pPr>
      <w:widowControl w:val="0"/>
      <w:spacing w:line="440" w:lineRule="exact"/>
      <w:ind w:firstLine="200" w:firstLineChars="200"/>
    </w:pPr>
    <w:rPr>
      <w:rFonts w:ascii="Times New Roman" w:hAnsi="Times New Roman" w:eastAsia="Times New Roman" w:cs="Times New Roman"/>
      <w:kern w:val="2"/>
      <w:sz w:val="24"/>
      <w:szCs w:val="24"/>
      <w:lang w:val="en-US" w:eastAsia="zh-CN" w:bidi="ar-SA"/>
    </w:rPr>
  </w:style>
  <w:style w:type="paragraph" w:customStyle="1" w:styleId="395">
    <w:name w:val="dandan6-13正文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paragraph" w:customStyle="1" w:styleId="396">
    <w:name w:val="表格1+ 五号"/>
    <w:basedOn w:val="1"/>
    <w:qFormat/>
    <w:uiPriority w:val="0"/>
    <w:pPr>
      <w:widowControl/>
      <w:spacing w:line="300" w:lineRule="exact"/>
      <w:jc w:val="center"/>
    </w:pPr>
    <w:rPr>
      <w:rFonts w:ascii="宋体" w:hAnsi="宋体" w:cs="宋体"/>
      <w:color w:val="000000"/>
      <w:spacing w:val="8"/>
      <w:kern w:val="0"/>
      <w:szCs w:val="20"/>
      <w:lang w:val="en-GB"/>
    </w:rPr>
  </w:style>
  <w:style w:type="character" w:customStyle="1" w:styleId="397">
    <w:name w:val="表格中文字 Char"/>
    <w:link w:val="398"/>
    <w:qFormat/>
    <w:uiPriority w:val="0"/>
    <w:rPr>
      <w:kern w:val="18"/>
      <w:sz w:val="21"/>
      <w:szCs w:val="21"/>
    </w:rPr>
  </w:style>
  <w:style w:type="paragraph" w:customStyle="1" w:styleId="398">
    <w:name w:val="表格中文字"/>
    <w:basedOn w:val="1"/>
    <w:link w:val="397"/>
    <w:qFormat/>
    <w:uiPriority w:val="0"/>
    <w:pPr>
      <w:adjustRightInd w:val="0"/>
      <w:snapToGrid w:val="0"/>
      <w:jc w:val="center"/>
    </w:pPr>
    <w:rPr>
      <w:kern w:val="18"/>
      <w:szCs w:val="21"/>
    </w:rPr>
  </w:style>
  <w:style w:type="character" w:customStyle="1" w:styleId="399">
    <w:name w:val="正本文字 Char"/>
    <w:link w:val="400"/>
    <w:qFormat/>
    <w:uiPriority w:val="0"/>
    <w:rPr>
      <w:kern w:val="18"/>
      <w:sz w:val="24"/>
    </w:rPr>
  </w:style>
  <w:style w:type="paragraph" w:customStyle="1" w:styleId="400">
    <w:name w:val="正本文字"/>
    <w:basedOn w:val="1"/>
    <w:link w:val="399"/>
    <w:qFormat/>
    <w:uiPriority w:val="0"/>
    <w:pPr>
      <w:adjustRightInd w:val="0"/>
      <w:snapToGrid w:val="0"/>
      <w:spacing w:line="360" w:lineRule="auto"/>
      <w:ind w:firstLine="480" w:firstLineChars="200"/>
      <w:jc w:val="left"/>
    </w:pPr>
    <w:rPr>
      <w:kern w:val="18"/>
      <w:sz w:val="24"/>
      <w:szCs w:val="20"/>
    </w:rPr>
  </w:style>
  <w:style w:type="character" w:customStyle="1" w:styleId="401">
    <w:name w:val="样式2 Char"/>
    <w:link w:val="311"/>
    <w:qFormat/>
    <w:uiPriority w:val="0"/>
    <w:rPr>
      <w:kern w:val="2"/>
      <w:sz w:val="24"/>
      <w:szCs w:val="24"/>
    </w:rPr>
  </w:style>
  <w:style w:type="paragraph" w:customStyle="1" w:styleId="402">
    <w:name w:val="Char Char1 Char Char Char Char"/>
    <w:basedOn w:val="1"/>
    <w:qFormat/>
    <w:uiPriority w:val="0"/>
    <w:pPr>
      <w:spacing w:line="360" w:lineRule="auto"/>
    </w:pPr>
    <w:rPr>
      <w:sz w:val="32"/>
    </w:rPr>
  </w:style>
  <w:style w:type="paragraph" w:customStyle="1" w:styleId="403">
    <w:name w:val="正文首行缩进＋湿地"/>
    <w:basedOn w:val="1"/>
    <w:qFormat/>
    <w:uiPriority w:val="0"/>
    <w:pPr>
      <w:spacing w:line="440" w:lineRule="exact"/>
      <w:ind w:firstLine="540" w:firstLineChars="225"/>
    </w:pPr>
    <w:rPr>
      <w:rFonts w:ascii="仿宋_GB2312" w:hAnsi="宋体" w:eastAsia="仿宋_GB2312"/>
      <w:kern w:val="0"/>
      <w:sz w:val="28"/>
      <w:szCs w:val="20"/>
    </w:rPr>
  </w:style>
  <w:style w:type="paragraph" w:customStyle="1" w:styleId="404">
    <w:name w:val="a"/>
    <w:basedOn w:val="1"/>
    <w:qFormat/>
    <w:uiPriority w:val="0"/>
    <w:pPr>
      <w:widowControl/>
      <w:spacing w:before="100" w:beforeAutospacing="1" w:after="100" w:afterAutospacing="1"/>
      <w:jc w:val="left"/>
    </w:pPr>
    <w:rPr>
      <w:rFonts w:ascii="宋体" w:hAnsi="宋体" w:cs="宋体"/>
      <w:kern w:val="0"/>
      <w:sz w:val="24"/>
    </w:rPr>
  </w:style>
  <w:style w:type="character" w:customStyle="1" w:styleId="405">
    <w:name w:val="普通(网站) Char"/>
    <w:qFormat/>
    <w:uiPriority w:val="0"/>
    <w:rPr>
      <w:rFonts w:ascii="宋体" w:hAnsi="宋体" w:cs="宋体"/>
      <w:sz w:val="24"/>
      <w:szCs w:val="24"/>
    </w:rPr>
  </w:style>
  <w:style w:type="character" w:customStyle="1" w:styleId="406">
    <w:name w:val="表格标题新 Char Char Char"/>
    <w:qFormat/>
    <w:uiPriority w:val="0"/>
    <w:rPr>
      <w:rFonts w:ascii="仿宋_GB2312" w:eastAsia="仿宋_GB2312"/>
      <w:kern w:val="2"/>
      <w:sz w:val="24"/>
      <w:szCs w:val="24"/>
      <w:lang w:val="en-US" w:eastAsia="zh-CN" w:bidi="ar-SA"/>
    </w:rPr>
  </w:style>
  <w:style w:type="character" w:customStyle="1" w:styleId="407">
    <w:name w:val="Char Char15"/>
    <w:qFormat/>
    <w:uiPriority w:val="0"/>
    <w:rPr>
      <w:rFonts w:ascii="宋体" w:hAnsi="Courier New" w:eastAsia="宋体"/>
      <w:kern w:val="2"/>
      <w:sz w:val="21"/>
      <w:lang w:val="en-US" w:eastAsia="zh-CN" w:bidi="ar-SA"/>
    </w:rPr>
  </w:style>
  <w:style w:type="character" w:customStyle="1" w:styleId="408">
    <w:name w:val="霍尼韦尔 Char Char"/>
    <w:link w:val="409"/>
    <w:qFormat/>
    <w:uiPriority w:val="0"/>
    <w:rPr>
      <w:rFonts w:cs="宋体"/>
      <w:kern w:val="2"/>
      <w:sz w:val="24"/>
    </w:rPr>
  </w:style>
  <w:style w:type="paragraph" w:customStyle="1" w:styleId="409">
    <w:name w:val="霍尼韦尔"/>
    <w:basedOn w:val="1"/>
    <w:link w:val="408"/>
    <w:qFormat/>
    <w:uiPriority w:val="0"/>
    <w:pPr>
      <w:spacing w:line="480" w:lineRule="exact"/>
      <w:ind w:firstLine="480" w:firstLineChars="200"/>
      <w:jc w:val="left"/>
    </w:pPr>
    <w:rPr>
      <w:rFonts w:cs="宋体"/>
      <w:sz w:val="24"/>
      <w:szCs w:val="20"/>
    </w:rPr>
  </w:style>
  <w:style w:type="character" w:customStyle="1" w:styleId="410">
    <w:name w:val="条标题1.1.1 Char2"/>
    <w:qFormat/>
    <w:uiPriority w:val="0"/>
    <w:rPr>
      <w:rFonts w:eastAsia="宋体"/>
      <w:b/>
      <w:bCs/>
      <w:kern w:val="2"/>
      <w:sz w:val="32"/>
      <w:szCs w:val="32"/>
      <w:lang w:val="en-US" w:eastAsia="zh-CN" w:bidi="ar-SA"/>
    </w:rPr>
  </w:style>
  <w:style w:type="character" w:customStyle="1" w:styleId="411">
    <w:name w:val="z101"/>
    <w:qFormat/>
    <w:uiPriority w:val="0"/>
    <w:rPr>
      <w:color w:val="000000"/>
      <w:sz w:val="21"/>
      <w:szCs w:val="21"/>
    </w:rPr>
  </w:style>
  <w:style w:type="character" w:customStyle="1" w:styleId="412">
    <w:name w:val="正文文本 (2)"/>
    <w:qFormat/>
    <w:uiPriority w:val="0"/>
    <w:rPr>
      <w:rFonts w:ascii="宋体" w:hAnsi="宋体" w:eastAsia="宋体" w:cs="宋体"/>
      <w:color w:val="000000"/>
      <w:spacing w:val="0"/>
      <w:w w:val="100"/>
      <w:position w:val="0"/>
      <w:sz w:val="21"/>
      <w:szCs w:val="21"/>
      <w:u w:val="none"/>
      <w:lang w:val="zh-CN" w:eastAsia="zh-CN" w:bidi="zh-CN"/>
    </w:rPr>
  </w:style>
  <w:style w:type="character" w:customStyle="1" w:styleId="413">
    <w:name w:val="正文文本 (2) + Georgia"/>
    <w:qFormat/>
    <w:uiPriority w:val="0"/>
    <w:rPr>
      <w:rFonts w:ascii="Georgia" w:hAnsi="Georgia" w:eastAsia="Georgia" w:cs="Georgia"/>
      <w:color w:val="000000"/>
      <w:spacing w:val="0"/>
      <w:w w:val="100"/>
      <w:position w:val="0"/>
      <w:sz w:val="22"/>
      <w:szCs w:val="22"/>
      <w:u w:val="none"/>
      <w:lang w:val="en-US" w:eastAsia="en-US" w:bidi="en-US"/>
    </w:rPr>
  </w:style>
  <w:style w:type="character" w:customStyle="1" w:styleId="414">
    <w:name w:val="正文4号 Char Char"/>
    <w:link w:val="415"/>
    <w:qFormat/>
    <w:uiPriority w:val="0"/>
    <w:rPr>
      <w:kern w:val="2"/>
      <w:sz w:val="24"/>
      <w:szCs w:val="24"/>
    </w:rPr>
  </w:style>
  <w:style w:type="paragraph" w:customStyle="1" w:styleId="415">
    <w:name w:val="正文4号"/>
    <w:link w:val="414"/>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16">
    <w:name w:val="图表文字"/>
    <w:basedOn w:val="1"/>
    <w:qFormat/>
    <w:uiPriority w:val="0"/>
    <w:pPr>
      <w:spacing w:line="300" w:lineRule="exact"/>
      <w:jc w:val="center"/>
    </w:pPr>
    <w:rPr>
      <w:bCs/>
      <w:szCs w:val="20"/>
    </w:rPr>
  </w:style>
  <w:style w:type="paragraph" w:customStyle="1" w:styleId="417">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418">
    <w:name w:val="No Spacing"/>
    <w:link w:val="1035"/>
    <w:qFormat/>
    <w:uiPriority w:val="1"/>
    <w:pPr>
      <w:jc w:val="center"/>
    </w:pPr>
    <w:rPr>
      <w:rFonts w:ascii="Times New Roman" w:hAnsi="Times New Roman" w:eastAsia="宋体" w:cs="Times New Roman"/>
      <w:color w:val="000000"/>
      <w:kern w:val="2"/>
      <w:sz w:val="24"/>
      <w:szCs w:val="24"/>
      <w:lang w:val="en-US" w:eastAsia="zh-CN" w:bidi="ar-SA"/>
    </w:rPr>
  </w:style>
  <w:style w:type="paragraph" w:customStyle="1" w:styleId="419">
    <w:name w:val="二级标题"/>
    <w:basedOn w:val="44"/>
    <w:qFormat/>
    <w:uiPriority w:val="0"/>
    <w:pPr>
      <w:spacing w:before="240" w:after="60" w:line="312" w:lineRule="auto"/>
      <w:ind w:firstLine="200" w:firstLineChars="200"/>
      <w:jc w:val="left"/>
      <w:outlineLvl w:val="1"/>
    </w:pPr>
    <w:rPr>
      <w:b/>
      <w:bCs/>
      <w:kern w:val="28"/>
      <w:sz w:val="32"/>
      <w:szCs w:val="32"/>
      <w:lang w:eastAsia="zh-CN"/>
    </w:rPr>
  </w:style>
  <w:style w:type="character" w:customStyle="1" w:styleId="420">
    <w:name w:val="五号表格 Char Char"/>
    <w:link w:val="421"/>
    <w:qFormat/>
    <w:locked/>
    <w:uiPriority w:val="0"/>
    <w:rPr>
      <w:rFonts w:ascii="宋体" w:hAnsi="宋体"/>
      <w:color w:val="000000"/>
      <w:kern w:val="2"/>
      <w:sz w:val="21"/>
      <w:szCs w:val="21"/>
      <w:lang w:val="en-GB"/>
    </w:rPr>
  </w:style>
  <w:style w:type="paragraph" w:customStyle="1" w:styleId="421">
    <w:name w:val="五号表格"/>
    <w:next w:val="1"/>
    <w:link w:val="420"/>
    <w:qFormat/>
    <w:uiPriority w:val="0"/>
    <w:pPr>
      <w:widowControl w:val="0"/>
      <w:adjustRightInd w:val="0"/>
      <w:snapToGrid w:val="0"/>
      <w:spacing w:line="320" w:lineRule="exact"/>
      <w:jc w:val="both"/>
      <w:textAlignment w:val="center"/>
    </w:pPr>
    <w:rPr>
      <w:rFonts w:ascii="宋体" w:hAnsi="宋体" w:eastAsia="宋体" w:cs="Times New Roman"/>
      <w:color w:val="000000"/>
      <w:kern w:val="2"/>
      <w:sz w:val="21"/>
      <w:szCs w:val="21"/>
      <w:lang w:val="en-GB" w:eastAsia="zh-CN" w:bidi="ar-SA"/>
    </w:rPr>
  </w:style>
  <w:style w:type="character" w:customStyle="1" w:styleId="422">
    <w:name w:val="占位符文本1"/>
    <w:semiHidden/>
    <w:qFormat/>
    <w:uiPriority w:val="99"/>
    <w:rPr>
      <w:rFonts w:cs="Times New Roman"/>
      <w:color w:val="808080"/>
    </w:rPr>
  </w:style>
  <w:style w:type="character" w:customStyle="1" w:styleId="423">
    <w:name w:val="宗兴正文 Char Char"/>
    <w:link w:val="424"/>
    <w:qFormat/>
    <w:locked/>
    <w:uiPriority w:val="0"/>
    <w:rPr>
      <w:sz w:val="24"/>
    </w:rPr>
  </w:style>
  <w:style w:type="paragraph" w:customStyle="1" w:styleId="424">
    <w:name w:val="宗兴正文"/>
    <w:basedOn w:val="1"/>
    <w:link w:val="423"/>
    <w:qFormat/>
    <w:uiPriority w:val="0"/>
    <w:pPr>
      <w:adjustRightInd w:val="0"/>
      <w:spacing w:before="93" w:after="93" w:line="360" w:lineRule="auto"/>
      <w:ind w:firstLine="480" w:firstLineChars="200"/>
      <w:jc w:val="left"/>
      <w:textAlignment w:val="baseline"/>
    </w:pPr>
    <w:rPr>
      <w:kern w:val="0"/>
      <w:sz w:val="24"/>
      <w:szCs w:val="20"/>
    </w:rPr>
  </w:style>
  <w:style w:type="character" w:customStyle="1" w:styleId="425">
    <w:name w:val="表题 Char Char"/>
    <w:link w:val="426"/>
    <w:qFormat/>
    <w:locked/>
    <w:uiPriority w:val="0"/>
    <w:rPr>
      <w:rFonts w:ascii="宋体"/>
      <w:b/>
      <w:sz w:val="24"/>
      <w:lang w:eastAsia="en-US"/>
    </w:rPr>
  </w:style>
  <w:style w:type="paragraph" w:customStyle="1" w:styleId="426">
    <w:name w:val="表题"/>
    <w:basedOn w:val="1"/>
    <w:link w:val="425"/>
    <w:qFormat/>
    <w:uiPriority w:val="0"/>
    <w:pPr>
      <w:widowControl/>
      <w:adjustRightInd w:val="0"/>
      <w:spacing w:before="120" w:line="360" w:lineRule="auto"/>
      <w:jc w:val="center"/>
      <w:textAlignment w:val="baseline"/>
    </w:pPr>
    <w:rPr>
      <w:rFonts w:ascii="宋体"/>
      <w:b/>
      <w:kern w:val="0"/>
      <w:sz w:val="24"/>
      <w:szCs w:val="20"/>
      <w:lang w:eastAsia="en-US"/>
    </w:rPr>
  </w:style>
  <w:style w:type="paragraph" w:customStyle="1" w:styleId="427">
    <w:name w:val="3"/>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28">
    <w:name w:val="样式 样式 标题 2节 + (西文) Times New Roman (中文) 宋体 四号 段前: 0.5 行 段后: 0...... Char Char"/>
    <w:link w:val="429"/>
    <w:qFormat/>
    <w:locked/>
    <w:uiPriority w:val="0"/>
    <w:rPr>
      <w:rFonts w:ascii="宋体"/>
      <w:b/>
      <w:sz w:val="30"/>
    </w:rPr>
  </w:style>
  <w:style w:type="paragraph" w:customStyle="1" w:styleId="429">
    <w:name w:val="样式 样式 标题 2节 + (西文) Times New Roman (中文) 宋体 四号 段前: 0.5 行 段后: 0......"/>
    <w:basedOn w:val="1"/>
    <w:link w:val="428"/>
    <w:qFormat/>
    <w:uiPriority w:val="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430">
    <w:name w:val="纯文本1 Char1"/>
    <w:qFormat/>
    <w:uiPriority w:val="0"/>
    <w:rPr>
      <w:rFonts w:ascii="宋体" w:hAnsi="Courier New" w:eastAsia="宋体"/>
      <w:kern w:val="2"/>
      <w:sz w:val="21"/>
      <w:lang w:val="en-US" w:eastAsia="zh-CN"/>
    </w:rPr>
  </w:style>
  <w:style w:type="character" w:customStyle="1" w:styleId="431">
    <w:name w:val="表格 Char Char"/>
    <w:qFormat/>
    <w:locked/>
    <w:uiPriority w:val="0"/>
    <w:rPr>
      <w:rFonts w:ascii="Times New Roman" w:hAnsi="Times New Roman"/>
      <w:b/>
      <w:sz w:val="24"/>
    </w:rPr>
  </w:style>
  <w:style w:type="character" w:customStyle="1" w:styleId="432">
    <w:name w:val="正文文本缩进 2 Char Char"/>
    <w:qFormat/>
    <w:uiPriority w:val="0"/>
    <w:rPr>
      <w:rFonts w:eastAsia="宋体"/>
      <w:kern w:val="2"/>
      <w:sz w:val="24"/>
      <w:lang w:val="en-US" w:eastAsia="zh-CN"/>
    </w:rPr>
  </w:style>
  <w:style w:type="character" w:customStyle="1" w:styleId="433">
    <w:name w:val="表格的字 Char Char"/>
    <w:link w:val="434"/>
    <w:qFormat/>
    <w:locked/>
    <w:uiPriority w:val="0"/>
    <w:rPr>
      <w:sz w:val="24"/>
    </w:rPr>
  </w:style>
  <w:style w:type="paragraph" w:customStyle="1" w:styleId="434">
    <w:name w:val="表格的字"/>
    <w:basedOn w:val="1"/>
    <w:link w:val="433"/>
    <w:qFormat/>
    <w:uiPriority w:val="0"/>
    <w:pPr>
      <w:adjustRightInd w:val="0"/>
      <w:spacing w:line="312" w:lineRule="atLeast"/>
      <w:jc w:val="center"/>
      <w:textAlignment w:val="baseline"/>
    </w:pPr>
    <w:rPr>
      <w:kern w:val="0"/>
      <w:sz w:val="24"/>
      <w:szCs w:val="20"/>
    </w:rPr>
  </w:style>
  <w:style w:type="character" w:customStyle="1" w:styleId="435">
    <w:name w:val="表名图名 Char Char"/>
    <w:link w:val="436"/>
    <w:qFormat/>
    <w:locked/>
    <w:uiPriority w:val="0"/>
    <w:rPr>
      <w:rFonts w:ascii="宋体"/>
      <w:b/>
      <w:sz w:val="24"/>
      <w:lang w:eastAsia="en-US"/>
    </w:rPr>
  </w:style>
  <w:style w:type="paragraph" w:customStyle="1" w:styleId="436">
    <w:name w:val="表名图名"/>
    <w:basedOn w:val="1"/>
    <w:link w:val="435"/>
    <w:qFormat/>
    <w:uiPriority w:val="0"/>
    <w:pPr>
      <w:widowControl/>
      <w:adjustRightInd w:val="0"/>
      <w:spacing w:before="120" w:line="360" w:lineRule="auto"/>
      <w:jc w:val="center"/>
      <w:textAlignment w:val="baseline"/>
    </w:pPr>
    <w:rPr>
      <w:rFonts w:ascii="宋体"/>
      <w:b/>
      <w:kern w:val="0"/>
      <w:sz w:val="24"/>
      <w:szCs w:val="20"/>
      <w:lang w:eastAsia="en-US"/>
    </w:rPr>
  </w:style>
  <w:style w:type="character" w:customStyle="1" w:styleId="437">
    <w:name w:val="表、图名 Char Char"/>
    <w:link w:val="438"/>
    <w:qFormat/>
    <w:locked/>
    <w:uiPriority w:val="0"/>
    <w:rPr>
      <w:b/>
      <w:kern w:val="2"/>
      <w:sz w:val="21"/>
      <w:szCs w:val="24"/>
    </w:rPr>
  </w:style>
  <w:style w:type="paragraph" w:customStyle="1" w:styleId="438">
    <w:name w:val="表、图名"/>
    <w:link w:val="437"/>
    <w:qFormat/>
    <w:uiPriority w:val="0"/>
    <w:pPr>
      <w:spacing w:before="120" w:line="360" w:lineRule="auto"/>
      <w:jc w:val="center"/>
    </w:pPr>
    <w:rPr>
      <w:rFonts w:ascii="Times New Roman" w:hAnsi="Times New Roman" w:eastAsia="宋体" w:cs="Times New Roman"/>
      <w:b/>
      <w:kern w:val="2"/>
      <w:sz w:val="21"/>
      <w:szCs w:val="24"/>
      <w:lang w:val="en-US" w:eastAsia="zh-CN" w:bidi="ar-SA"/>
    </w:rPr>
  </w:style>
  <w:style w:type="character" w:customStyle="1" w:styleId="439">
    <w:name w:val="Body Text Indent Char"/>
    <w:qFormat/>
    <w:locked/>
    <w:uiPriority w:val="0"/>
    <w:rPr>
      <w:sz w:val="24"/>
    </w:rPr>
  </w:style>
  <w:style w:type="character" w:customStyle="1" w:styleId="440">
    <w:name w:val="样式 标题 2节标题标题21.1H2h2第一层条4.1二级标题标题 lxb2二级标题 Char表标题单位... Char"/>
    <w:qFormat/>
    <w:uiPriority w:val="0"/>
    <w:rPr>
      <w:rFonts w:ascii="Verdana" w:hAnsi="Verdana" w:eastAsia="宋体"/>
      <w:b/>
      <w:kern w:val="32"/>
      <w:sz w:val="28"/>
      <w:lang w:val="en-US" w:eastAsia="zh-CN"/>
    </w:rPr>
  </w:style>
  <w:style w:type="character" w:customStyle="1" w:styleId="441">
    <w:name w:val="Document Map Char"/>
    <w:qFormat/>
    <w:locked/>
    <w:uiPriority w:val="0"/>
    <w:rPr>
      <w:rFonts w:ascii="宋体"/>
      <w:sz w:val="18"/>
    </w:rPr>
  </w:style>
  <w:style w:type="character" w:customStyle="1" w:styleId="442">
    <w:name w:val="Body Text First Indent Char"/>
    <w:qFormat/>
    <w:locked/>
    <w:uiPriority w:val="0"/>
    <w:rPr>
      <w:rFonts w:ascii="Calibri" w:hAnsi="Calibri" w:eastAsia="宋体"/>
      <w:sz w:val="24"/>
    </w:rPr>
  </w:style>
  <w:style w:type="character" w:customStyle="1" w:styleId="443">
    <w:name w:val="表头 Char2"/>
    <w:qFormat/>
    <w:locked/>
    <w:uiPriority w:val="0"/>
    <w:rPr>
      <w:rFonts w:eastAsia="黑体"/>
      <w:color w:val="000000"/>
      <w:spacing w:val="-10"/>
    </w:rPr>
  </w:style>
  <w:style w:type="character" w:customStyle="1" w:styleId="444">
    <w:name w:val="图名 Char Char"/>
    <w:link w:val="445"/>
    <w:qFormat/>
    <w:locked/>
    <w:uiPriority w:val="0"/>
    <w:rPr>
      <w:b/>
      <w:kern w:val="2"/>
      <w:sz w:val="24"/>
      <w:szCs w:val="24"/>
      <w:lang w:eastAsia="en-US"/>
    </w:rPr>
  </w:style>
  <w:style w:type="paragraph" w:customStyle="1" w:styleId="445">
    <w:name w:val="图名"/>
    <w:link w:val="444"/>
    <w:qFormat/>
    <w:uiPriority w:val="0"/>
    <w:pPr>
      <w:spacing w:before="80" w:after="120" w:line="360" w:lineRule="auto"/>
      <w:jc w:val="center"/>
    </w:pPr>
    <w:rPr>
      <w:rFonts w:ascii="Times New Roman" w:hAnsi="Times New Roman" w:eastAsia="宋体" w:cs="Times New Roman"/>
      <w:b/>
      <w:kern w:val="2"/>
      <w:sz w:val="24"/>
      <w:szCs w:val="24"/>
      <w:lang w:val="en-US" w:eastAsia="en-US" w:bidi="ar-SA"/>
    </w:rPr>
  </w:style>
  <w:style w:type="character" w:customStyle="1" w:styleId="446">
    <w:name w:val="样式 标题 3 + (西文) Times New Roman (中文) 宋体 小四 加粗 Char Char"/>
    <w:link w:val="447"/>
    <w:qFormat/>
    <w:locked/>
    <w:uiPriority w:val="0"/>
    <w:rPr>
      <w:sz w:val="24"/>
    </w:rPr>
  </w:style>
  <w:style w:type="paragraph" w:customStyle="1" w:styleId="447">
    <w:name w:val="样式 标题 3 + (西文) Times New Roman (中文) 宋体 小四 加粗"/>
    <w:basedOn w:val="1"/>
    <w:link w:val="446"/>
    <w:qFormat/>
    <w:uiPriority w:val="0"/>
    <w:pPr>
      <w:adjustRightInd w:val="0"/>
      <w:spacing w:line="312" w:lineRule="atLeast"/>
      <w:textAlignment w:val="baseline"/>
    </w:pPr>
    <w:rPr>
      <w:kern w:val="0"/>
      <w:sz w:val="24"/>
      <w:szCs w:val="20"/>
    </w:rPr>
  </w:style>
  <w:style w:type="character" w:customStyle="1" w:styleId="448">
    <w:name w:val="1-正文样式 Char Char"/>
    <w:link w:val="449"/>
    <w:qFormat/>
    <w:locked/>
    <w:uiPriority w:val="0"/>
    <w:rPr>
      <w:sz w:val="24"/>
    </w:rPr>
  </w:style>
  <w:style w:type="paragraph" w:customStyle="1" w:styleId="449">
    <w:name w:val="1-正文样式"/>
    <w:basedOn w:val="1"/>
    <w:link w:val="448"/>
    <w:qFormat/>
    <w:uiPriority w:val="0"/>
    <w:pPr>
      <w:adjustRightInd w:val="0"/>
      <w:spacing w:afterLines="50" w:line="360" w:lineRule="auto"/>
      <w:ind w:firstLine="200" w:firstLineChars="200"/>
      <w:textAlignment w:val="baseline"/>
    </w:pPr>
    <w:rPr>
      <w:kern w:val="0"/>
      <w:sz w:val="24"/>
      <w:szCs w:val="20"/>
    </w:rPr>
  </w:style>
  <w:style w:type="character" w:customStyle="1" w:styleId="450">
    <w:name w:val="我的正文 Char Char"/>
    <w:link w:val="451"/>
    <w:qFormat/>
    <w:locked/>
    <w:uiPriority w:val="0"/>
    <w:rPr>
      <w:kern w:val="2"/>
      <w:sz w:val="24"/>
      <w:szCs w:val="24"/>
    </w:rPr>
  </w:style>
  <w:style w:type="paragraph" w:customStyle="1" w:styleId="451">
    <w:name w:val="我的正文"/>
    <w:link w:val="450"/>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52">
    <w:name w:val="样式1 Char Char"/>
    <w:qFormat/>
    <w:locked/>
    <w:uiPriority w:val="0"/>
    <w:rPr>
      <w:rFonts w:ascii="Calibri" w:hAnsi="Calibri"/>
      <w:color w:val="000000"/>
      <w:sz w:val="24"/>
    </w:rPr>
  </w:style>
  <w:style w:type="character" w:customStyle="1" w:styleId="453">
    <w:name w:val="正文1 Char Char"/>
    <w:qFormat/>
    <w:locked/>
    <w:uiPriority w:val="0"/>
    <w:rPr>
      <w:color w:val="000000"/>
      <w:sz w:val="24"/>
    </w:rPr>
  </w:style>
  <w:style w:type="character" w:customStyle="1" w:styleId="454">
    <w:name w:val="正文（小四） Char Char"/>
    <w:link w:val="455"/>
    <w:qFormat/>
    <w:locked/>
    <w:uiPriority w:val="0"/>
    <w:rPr>
      <w:bCs/>
      <w:kern w:val="2"/>
      <w:sz w:val="24"/>
      <w:szCs w:val="32"/>
    </w:rPr>
  </w:style>
  <w:style w:type="paragraph" w:customStyle="1" w:styleId="455">
    <w:name w:val="正文（小四）"/>
    <w:link w:val="454"/>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character" w:customStyle="1" w:styleId="456">
    <w:name w:val="表格文字 Char Char"/>
    <w:qFormat/>
    <w:locked/>
    <w:uiPriority w:val="0"/>
    <w:rPr>
      <w:kern w:val="2"/>
      <w:sz w:val="21"/>
      <w:szCs w:val="24"/>
    </w:rPr>
  </w:style>
  <w:style w:type="character" w:customStyle="1" w:styleId="457">
    <w:name w:val="我的正文 Char Char Char"/>
    <w:qFormat/>
    <w:uiPriority w:val="0"/>
    <w:rPr>
      <w:kern w:val="2"/>
      <w:sz w:val="24"/>
      <w:lang w:val="en-US" w:eastAsia="zh-CN"/>
    </w:rPr>
  </w:style>
  <w:style w:type="character" w:customStyle="1" w:styleId="458">
    <w:name w:val="样式4 Char"/>
    <w:link w:val="459"/>
    <w:qFormat/>
    <w:locked/>
    <w:uiPriority w:val="0"/>
    <w:rPr>
      <w:rFonts w:eastAsia="仿宋_GB2312"/>
      <w:color w:val="0000FF"/>
      <w:spacing w:val="4"/>
      <w:sz w:val="24"/>
    </w:rPr>
  </w:style>
  <w:style w:type="paragraph" w:customStyle="1" w:styleId="459">
    <w:name w:val="样式4"/>
    <w:basedOn w:val="23"/>
    <w:link w:val="458"/>
    <w:qFormat/>
    <w:uiPriority w:val="0"/>
    <w:pPr>
      <w:widowControl w:val="0"/>
      <w:adjustRightInd w:val="0"/>
      <w:snapToGrid/>
      <w:spacing w:before="0" w:after="0" w:line="360" w:lineRule="auto"/>
      <w:ind w:right="-119" w:firstLine="496" w:firstLineChars="200"/>
      <w:jc w:val="left"/>
      <w:textAlignment w:val="baseline"/>
    </w:pPr>
    <w:rPr>
      <w:rFonts w:eastAsia="仿宋_GB2312"/>
      <w:color w:val="0000FF"/>
      <w:spacing w:val="4"/>
      <w:sz w:val="24"/>
    </w:rPr>
  </w:style>
  <w:style w:type="character" w:customStyle="1" w:styleId="460">
    <w:name w:val="表格文字nana Char Char"/>
    <w:link w:val="461"/>
    <w:qFormat/>
    <w:locked/>
    <w:uiPriority w:val="0"/>
    <w:rPr>
      <w:rFonts w:ascii="宋体" w:hAnsi="宋体" w:eastAsia="仿宋_GB2312"/>
      <w:snapToGrid w:val="0"/>
      <w:color w:val="000000"/>
      <w:sz w:val="21"/>
    </w:rPr>
  </w:style>
  <w:style w:type="paragraph" w:customStyle="1" w:styleId="461">
    <w:name w:val="表格文字nana"/>
    <w:basedOn w:val="1"/>
    <w:link w:val="460"/>
    <w:qFormat/>
    <w:uiPriority w:val="0"/>
    <w:pPr>
      <w:widowControl/>
      <w:adjustRightInd w:val="0"/>
      <w:spacing w:line="300" w:lineRule="auto"/>
      <w:jc w:val="center"/>
      <w:textAlignment w:val="baseline"/>
    </w:pPr>
    <w:rPr>
      <w:rFonts w:ascii="宋体" w:hAnsi="宋体" w:eastAsia="仿宋_GB2312"/>
      <w:snapToGrid w:val="0"/>
      <w:color w:val="000000"/>
      <w:kern w:val="0"/>
      <w:szCs w:val="20"/>
    </w:rPr>
  </w:style>
  <w:style w:type="character" w:customStyle="1" w:styleId="462">
    <w:name w:val="表格内容 Char Char"/>
    <w:link w:val="304"/>
    <w:qFormat/>
    <w:locked/>
    <w:uiPriority w:val="0"/>
    <w:rPr>
      <w:rFonts w:ascii="Arial" w:hAnsi="Arial" w:eastAsia="仿宋_GB2312"/>
      <w:sz w:val="24"/>
    </w:rPr>
  </w:style>
  <w:style w:type="character" w:customStyle="1" w:styleId="463">
    <w:name w:val="样式2 Char Char"/>
    <w:qFormat/>
    <w:locked/>
    <w:uiPriority w:val="0"/>
    <w:rPr>
      <w:rFonts w:ascii="Calibri" w:hAnsi="Calibri"/>
      <w:sz w:val="24"/>
    </w:rPr>
  </w:style>
  <w:style w:type="character" w:customStyle="1" w:styleId="464">
    <w:name w:val="注释 Char Char"/>
    <w:link w:val="465"/>
    <w:qFormat/>
    <w:locked/>
    <w:uiPriority w:val="0"/>
    <w:rPr>
      <w:rFonts w:ascii="宋体"/>
      <w:snapToGrid w:val="0"/>
      <w:spacing w:val="4"/>
      <w:sz w:val="24"/>
    </w:rPr>
  </w:style>
  <w:style w:type="paragraph" w:customStyle="1" w:styleId="465">
    <w:name w:val="注释"/>
    <w:basedOn w:val="1"/>
    <w:link w:val="464"/>
    <w:qFormat/>
    <w:uiPriority w:val="0"/>
    <w:pPr>
      <w:adjustRightInd w:val="0"/>
      <w:snapToGrid w:val="0"/>
      <w:spacing w:line="360" w:lineRule="auto"/>
      <w:textAlignment w:val="baseline"/>
    </w:pPr>
    <w:rPr>
      <w:rFonts w:ascii="宋体"/>
      <w:snapToGrid w:val="0"/>
      <w:spacing w:val="4"/>
      <w:kern w:val="0"/>
      <w:sz w:val="24"/>
      <w:szCs w:val="20"/>
    </w:rPr>
  </w:style>
  <w:style w:type="character" w:customStyle="1" w:styleId="466">
    <w:name w:val="表格字体 Char Char"/>
    <w:link w:val="467"/>
    <w:qFormat/>
    <w:locked/>
    <w:uiPriority w:val="0"/>
    <w:rPr>
      <w:sz w:val="21"/>
    </w:rPr>
  </w:style>
  <w:style w:type="paragraph" w:customStyle="1" w:styleId="467">
    <w:name w:val="表格字体"/>
    <w:basedOn w:val="1"/>
    <w:link w:val="466"/>
    <w:qFormat/>
    <w:uiPriority w:val="0"/>
    <w:pPr>
      <w:adjustRightInd w:val="0"/>
      <w:spacing w:beforeLines="20" w:afterLines="20" w:line="360" w:lineRule="auto"/>
      <w:jc w:val="center"/>
      <w:textAlignment w:val="baseline"/>
    </w:pPr>
    <w:rPr>
      <w:kern w:val="0"/>
      <w:szCs w:val="20"/>
    </w:rPr>
  </w:style>
  <w:style w:type="character" w:customStyle="1" w:styleId="468">
    <w:name w:val="Char Char18"/>
    <w:qFormat/>
    <w:uiPriority w:val="0"/>
    <w:rPr>
      <w:rFonts w:ascii="Cambria" w:hAnsi="Cambria" w:eastAsia="宋体"/>
      <w:sz w:val="24"/>
      <w:lang w:val="en-US" w:eastAsia="en-US"/>
    </w:rPr>
  </w:style>
  <w:style w:type="character" w:customStyle="1" w:styleId="469">
    <w:name w:val="1正文段落 Char Char"/>
    <w:qFormat/>
    <w:locked/>
    <w:uiPriority w:val="0"/>
    <w:rPr>
      <w:snapToGrid w:val="0"/>
      <w:sz w:val="24"/>
      <w:szCs w:val="24"/>
    </w:rPr>
  </w:style>
  <w:style w:type="character" w:customStyle="1" w:styleId="470">
    <w:name w:val="正文B Char Char"/>
    <w:qFormat/>
    <w:locked/>
    <w:uiPriority w:val="0"/>
    <w:rPr>
      <w:rFonts w:ascii="宋体" w:hAnsi="宋体" w:eastAsia="宋体"/>
      <w:sz w:val="24"/>
    </w:rPr>
  </w:style>
  <w:style w:type="character" w:customStyle="1" w:styleId="471">
    <w:name w:val="正文加粗 Char Char"/>
    <w:link w:val="472"/>
    <w:qFormat/>
    <w:locked/>
    <w:uiPriority w:val="0"/>
    <w:rPr>
      <w:rFonts w:eastAsia="仿宋_GB2312"/>
      <w:b/>
      <w:kern w:val="2"/>
      <w:sz w:val="24"/>
      <w:szCs w:val="24"/>
    </w:rPr>
  </w:style>
  <w:style w:type="paragraph" w:customStyle="1" w:styleId="472">
    <w:name w:val="正文加粗"/>
    <w:next w:val="1"/>
    <w:link w:val="471"/>
    <w:qFormat/>
    <w:uiPriority w:val="0"/>
    <w:pPr>
      <w:spacing w:line="360" w:lineRule="auto"/>
      <w:ind w:firstLine="480"/>
    </w:pPr>
    <w:rPr>
      <w:rFonts w:ascii="Times New Roman" w:hAnsi="Times New Roman" w:eastAsia="仿宋_GB2312" w:cs="Times New Roman"/>
      <w:b/>
      <w:kern w:val="2"/>
      <w:sz w:val="24"/>
      <w:szCs w:val="24"/>
      <w:lang w:val="en-US" w:eastAsia="zh-CN" w:bidi="ar-SA"/>
    </w:rPr>
  </w:style>
  <w:style w:type="character" w:customStyle="1" w:styleId="473">
    <w:name w:val="表头 Char1"/>
    <w:qFormat/>
    <w:uiPriority w:val="0"/>
    <w:rPr>
      <w:rFonts w:eastAsia="仿宋_GB2312"/>
      <w:b/>
      <w:snapToGrid w:val="0"/>
      <w:color w:val="000000"/>
      <w:sz w:val="21"/>
    </w:rPr>
  </w:style>
  <w:style w:type="character" w:customStyle="1" w:styleId="474">
    <w:name w:val="正文(首行缩进) Char1"/>
    <w:qFormat/>
    <w:locked/>
    <w:uiPriority w:val="0"/>
    <w:rPr>
      <w:rFonts w:ascii="宋体" w:eastAsia="宋体"/>
      <w:snapToGrid w:val="0"/>
      <w:color w:val="000000"/>
      <w:sz w:val="24"/>
    </w:rPr>
  </w:style>
  <w:style w:type="character" w:customStyle="1" w:styleId="475">
    <w:name w:val="nr"/>
    <w:qFormat/>
    <w:uiPriority w:val="0"/>
    <w:rPr>
      <w:rFonts w:cs="Times New Roman"/>
    </w:rPr>
  </w:style>
  <w:style w:type="character" w:customStyle="1" w:styleId="476">
    <w:name w:val="批注文字 Char1"/>
    <w:qFormat/>
    <w:locked/>
    <w:uiPriority w:val="99"/>
    <w:rPr>
      <w:kern w:val="2"/>
      <w:sz w:val="21"/>
      <w:szCs w:val="24"/>
    </w:rPr>
  </w:style>
  <w:style w:type="paragraph" w:customStyle="1" w:styleId="477">
    <w:name w:val="表格内容格式"/>
    <w:basedOn w:val="1"/>
    <w:qFormat/>
    <w:uiPriority w:val="0"/>
    <w:pPr>
      <w:adjustRightInd w:val="0"/>
      <w:spacing w:line="312" w:lineRule="atLeast"/>
      <w:jc w:val="center"/>
      <w:textAlignment w:val="baseline"/>
    </w:pPr>
    <w:rPr>
      <w:rFonts w:ascii="宋体" w:hAnsi="宋体"/>
      <w:color w:val="FF0000"/>
      <w:kern w:val="0"/>
      <w:szCs w:val="20"/>
    </w:rPr>
  </w:style>
  <w:style w:type="paragraph" w:customStyle="1" w:styleId="478">
    <w:name w:val="表字居中O"/>
    <w:basedOn w:val="1"/>
    <w:qFormat/>
    <w:uiPriority w:val="0"/>
    <w:pPr>
      <w:tabs>
        <w:tab w:val="left" w:pos="3626"/>
      </w:tabs>
      <w:adjustRightInd w:val="0"/>
      <w:spacing w:line="240" w:lineRule="atLeast"/>
      <w:jc w:val="center"/>
      <w:textAlignment w:val="baseline"/>
    </w:pPr>
    <w:rPr>
      <w:spacing w:val="-4"/>
      <w:kern w:val="0"/>
      <w:szCs w:val="21"/>
    </w:rPr>
  </w:style>
  <w:style w:type="character" w:customStyle="1" w:styleId="479">
    <w:name w:val="正文文本缩进 Char1"/>
    <w:semiHidden/>
    <w:qFormat/>
    <w:uiPriority w:val="99"/>
    <w:rPr>
      <w:rFonts w:ascii="Times New Roman" w:hAnsi="Times New Roman" w:eastAsia="宋体" w:cs="Times New Roman"/>
      <w:sz w:val="24"/>
      <w:szCs w:val="24"/>
    </w:rPr>
  </w:style>
  <w:style w:type="paragraph" w:customStyle="1" w:styleId="480">
    <w:name w:val="公参2"/>
    <w:basedOn w:val="1"/>
    <w:qFormat/>
    <w:uiPriority w:val="0"/>
    <w:pPr>
      <w:tabs>
        <w:tab w:val="left" w:pos="-2848"/>
      </w:tabs>
      <w:adjustRightInd w:val="0"/>
      <w:spacing w:line="360" w:lineRule="atLeast"/>
      <w:textAlignment w:val="baseline"/>
    </w:pPr>
    <w:rPr>
      <w:rFonts w:cs="宋体"/>
      <w:kern w:val="0"/>
      <w:position w:val="-10"/>
      <w:szCs w:val="20"/>
    </w:rPr>
  </w:style>
  <w:style w:type="paragraph" w:customStyle="1" w:styleId="481">
    <w:name w:val="a表格"/>
    <w:basedOn w:val="1"/>
    <w:qFormat/>
    <w:uiPriority w:val="0"/>
    <w:pPr>
      <w:adjustRightInd w:val="0"/>
      <w:snapToGrid w:val="0"/>
      <w:spacing w:line="312" w:lineRule="atLeast"/>
      <w:jc w:val="center"/>
      <w:textAlignment w:val="baseline"/>
    </w:pPr>
    <w:rPr>
      <w:kern w:val="0"/>
      <w:szCs w:val="20"/>
    </w:rPr>
  </w:style>
  <w:style w:type="paragraph" w:customStyle="1" w:styleId="482">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pBdr>
        <w:right w:val="single" w:color="auto" w:sz="12" w:space="4"/>
      </w:pBdr>
      <w:adjustRightInd w:val="0"/>
      <w:spacing w:line="360" w:lineRule="auto"/>
      <w:ind w:firstLine="200" w:firstLineChars="200"/>
      <w:textAlignment w:val="baseline"/>
    </w:pPr>
    <w:rPr>
      <w:rFonts w:ascii="宋体" w:hAnsi="宋体" w:cs="宋体"/>
      <w:kern w:val="0"/>
      <w:sz w:val="28"/>
      <w:szCs w:val="20"/>
    </w:rPr>
  </w:style>
  <w:style w:type="paragraph" w:customStyle="1" w:styleId="483">
    <w:name w:val="我的表格"/>
    <w:qFormat/>
    <w:uiPriority w:val="0"/>
    <w:pPr>
      <w:adjustRightInd w:val="0"/>
      <w:snapToGrid w:val="0"/>
      <w:spacing w:line="300" w:lineRule="exact"/>
      <w:jc w:val="center"/>
    </w:pPr>
    <w:rPr>
      <w:rFonts w:ascii="Times New Roman" w:hAnsi="Times New Roman" w:eastAsia="宋体" w:cs="Times New Roman"/>
      <w:spacing w:val="4"/>
      <w:sz w:val="21"/>
      <w:szCs w:val="24"/>
      <w:lang w:val="en-US" w:eastAsia="zh-CN" w:bidi="th-TH"/>
    </w:rPr>
  </w:style>
  <w:style w:type="character" w:customStyle="1" w:styleId="484">
    <w:name w:val="正文文本 Char1"/>
    <w:qFormat/>
    <w:locked/>
    <w:uiPriority w:val="0"/>
    <w:rPr>
      <w:kern w:val="2"/>
      <w:sz w:val="44"/>
      <w:szCs w:val="24"/>
    </w:rPr>
  </w:style>
  <w:style w:type="paragraph" w:customStyle="1" w:styleId="485">
    <w:name w:val="样式 首行缩进:  0.99 厘米 行距: 1.5 倍行距2"/>
    <w:basedOn w:val="1"/>
    <w:qFormat/>
    <w:uiPriority w:val="0"/>
    <w:pPr>
      <w:adjustRightInd w:val="0"/>
      <w:snapToGrid w:val="0"/>
      <w:spacing w:line="312" w:lineRule="atLeast"/>
      <w:jc w:val="center"/>
      <w:textAlignment w:val="baseline"/>
    </w:pPr>
    <w:rPr>
      <w:rFonts w:ascii="宋体" w:hAnsi="宋体"/>
      <w:color w:val="FF0000"/>
      <w:kern w:val="0"/>
      <w:szCs w:val="21"/>
    </w:rPr>
  </w:style>
  <w:style w:type="paragraph" w:customStyle="1" w:styleId="486">
    <w:name w:val="样式 正文首行缩进 + 首行缩进:  1 字符"/>
    <w:basedOn w:val="56"/>
    <w:qFormat/>
    <w:uiPriority w:val="0"/>
    <w:pPr>
      <w:adjustRightInd w:val="0"/>
      <w:spacing w:after="0" w:line="480" w:lineRule="exact"/>
      <w:ind w:firstLine="200" w:firstLineChars="200"/>
      <w:textAlignment w:val="baseline"/>
    </w:pPr>
    <w:rPr>
      <w:rFonts w:ascii="Calibri" w:hAnsi="Calibri" w:cs="宋体"/>
      <w:bCs/>
      <w:sz w:val="28"/>
      <w:lang w:val="zh-CN"/>
    </w:rPr>
  </w:style>
  <w:style w:type="paragraph" w:customStyle="1" w:styleId="487">
    <w:name w:val="正文文字1"/>
    <w:basedOn w:val="1"/>
    <w:qFormat/>
    <w:uiPriority w:val="0"/>
    <w:pPr>
      <w:adjustRightInd w:val="0"/>
      <w:spacing w:line="500" w:lineRule="exact"/>
      <w:ind w:firstLine="480" w:firstLineChars="200"/>
      <w:textAlignment w:val="baseline"/>
    </w:pPr>
    <w:rPr>
      <w:kern w:val="0"/>
      <w:sz w:val="24"/>
      <w:szCs w:val="20"/>
    </w:rPr>
  </w:style>
  <w:style w:type="paragraph" w:customStyle="1" w:styleId="488">
    <w:name w:val="环表头"/>
    <w:basedOn w:val="1"/>
    <w:link w:val="608"/>
    <w:qFormat/>
    <w:uiPriority w:val="0"/>
    <w:pPr>
      <w:adjustRightInd w:val="0"/>
      <w:spacing w:line="480" w:lineRule="exact"/>
      <w:jc w:val="center"/>
      <w:textAlignment w:val="baseline"/>
    </w:pPr>
    <w:rPr>
      <w:rFonts w:ascii="黑体" w:hAnsi="宋体" w:eastAsia="黑体"/>
      <w:iCs/>
      <w:color w:val="000000"/>
      <w:kern w:val="0"/>
      <w:sz w:val="24"/>
      <w:szCs w:val="20"/>
      <w:lang w:val="zh-CN"/>
    </w:rPr>
  </w:style>
  <w:style w:type="paragraph" w:customStyle="1" w:styleId="489">
    <w:name w:val="样式 标题 2标题 2 Char + (西文) Times New Roman (中文) 宋体 小四"/>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490">
    <w:name w:val="Char Char1 Char Char Char Char Char Char Char Char Char Char Char Char Char Char Char Char Char Char Char Char1 Char"/>
    <w:basedOn w:val="1"/>
    <w:qFormat/>
    <w:uiPriority w:val="0"/>
    <w:pPr>
      <w:adjustRightInd w:val="0"/>
      <w:spacing w:line="360" w:lineRule="auto"/>
      <w:ind w:firstLine="200" w:firstLineChars="200"/>
      <w:textAlignment w:val="baseline"/>
    </w:pPr>
    <w:rPr>
      <w:kern w:val="0"/>
      <w:szCs w:val="20"/>
    </w:rPr>
  </w:style>
  <w:style w:type="paragraph" w:customStyle="1" w:styleId="49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2">
    <w:name w:val="zhang正文"/>
    <w:basedOn w:val="24"/>
    <w:qFormat/>
    <w:uiPriority w:val="0"/>
    <w:pPr>
      <w:autoSpaceDE w:val="0"/>
      <w:autoSpaceDN w:val="0"/>
      <w:adjustRightInd w:val="0"/>
      <w:snapToGrid w:val="0"/>
      <w:spacing w:after="0" w:line="500" w:lineRule="exact"/>
      <w:ind w:left="0" w:leftChars="0" w:firstLine="539"/>
      <w:textAlignment w:val="baseline"/>
    </w:pPr>
    <w:rPr>
      <w:rFonts w:ascii="Calibri" w:hAnsi="Calibri" w:eastAsia="楷体_GB2312"/>
      <w:sz w:val="28"/>
    </w:rPr>
  </w:style>
  <w:style w:type="paragraph" w:customStyle="1" w:styleId="493">
    <w:name w:val="样式 正文首行缩进正文首行缩进 Char + 首行缩进:  1 字符1"/>
    <w:basedOn w:val="56"/>
    <w:qFormat/>
    <w:uiPriority w:val="0"/>
    <w:pPr>
      <w:widowControl/>
      <w:adjustRightInd w:val="0"/>
      <w:spacing w:line="360" w:lineRule="auto"/>
      <w:ind w:firstLine="100"/>
      <w:jc w:val="left"/>
      <w:textAlignment w:val="baseline"/>
    </w:pPr>
    <w:rPr>
      <w:rFonts w:ascii="Calibri" w:hAnsi="Calibri" w:cs="宋体"/>
      <w:sz w:val="24"/>
      <w:lang w:val="zh-CN"/>
    </w:rPr>
  </w:style>
  <w:style w:type="paragraph" w:customStyle="1" w:styleId="494">
    <w:name w:val="p19"/>
    <w:basedOn w:val="1"/>
    <w:qFormat/>
    <w:uiPriority w:val="0"/>
    <w:pPr>
      <w:widowControl/>
      <w:adjustRightInd w:val="0"/>
      <w:spacing w:line="360" w:lineRule="atLeast"/>
      <w:jc w:val="center"/>
      <w:textAlignment w:val="baseline"/>
    </w:pPr>
    <w:rPr>
      <w:kern w:val="0"/>
      <w:szCs w:val="21"/>
    </w:rPr>
  </w:style>
  <w:style w:type="paragraph" w:customStyle="1" w:styleId="495">
    <w:name w:val="1表格头"/>
    <w:basedOn w:val="1"/>
    <w:qFormat/>
    <w:uiPriority w:val="0"/>
    <w:pPr>
      <w:adjustRightInd w:val="0"/>
      <w:snapToGrid w:val="0"/>
      <w:spacing w:line="160" w:lineRule="atLeast"/>
      <w:jc w:val="center"/>
      <w:textAlignment w:val="baseline"/>
    </w:pPr>
    <w:rPr>
      <w:rFonts w:eastAsia="仿宋_GB2312"/>
      <w:kern w:val="0"/>
      <w:sz w:val="24"/>
      <w:szCs w:val="20"/>
    </w:rPr>
  </w:style>
  <w:style w:type="paragraph" w:customStyle="1" w:styleId="496">
    <w:name w:val="样式3"/>
    <w:basedOn w:val="3"/>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497">
    <w:name w:val="样式 标题 1 + 黑体 小二 居中 首行缩进:  0 厘米 段前: 12 磅"/>
    <w:basedOn w:val="2"/>
    <w:qFormat/>
    <w:uiPriority w:val="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498">
    <w:name w:val="样式 标题 2 + 首行缩进:  2 字符"/>
    <w:basedOn w:val="3"/>
    <w:qFormat/>
    <w:uiPriority w:val="0"/>
    <w:pPr>
      <w:tabs>
        <w:tab w:val="left" w:pos="-1980"/>
        <w:tab w:val="clear" w:pos="425"/>
      </w:tabs>
      <w:adjustRightInd w:val="0"/>
      <w:spacing w:before="0" w:after="0" w:afterLines="50" w:line="240" w:lineRule="auto"/>
      <w:ind w:left="0" w:firstLine="0"/>
      <w:textAlignment w:val="baseline"/>
    </w:pPr>
    <w:rPr>
      <w:bCs/>
      <w:spacing w:val="1"/>
      <w:kern w:val="0"/>
      <w:sz w:val="28"/>
      <w:szCs w:val="28"/>
    </w:rPr>
  </w:style>
  <w:style w:type="paragraph" w:customStyle="1" w:styleId="499">
    <w:name w:val="样式 标题 4 + (西文) Times New Roman (中文) 宋体 小四"/>
    <w:basedOn w:val="6"/>
    <w:qFormat/>
    <w:uiPriority w:val="0"/>
    <w:pPr>
      <w:tabs>
        <w:tab w:val="left" w:pos="1397"/>
        <w:tab w:val="clear" w:pos="1080"/>
      </w:tabs>
      <w:snapToGrid w:val="0"/>
      <w:spacing w:before="280" w:beforeLines="25" w:after="290" w:afterLines="25" w:line="360" w:lineRule="auto"/>
      <w:ind w:left="1114" w:hanging="964"/>
      <w:textAlignment w:val="baseline"/>
    </w:pPr>
    <w:rPr>
      <w:rFonts w:ascii="宋体" w:hAnsi="宋体" w:eastAsia="宋体"/>
      <w:b w:val="0"/>
      <w:sz w:val="24"/>
      <w:szCs w:val="24"/>
    </w:rPr>
  </w:style>
  <w:style w:type="paragraph" w:customStyle="1" w:styleId="500">
    <w:name w:val="正文11"/>
    <w:basedOn w:val="1"/>
    <w:qFormat/>
    <w:uiPriority w:val="0"/>
    <w:pPr>
      <w:adjustRightInd w:val="0"/>
      <w:spacing w:before="120" w:after="120" w:line="360" w:lineRule="auto"/>
      <w:ind w:firstLine="539"/>
      <w:textAlignment w:val="baseline"/>
    </w:pPr>
    <w:rPr>
      <w:rFonts w:ascii="宋体" w:hAnsi="宋体"/>
      <w:kern w:val="0"/>
      <w:sz w:val="28"/>
      <w:szCs w:val="20"/>
    </w:rPr>
  </w:style>
  <w:style w:type="paragraph" w:customStyle="1" w:styleId="501">
    <w:name w:val="样式 标题 3 + 段前: 0 磅 段后: 8 磅 行距: 固定值 22 磅1"/>
    <w:basedOn w:val="4"/>
    <w:qFormat/>
    <w:uiPriority w:val="0"/>
    <w:pPr>
      <w:tabs>
        <w:tab w:val="left" w:pos="720"/>
        <w:tab w:val="clear" w:pos="567"/>
      </w:tabs>
      <w:adjustRightInd w:val="0"/>
      <w:snapToGrid w:val="0"/>
      <w:spacing w:before="0" w:after="0" w:line="360" w:lineRule="auto"/>
      <w:ind w:left="720" w:hanging="720"/>
      <w:textAlignment w:val="baseline"/>
    </w:pPr>
    <w:rPr>
      <w:rFonts w:eastAsia="宋体" w:cs="Arial"/>
      <w:sz w:val="24"/>
      <w:szCs w:val="30"/>
    </w:rPr>
  </w:style>
  <w:style w:type="paragraph" w:customStyle="1" w:styleId="502">
    <w:name w:val="表目"/>
    <w:basedOn w:val="1"/>
    <w:qFormat/>
    <w:uiPriority w:val="0"/>
    <w:pPr>
      <w:adjustRightInd w:val="0"/>
      <w:spacing w:line="480" w:lineRule="atLeast"/>
      <w:ind w:left="-105" w:leftChars="-50" w:right="-105" w:rightChars="-50"/>
      <w:jc w:val="center"/>
      <w:textAlignment w:val="baseline"/>
    </w:pPr>
    <w:rPr>
      <w:rFonts w:ascii="Arial" w:hAnsi="Arial" w:eastAsia="仿宋_GB2312" w:cs="Arial"/>
      <w:kern w:val="0"/>
      <w:sz w:val="24"/>
      <w:szCs w:val="20"/>
    </w:rPr>
  </w:style>
  <w:style w:type="paragraph" w:customStyle="1" w:styleId="503">
    <w:name w:val="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504">
    <w:name w:val="5"/>
    <w:basedOn w:val="1"/>
    <w:next w:val="47"/>
    <w:qFormat/>
    <w:uiPriority w:val="0"/>
    <w:pPr>
      <w:adjustRightInd w:val="0"/>
      <w:snapToGrid w:val="0"/>
      <w:spacing w:line="312" w:lineRule="auto"/>
      <w:ind w:firstLine="480" w:firstLineChars="200"/>
      <w:textAlignment w:val="baseline"/>
    </w:pPr>
    <w:rPr>
      <w:rFonts w:ascii="仿宋_GB2312" w:eastAsia="仿宋_GB2312"/>
      <w:kern w:val="0"/>
      <w:sz w:val="24"/>
      <w:szCs w:val="20"/>
    </w:rPr>
  </w:style>
  <w:style w:type="paragraph" w:customStyle="1" w:styleId="505">
    <w:name w:val="2级标题"/>
    <w:basedOn w:val="1"/>
    <w:qFormat/>
    <w:uiPriority w:val="0"/>
    <w:pPr>
      <w:adjustRightInd w:val="0"/>
      <w:spacing w:before="60" w:line="460" w:lineRule="exact"/>
      <w:textAlignment w:val="baseline"/>
      <w:outlineLvl w:val="1"/>
    </w:pPr>
    <w:rPr>
      <w:b/>
      <w:kern w:val="0"/>
      <w:sz w:val="28"/>
      <w:szCs w:val="20"/>
    </w:rPr>
  </w:style>
  <w:style w:type="paragraph" w:customStyle="1" w:styleId="506">
    <w:name w:val="图居中"/>
    <w:basedOn w:val="1"/>
    <w:next w:val="1"/>
    <w:qFormat/>
    <w:uiPriority w:val="0"/>
    <w:pPr>
      <w:tabs>
        <w:tab w:val="left" w:pos="3626"/>
      </w:tabs>
      <w:adjustRightInd w:val="0"/>
      <w:spacing w:line="480" w:lineRule="exact"/>
      <w:jc w:val="center"/>
      <w:textAlignment w:val="baseline"/>
    </w:pPr>
    <w:rPr>
      <w:rFonts w:ascii="黑体" w:eastAsia="黑体"/>
      <w:kern w:val="0"/>
      <w:sz w:val="24"/>
      <w:szCs w:val="20"/>
    </w:rPr>
  </w:style>
  <w:style w:type="paragraph" w:customStyle="1" w:styleId="507">
    <w:name w:val="样式 标题 3H3h33rd level第二层条Re标题 3 Char3条标题1.1.1 Char标题 3 Ch..."/>
    <w:basedOn w:val="4"/>
    <w:qFormat/>
    <w:uiPriority w:val="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508">
    <w:name w:val="样式 首行缩进:  0.85 厘米1"/>
    <w:basedOn w:val="1"/>
    <w:qFormat/>
    <w:uiPriority w:val="0"/>
    <w:pPr>
      <w:adjustRightInd w:val="0"/>
      <w:spacing w:line="360" w:lineRule="auto"/>
      <w:ind w:firstLine="567" w:firstLineChars="200"/>
      <w:textAlignment w:val="baseline"/>
    </w:pPr>
    <w:rPr>
      <w:rFonts w:cs="PMingLiU"/>
      <w:kern w:val="0"/>
      <w:sz w:val="24"/>
      <w:szCs w:val="20"/>
    </w:rPr>
  </w:style>
  <w:style w:type="paragraph" w:customStyle="1" w:styleId="509">
    <w:name w:val="正文001"/>
    <w:qFormat/>
    <w:uiPriority w:val="0"/>
    <w:pPr>
      <w:spacing w:before="60" w:line="460" w:lineRule="exact"/>
      <w:ind w:firstLine="482"/>
    </w:pPr>
    <w:rPr>
      <w:rFonts w:ascii="Times New Roman" w:hAnsi="Times New Roman" w:eastAsia="宋体" w:cs="Times New Roman"/>
      <w:sz w:val="24"/>
      <w:lang w:val="en-US" w:eastAsia="zh-CN" w:bidi="ar-SA"/>
    </w:rPr>
  </w:style>
  <w:style w:type="paragraph" w:customStyle="1" w:styleId="510">
    <w:name w:val="报告1"/>
    <w:basedOn w:val="1"/>
    <w:qFormat/>
    <w:uiPriority w:val="0"/>
    <w:pPr>
      <w:adjustRightInd w:val="0"/>
      <w:spacing w:line="360" w:lineRule="auto"/>
      <w:ind w:firstLine="505"/>
      <w:jc w:val="left"/>
      <w:textAlignment w:val="baseline"/>
    </w:pPr>
    <w:rPr>
      <w:kern w:val="0"/>
      <w:sz w:val="24"/>
      <w:szCs w:val="20"/>
    </w:rPr>
  </w:style>
  <w:style w:type="paragraph" w:customStyle="1" w:styleId="511">
    <w:name w:val="样式 标题 1-*+章标题 11.标题 1h11st levelSection Headl1b1H1Head..."/>
    <w:basedOn w:val="2"/>
    <w:qFormat/>
    <w:uiPriority w:val="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512">
    <w:name w:val="表名（标题）"/>
    <w:basedOn w:val="1"/>
    <w:qFormat/>
    <w:uiPriority w:val="0"/>
    <w:pPr>
      <w:adjustRightInd w:val="0"/>
      <w:spacing w:line="460" w:lineRule="exact"/>
      <w:jc w:val="left"/>
      <w:textAlignment w:val="baseline"/>
    </w:pPr>
    <w:rPr>
      <w:kern w:val="0"/>
      <w:sz w:val="24"/>
      <w:szCs w:val="20"/>
    </w:rPr>
  </w:style>
  <w:style w:type="paragraph" w:customStyle="1" w:styleId="513">
    <w:name w:val="Char11"/>
    <w:basedOn w:val="1"/>
    <w:qFormat/>
    <w:uiPriority w:val="0"/>
    <w:pPr>
      <w:adjustRightInd w:val="0"/>
      <w:spacing w:line="312" w:lineRule="atLeast"/>
      <w:textAlignment w:val="baseline"/>
    </w:pPr>
    <w:rPr>
      <w:kern w:val="0"/>
      <w:szCs w:val="20"/>
    </w:rPr>
  </w:style>
  <w:style w:type="paragraph" w:customStyle="1" w:styleId="514">
    <w:name w:val="样式 标题 2节节标题 1.1H2（一）Underrubrik1prop2Heading 2 HiddenHea...1"/>
    <w:basedOn w:val="3"/>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eastAsia="宋体"/>
      <w:b w:val="0"/>
      <w:bCs/>
      <w:color w:val="000000"/>
      <w:kern w:val="0"/>
      <w:sz w:val="30"/>
      <w:szCs w:val="28"/>
    </w:rPr>
  </w:style>
  <w:style w:type="paragraph" w:customStyle="1" w:styleId="515">
    <w:name w:val="图目"/>
    <w:basedOn w:val="1"/>
    <w:qFormat/>
    <w:uiPriority w:val="0"/>
    <w:pPr>
      <w:adjustRightInd w:val="0"/>
      <w:snapToGrid w:val="0"/>
      <w:spacing w:before="360" w:after="360" w:line="440" w:lineRule="atLeast"/>
      <w:jc w:val="center"/>
      <w:textAlignment w:val="baseline"/>
    </w:pPr>
    <w:rPr>
      <w:rFonts w:ascii="黑体" w:hAnsi="Arial" w:eastAsia="黑体"/>
      <w:kern w:val="0"/>
      <w:sz w:val="24"/>
      <w:szCs w:val="20"/>
    </w:rPr>
  </w:style>
  <w:style w:type="paragraph" w:customStyle="1" w:styleId="516">
    <w:name w:val="xl36"/>
    <w:basedOn w:val="1"/>
    <w:qFormat/>
    <w:uiPriority w:val="0"/>
    <w:pPr>
      <w:widowControl/>
      <w:pBdr>
        <w:bottom w:val="single" w:color="auto" w:sz="4" w:space="0"/>
        <w:right w:val="single" w:color="auto" w:sz="4" w:space="0"/>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517">
    <w:name w:val="CM16"/>
    <w:basedOn w:val="210"/>
    <w:next w:val="210"/>
    <w:qFormat/>
    <w:uiPriority w:val="0"/>
    <w:pPr>
      <w:spacing w:line="566" w:lineRule="atLeast"/>
    </w:pPr>
    <w:rPr>
      <w:rFonts w:ascii="华文中宋" w:eastAsia="华文中宋" w:cs="华文中宋"/>
      <w:color w:val="auto"/>
    </w:rPr>
  </w:style>
  <w:style w:type="paragraph" w:customStyle="1" w:styleId="518">
    <w:name w:val="样式 标题 2 + 黑体 小四 非加粗 段前: 0 磅 段后: 0 磅 行距: 固定值 22 磅"/>
    <w:basedOn w:val="3"/>
    <w:qFormat/>
    <w:uiPriority w:val="0"/>
    <w:pPr>
      <w:tabs>
        <w:tab w:val="left" w:pos="-1980"/>
        <w:tab w:val="clear" w:pos="425"/>
      </w:tabs>
      <w:adjustRightInd w:val="0"/>
      <w:spacing w:before="0" w:after="0" w:line="500" w:lineRule="exact"/>
      <w:ind w:left="0" w:firstLine="363" w:firstLineChars="150"/>
      <w:textAlignment w:val="baseline"/>
    </w:pPr>
    <w:rPr>
      <w:rFonts w:ascii="Times New Roman" w:hAnsi="Times New Roman"/>
      <w:b w:val="0"/>
      <w:bCs/>
      <w:spacing w:val="1"/>
      <w:kern w:val="0"/>
      <w:sz w:val="28"/>
      <w:szCs w:val="28"/>
    </w:rPr>
  </w:style>
  <w:style w:type="paragraph" w:customStyle="1" w:styleId="519">
    <w:name w:val="样式 标题 1 + (中文) 宋体 小三 行距: 多倍行距 1.35 字行"/>
    <w:basedOn w:val="2"/>
    <w:qFormat/>
    <w:uiPriority w:val="0"/>
    <w:pPr>
      <w:keepLines/>
      <w:overflowPunct/>
      <w:adjustRightInd w:val="0"/>
      <w:spacing w:before="0" w:beforeLines="150" w:after="0" w:afterLines="150" w:line="240" w:lineRule="auto"/>
      <w:ind w:left="840" w:hanging="420"/>
      <w:jc w:val="center"/>
      <w:textAlignment w:val="baseline"/>
    </w:pPr>
    <w:rPr>
      <w:rFonts w:ascii="宋体" w:hAnsi="宋体"/>
      <w:b w:val="0"/>
      <w:color w:val="auto"/>
      <w:kern w:val="0"/>
      <w:sz w:val="32"/>
      <w:szCs w:val="32"/>
    </w:rPr>
  </w:style>
  <w:style w:type="paragraph" w:customStyle="1" w:styleId="520">
    <w:name w:val="正文（1）"/>
    <w:basedOn w:val="1"/>
    <w:qFormat/>
    <w:uiPriority w:val="0"/>
    <w:pPr>
      <w:autoSpaceDE w:val="0"/>
      <w:autoSpaceDN w:val="0"/>
      <w:adjustRightInd w:val="0"/>
      <w:snapToGrid w:val="0"/>
      <w:spacing w:line="480" w:lineRule="exact"/>
      <w:ind w:left="-17" w:firstLine="540" w:firstLineChars="225"/>
      <w:textAlignment w:val="baseline"/>
    </w:pPr>
    <w:rPr>
      <w:rFonts w:ascii="宋体" w:hAnsi="宋体" w:cs="宋体"/>
      <w:color w:val="FF0000"/>
      <w:kern w:val="0"/>
      <w:sz w:val="24"/>
      <w:szCs w:val="20"/>
      <w:lang w:val="zh-CN"/>
    </w:rPr>
  </w:style>
  <w:style w:type="paragraph" w:customStyle="1" w:styleId="521">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522">
    <w:name w:val="正文标准样式"/>
    <w:basedOn w:val="1"/>
    <w:qFormat/>
    <w:uiPriority w:val="0"/>
    <w:pPr>
      <w:adjustRightInd w:val="0"/>
      <w:spacing w:line="300" w:lineRule="auto"/>
      <w:ind w:firstLine="482"/>
      <w:textAlignment w:val="baseline"/>
    </w:pPr>
    <w:rPr>
      <w:kern w:val="0"/>
      <w:sz w:val="24"/>
      <w:szCs w:val="20"/>
    </w:rPr>
  </w:style>
  <w:style w:type="paragraph" w:customStyle="1" w:styleId="523">
    <w:name w:val="p18"/>
    <w:basedOn w:val="1"/>
    <w:qFormat/>
    <w:uiPriority w:val="0"/>
    <w:pPr>
      <w:widowControl/>
      <w:adjustRightInd w:val="0"/>
      <w:spacing w:after="120" w:line="312" w:lineRule="atLeast"/>
      <w:textAlignment w:val="baseline"/>
    </w:pPr>
    <w:rPr>
      <w:kern w:val="0"/>
      <w:szCs w:val="21"/>
    </w:rPr>
  </w:style>
  <w:style w:type="paragraph" w:customStyle="1" w:styleId="524">
    <w:name w:val="样式 正文文本缩进 3 + 12 磅 左侧:  2 字符"/>
    <w:basedOn w:val="47"/>
    <w:qFormat/>
    <w:uiPriority w:val="0"/>
    <w:pPr>
      <w:adjustRightInd w:val="0"/>
      <w:spacing w:after="120" w:line="360" w:lineRule="auto"/>
      <w:ind w:firstLine="200"/>
      <w:jc w:val="left"/>
      <w:textAlignment w:val="baseline"/>
    </w:pPr>
    <w:rPr>
      <w:rFonts w:eastAsia="宋体" w:cs="PMingLiU"/>
      <w:b w:val="0"/>
      <w:sz w:val="24"/>
    </w:rPr>
  </w:style>
  <w:style w:type="paragraph" w:customStyle="1" w:styleId="525">
    <w:name w:val="表格2"/>
    <w:basedOn w:val="1"/>
    <w:qFormat/>
    <w:uiPriority w:val="0"/>
    <w:pPr>
      <w:adjustRightInd w:val="0"/>
      <w:spacing w:line="360" w:lineRule="auto"/>
      <w:textAlignment w:val="baseline"/>
    </w:pPr>
    <w:rPr>
      <w:rFonts w:ascii="Calibri" w:hAnsi="Calibri"/>
      <w:kern w:val="0"/>
      <w:sz w:val="24"/>
      <w:szCs w:val="21"/>
    </w:rPr>
  </w:style>
  <w:style w:type="paragraph" w:customStyle="1" w:styleId="526">
    <w:name w:val="CM4"/>
    <w:basedOn w:val="210"/>
    <w:next w:val="210"/>
    <w:qFormat/>
    <w:uiPriority w:val="0"/>
    <w:pPr>
      <w:spacing w:line="566" w:lineRule="atLeast"/>
    </w:pPr>
    <w:rPr>
      <w:rFonts w:ascii="华文中宋" w:eastAsia="华文中宋" w:cs="华文中宋"/>
      <w:color w:val="auto"/>
    </w:rPr>
  </w:style>
  <w:style w:type="paragraph" w:customStyle="1" w:styleId="527">
    <w:name w:val="缩进"/>
    <w:basedOn w:val="1"/>
    <w:qFormat/>
    <w:uiPriority w:val="0"/>
    <w:pPr>
      <w:autoSpaceDE w:val="0"/>
      <w:autoSpaceDN w:val="0"/>
      <w:adjustRightInd w:val="0"/>
      <w:spacing w:line="400" w:lineRule="atLeast"/>
      <w:ind w:firstLine="425"/>
      <w:textAlignment w:val="baseline"/>
    </w:pPr>
    <w:rPr>
      <w:kern w:val="0"/>
      <w:sz w:val="24"/>
      <w:szCs w:val="20"/>
    </w:rPr>
  </w:style>
  <w:style w:type="paragraph" w:customStyle="1" w:styleId="528">
    <w:name w:val="样式 样式 样式 样式 标题 3 + 左侧:  1.5 厘米 首行缩进:  0 厘米 + 行距: 单倍行距 + 段后: 1 行 ...2"/>
    <w:basedOn w:val="1"/>
    <w:qFormat/>
    <w:uiPriority w:val="0"/>
    <w:pPr>
      <w:keepNext/>
      <w:keepLines/>
      <w:adjustRightInd w:val="0"/>
      <w:spacing w:afterLines="100" w:line="312" w:lineRule="atLeast"/>
      <w:textAlignment w:val="baseline"/>
      <w:outlineLvl w:val="3"/>
    </w:pPr>
    <w:rPr>
      <w:rFonts w:ascii="Arial" w:hAnsi="Arial" w:eastAsia="仿宋_GB2312" w:cs="宋体"/>
      <w:kern w:val="0"/>
      <w:sz w:val="28"/>
      <w:szCs w:val="20"/>
    </w:rPr>
  </w:style>
  <w:style w:type="paragraph" w:customStyle="1" w:styleId="529">
    <w:name w:val="目录"/>
    <w:qFormat/>
    <w:uiPriority w:val="0"/>
    <w:pPr>
      <w:jc w:val="center"/>
    </w:pPr>
    <w:rPr>
      <w:rFonts w:ascii="Times New Roman" w:hAnsi="Times New Roman" w:eastAsia="黑体" w:cs="Times New Roman"/>
      <w:b/>
      <w:bCs/>
      <w:kern w:val="44"/>
      <w:sz w:val="32"/>
      <w:szCs w:val="44"/>
      <w:lang w:val="en-US" w:eastAsia="zh-CN" w:bidi="ar-SA"/>
    </w:rPr>
  </w:style>
  <w:style w:type="paragraph" w:customStyle="1" w:styleId="530">
    <w:name w:val="表格头"/>
    <w:basedOn w:val="1"/>
    <w:qFormat/>
    <w:uiPriority w:val="0"/>
    <w:pPr>
      <w:adjustRightInd w:val="0"/>
      <w:spacing w:beforeLines="50" w:line="500" w:lineRule="exact"/>
      <w:jc w:val="center"/>
      <w:textAlignment w:val="baseline"/>
    </w:pPr>
    <w:rPr>
      <w:rFonts w:ascii="黑体" w:hAnsi="宋体" w:eastAsia="黑体"/>
      <w:kern w:val="0"/>
      <w:sz w:val="24"/>
      <w:szCs w:val="20"/>
    </w:rPr>
  </w:style>
  <w:style w:type="paragraph" w:customStyle="1" w:styleId="531">
    <w:name w:val="风玫瑰图"/>
    <w:qFormat/>
    <w:uiPriority w:val="0"/>
    <w:pPr>
      <w:autoSpaceDE w:val="0"/>
      <w:autoSpaceDN w:val="0"/>
      <w:adjustRightInd w:val="0"/>
      <w:snapToGrid w:val="0"/>
      <w:spacing w:line="500" w:lineRule="exact"/>
      <w:ind w:firstLine="539"/>
      <w:textAlignment w:val="baseline"/>
    </w:pPr>
    <w:rPr>
      <w:rFonts w:ascii="Times New Roman" w:hAnsi="Times New Roman" w:eastAsia="楷体_GB2312" w:cs="Times New Roman"/>
      <w:sz w:val="28"/>
      <w:lang w:val="en-US" w:eastAsia="zh-CN" w:bidi="ar-SA"/>
    </w:rPr>
  </w:style>
  <w:style w:type="paragraph" w:customStyle="1" w:styleId="532">
    <w:name w:val="xl24"/>
    <w:basedOn w:val="1"/>
    <w:qFormat/>
    <w:uiPriority w:val="0"/>
    <w:pPr>
      <w:widowControl/>
      <w:pBdr>
        <w:right w:val="single" w:color="auto" w:sz="4" w:space="0"/>
      </w:pBdr>
      <w:adjustRightInd w:val="0"/>
      <w:spacing w:before="100" w:beforeAutospacing="1" w:after="100" w:afterAutospacing="1" w:line="312" w:lineRule="atLeast"/>
      <w:jc w:val="center"/>
      <w:textAlignment w:val="baseline"/>
    </w:pPr>
    <w:rPr>
      <w:rFonts w:ascii="仿宋_GB2312" w:hAnsi="宋体" w:eastAsia="仿宋_GB2312"/>
      <w:kern w:val="0"/>
      <w:szCs w:val="21"/>
    </w:rPr>
  </w:style>
  <w:style w:type="paragraph" w:customStyle="1" w:styleId="533">
    <w:name w:val="样式 标题 2节节标题 1.1H2（一）Underrubrik1prop2Heading 2 HiddenHea...2"/>
    <w:basedOn w:val="3"/>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hAnsi="Times New Roman" w:eastAsia="宋体"/>
      <w:b w:val="0"/>
      <w:bCs/>
      <w:color w:val="000000"/>
      <w:kern w:val="0"/>
      <w:sz w:val="30"/>
      <w:szCs w:val="28"/>
    </w:rPr>
  </w:style>
  <w:style w:type="paragraph" w:customStyle="1" w:styleId="534">
    <w:name w:val="表名"/>
    <w:qFormat/>
    <w:uiPriority w:val="0"/>
    <w:pPr>
      <w:spacing w:before="120" w:line="360" w:lineRule="auto"/>
      <w:jc w:val="center"/>
    </w:pPr>
    <w:rPr>
      <w:rFonts w:ascii="Times New Roman" w:hAnsi="Times New Roman" w:eastAsia="宋体" w:cs="Times New Roman"/>
      <w:b/>
      <w:bCs/>
      <w:kern w:val="2"/>
      <w:sz w:val="21"/>
      <w:szCs w:val="32"/>
      <w:lang w:val="en-US" w:eastAsia="zh-CN" w:bidi="ar-SA"/>
    </w:rPr>
  </w:style>
  <w:style w:type="paragraph" w:customStyle="1" w:styleId="535">
    <w:name w:val="1char"/>
    <w:basedOn w:val="1"/>
    <w:qFormat/>
    <w:uiPriority w:val="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536">
    <w:name w:val="javascript1"/>
    <w:qFormat/>
    <w:uiPriority w:val="0"/>
    <w:rPr>
      <w:rFonts w:ascii="Tahoma" w:hAnsi="Tahoma" w:eastAsia="宋体"/>
      <w:kern w:val="2"/>
      <w:sz w:val="24"/>
      <w:lang w:val="en-US" w:eastAsia="zh-CN"/>
    </w:rPr>
  </w:style>
  <w:style w:type="paragraph" w:customStyle="1" w:styleId="537">
    <w:name w:val="A正文"/>
    <w:basedOn w:val="1"/>
    <w:qFormat/>
    <w:uiPriority w:val="0"/>
    <w:pPr>
      <w:snapToGrid w:val="0"/>
      <w:spacing w:line="500" w:lineRule="exact"/>
      <w:ind w:firstLine="480"/>
    </w:pPr>
    <w:rPr>
      <w:sz w:val="24"/>
    </w:rPr>
  </w:style>
  <w:style w:type="paragraph" w:customStyle="1" w:styleId="538">
    <w:name w:val="1.1.1"/>
    <w:basedOn w:val="1"/>
    <w:qFormat/>
    <w:uiPriority w:val="0"/>
    <w:pPr>
      <w:spacing w:line="360" w:lineRule="auto"/>
      <w:ind w:firstLine="200" w:firstLineChars="200"/>
    </w:pPr>
    <w:rPr>
      <w:rFonts w:ascii="黑体"/>
      <w:sz w:val="24"/>
      <w:szCs w:val="20"/>
    </w:rPr>
  </w:style>
  <w:style w:type="character" w:customStyle="1" w:styleId="539">
    <w:name w:val="尾注文本 字符1"/>
    <w:link w:val="36"/>
    <w:qFormat/>
    <w:uiPriority w:val="99"/>
    <w:rPr>
      <w:sz w:val="21"/>
      <w:lang w:val="zh-CN" w:eastAsia="zh-CN"/>
    </w:rPr>
  </w:style>
  <w:style w:type="paragraph" w:customStyle="1" w:styleId="540">
    <w:name w:val="小表"/>
    <w:basedOn w:val="1"/>
    <w:qFormat/>
    <w:uiPriority w:val="0"/>
    <w:pPr>
      <w:widowControl/>
      <w:tabs>
        <w:tab w:val="left" w:pos="352"/>
      </w:tabs>
      <w:overflowPunct w:val="0"/>
      <w:autoSpaceDE w:val="0"/>
      <w:autoSpaceDN w:val="0"/>
      <w:adjustRightInd w:val="0"/>
      <w:spacing w:line="360" w:lineRule="auto"/>
      <w:ind w:firstLine="200" w:firstLineChars="200"/>
      <w:jc w:val="center"/>
      <w:textAlignment w:val="bottom"/>
    </w:pPr>
    <w:rPr>
      <w:rFonts w:ascii="宋体" w:hAnsi="宋体"/>
      <w:kern w:val="0"/>
      <w:sz w:val="24"/>
      <w:szCs w:val="20"/>
    </w:rPr>
  </w:style>
  <w:style w:type="character" w:customStyle="1" w:styleId="541">
    <w:name w:val="apple-style-span"/>
    <w:qFormat/>
    <w:uiPriority w:val="0"/>
  </w:style>
  <w:style w:type="character" w:customStyle="1" w:styleId="542">
    <w:name w:val="List Paragraph Char"/>
    <w:link w:val="168"/>
    <w:qFormat/>
    <w:locked/>
    <w:uiPriority w:val="0"/>
  </w:style>
  <w:style w:type="paragraph" w:customStyle="1" w:styleId="543">
    <w:name w:val="Char6"/>
    <w:basedOn w:val="1"/>
    <w:qFormat/>
    <w:uiPriority w:val="0"/>
  </w:style>
  <w:style w:type="table" w:customStyle="1" w:styleId="544">
    <w:name w:val="网格型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45">
    <w:name w:val="网格型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46">
    <w:name w:val="Char5"/>
    <w:basedOn w:val="1"/>
    <w:qFormat/>
    <w:uiPriority w:val="0"/>
  </w:style>
  <w:style w:type="table" w:customStyle="1" w:styleId="547">
    <w:name w:val="网格型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48">
    <w:name w:val="Char4"/>
    <w:basedOn w:val="1"/>
    <w:qFormat/>
    <w:uiPriority w:val="0"/>
  </w:style>
  <w:style w:type="paragraph" w:customStyle="1" w:styleId="549">
    <w:name w:val="Char Char Char Char Char Char Char Char Char1 Char Char Char Char"/>
    <w:basedOn w:val="1"/>
    <w:qFormat/>
    <w:uiPriority w:val="0"/>
    <w:rPr>
      <w:sz w:val="24"/>
    </w:rPr>
  </w:style>
  <w:style w:type="paragraph" w:customStyle="1" w:styleId="550">
    <w:name w:val="Char Char Char Char Char Char Char Char Char1 Char Char Char Char1"/>
    <w:basedOn w:val="1"/>
    <w:qFormat/>
    <w:uiPriority w:val="0"/>
    <w:rPr>
      <w:sz w:val="24"/>
    </w:rPr>
  </w:style>
  <w:style w:type="paragraph" w:customStyle="1" w:styleId="551">
    <w:name w:val="新正文"/>
    <w:basedOn w:val="1"/>
    <w:link w:val="552"/>
    <w:qFormat/>
    <w:uiPriority w:val="0"/>
    <w:pPr>
      <w:adjustRightInd w:val="0"/>
      <w:snapToGrid w:val="0"/>
      <w:spacing w:line="480" w:lineRule="exact"/>
      <w:ind w:firstLine="482" w:firstLineChars="200"/>
    </w:pPr>
    <w:rPr>
      <w:rFonts w:ascii="仿宋_GB2312" w:eastAsia="仿宋_GB2312"/>
      <w:kern w:val="0"/>
      <w:sz w:val="20"/>
      <w:szCs w:val="20"/>
      <w:lang w:val="zh-CN"/>
    </w:rPr>
  </w:style>
  <w:style w:type="character" w:customStyle="1" w:styleId="552">
    <w:name w:val="新正文 Char"/>
    <w:link w:val="551"/>
    <w:qFormat/>
    <w:locked/>
    <w:uiPriority w:val="0"/>
    <w:rPr>
      <w:rFonts w:ascii="仿宋_GB2312" w:eastAsia="仿宋_GB2312"/>
      <w:lang w:val="zh-CN" w:eastAsia="zh-CN"/>
    </w:rPr>
  </w:style>
  <w:style w:type="table" w:customStyle="1" w:styleId="553">
    <w:name w:val="网格型1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4">
    <w:name w:val="Char21"/>
    <w:basedOn w:val="1"/>
    <w:qFormat/>
    <w:uiPriority w:val="0"/>
  </w:style>
  <w:style w:type="paragraph" w:customStyle="1" w:styleId="555">
    <w:name w:val="TOC 标题1"/>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556">
    <w:name w:val="网格型5"/>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57">
    <w:name w:val="show-img-bd"/>
    <w:qFormat/>
    <w:uiPriority w:val="0"/>
  </w:style>
  <w:style w:type="character" w:customStyle="1" w:styleId="558">
    <w:name w:val="图 标题 Char"/>
    <w:link w:val="559"/>
    <w:qFormat/>
    <w:uiPriority w:val="0"/>
    <w:rPr>
      <w:b/>
      <w:kern w:val="2"/>
      <w:sz w:val="24"/>
    </w:rPr>
  </w:style>
  <w:style w:type="paragraph" w:customStyle="1" w:styleId="559">
    <w:name w:val="图 标题"/>
    <w:basedOn w:val="1"/>
    <w:link w:val="558"/>
    <w:qFormat/>
    <w:uiPriority w:val="0"/>
    <w:pPr>
      <w:adjustRightInd w:val="0"/>
      <w:snapToGrid w:val="0"/>
      <w:spacing w:line="360" w:lineRule="auto"/>
      <w:jc w:val="center"/>
    </w:pPr>
    <w:rPr>
      <w:b/>
      <w:sz w:val="24"/>
      <w:szCs w:val="20"/>
    </w:rPr>
  </w:style>
  <w:style w:type="character" w:customStyle="1" w:styleId="560">
    <w:name w:val="aa正文 Char"/>
    <w:link w:val="561"/>
    <w:qFormat/>
    <w:uiPriority w:val="0"/>
    <w:rPr>
      <w:sz w:val="24"/>
      <w:szCs w:val="24"/>
    </w:rPr>
  </w:style>
  <w:style w:type="paragraph" w:customStyle="1" w:styleId="561">
    <w:name w:val="aa正文"/>
    <w:basedOn w:val="1"/>
    <w:link w:val="560"/>
    <w:qFormat/>
    <w:uiPriority w:val="0"/>
    <w:pPr>
      <w:spacing w:line="360" w:lineRule="auto"/>
      <w:ind w:firstLine="200" w:firstLineChars="200"/>
    </w:pPr>
    <w:rPr>
      <w:kern w:val="0"/>
      <w:sz w:val="24"/>
    </w:rPr>
  </w:style>
  <w:style w:type="character" w:customStyle="1" w:styleId="562">
    <w:name w:val="words-outer-wrap"/>
    <w:qFormat/>
    <w:uiPriority w:val="0"/>
  </w:style>
  <w:style w:type="character" w:customStyle="1" w:styleId="563">
    <w:name w:val="split-word"/>
    <w:qFormat/>
    <w:uiPriority w:val="0"/>
  </w:style>
  <w:style w:type="paragraph" w:customStyle="1" w:styleId="564">
    <w:name w:val="List Paragraph1"/>
    <w:basedOn w:val="1"/>
    <w:qFormat/>
    <w:uiPriority w:val="0"/>
    <w:pPr>
      <w:widowControl/>
      <w:spacing w:after="160" w:line="259" w:lineRule="auto"/>
      <w:ind w:left="720"/>
      <w:contextualSpacing/>
      <w:jc w:val="left"/>
    </w:pPr>
    <w:rPr>
      <w:rFonts w:ascii="Calibri" w:hAnsi="Calibri"/>
      <w:kern w:val="0"/>
      <w:sz w:val="22"/>
      <w:szCs w:val="22"/>
    </w:rPr>
  </w:style>
  <w:style w:type="character" w:customStyle="1" w:styleId="565">
    <w:name w:val="表格标题 Char"/>
    <w:qFormat/>
    <w:uiPriority w:val="0"/>
    <w:rPr>
      <w:rFonts w:ascii="TimesNewRoman" w:hAnsi="TimesNewRoman"/>
      <w:b/>
      <w:sz w:val="24"/>
    </w:rPr>
  </w:style>
  <w:style w:type="paragraph" w:customStyle="1" w:styleId="566">
    <w:name w:val="Char Char21"/>
    <w:basedOn w:val="1"/>
    <w:qFormat/>
    <w:uiPriority w:val="0"/>
    <w:rPr>
      <w:szCs w:val="21"/>
    </w:rPr>
  </w:style>
  <w:style w:type="paragraph" w:customStyle="1" w:styleId="567">
    <w:name w:val="333333333333333"/>
    <w:basedOn w:val="4"/>
    <w:qFormat/>
    <w:uiPriority w:val="0"/>
    <w:pPr>
      <w:tabs>
        <w:tab w:val="clear" w:pos="567"/>
      </w:tabs>
      <w:spacing w:before="0" w:after="0" w:line="360" w:lineRule="auto"/>
      <w:ind w:left="0" w:firstLine="0"/>
    </w:pPr>
    <w:rPr>
      <w:rFonts w:ascii="宋体" w:hAnsi="宋体" w:eastAsia="宋体" w:cs="宋体"/>
      <w:bCs/>
      <w:sz w:val="28"/>
    </w:rPr>
  </w:style>
  <w:style w:type="paragraph" w:customStyle="1" w:styleId="568">
    <w:name w:val="正文图"/>
    <w:basedOn w:val="1"/>
    <w:qFormat/>
    <w:uiPriority w:val="0"/>
    <w:pPr>
      <w:adjustRightInd w:val="0"/>
      <w:snapToGrid w:val="0"/>
      <w:spacing w:before="40"/>
      <w:jc w:val="center"/>
    </w:pPr>
    <w:rPr>
      <w:rFonts w:hint="eastAsia" w:ascii="宋体"/>
      <w:kern w:val="0"/>
      <w:sz w:val="24"/>
      <w:szCs w:val="20"/>
    </w:rPr>
  </w:style>
  <w:style w:type="paragraph" w:customStyle="1" w:styleId="569">
    <w:name w:val="Default Paragraph Font Para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570">
    <w:name w:val="表的标题 Char"/>
    <w:link w:val="571"/>
    <w:qFormat/>
    <w:uiPriority w:val="0"/>
    <w:rPr>
      <w:rFonts w:eastAsia="黑体" w:cs="宋体"/>
      <w:kern w:val="2"/>
      <w:sz w:val="24"/>
    </w:rPr>
  </w:style>
  <w:style w:type="paragraph" w:customStyle="1" w:styleId="571">
    <w:name w:val="表的标题"/>
    <w:basedOn w:val="1"/>
    <w:next w:val="1"/>
    <w:link w:val="570"/>
    <w:qFormat/>
    <w:uiPriority w:val="0"/>
    <w:pPr>
      <w:adjustRightInd w:val="0"/>
      <w:snapToGrid w:val="0"/>
      <w:spacing w:beforeLines="50"/>
      <w:jc w:val="center"/>
    </w:pPr>
    <w:rPr>
      <w:rFonts w:eastAsia="黑体" w:cs="宋体"/>
      <w:sz w:val="24"/>
      <w:szCs w:val="20"/>
    </w:rPr>
  </w:style>
  <w:style w:type="character" w:customStyle="1" w:styleId="572">
    <w:name w:val="4正文 Char"/>
    <w:link w:val="573"/>
    <w:qFormat/>
    <w:uiPriority w:val="0"/>
    <w:rPr>
      <w:kern w:val="2"/>
      <w:sz w:val="24"/>
    </w:rPr>
  </w:style>
  <w:style w:type="paragraph" w:customStyle="1" w:styleId="573">
    <w:name w:val="4正文"/>
    <w:basedOn w:val="1"/>
    <w:link w:val="572"/>
    <w:qFormat/>
    <w:uiPriority w:val="0"/>
    <w:pPr>
      <w:spacing w:line="360" w:lineRule="auto"/>
      <w:ind w:firstLine="480" w:firstLineChars="200"/>
    </w:pPr>
    <w:rPr>
      <w:sz w:val="24"/>
      <w:szCs w:val="20"/>
    </w:rPr>
  </w:style>
  <w:style w:type="paragraph" w:customStyle="1" w:styleId="574">
    <w:name w:val="目录1"/>
    <w:basedOn w:val="1"/>
    <w:qFormat/>
    <w:uiPriority w:val="0"/>
    <w:pPr>
      <w:tabs>
        <w:tab w:val="left" w:pos="2850"/>
        <w:tab w:val="center" w:pos="4649"/>
      </w:tabs>
      <w:spacing w:line="480" w:lineRule="exact"/>
      <w:jc w:val="center"/>
    </w:pPr>
    <w:rPr>
      <w:rFonts w:ascii="黑体" w:eastAsia="黑体"/>
      <w:sz w:val="36"/>
      <w:szCs w:val="36"/>
    </w:rPr>
  </w:style>
  <w:style w:type="character" w:customStyle="1" w:styleId="575">
    <w:name w:val="Char Char291"/>
    <w:qFormat/>
    <w:uiPriority w:val="0"/>
    <w:rPr>
      <w:rFonts w:eastAsia="宋体"/>
      <w:b/>
      <w:bCs/>
      <w:kern w:val="2"/>
      <w:sz w:val="32"/>
      <w:szCs w:val="32"/>
      <w:lang w:val="en-US" w:eastAsia="zh-CN" w:bidi="ar-SA"/>
    </w:rPr>
  </w:style>
  <w:style w:type="character" w:customStyle="1" w:styleId="576">
    <w:name w:val="Char Char111"/>
    <w:qFormat/>
    <w:uiPriority w:val="0"/>
    <w:rPr>
      <w:rFonts w:ascii="Calibri" w:hAnsi="Tahoma" w:eastAsia="Calibri" w:cs="Tahoma"/>
      <w:kern w:val="2"/>
      <w:sz w:val="21"/>
      <w:szCs w:val="21"/>
      <w:lang w:val="en-US" w:eastAsia="zh-CN" w:bidi="ar-SA"/>
    </w:rPr>
  </w:style>
  <w:style w:type="character" w:customStyle="1" w:styleId="577">
    <w:name w:val="Char Char41"/>
    <w:qFormat/>
    <w:uiPriority w:val="0"/>
    <w:rPr>
      <w:rFonts w:ascii="宋体" w:hAnsi="Courier New" w:eastAsia="宋体"/>
      <w:kern w:val="2"/>
      <w:sz w:val="21"/>
      <w:lang w:val="en-US" w:eastAsia="zh-CN" w:bidi="ar-SA"/>
    </w:rPr>
  </w:style>
  <w:style w:type="character" w:customStyle="1" w:styleId="578">
    <w:name w:val="Char Char91"/>
    <w:qFormat/>
    <w:uiPriority w:val="0"/>
    <w:rPr>
      <w:rFonts w:ascii="宋体" w:hAnsi="宋体" w:eastAsia="宋体"/>
      <w:kern w:val="2"/>
      <w:sz w:val="24"/>
      <w:szCs w:val="24"/>
      <w:lang w:val="en-US" w:eastAsia="zh-CN" w:bidi="ar-SA"/>
    </w:rPr>
  </w:style>
  <w:style w:type="character" w:customStyle="1" w:styleId="579">
    <w:name w:val="正文文本缩进 2 Char2"/>
    <w:semiHidden/>
    <w:qFormat/>
    <w:uiPriority w:val="99"/>
    <w:rPr>
      <w:kern w:val="2"/>
      <w:sz w:val="21"/>
      <w:szCs w:val="24"/>
    </w:rPr>
  </w:style>
  <w:style w:type="character" w:customStyle="1" w:styleId="580">
    <w:name w:val="页脚 Char1"/>
    <w:qFormat/>
    <w:uiPriority w:val="0"/>
    <w:rPr>
      <w:kern w:val="2"/>
      <w:sz w:val="18"/>
      <w:szCs w:val="18"/>
    </w:rPr>
  </w:style>
  <w:style w:type="paragraph" w:customStyle="1" w:styleId="581">
    <w:name w:val="Char Char Char Char Char Char Char2"/>
    <w:basedOn w:val="1"/>
    <w:qFormat/>
    <w:uiPriority w:val="0"/>
    <w:pPr>
      <w:adjustRightInd w:val="0"/>
      <w:spacing w:line="360" w:lineRule="auto"/>
    </w:pPr>
    <w:rPr>
      <w:kern w:val="0"/>
      <w:sz w:val="24"/>
      <w:szCs w:val="20"/>
    </w:rPr>
  </w:style>
  <w:style w:type="character" w:customStyle="1" w:styleId="582">
    <w:name w:val="批注框文本 Char1"/>
    <w:semiHidden/>
    <w:qFormat/>
    <w:uiPriority w:val="99"/>
    <w:rPr>
      <w:kern w:val="2"/>
      <w:sz w:val="18"/>
      <w:szCs w:val="18"/>
    </w:rPr>
  </w:style>
  <w:style w:type="character" w:customStyle="1" w:styleId="583">
    <w:name w:val="正文首行缩进 2 Char1"/>
    <w:semiHidden/>
    <w:qFormat/>
    <w:uiPriority w:val="99"/>
    <w:rPr>
      <w:rFonts w:ascii="Times New Roman" w:hAnsi="Times New Roman" w:eastAsia="宋体" w:cs="Times New Roman"/>
      <w:kern w:val="2"/>
      <w:sz w:val="21"/>
      <w:szCs w:val="24"/>
    </w:rPr>
  </w:style>
  <w:style w:type="paragraph" w:customStyle="1" w:styleId="584">
    <w:name w:val="Char12"/>
    <w:basedOn w:val="1"/>
    <w:qFormat/>
    <w:uiPriority w:val="0"/>
    <w:rPr>
      <w:sz w:val="24"/>
    </w:rPr>
  </w:style>
  <w:style w:type="paragraph" w:customStyle="1" w:styleId="585">
    <w:name w:val="Char22"/>
    <w:basedOn w:val="1"/>
    <w:qFormat/>
    <w:uiPriority w:val="0"/>
    <w:pPr>
      <w:ind w:firstLine="200" w:firstLineChars="200"/>
    </w:pPr>
    <w:rPr>
      <w:rFonts w:ascii="宋体" w:hAnsi="宋体" w:cs="宋体"/>
    </w:rPr>
  </w:style>
  <w:style w:type="paragraph" w:customStyle="1" w:styleId="586">
    <w:name w:val="Char Char Char2"/>
    <w:basedOn w:val="1"/>
    <w:qFormat/>
    <w:uiPriority w:val="0"/>
  </w:style>
  <w:style w:type="paragraph" w:customStyle="1" w:styleId="587">
    <w:name w:val="正文4"/>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588">
    <w:name w:val="正文文本缩进 32"/>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589">
    <w:name w:val="字元 字元1"/>
    <w:basedOn w:val="1"/>
    <w:qFormat/>
    <w:uiPriority w:val="0"/>
    <w:rPr>
      <w:sz w:val="24"/>
    </w:rPr>
  </w:style>
  <w:style w:type="paragraph" w:customStyle="1" w:styleId="590">
    <w:name w:val="Char Char Char Char Char Char1 Char Char Char Char Char Char Char Char Char1"/>
    <w:basedOn w:val="1"/>
    <w:qFormat/>
    <w:uiPriority w:val="0"/>
    <w:rPr>
      <w:sz w:val="24"/>
    </w:rPr>
  </w:style>
  <w:style w:type="paragraph" w:customStyle="1" w:styleId="591">
    <w:name w:val="Char Char Char1 Char1 Char Char Char1"/>
    <w:basedOn w:val="1"/>
    <w:qFormat/>
    <w:uiPriority w:val="0"/>
    <w:pPr>
      <w:spacing w:line="500" w:lineRule="exact"/>
      <w:ind w:firstLine="480" w:firstLineChars="200"/>
    </w:pPr>
    <w:rPr>
      <w:sz w:val="24"/>
      <w:szCs w:val="20"/>
    </w:rPr>
  </w:style>
  <w:style w:type="character" w:customStyle="1" w:styleId="592">
    <w:name w:val="Char Char301"/>
    <w:qFormat/>
    <w:uiPriority w:val="0"/>
    <w:rPr>
      <w:rFonts w:eastAsia="宋体"/>
      <w:b/>
      <w:bCs/>
      <w:kern w:val="2"/>
      <w:sz w:val="21"/>
      <w:szCs w:val="24"/>
      <w:lang w:val="en-US" w:eastAsia="zh-CN" w:bidi="ar-SA"/>
    </w:rPr>
  </w:style>
  <w:style w:type="character" w:customStyle="1" w:styleId="593">
    <w:name w:val="Char Char171"/>
    <w:qFormat/>
    <w:locked/>
    <w:uiPriority w:val="0"/>
    <w:rPr>
      <w:rFonts w:eastAsia="宋体"/>
      <w:b/>
      <w:bCs/>
      <w:kern w:val="2"/>
      <w:sz w:val="32"/>
      <w:szCs w:val="32"/>
      <w:lang w:val="en-US" w:eastAsia="zh-CN" w:bidi="ar-SA"/>
    </w:rPr>
  </w:style>
  <w:style w:type="character" w:customStyle="1" w:styleId="594">
    <w:name w:val="Char Char61"/>
    <w:qFormat/>
    <w:locked/>
    <w:uiPriority w:val="0"/>
    <w:rPr>
      <w:rFonts w:eastAsia="宋体"/>
      <w:kern w:val="2"/>
      <w:sz w:val="21"/>
      <w:szCs w:val="24"/>
      <w:lang w:val="en-US" w:eastAsia="zh-CN" w:bidi="ar-SA"/>
    </w:rPr>
  </w:style>
  <w:style w:type="character" w:customStyle="1" w:styleId="595">
    <w:name w:val="Char Char12"/>
    <w:qFormat/>
    <w:uiPriority w:val="0"/>
    <w:rPr>
      <w:rFonts w:eastAsia="宋体"/>
      <w:kern w:val="2"/>
      <w:sz w:val="18"/>
      <w:szCs w:val="18"/>
      <w:lang w:val="en-US" w:eastAsia="zh-CN" w:bidi="ar-SA"/>
    </w:rPr>
  </w:style>
  <w:style w:type="character" w:customStyle="1" w:styleId="596">
    <w:name w:val="Char Char151"/>
    <w:qFormat/>
    <w:uiPriority w:val="0"/>
    <w:rPr>
      <w:rFonts w:ascii="宋体" w:hAnsi="Courier New" w:eastAsia="宋体"/>
      <w:kern w:val="2"/>
      <w:sz w:val="21"/>
      <w:lang w:val="en-US" w:eastAsia="zh-CN" w:bidi="ar-SA"/>
    </w:rPr>
  </w:style>
  <w:style w:type="character" w:customStyle="1" w:styleId="597">
    <w:name w:val="占位符文本2"/>
    <w:semiHidden/>
    <w:qFormat/>
    <w:uiPriority w:val="99"/>
    <w:rPr>
      <w:rFonts w:cs="Times New Roman"/>
      <w:color w:val="808080"/>
    </w:rPr>
  </w:style>
  <w:style w:type="paragraph" w:customStyle="1" w:styleId="598">
    <w:name w:val="TOC 标题2"/>
    <w:basedOn w:val="2"/>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599">
    <w:name w:val="description"/>
    <w:qFormat/>
    <w:uiPriority w:val="0"/>
  </w:style>
  <w:style w:type="character" w:customStyle="1" w:styleId="600">
    <w:name w:val="Char Char1 Char"/>
    <w:qFormat/>
    <w:uiPriority w:val="0"/>
    <w:rPr>
      <w:rFonts w:ascii="宋体" w:hAnsi="宋体" w:cs="宋体"/>
      <w:kern w:val="2"/>
      <w:sz w:val="24"/>
      <w:szCs w:val="24"/>
    </w:rPr>
  </w:style>
  <w:style w:type="character" w:customStyle="1" w:styleId="601">
    <w:name w:val="5文章(治) Char Char"/>
    <w:link w:val="602"/>
    <w:qFormat/>
    <w:uiPriority w:val="0"/>
    <w:rPr>
      <w:kern w:val="2"/>
      <w:sz w:val="24"/>
    </w:rPr>
  </w:style>
  <w:style w:type="paragraph" w:customStyle="1" w:styleId="602">
    <w:name w:val="5文章(治)"/>
    <w:basedOn w:val="1"/>
    <w:link w:val="601"/>
    <w:qFormat/>
    <w:uiPriority w:val="0"/>
    <w:pPr>
      <w:spacing w:line="360" w:lineRule="auto"/>
      <w:ind w:firstLine="560" w:firstLineChars="200"/>
    </w:pPr>
    <w:rPr>
      <w:sz w:val="24"/>
      <w:szCs w:val="20"/>
    </w:rPr>
  </w:style>
  <w:style w:type="character" w:customStyle="1" w:styleId="603">
    <w:name w:val="bjh-p"/>
    <w:qFormat/>
    <w:uiPriority w:val="0"/>
  </w:style>
  <w:style w:type="paragraph" w:customStyle="1" w:styleId="604">
    <w:name w:val="正文我要"/>
    <w:basedOn w:val="1"/>
    <w:qFormat/>
    <w:uiPriority w:val="0"/>
    <w:pPr>
      <w:tabs>
        <w:tab w:val="left" w:pos="320"/>
        <w:tab w:val="center" w:pos="709"/>
      </w:tabs>
      <w:spacing w:line="360" w:lineRule="auto"/>
      <w:ind w:firstLine="200" w:firstLineChars="200"/>
      <w:jc w:val="left"/>
      <w:textAlignment w:val="baseline"/>
    </w:pPr>
    <w:rPr>
      <w:color w:val="000000"/>
      <w:sz w:val="24"/>
      <w:szCs w:val="21"/>
    </w:rPr>
  </w:style>
  <w:style w:type="character" w:customStyle="1" w:styleId="605">
    <w:name w:val="002"/>
    <w:qFormat/>
    <w:uiPriority w:val="0"/>
    <w:rPr>
      <w:rFonts w:ascii="黑体" w:hAnsi="黑体" w:eastAsia="黑体"/>
      <w:sz w:val="28"/>
    </w:rPr>
  </w:style>
  <w:style w:type="character" w:customStyle="1" w:styleId="606">
    <w:name w:val="表格标题新 Char"/>
    <w:link w:val="607"/>
    <w:qFormat/>
    <w:uiPriority w:val="0"/>
    <w:rPr>
      <w:rFonts w:ascii="仿宋_GB2312" w:eastAsia="黑体"/>
      <w:b/>
      <w:snapToGrid w:val="0"/>
      <w:spacing w:val="4"/>
      <w:sz w:val="24"/>
      <w:szCs w:val="24"/>
    </w:rPr>
  </w:style>
  <w:style w:type="paragraph" w:customStyle="1" w:styleId="607">
    <w:name w:val="表格标题新"/>
    <w:basedOn w:val="154"/>
    <w:link w:val="606"/>
    <w:qFormat/>
    <w:uiPriority w:val="0"/>
    <w:pPr>
      <w:spacing w:before="120" w:beforeLines="50"/>
      <w:ind w:firstLine="562"/>
    </w:pPr>
    <w:rPr>
      <w:rFonts w:ascii="仿宋_GB2312" w:eastAsia="黑体"/>
      <w:b/>
      <w:snapToGrid w:val="0"/>
      <w:spacing w:val="4"/>
      <w:szCs w:val="24"/>
    </w:rPr>
  </w:style>
  <w:style w:type="character" w:customStyle="1" w:styleId="608">
    <w:name w:val="环表头 Char Char"/>
    <w:link w:val="488"/>
    <w:qFormat/>
    <w:uiPriority w:val="0"/>
    <w:rPr>
      <w:rFonts w:ascii="黑体" w:hAnsi="宋体" w:eastAsia="黑体"/>
      <w:iCs/>
      <w:color w:val="000000"/>
      <w:sz w:val="24"/>
      <w:lang w:val="zh-CN" w:eastAsia="zh-CN"/>
    </w:rPr>
  </w:style>
  <w:style w:type="character" w:customStyle="1" w:styleId="609">
    <w:name w:val="书籍标题1"/>
    <w:qFormat/>
    <w:uiPriority w:val="33"/>
    <w:rPr>
      <w:b/>
      <w:bCs/>
      <w:smallCaps/>
      <w:spacing w:val="5"/>
    </w:rPr>
  </w:style>
  <w:style w:type="character" w:customStyle="1" w:styleId="610">
    <w:name w:val="large1"/>
    <w:qFormat/>
    <w:uiPriority w:val="0"/>
    <w:rPr>
      <w:rFonts w:hint="eastAsia" w:ascii="宋体" w:hAnsi="宋体" w:eastAsia="宋体"/>
      <w:sz w:val="22"/>
      <w:szCs w:val="22"/>
    </w:rPr>
  </w:style>
  <w:style w:type="character" w:customStyle="1" w:styleId="611">
    <w:name w:val="fontstyle11"/>
    <w:qFormat/>
    <w:uiPriority w:val="0"/>
    <w:rPr>
      <w:rFonts w:hint="eastAsia" w:ascii="宋体" w:hAnsi="宋体" w:eastAsia="宋体"/>
      <w:color w:val="000000"/>
      <w:sz w:val="22"/>
      <w:szCs w:val="22"/>
    </w:rPr>
  </w:style>
  <w:style w:type="character" w:customStyle="1" w:styleId="612">
    <w:name w:val="3级 Char"/>
    <w:link w:val="613"/>
    <w:qFormat/>
    <w:uiPriority w:val="0"/>
    <w:rPr>
      <w:rFonts w:eastAsia="仿宋_GB2312"/>
      <w:bCs/>
      <w:kern w:val="2"/>
      <w:sz w:val="28"/>
      <w:szCs w:val="32"/>
    </w:rPr>
  </w:style>
  <w:style w:type="paragraph" w:customStyle="1" w:styleId="613">
    <w:name w:val="3级"/>
    <w:basedOn w:val="1"/>
    <w:link w:val="612"/>
    <w:qFormat/>
    <w:uiPriority w:val="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614">
    <w:name w:val="表题前1后0.5行 Char"/>
    <w:link w:val="615"/>
    <w:qFormat/>
    <w:uiPriority w:val="0"/>
    <w:rPr>
      <w:rFonts w:ascii="宋体"/>
      <w:kern w:val="2"/>
      <w:sz w:val="26"/>
      <w:szCs w:val="24"/>
    </w:rPr>
  </w:style>
  <w:style w:type="paragraph" w:customStyle="1" w:styleId="615">
    <w:name w:val="表题前1后0.5行"/>
    <w:basedOn w:val="1"/>
    <w:link w:val="614"/>
    <w:qFormat/>
    <w:uiPriority w:val="0"/>
    <w:pPr>
      <w:keepNext/>
      <w:overflowPunct w:val="0"/>
      <w:topLinePunct/>
      <w:autoSpaceDE w:val="0"/>
      <w:autoSpaceDN w:val="0"/>
      <w:adjustRightInd w:val="0"/>
      <w:spacing w:beforeLines="30" w:afterLines="30"/>
      <w:jc w:val="center"/>
    </w:pPr>
    <w:rPr>
      <w:rFonts w:ascii="宋体"/>
      <w:sz w:val="26"/>
    </w:rPr>
  </w:style>
  <w:style w:type="character" w:customStyle="1" w:styleId="616">
    <w:name w:val="height21"/>
    <w:qFormat/>
    <w:uiPriority w:val="0"/>
    <w:rPr>
      <w:sz w:val="18"/>
      <w:szCs w:val="18"/>
    </w:rPr>
  </w:style>
  <w:style w:type="character" w:customStyle="1" w:styleId="617">
    <w:name w:val="fontstyle21"/>
    <w:qFormat/>
    <w:uiPriority w:val="0"/>
    <w:rPr>
      <w:rFonts w:hint="default" w:ascii="TimesNewRomanPSMT" w:hAnsi="TimesNewRomanPSMT"/>
      <w:color w:val="000000"/>
      <w:sz w:val="28"/>
      <w:szCs w:val="28"/>
    </w:rPr>
  </w:style>
  <w:style w:type="character" w:customStyle="1" w:styleId="618">
    <w:name w:val="正文01 Char Char"/>
    <w:qFormat/>
    <w:uiPriority w:val="0"/>
    <w:rPr>
      <w:kern w:val="2"/>
      <w:sz w:val="24"/>
      <w:szCs w:val="24"/>
    </w:rPr>
  </w:style>
  <w:style w:type="character" w:customStyle="1" w:styleId="619">
    <w:name w:val="fontstyle01"/>
    <w:qFormat/>
    <w:uiPriority w:val="0"/>
    <w:rPr>
      <w:rFonts w:hint="default" w:ascii="Times New Roman" w:hAnsi="Times New Roman" w:cs="Times New Roman"/>
      <w:color w:val="000000"/>
      <w:sz w:val="22"/>
      <w:szCs w:val="22"/>
    </w:rPr>
  </w:style>
  <w:style w:type="paragraph" w:customStyle="1" w:styleId="620">
    <w:name w:val="Char33"/>
    <w:basedOn w:val="1"/>
    <w:qFormat/>
    <w:uiPriority w:val="0"/>
    <w:rPr>
      <w:sz w:val="24"/>
    </w:rPr>
  </w:style>
  <w:style w:type="paragraph" w:customStyle="1" w:styleId="621">
    <w:name w:val="Hu表内"/>
    <w:basedOn w:val="622"/>
    <w:qFormat/>
    <w:uiPriority w:val="0"/>
    <w:rPr>
      <w:sz w:val="24"/>
    </w:rPr>
  </w:style>
  <w:style w:type="paragraph" w:customStyle="1" w:styleId="622">
    <w:name w:val="表内"/>
    <w:basedOn w:val="1"/>
    <w:qFormat/>
    <w:uiPriority w:val="0"/>
    <w:pPr>
      <w:adjustRightInd w:val="0"/>
      <w:spacing w:line="240" w:lineRule="atLeast"/>
      <w:jc w:val="center"/>
      <w:textAlignment w:val="baseline"/>
    </w:pPr>
    <w:rPr>
      <w:rFonts w:ascii="宋体" w:hAnsi="宋体"/>
      <w:kern w:val="0"/>
      <w:szCs w:val="20"/>
    </w:rPr>
  </w:style>
  <w:style w:type="paragraph" w:customStyle="1" w:styleId="623">
    <w:name w:val="中等深浅网格 1 - 强调文字颜色 21"/>
    <w:basedOn w:val="1"/>
    <w:qFormat/>
    <w:uiPriority w:val="34"/>
    <w:pPr>
      <w:ind w:firstLine="420" w:firstLineChars="200"/>
    </w:pPr>
    <w:rPr>
      <w:rFonts w:ascii="Calibri" w:hAnsi="Calibri"/>
      <w:szCs w:val="22"/>
    </w:rPr>
  </w:style>
  <w:style w:type="paragraph" w:customStyle="1" w:styleId="624">
    <w:name w:val="纯文本2"/>
    <w:basedOn w:val="1"/>
    <w:qFormat/>
    <w:uiPriority w:val="0"/>
    <w:pPr>
      <w:adjustRightInd w:val="0"/>
      <w:textAlignment w:val="baseline"/>
    </w:pPr>
    <w:rPr>
      <w:rFonts w:ascii="宋体" w:hAnsi="Courier New" w:eastAsia="仿宋_GB2312"/>
      <w:sz w:val="28"/>
      <w:szCs w:val="28"/>
    </w:rPr>
  </w:style>
  <w:style w:type="paragraph" w:customStyle="1" w:styleId="625">
    <w:name w:val="二级大标题"/>
    <w:basedOn w:val="3"/>
    <w:qFormat/>
    <w:uiPriority w:val="0"/>
    <w:pPr>
      <w:keepNext w:val="0"/>
      <w:keepLines w:val="0"/>
      <w:tabs>
        <w:tab w:val="left" w:pos="720"/>
        <w:tab w:val="clear" w:pos="425"/>
      </w:tabs>
      <w:adjustRightInd w:val="0"/>
      <w:snapToGrid w:val="0"/>
      <w:spacing w:before="0" w:after="0" w:line="360" w:lineRule="auto"/>
    </w:pPr>
    <w:rPr>
      <w:rFonts w:ascii="Times New Roman" w:hAnsi="Times New Roman" w:eastAsia="仿宋_GB2312"/>
      <w:sz w:val="28"/>
      <w:szCs w:val="28"/>
    </w:rPr>
  </w:style>
  <w:style w:type="paragraph" w:customStyle="1" w:styleId="626">
    <w:name w:val="Char Char Char5"/>
    <w:basedOn w:val="1"/>
    <w:qFormat/>
    <w:uiPriority w:val="0"/>
    <w:pPr>
      <w:spacing w:line="360" w:lineRule="auto"/>
    </w:pPr>
    <w:rPr>
      <w:rFonts w:ascii="Tahoma" w:hAnsi="Tahoma"/>
      <w:sz w:val="24"/>
      <w:szCs w:val="20"/>
    </w:rPr>
  </w:style>
  <w:style w:type="paragraph" w:customStyle="1" w:styleId="627">
    <w:name w:val="Char Char1 Char Char Char Char Char Char Char Char Char Char Char Char Char"/>
    <w:basedOn w:val="1"/>
    <w:qFormat/>
    <w:uiPriority w:val="0"/>
    <w:pPr>
      <w:spacing w:line="360" w:lineRule="auto"/>
    </w:pPr>
    <w:rPr>
      <w:rFonts w:ascii="Tahoma" w:hAnsi="Tahoma"/>
      <w:sz w:val="24"/>
      <w:szCs w:val="20"/>
    </w:rPr>
  </w:style>
  <w:style w:type="paragraph" w:customStyle="1" w:styleId="628">
    <w:name w:val="项目编号"/>
    <w:basedOn w:val="1"/>
    <w:next w:val="1"/>
    <w:qFormat/>
    <w:uiPriority w:val="0"/>
    <w:pPr>
      <w:spacing w:before="120" w:after="120" w:line="360" w:lineRule="auto"/>
    </w:pPr>
    <w:rPr>
      <w:rFonts w:ascii="仿宋_GB2312" w:eastAsia="仿宋_GB2312"/>
      <w:sz w:val="24"/>
      <w:szCs w:val="20"/>
    </w:rPr>
  </w:style>
  <w:style w:type="paragraph" w:customStyle="1" w:styleId="629">
    <w:name w:val="默认段落字体 Para Char Char Char Char Char Char Char Char Char Char"/>
    <w:basedOn w:val="4"/>
    <w:qFormat/>
    <w:uiPriority w:val="0"/>
    <w:pPr>
      <w:framePr w:wrap="around" w:vAnchor="margin" w:hAnchor="text" w:yAlign="top"/>
      <w:tabs>
        <w:tab w:val="left" w:pos="360"/>
        <w:tab w:val="left" w:pos="900"/>
        <w:tab w:val="clear" w:pos="567"/>
      </w:tabs>
      <w:snapToGrid w:val="0"/>
      <w:spacing w:line="360" w:lineRule="auto"/>
      <w:ind w:left="542" w:leftChars="-12" w:firstLine="200" w:firstLineChars="200"/>
    </w:pPr>
    <w:rPr>
      <w:rFonts w:ascii="Times New Roman" w:hAnsi="Times New Roman"/>
      <w:snapToGrid w:val="0"/>
      <w:sz w:val="21"/>
    </w:rPr>
  </w:style>
  <w:style w:type="paragraph" w:customStyle="1" w:styleId="630">
    <w:name w:val="表格文字1"/>
    <w:basedOn w:val="1"/>
    <w:qFormat/>
    <w:uiPriority w:val="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631">
    <w:name w:val="标题06"/>
    <w:basedOn w:val="1"/>
    <w:qFormat/>
    <w:uiPriority w:val="0"/>
    <w:pPr>
      <w:adjustRightInd w:val="0"/>
      <w:spacing w:before="2040" w:line="400" w:lineRule="atLeast"/>
      <w:textAlignment w:val="baseline"/>
    </w:pPr>
    <w:rPr>
      <w:rFonts w:eastAsia="黑体"/>
      <w:spacing w:val="10"/>
      <w:kern w:val="0"/>
      <w:sz w:val="28"/>
    </w:rPr>
  </w:style>
  <w:style w:type="paragraph" w:customStyle="1" w:styleId="632">
    <w:name w:val="z-窗体底端1"/>
    <w:basedOn w:val="1"/>
    <w:next w:val="1"/>
    <w:link w:val="633"/>
    <w:qFormat/>
    <w:uiPriority w:val="0"/>
    <w:pPr>
      <w:pBdr>
        <w:top w:val="single" w:color="auto" w:sz="6" w:space="1"/>
      </w:pBdr>
      <w:jc w:val="center"/>
    </w:pPr>
    <w:rPr>
      <w:rFonts w:ascii="Arial"/>
      <w:vanish/>
      <w:sz w:val="16"/>
    </w:rPr>
  </w:style>
  <w:style w:type="character" w:customStyle="1" w:styleId="633">
    <w:name w:val="z-窗体底端 Char"/>
    <w:link w:val="632"/>
    <w:qFormat/>
    <w:uiPriority w:val="0"/>
    <w:rPr>
      <w:rFonts w:ascii="Arial"/>
      <w:vanish/>
      <w:kern w:val="2"/>
      <w:sz w:val="16"/>
      <w:szCs w:val="24"/>
    </w:rPr>
  </w:style>
  <w:style w:type="paragraph" w:customStyle="1" w:styleId="634">
    <w:name w:val="7表格(治)"/>
    <w:qFormat/>
    <w:uiPriority w:val="0"/>
    <w:pPr>
      <w:spacing w:line="240" w:lineRule="exact"/>
      <w:jc w:val="center"/>
    </w:pPr>
    <w:rPr>
      <w:rFonts w:ascii="Times New Roman" w:hAnsi="Times New Roman" w:eastAsia="楷体_GB2312" w:cs="Times New Roman"/>
      <w:sz w:val="21"/>
      <w:lang w:val="en-US" w:eastAsia="zh-CN" w:bidi="ar-SA"/>
    </w:rPr>
  </w:style>
  <w:style w:type="paragraph" w:customStyle="1" w:styleId="635">
    <w:name w:val="Char Char Char Char Char Char Char5"/>
    <w:basedOn w:val="1"/>
    <w:qFormat/>
    <w:uiPriority w:val="0"/>
    <w:rPr>
      <w:sz w:val="24"/>
    </w:rPr>
  </w:style>
  <w:style w:type="paragraph" w:customStyle="1" w:styleId="636">
    <w:name w:val="z-窗体顶端1"/>
    <w:basedOn w:val="1"/>
    <w:next w:val="1"/>
    <w:link w:val="637"/>
    <w:qFormat/>
    <w:uiPriority w:val="0"/>
    <w:pPr>
      <w:pBdr>
        <w:bottom w:val="single" w:color="auto" w:sz="6" w:space="1"/>
      </w:pBdr>
      <w:jc w:val="center"/>
    </w:pPr>
    <w:rPr>
      <w:rFonts w:ascii="Arial"/>
      <w:vanish/>
      <w:sz w:val="16"/>
    </w:rPr>
  </w:style>
  <w:style w:type="character" w:customStyle="1" w:styleId="637">
    <w:name w:val="z-窗体顶端 Char"/>
    <w:link w:val="636"/>
    <w:qFormat/>
    <w:uiPriority w:val="0"/>
    <w:rPr>
      <w:rFonts w:ascii="Arial"/>
      <w:vanish/>
      <w:kern w:val="2"/>
      <w:sz w:val="16"/>
      <w:szCs w:val="24"/>
    </w:rPr>
  </w:style>
  <w:style w:type="paragraph" w:customStyle="1" w:styleId="638">
    <w:name w:val="Char15"/>
    <w:basedOn w:val="1"/>
    <w:qFormat/>
    <w:uiPriority w:val="0"/>
    <w:pPr>
      <w:widowControl/>
      <w:spacing w:line="360" w:lineRule="auto"/>
      <w:ind w:firstLine="200" w:firstLineChars="200"/>
      <w:jc w:val="left"/>
    </w:pPr>
    <w:rPr>
      <w:kern w:val="0"/>
      <w:sz w:val="24"/>
      <w:szCs w:val="20"/>
    </w:rPr>
  </w:style>
  <w:style w:type="paragraph" w:customStyle="1" w:styleId="639">
    <w:name w:val="_Style 5"/>
    <w:basedOn w:val="1"/>
    <w:qFormat/>
    <w:uiPriority w:val="0"/>
  </w:style>
  <w:style w:type="paragraph" w:customStyle="1" w:styleId="640">
    <w:name w:val="日期1"/>
    <w:basedOn w:val="1"/>
    <w:next w:val="1"/>
    <w:qFormat/>
    <w:uiPriority w:val="0"/>
    <w:pPr>
      <w:adjustRightInd w:val="0"/>
      <w:textAlignment w:val="baseline"/>
    </w:pPr>
    <w:rPr>
      <w:sz w:val="28"/>
      <w:szCs w:val="20"/>
    </w:rPr>
  </w:style>
  <w:style w:type="character" w:customStyle="1" w:styleId="641">
    <w:name w:val="4biaoge neibu Char"/>
    <w:link w:val="642"/>
    <w:qFormat/>
    <w:uiPriority w:val="0"/>
    <w:rPr>
      <w:rFonts w:cs="黑体"/>
      <w:kern w:val="2"/>
      <w:sz w:val="21"/>
      <w:szCs w:val="16"/>
    </w:rPr>
  </w:style>
  <w:style w:type="paragraph" w:customStyle="1" w:styleId="642">
    <w:name w:val="4biaoge neibu"/>
    <w:basedOn w:val="1"/>
    <w:link w:val="641"/>
    <w:qFormat/>
    <w:uiPriority w:val="0"/>
    <w:pPr>
      <w:jc w:val="center"/>
    </w:pPr>
    <w:rPr>
      <w:rFonts w:cs="黑体"/>
      <w:szCs w:val="16"/>
    </w:rPr>
  </w:style>
  <w:style w:type="paragraph" w:customStyle="1" w:styleId="643">
    <w:name w:val="图表标题"/>
    <w:basedOn w:val="1"/>
    <w:next w:val="1"/>
    <w:qFormat/>
    <w:uiPriority w:val="0"/>
    <w:pPr>
      <w:spacing w:line="360" w:lineRule="auto"/>
      <w:ind w:firstLine="640" w:firstLineChars="200"/>
      <w:jc w:val="center"/>
    </w:pPr>
    <w:rPr>
      <w:b/>
      <w:bCs/>
    </w:rPr>
  </w:style>
  <w:style w:type="paragraph" w:customStyle="1" w:styleId="644">
    <w:name w:val="1正文"/>
    <w:basedOn w:val="1"/>
    <w:qFormat/>
    <w:uiPriority w:val="0"/>
    <w:pPr>
      <w:widowControl/>
      <w:spacing w:line="360" w:lineRule="auto"/>
      <w:ind w:firstLine="200" w:firstLineChars="200"/>
    </w:pPr>
    <w:rPr>
      <w:kern w:val="0"/>
      <w:sz w:val="24"/>
      <w:szCs w:val="20"/>
      <w:lang w:val="en-GB"/>
    </w:rPr>
  </w:style>
  <w:style w:type="character" w:customStyle="1" w:styleId="645">
    <w:name w:val="doc_title"/>
    <w:qFormat/>
    <w:uiPriority w:val="0"/>
  </w:style>
  <w:style w:type="paragraph" w:customStyle="1" w:styleId="646">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647">
    <w:name w:val="表格内容 Char1"/>
    <w:qFormat/>
    <w:uiPriority w:val="0"/>
    <w:rPr>
      <w:kern w:val="20481"/>
      <w:sz w:val="21"/>
    </w:rPr>
  </w:style>
  <w:style w:type="table" w:customStyle="1" w:styleId="648">
    <w:name w:val="网格型6"/>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49">
    <w:name w:val="标题2"/>
    <w:qFormat/>
    <w:uiPriority w:val="0"/>
  </w:style>
  <w:style w:type="table" w:customStyle="1" w:styleId="650">
    <w:name w:val="表格主题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1">
    <w:name w:val="网格型-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2">
    <w:name w:val="网格型 5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3">
    <w:name w:val="典雅型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654">
    <w:name w:val="网格型 1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5">
    <w:name w:val="网格型4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6">
    <w:name w:val="左右无边框1"/>
    <w:basedOn w:val="60"/>
    <w:qFormat/>
    <w:uiPriority w:val="0"/>
    <w:pPr>
      <w:widowControl w:val="0"/>
      <w:jc w:val="both"/>
    </w:pPr>
    <w:tblPr>
      <w:tblBorders>
        <w:top w:val="single" w:color="auto" w:sz="12" w:space="0"/>
        <w:bottom w:val="single" w:color="auto" w:sz="12" w:space="0"/>
      </w:tblBorders>
    </w:tblPr>
  </w:style>
  <w:style w:type="table" w:customStyle="1" w:styleId="657">
    <w:name w:val="网格型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8">
    <w:name w:val="无左右边框型1"/>
    <w:basedOn w:val="59"/>
    <w:qFormat/>
    <w:uiPriority w:val="0"/>
    <w:pPr>
      <w:widowControl w:val="0"/>
      <w:jc w:val="both"/>
    </w:pPr>
  </w:style>
  <w:style w:type="table" w:customStyle="1" w:styleId="659">
    <w:name w:val="典雅型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0">
    <w:name w:val="左右无边表格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661">
    <w:name w:val="典雅型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2">
    <w:name w:val="网格型2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3">
    <w:name w:val="网格型1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64">
    <w:name w:val="网格型1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65">
    <w:name w:val="网格型1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66">
    <w:name w:val="网格型5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67">
    <w:name w:val="Char32"/>
    <w:basedOn w:val="1"/>
    <w:qFormat/>
    <w:uiPriority w:val="0"/>
    <w:rPr>
      <w:sz w:val="24"/>
    </w:rPr>
  </w:style>
  <w:style w:type="paragraph" w:customStyle="1" w:styleId="668">
    <w:name w:val="纯文本3"/>
    <w:basedOn w:val="1"/>
    <w:qFormat/>
    <w:uiPriority w:val="0"/>
    <w:pPr>
      <w:adjustRightInd w:val="0"/>
      <w:textAlignment w:val="baseline"/>
    </w:pPr>
    <w:rPr>
      <w:rFonts w:ascii="宋体" w:hAnsi="Courier New" w:eastAsia="仿宋_GB2312"/>
      <w:sz w:val="28"/>
      <w:szCs w:val="28"/>
    </w:rPr>
  </w:style>
  <w:style w:type="paragraph" w:customStyle="1" w:styleId="669">
    <w:name w:val="Char Char Char4"/>
    <w:basedOn w:val="1"/>
    <w:qFormat/>
    <w:uiPriority w:val="0"/>
    <w:pPr>
      <w:spacing w:line="360" w:lineRule="auto"/>
    </w:pPr>
    <w:rPr>
      <w:rFonts w:ascii="Tahoma" w:hAnsi="Tahoma"/>
      <w:sz w:val="24"/>
      <w:szCs w:val="20"/>
    </w:rPr>
  </w:style>
  <w:style w:type="paragraph" w:customStyle="1" w:styleId="670">
    <w:name w:val="Char Char1 Char Char Char Char Char Char Char Char Char Char Char Char Char2"/>
    <w:basedOn w:val="1"/>
    <w:qFormat/>
    <w:uiPriority w:val="0"/>
    <w:pPr>
      <w:spacing w:line="360" w:lineRule="auto"/>
    </w:pPr>
    <w:rPr>
      <w:rFonts w:ascii="Tahoma" w:hAnsi="Tahoma"/>
      <w:sz w:val="24"/>
      <w:szCs w:val="20"/>
    </w:rPr>
  </w:style>
  <w:style w:type="paragraph" w:customStyle="1" w:styleId="671">
    <w:name w:val="Char Char Char Char Char Char Char4"/>
    <w:basedOn w:val="1"/>
    <w:qFormat/>
    <w:uiPriority w:val="0"/>
    <w:rPr>
      <w:sz w:val="24"/>
    </w:rPr>
  </w:style>
  <w:style w:type="paragraph" w:customStyle="1" w:styleId="672">
    <w:name w:val="Char14"/>
    <w:basedOn w:val="1"/>
    <w:qFormat/>
    <w:uiPriority w:val="0"/>
    <w:pPr>
      <w:widowControl/>
      <w:spacing w:line="360" w:lineRule="auto"/>
      <w:ind w:firstLine="200" w:firstLineChars="200"/>
      <w:jc w:val="left"/>
    </w:pPr>
    <w:rPr>
      <w:kern w:val="0"/>
      <w:sz w:val="24"/>
      <w:szCs w:val="20"/>
    </w:rPr>
  </w:style>
  <w:style w:type="paragraph" w:customStyle="1" w:styleId="673">
    <w:name w:val="日期2"/>
    <w:basedOn w:val="1"/>
    <w:next w:val="1"/>
    <w:qFormat/>
    <w:uiPriority w:val="0"/>
    <w:pPr>
      <w:adjustRightInd w:val="0"/>
      <w:textAlignment w:val="baseline"/>
    </w:pPr>
    <w:rPr>
      <w:sz w:val="28"/>
      <w:szCs w:val="20"/>
    </w:rPr>
  </w:style>
  <w:style w:type="table" w:customStyle="1" w:styleId="674">
    <w:name w:val="网格型6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5">
    <w:name w:val="网格型7"/>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6">
    <w:name w:val="网格型8"/>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77">
    <w:name w:val="font01"/>
    <w:qFormat/>
    <w:uiPriority w:val="0"/>
    <w:rPr>
      <w:rFonts w:ascii="font-weight : 400" w:hAnsi="font-weight : 400" w:eastAsia="font-weight : 400" w:cs="font-weight : 400"/>
      <w:color w:val="000000"/>
      <w:sz w:val="22"/>
      <w:szCs w:val="22"/>
      <w:u w:val="none"/>
    </w:rPr>
  </w:style>
  <w:style w:type="table" w:customStyle="1" w:styleId="678">
    <w:name w:val="网格型9"/>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679">
    <w:name w:val="Pa17"/>
    <w:basedOn w:val="210"/>
    <w:next w:val="210"/>
    <w:qFormat/>
    <w:uiPriority w:val="99"/>
    <w:pPr>
      <w:spacing w:line="161" w:lineRule="atLeast"/>
    </w:pPr>
    <w:rPr>
      <w:rFonts w:ascii="黑体" w:eastAsia="黑体" w:cs="Times New Roman"/>
      <w:color w:val="auto"/>
    </w:rPr>
  </w:style>
  <w:style w:type="paragraph" w:customStyle="1" w:styleId="680">
    <w:name w:val="Pa29"/>
    <w:basedOn w:val="210"/>
    <w:next w:val="210"/>
    <w:qFormat/>
    <w:uiPriority w:val="99"/>
    <w:pPr>
      <w:spacing w:line="161" w:lineRule="atLeast"/>
    </w:pPr>
    <w:rPr>
      <w:rFonts w:ascii="黑体" w:eastAsia="黑体" w:cs="Times New Roman"/>
      <w:color w:val="auto"/>
    </w:rPr>
  </w:style>
  <w:style w:type="character" w:customStyle="1" w:styleId="681">
    <w:name w:val="A24"/>
    <w:qFormat/>
    <w:uiPriority w:val="99"/>
    <w:rPr>
      <w:rFonts w:ascii="Times New Roman"/>
      <w:i/>
      <w:iCs/>
      <w:color w:val="211D1E"/>
      <w:sz w:val="9"/>
      <w:szCs w:val="9"/>
    </w:rPr>
  </w:style>
  <w:style w:type="character" w:customStyle="1" w:styleId="682">
    <w:name w:val="A25"/>
    <w:qFormat/>
    <w:uiPriority w:val="99"/>
    <w:rPr>
      <w:rFonts w:ascii="FZShuSong-Z01" w:eastAsia="FZShuSong-Z01" w:cs="FZShuSong-Z01"/>
      <w:color w:val="211D1E"/>
      <w:sz w:val="20"/>
      <w:szCs w:val="20"/>
    </w:rPr>
  </w:style>
  <w:style w:type="character" w:customStyle="1" w:styleId="683">
    <w:name w:val="HTML 预设格式 字符"/>
    <w:qFormat/>
    <w:locked/>
    <w:uiPriority w:val="99"/>
    <w:rPr>
      <w:rFonts w:ascii="Arial" w:hAnsi="Arial" w:cs="Arial"/>
      <w:sz w:val="23"/>
      <w:szCs w:val="23"/>
    </w:rPr>
  </w:style>
  <w:style w:type="character" w:customStyle="1" w:styleId="684">
    <w:name w:val="标题 1 字符"/>
    <w:qFormat/>
    <w:uiPriority w:val="0"/>
    <w:rPr>
      <w:rFonts w:eastAsia="宋体"/>
      <w:b/>
      <w:bCs/>
      <w:kern w:val="2"/>
      <w:sz w:val="24"/>
      <w:szCs w:val="24"/>
      <w:lang w:val="en-US" w:eastAsia="zh-CN" w:bidi="ar-SA"/>
    </w:rPr>
  </w:style>
  <w:style w:type="character" w:customStyle="1" w:styleId="685">
    <w:name w:val="标题 3 字符"/>
    <w:qFormat/>
    <w:uiPriority w:val="0"/>
    <w:rPr>
      <w:rFonts w:eastAsia="宋体"/>
      <w:b/>
      <w:bCs/>
      <w:kern w:val="2"/>
      <w:sz w:val="32"/>
      <w:szCs w:val="32"/>
      <w:lang w:val="en-US" w:eastAsia="zh-CN" w:bidi="ar-SA"/>
    </w:rPr>
  </w:style>
  <w:style w:type="character" w:customStyle="1" w:styleId="686">
    <w:name w:val="标题 7 字符"/>
    <w:qFormat/>
    <w:locked/>
    <w:uiPriority w:val="0"/>
    <w:rPr>
      <w:rFonts w:eastAsia="仿宋_GB2312"/>
      <w:b/>
      <w:sz w:val="24"/>
      <w:szCs w:val="24"/>
    </w:rPr>
  </w:style>
  <w:style w:type="character" w:customStyle="1" w:styleId="687">
    <w:name w:val="尾注文本 字符"/>
    <w:qFormat/>
    <w:uiPriority w:val="99"/>
    <w:rPr>
      <w:sz w:val="21"/>
    </w:rPr>
  </w:style>
  <w:style w:type="character" w:customStyle="1" w:styleId="688">
    <w:name w:val="标题 8 字符"/>
    <w:qFormat/>
    <w:locked/>
    <w:uiPriority w:val="0"/>
    <w:rPr>
      <w:rFonts w:ascii="Arial" w:hAnsi="Arial" w:eastAsia="黑体"/>
      <w:bCs/>
      <w:sz w:val="24"/>
      <w:szCs w:val="24"/>
    </w:rPr>
  </w:style>
  <w:style w:type="character" w:customStyle="1" w:styleId="689">
    <w:name w:val="正文缩进 字符"/>
    <w:qFormat/>
    <w:uiPriority w:val="0"/>
    <w:rPr>
      <w:rFonts w:eastAsia="宋体"/>
      <w:kern w:val="2"/>
      <w:sz w:val="28"/>
      <w:szCs w:val="21"/>
      <w:lang w:val="en-US" w:eastAsia="zh-CN" w:bidi="ar-SA"/>
    </w:rPr>
  </w:style>
  <w:style w:type="character" w:customStyle="1" w:styleId="690">
    <w:name w:val="副标题 字符"/>
    <w:qFormat/>
    <w:uiPriority w:val="0"/>
    <w:rPr>
      <w:rFonts w:ascii="Cambria" w:hAnsi="Cambria" w:eastAsia="宋体"/>
      <w:sz w:val="21"/>
      <w:szCs w:val="24"/>
      <w:lang w:val="en-US" w:eastAsia="en-US" w:bidi="en-US"/>
    </w:rPr>
  </w:style>
  <w:style w:type="character" w:customStyle="1" w:styleId="691">
    <w:name w:val="正文文本 2 字符"/>
    <w:qFormat/>
    <w:locked/>
    <w:uiPriority w:val="99"/>
    <w:rPr>
      <w:rFonts w:eastAsia="宋体"/>
      <w:kern w:val="2"/>
      <w:sz w:val="24"/>
      <w:szCs w:val="24"/>
      <w:lang w:val="en-US" w:eastAsia="zh-CN" w:bidi="ar-SA"/>
    </w:rPr>
  </w:style>
  <w:style w:type="character" w:customStyle="1" w:styleId="692">
    <w:name w:val="正文文本缩进 2 字符"/>
    <w:qFormat/>
    <w:uiPriority w:val="0"/>
    <w:rPr>
      <w:rFonts w:eastAsia="宋体"/>
      <w:kern w:val="2"/>
      <w:sz w:val="21"/>
      <w:szCs w:val="24"/>
      <w:lang w:val="en-US" w:eastAsia="zh-CN" w:bidi="ar-SA"/>
    </w:rPr>
  </w:style>
  <w:style w:type="character" w:customStyle="1" w:styleId="693">
    <w:name w:val="z-窗体底端 字符"/>
    <w:qFormat/>
    <w:uiPriority w:val="0"/>
    <w:rPr>
      <w:rFonts w:ascii="Arial"/>
      <w:vanish/>
      <w:kern w:val="2"/>
      <w:sz w:val="16"/>
      <w:szCs w:val="24"/>
    </w:rPr>
  </w:style>
  <w:style w:type="character" w:customStyle="1" w:styleId="694">
    <w:name w:val="注释标题 字符"/>
    <w:qFormat/>
    <w:uiPriority w:val="0"/>
    <w:rPr>
      <w:rFonts w:ascii="宋体" w:eastAsia="宋体"/>
      <w:kern w:val="2"/>
      <w:sz w:val="21"/>
      <w:lang w:val="en-US" w:eastAsia="zh-CN" w:bidi="ar-SA"/>
    </w:rPr>
  </w:style>
  <w:style w:type="character" w:customStyle="1" w:styleId="695">
    <w:name w:val="标题 2 字符"/>
    <w:qFormat/>
    <w:uiPriority w:val="0"/>
    <w:rPr>
      <w:rFonts w:eastAsia="宋体"/>
      <w:b/>
      <w:bCs/>
      <w:kern w:val="2"/>
      <w:sz w:val="21"/>
      <w:szCs w:val="24"/>
      <w:lang w:val="en-US" w:eastAsia="zh-CN" w:bidi="ar-SA"/>
    </w:rPr>
  </w:style>
  <w:style w:type="character" w:customStyle="1" w:styleId="696">
    <w:name w:val="标题 字符"/>
    <w:qFormat/>
    <w:uiPriority w:val="0"/>
    <w:rPr>
      <w:rFonts w:ascii="Cambria" w:hAnsi="Cambria"/>
      <w:b/>
      <w:bCs/>
      <w:kern w:val="2"/>
      <w:sz w:val="32"/>
      <w:szCs w:val="32"/>
    </w:rPr>
  </w:style>
  <w:style w:type="character" w:customStyle="1" w:styleId="697">
    <w:name w:val="正文文本首行缩进 2 字符"/>
    <w:qFormat/>
    <w:locked/>
    <w:uiPriority w:val="0"/>
    <w:rPr>
      <w:rFonts w:eastAsia="宋体"/>
      <w:kern w:val="2"/>
      <w:sz w:val="21"/>
      <w:szCs w:val="24"/>
      <w:lang w:val="en-US" w:eastAsia="zh-CN" w:bidi="ar-SA"/>
    </w:rPr>
  </w:style>
  <w:style w:type="character" w:customStyle="1" w:styleId="698">
    <w:name w:val="标题 4 字符"/>
    <w:qFormat/>
    <w:locked/>
    <w:uiPriority w:val="0"/>
    <w:rPr>
      <w:rFonts w:ascii="Arial" w:hAnsi="Arial" w:eastAsia="黑体"/>
      <w:b/>
      <w:bCs/>
      <w:kern w:val="2"/>
      <w:sz w:val="28"/>
      <w:szCs w:val="28"/>
      <w:lang w:val="en-US" w:eastAsia="zh-CN" w:bidi="ar-SA"/>
    </w:rPr>
  </w:style>
  <w:style w:type="character" w:customStyle="1" w:styleId="699">
    <w:name w:val="标题 9 字符"/>
    <w:qFormat/>
    <w:locked/>
    <w:uiPriority w:val="0"/>
    <w:rPr>
      <w:rFonts w:ascii="Arial" w:hAnsi="Arial" w:eastAsia="黑体"/>
      <w:bCs/>
      <w:sz w:val="24"/>
      <w:szCs w:val="24"/>
    </w:rPr>
  </w:style>
  <w:style w:type="character" w:customStyle="1" w:styleId="700">
    <w:name w:val="文档结构图 字符"/>
    <w:qFormat/>
    <w:locked/>
    <w:uiPriority w:val="99"/>
    <w:rPr>
      <w:kern w:val="2"/>
      <w:sz w:val="21"/>
      <w:szCs w:val="24"/>
      <w:shd w:val="clear" w:color="auto" w:fill="000080"/>
    </w:rPr>
  </w:style>
  <w:style w:type="character" w:customStyle="1" w:styleId="701">
    <w:name w:val="正文文本缩进 3 字符"/>
    <w:qFormat/>
    <w:locked/>
    <w:uiPriority w:val="0"/>
    <w:rPr>
      <w:rFonts w:eastAsia="宋体"/>
      <w:kern w:val="2"/>
      <w:sz w:val="16"/>
      <w:szCs w:val="16"/>
      <w:lang w:val="en-US" w:eastAsia="zh-CN" w:bidi="ar-SA"/>
    </w:rPr>
  </w:style>
  <w:style w:type="character" w:customStyle="1" w:styleId="702">
    <w:name w:val="纯文本 字符"/>
    <w:qFormat/>
    <w:uiPriority w:val="0"/>
    <w:rPr>
      <w:rFonts w:ascii="宋体" w:hAnsi="Courier New" w:eastAsia="宋体" w:cs="Courier New"/>
      <w:kern w:val="2"/>
      <w:sz w:val="21"/>
      <w:szCs w:val="21"/>
      <w:lang w:val="en-US" w:eastAsia="zh-CN" w:bidi="ar-SA"/>
    </w:rPr>
  </w:style>
  <w:style w:type="character" w:customStyle="1" w:styleId="703">
    <w:name w:val="正文文本 3 字符"/>
    <w:qFormat/>
    <w:locked/>
    <w:uiPriority w:val="99"/>
    <w:rPr>
      <w:rFonts w:ascii="宋体" w:hAnsi="宋体" w:eastAsia="宋体"/>
      <w:kern w:val="2"/>
      <w:sz w:val="16"/>
      <w:szCs w:val="16"/>
      <w:lang w:val="en-US" w:eastAsia="zh-CN" w:bidi="ar-SA"/>
    </w:rPr>
  </w:style>
  <w:style w:type="character" w:customStyle="1" w:styleId="704">
    <w:name w:val="标题 6 字符"/>
    <w:qFormat/>
    <w:locked/>
    <w:uiPriority w:val="0"/>
    <w:rPr>
      <w:rFonts w:ascii="Arial" w:hAnsi="Arial" w:eastAsia="黑体"/>
      <w:b/>
      <w:sz w:val="24"/>
      <w:szCs w:val="24"/>
    </w:rPr>
  </w:style>
  <w:style w:type="character" w:customStyle="1" w:styleId="705">
    <w:name w:val="标题 5 字符"/>
    <w:qFormat/>
    <w:locked/>
    <w:uiPriority w:val="0"/>
    <w:rPr>
      <w:rFonts w:eastAsia="宋体"/>
      <w:b/>
      <w:bCs/>
      <w:kern w:val="2"/>
      <w:sz w:val="28"/>
      <w:szCs w:val="28"/>
      <w:lang w:val="en-US" w:eastAsia="zh-CN" w:bidi="ar-SA"/>
    </w:rPr>
  </w:style>
  <w:style w:type="character" w:customStyle="1" w:styleId="706">
    <w:name w:val="正文文本首行缩进 字符"/>
    <w:qFormat/>
    <w:locked/>
    <w:uiPriority w:val="99"/>
    <w:rPr>
      <w:kern w:val="2"/>
      <w:sz w:val="21"/>
      <w:szCs w:val="24"/>
    </w:rPr>
  </w:style>
  <w:style w:type="character" w:customStyle="1" w:styleId="707">
    <w:name w:val="z-窗体顶端 字符"/>
    <w:qFormat/>
    <w:uiPriority w:val="0"/>
    <w:rPr>
      <w:rFonts w:ascii="Arial"/>
      <w:vanish/>
      <w:kern w:val="2"/>
      <w:sz w:val="16"/>
      <w:szCs w:val="24"/>
    </w:rPr>
  </w:style>
  <w:style w:type="table" w:customStyle="1" w:styleId="708">
    <w:name w:val="网格型 11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09">
    <w:name w:val="典雅型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10">
    <w:name w:val="网格型 51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1">
    <w:name w:val="典雅型2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2">
    <w:name w:val="典雅型1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3">
    <w:name w:val="MFS表格"/>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character" w:customStyle="1" w:styleId="714">
    <w:name w:val="标题 5 字符1"/>
    <w:qFormat/>
    <w:locked/>
    <w:uiPriority w:val="0"/>
    <w:rPr>
      <w:rFonts w:eastAsia="宋体"/>
      <w:b/>
      <w:bCs/>
      <w:kern w:val="2"/>
      <w:sz w:val="28"/>
      <w:szCs w:val="28"/>
      <w:lang w:val="en-US" w:eastAsia="zh-CN" w:bidi="ar-SA"/>
    </w:rPr>
  </w:style>
  <w:style w:type="character" w:customStyle="1" w:styleId="715">
    <w:name w:val="纯文本 字符1"/>
    <w:qFormat/>
    <w:uiPriority w:val="0"/>
    <w:rPr>
      <w:rFonts w:ascii="宋体" w:hAnsi="Courier New" w:eastAsia="宋体" w:cs="Courier New"/>
      <w:kern w:val="2"/>
      <w:sz w:val="21"/>
      <w:szCs w:val="21"/>
      <w:lang w:val="en-US" w:eastAsia="zh-CN" w:bidi="ar-SA"/>
    </w:rPr>
  </w:style>
  <w:style w:type="table" w:customStyle="1" w:styleId="716">
    <w:name w:val="王新建"/>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character" w:customStyle="1" w:styleId="717">
    <w:name w:val="font141"/>
    <w:qFormat/>
    <w:uiPriority w:val="0"/>
    <w:rPr>
      <w:rFonts w:hint="default" w:ascii="Times New Roman" w:hAnsi="Times New Roman" w:cs="Times New Roman"/>
      <w:b/>
      <w:color w:val="000000"/>
      <w:sz w:val="21"/>
      <w:szCs w:val="21"/>
      <w:u w:val="none"/>
    </w:rPr>
  </w:style>
  <w:style w:type="character" w:customStyle="1" w:styleId="718">
    <w:name w:val="font91"/>
    <w:qFormat/>
    <w:uiPriority w:val="0"/>
    <w:rPr>
      <w:rFonts w:hint="eastAsia" w:ascii="宋体" w:hAnsi="宋体" w:eastAsia="宋体" w:cs="宋体"/>
      <w:color w:val="000000"/>
      <w:sz w:val="18"/>
      <w:szCs w:val="18"/>
      <w:u w:val="none"/>
    </w:rPr>
  </w:style>
  <w:style w:type="character" w:customStyle="1" w:styleId="719">
    <w:name w:val="font31"/>
    <w:qFormat/>
    <w:uiPriority w:val="0"/>
    <w:rPr>
      <w:rFonts w:hint="eastAsia" w:ascii="宋体" w:hAnsi="宋体" w:eastAsia="宋体" w:cs="宋体"/>
      <w:color w:val="000000"/>
      <w:sz w:val="21"/>
      <w:szCs w:val="21"/>
      <w:u w:val="none"/>
    </w:rPr>
  </w:style>
  <w:style w:type="character" w:customStyle="1" w:styleId="720">
    <w:name w:val="标题 1 Char Char"/>
    <w:qFormat/>
    <w:uiPriority w:val="0"/>
    <w:rPr>
      <w:rFonts w:eastAsia="宋体"/>
      <w:b/>
      <w:bCs/>
      <w:kern w:val="44"/>
      <w:sz w:val="44"/>
      <w:szCs w:val="44"/>
      <w:lang w:val="en-US" w:eastAsia="zh-CN" w:bidi="ar-SA"/>
    </w:rPr>
  </w:style>
  <w:style w:type="character" w:customStyle="1" w:styleId="721">
    <w:name w:val="font21"/>
    <w:basedOn w:val="64"/>
    <w:qFormat/>
    <w:uiPriority w:val="0"/>
    <w:rPr>
      <w:rFonts w:hint="default" w:ascii="Times New Roman" w:hAnsi="Times New Roman" w:cs="Times New Roman"/>
      <w:color w:val="000000"/>
      <w:sz w:val="21"/>
      <w:szCs w:val="21"/>
      <w:u w:val="none"/>
      <w:vertAlign w:val="superscript"/>
    </w:rPr>
  </w:style>
  <w:style w:type="character" w:customStyle="1" w:styleId="722">
    <w:name w:val="font71"/>
    <w:qFormat/>
    <w:uiPriority w:val="0"/>
    <w:rPr>
      <w:rFonts w:hint="default" w:ascii="Times New Roman" w:hAnsi="Times New Roman" w:cs="Times New Roman"/>
      <w:color w:val="000000"/>
      <w:sz w:val="21"/>
      <w:szCs w:val="21"/>
      <w:u w:val="none"/>
      <w:vertAlign w:val="subscript"/>
    </w:rPr>
  </w:style>
  <w:style w:type="character" w:customStyle="1" w:styleId="723">
    <w:name w:val="font41"/>
    <w:qFormat/>
    <w:uiPriority w:val="0"/>
    <w:rPr>
      <w:rFonts w:hint="eastAsia" w:ascii="宋体" w:hAnsi="宋体" w:eastAsia="宋体" w:cs="宋体"/>
      <w:color w:val="000000"/>
      <w:sz w:val="18"/>
      <w:szCs w:val="18"/>
      <w:u w:val="none"/>
    </w:rPr>
  </w:style>
  <w:style w:type="character" w:customStyle="1" w:styleId="724">
    <w:name w:val="font51"/>
    <w:qFormat/>
    <w:uiPriority w:val="0"/>
    <w:rPr>
      <w:rFonts w:hint="default" w:ascii="Times New Roman" w:hAnsi="Times New Roman" w:cs="Times New Roman"/>
      <w:color w:val="000000"/>
      <w:sz w:val="21"/>
      <w:szCs w:val="21"/>
      <w:u w:val="none"/>
    </w:rPr>
  </w:style>
  <w:style w:type="character" w:customStyle="1" w:styleId="725">
    <w:name w:val="font101"/>
    <w:qFormat/>
    <w:uiPriority w:val="0"/>
    <w:rPr>
      <w:rFonts w:hint="default" w:ascii="Times New Roman" w:hAnsi="Times New Roman" w:cs="Times New Roman"/>
      <w:color w:val="000000"/>
      <w:sz w:val="18"/>
      <w:szCs w:val="18"/>
      <w:u w:val="none"/>
    </w:rPr>
  </w:style>
  <w:style w:type="character" w:customStyle="1" w:styleId="726">
    <w:name w:val="font131"/>
    <w:qFormat/>
    <w:uiPriority w:val="0"/>
    <w:rPr>
      <w:rFonts w:hint="eastAsia" w:ascii="宋体" w:hAnsi="宋体" w:eastAsia="宋体" w:cs="宋体"/>
      <w:b/>
      <w:color w:val="000000"/>
      <w:sz w:val="21"/>
      <w:szCs w:val="21"/>
      <w:u w:val="none"/>
    </w:rPr>
  </w:style>
  <w:style w:type="character" w:customStyle="1" w:styleId="727">
    <w:name w:val="2号标题 Char Char"/>
    <w:qFormat/>
    <w:uiPriority w:val="0"/>
    <w:rPr>
      <w:rFonts w:ascii="Arial" w:hAnsi="Arial" w:eastAsia="宋体"/>
      <w:b/>
      <w:bCs/>
      <w:kern w:val="2"/>
      <w:sz w:val="28"/>
      <w:szCs w:val="32"/>
      <w:lang w:val="en-US" w:eastAsia="zh-CN" w:bidi="ar-SA"/>
    </w:rPr>
  </w:style>
  <w:style w:type="character" w:customStyle="1" w:styleId="728">
    <w:name w:val="标题 3 Char Char Char Char Char Char"/>
    <w:qFormat/>
    <w:uiPriority w:val="0"/>
    <w:rPr>
      <w:rFonts w:eastAsia="宋体"/>
      <w:b/>
      <w:bCs/>
      <w:kern w:val="2"/>
      <w:sz w:val="32"/>
      <w:szCs w:val="32"/>
      <w:lang w:val="en-US" w:eastAsia="zh-CN" w:bidi="ar-SA"/>
    </w:rPr>
  </w:style>
  <w:style w:type="character" w:customStyle="1" w:styleId="729">
    <w:name w:val="font121"/>
    <w:qFormat/>
    <w:uiPriority w:val="0"/>
    <w:rPr>
      <w:rFonts w:hint="eastAsia" w:ascii="宋体" w:hAnsi="宋体" w:eastAsia="宋体" w:cs="宋体"/>
      <w:color w:val="000000"/>
      <w:sz w:val="21"/>
      <w:szCs w:val="21"/>
      <w:u w:val="none"/>
    </w:rPr>
  </w:style>
  <w:style w:type="character" w:customStyle="1" w:styleId="730">
    <w:name w:val="font11"/>
    <w:basedOn w:val="64"/>
    <w:qFormat/>
    <w:uiPriority w:val="0"/>
    <w:rPr>
      <w:rFonts w:hint="default" w:ascii="Times New Roman" w:hAnsi="Times New Roman" w:cs="Times New Roman"/>
      <w:color w:val="000000"/>
      <w:sz w:val="21"/>
      <w:szCs w:val="21"/>
      <w:u w:val="none"/>
      <w:vertAlign w:val="subscript"/>
    </w:rPr>
  </w:style>
  <w:style w:type="paragraph" w:customStyle="1" w:styleId="731">
    <w:name w:val="WPSOffice手动目录 1"/>
    <w:qFormat/>
    <w:uiPriority w:val="0"/>
    <w:rPr>
      <w:rFonts w:ascii="Times New Roman" w:hAnsi="Times New Roman" w:eastAsia="宋体" w:cs="Times New Roman"/>
      <w:lang w:val="en-US" w:eastAsia="zh-CN" w:bidi="ar-SA"/>
    </w:rPr>
  </w:style>
  <w:style w:type="paragraph" w:customStyle="1" w:styleId="732">
    <w:name w:val="B2"/>
    <w:qFormat/>
    <w:uiPriority w:val="0"/>
    <w:pPr>
      <w:widowControl w:val="0"/>
      <w:spacing w:line="48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33">
    <w:name w:val="正文 首行缩进:  2 字符"/>
    <w:basedOn w:val="1"/>
    <w:qFormat/>
    <w:uiPriority w:val="0"/>
    <w:pPr>
      <w:ind w:firstLine="579" w:firstLineChars="200"/>
    </w:pPr>
    <w:rPr>
      <w:rFonts w:cs="宋体"/>
      <w:szCs w:val="20"/>
    </w:rPr>
  </w:style>
  <w:style w:type="paragraph" w:customStyle="1" w:styleId="734">
    <w:name w:val="默认 A"/>
    <w:qFormat/>
    <w:uiPriority w:val="0"/>
    <w:rPr>
      <w:rFonts w:ascii="Helvetica" w:hAnsi="Helvetica" w:eastAsia="Arial Unicode MS" w:cs="Arial Unicode MS"/>
      <w:color w:val="000000"/>
      <w:sz w:val="22"/>
      <w:szCs w:val="22"/>
      <w:lang w:val="en-US" w:eastAsia="zh-CN" w:bidi="ar-SA"/>
    </w:rPr>
  </w:style>
  <w:style w:type="paragraph" w:customStyle="1" w:styleId="735">
    <w:name w:val="正文王"/>
    <w:basedOn w:val="31"/>
    <w:qFormat/>
    <w:uiPriority w:val="0"/>
    <w:pPr>
      <w:spacing w:line="440" w:lineRule="exact"/>
    </w:pPr>
    <w:rPr>
      <w:rFonts w:ascii="Arial" w:hAnsi="Arial"/>
      <w:sz w:val="24"/>
    </w:rPr>
  </w:style>
  <w:style w:type="paragraph" w:customStyle="1" w:styleId="736">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737">
    <w:name w:val="一级目录 1"/>
    <w:basedOn w:val="1"/>
    <w:qFormat/>
    <w:uiPriority w:val="0"/>
    <w:pPr>
      <w:jc w:val="center"/>
    </w:pPr>
    <w:rPr>
      <w:rFonts w:eastAsia="黑体"/>
      <w:b/>
      <w:sz w:val="36"/>
      <w:szCs w:val="36"/>
    </w:rPr>
  </w:style>
  <w:style w:type="paragraph" w:customStyle="1" w:styleId="738">
    <w:name w:val="正文文本缩进1"/>
    <w:basedOn w:val="1"/>
    <w:qFormat/>
    <w:uiPriority w:val="0"/>
    <w:pPr>
      <w:spacing w:beforeLines="50" w:afterLines="50" w:line="360" w:lineRule="auto"/>
      <w:ind w:firstLine="480" w:firstLineChars="200"/>
    </w:pPr>
    <w:rPr>
      <w:rFonts w:ascii="Arial" w:hAnsi="Arial" w:cs="Arial"/>
      <w:sz w:val="24"/>
    </w:rPr>
  </w:style>
  <w:style w:type="paragraph" w:customStyle="1" w:styleId="739">
    <w:name w:val="1号标题"/>
    <w:basedOn w:val="1"/>
    <w:qFormat/>
    <w:uiPriority w:val="0"/>
    <w:pPr>
      <w:pageBreakBefore/>
      <w:spacing w:before="150" w:beforeLines="150" w:after="100" w:afterLines="100" w:line="360" w:lineRule="auto"/>
      <w:jc w:val="center"/>
      <w:outlineLvl w:val="0"/>
    </w:pPr>
    <w:rPr>
      <w:rFonts w:eastAsia="黑体" w:cs="Arial"/>
      <w:b/>
      <w:sz w:val="36"/>
    </w:rPr>
  </w:style>
  <w:style w:type="paragraph" w:customStyle="1" w:styleId="740">
    <w:name w:val="本文格式"/>
    <w:qFormat/>
    <w:uiPriority w:val="0"/>
    <w:pPr>
      <w:widowControl w:val="0"/>
      <w:spacing w:line="360" w:lineRule="exact"/>
      <w:ind w:firstLine="476"/>
      <w:jc w:val="both"/>
    </w:pPr>
    <w:rPr>
      <w:rFonts w:ascii="Arial Unicode MS" w:hAnsi="Arial Unicode MS" w:eastAsia="Arial Unicode MS" w:cs="Arial Unicode MS"/>
      <w:color w:val="000000"/>
      <w:sz w:val="24"/>
      <w:szCs w:val="24"/>
      <w:lang w:val="en-US" w:eastAsia="zh-CN" w:bidi="ar-SA"/>
    </w:rPr>
  </w:style>
  <w:style w:type="paragraph" w:customStyle="1" w:styleId="741">
    <w:name w:val="11111111111"/>
    <w:basedOn w:val="1"/>
    <w:qFormat/>
    <w:uiPriority w:val="0"/>
    <w:pPr>
      <w:spacing w:line="480" w:lineRule="exact"/>
      <w:ind w:firstLine="643" w:firstLineChars="200"/>
      <w:jc w:val="center"/>
    </w:pPr>
    <w:rPr>
      <w:rFonts w:eastAsia="黑体"/>
      <w:b/>
      <w:bCs/>
      <w:color w:val="000000"/>
      <w:sz w:val="44"/>
    </w:rPr>
  </w:style>
  <w:style w:type="paragraph" w:customStyle="1" w:styleId="742">
    <w:name w:val="33333333"/>
    <w:basedOn w:val="1"/>
    <w:qFormat/>
    <w:uiPriority w:val="0"/>
    <w:pPr>
      <w:spacing w:line="500" w:lineRule="exact"/>
    </w:pPr>
    <w:rPr>
      <w:sz w:val="28"/>
      <w:szCs w:val="28"/>
    </w:rPr>
  </w:style>
  <w:style w:type="paragraph" w:customStyle="1" w:styleId="743">
    <w:name w:val="表内格式"/>
    <w:basedOn w:val="1"/>
    <w:qFormat/>
    <w:uiPriority w:val="0"/>
    <w:pPr>
      <w:jc w:val="center"/>
    </w:pPr>
    <w:rPr>
      <w:sz w:val="18"/>
    </w:rPr>
  </w:style>
  <w:style w:type="paragraph" w:customStyle="1" w:styleId="744">
    <w:name w:val="_Style 158"/>
    <w:basedOn w:val="1"/>
    <w:next w:val="1"/>
    <w:qFormat/>
    <w:uiPriority w:val="0"/>
    <w:rPr>
      <w:sz w:val="24"/>
    </w:rPr>
  </w:style>
  <w:style w:type="paragraph" w:customStyle="1" w:styleId="745">
    <w:name w:val="22222"/>
    <w:basedOn w:val="1"/>
    <w:qFormat/>
    <w:uiPriority w:val="0"/>
    <w:pPr>
      <w:spacing w:before="240" w:beforeLines="100" w:line="360" w:lineRule="auto"/>
      <w:jc w:val="left"/>
      <w:outlineLvl w:val="1"/>
    </w:pPr>
    <w:rPr>
      <w:rFonts w:ascii="黑体" w:eastAsia="黑体"/>
      <w:b/>
      <w:sz w:val="30"/>
      <w:szCs w:val="30"/>
    </w:rPr>
  </w:style>
  <w:style w:type="paragraph" w:customStyle="1" w:styleId="74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47">
    <w:name w:val="君邦正文"/>
    <w:qFormat/>
    <w:uiPriority w:val="0"/>
    <w:pPr>
      <w:widowControl w:val="0"/>
      <w:adjustRightInd w:val="0"/>
      <w:spacing w:after="60" w:line="360" w:lineRule="auto"/>
      <w:ind w:firstLine="480" w:firstLineChars="200"/>
      <w:jc w:val="both"/>
      <w:textAlignment w:val="baseline"/>
    </w:pPr>
    <w:rPr>
      <w:rFonts w:ascii="Times New Roman" w:hAnsi="Times New Roman" w:eastAsia="Times New Roman" w:cs="Times New Roman"/>
      <w:bCs/>
      <w:snapToGrid w:val="0"/>
      <w:sz w:val="24"/>
      <w:szCs w:val="22"/>
      <w:lang w:val="en-US" w:eastAsia="zh-CN" w:bidi="ar-SA"/>
    </w:rPr>
  </w:style>
  <w:style w:type="paragraph" w:customStyle="1" w:styleId="748">
    <w:name w:val="Normal_144"/>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49">
    <w:name w:val="1级标题"/>
    <w:basedOn w:val="2"/>
    <w:qFormat/>
    <w:uiPriority w:val="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750">
    <w:name w:val="样式 首行缩进:  1.04 厘米"/>
    <w:qFormat/>
    <w:uiPriority w:val="0"/>
    <w:pPr>
      <w:widowControl w:val="0"/>
      <w:spacing w:line="360" w:lineRule="auto"/>
    </w:pPr>
    <w:rPr>
      <w:rFonts w:ascii="Times New Roman" w:hAnsi="Times New Roman" w:eastAsia="Arial Unicode MS" w:cs="Arial Unicode MS"/>
      <w:color w:val="000000"/>
      <w:sz w:val="24"/>
      <w:szCs w:val="24"/>
      <w:lang w:val="en-US" w:eastAsia="zh-CN" w:bidi="ar-SA"/>
    </w:rPr>
  </w:style>
  <w:style w:type="paragraph" w:customStyle="1" w:styleId="751">
    <w:name w:val="表内小410"/>
    <w:basedOn w:val="1"/>
    <w:qFormat/>
    <w:uiPriority w:val="0"/>
    <w:pPr>
      <w:adjustRightInd w:val="0"/>
      <w:snapToGrid w:val="0"/>
      <w:ind w:left="240" w:hanging="240"/>
    </w:pPr>
    <w:rPr>
      <w:rFonts w:ascii="宋体" w:hAnsi="Times"/>
      <w:sz w:val="24"/>
      <w:szCs w:val="20"/>
    </w:rPr>
  </w:style>
  <w:style w:type="paragraph" w:customStyle="1" w:styleId="752">
    <w:name w:val="表头样式1"/>
    <w:basedOn w:val="1"/>
    <w:qFormat/>
    <w:uiPriority w:val="0"/>
    <w:pPr>
      <w:spacing w:before="156" w:beforeLines="50"/>
      <w:jc w:val="center"/>
    </w:pPr>
    <w:rPr>
      <w:rFonts w:eastAsia="黑体"/>
      <w:b/>
      <w:kern w:val="0"/>
      <w:sz w:val="24"/>
      <w:szCs w:val="20"/>
    </w:rPr>
  </w:style>
  <w:style w:type="paragraph" w:customStyle="1" w:styleId="753">
    <w:name w:val="3级标题"/>
    <w:basedOn w:val="4"/>
    <w:qFormat/>
    <w:uiPriority w:val="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754">
    <w:name w:val="reader-word-layer reader-word-s48-8"/>
    <w:basedOn w:val="1"/>
    <w:qFormat/>
    <w:uiPriority w:val="0"/>
    <w:pPr>
      <w:widowControl/>
      <w:spacing w:before="100" w:beforeAutospacing="1" w:after="100" w:afterAutospacing="1"/>
      <w:jc w:val="left"/>
    </w:pPr>
    <w:rPr>
      <w:rFonts w:ascii="宋体" w:hAnsi="宋体" w:cs="宋体"/>
      <w:kern w:val="0"/>
      <w:sz w:val="24"/>
    </w:rPr>
  </w:style>
  <w:style w:type="paragraph" w:customStyle="1" w:styleId="755">
    <w:name w:val="正文小四"/>
    <w:basedOn w:val="1"/>
    <w:qFormat/>
    <w:uiPriority w:val="0"/>
    <w:pPr>
      <w:adjustRightInd w:val="0"/>
      <w:snapToGrid w:val="0"/>
      <w:spacing w:line="360" w:lineRule="auto"/>
      <w:ind w:firstLine="482" w:firstLineChars="200"/>
      <w:textAlignment w:val="baseline"/>
    </w:pPr>
    <w:rPr>
      <w:kern w:val="0"/>
      <w:sz w:val="24"/>
      <w:szCs w:val="20"/>
    </w:rPr>
  </w:style>
  <w:style w:type="character" w:customStyle="1" w:styleId="756">
    <w:name w:val="标题3"/>
    <w:qFormat/>
    <w:uiPriority w:val="0"/>
  </w:style>
  <w:style w:type="table" w:customStyle="1" w:styleId="757">
    <w:name w:val="表格主题3"/>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58">
    <w:name w:val="网格型-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59">
    <w:name w:val="网格型 5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0">
    <w:name w:val="典雅型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61">
    <w:name w:val="网格型 13"/>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2">
    <w:name w:val="网格型4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3">
    <w:name w:val="左右无边框2"/>
    <w:basedOn w:val="60"/>
    <w:qFormat/>
    <w:uiPriority w:val="0"/>
    <w:pPr>
      <w:widowControl w:val="0"/>
      <w:jc w:val="both"/>
    </w:pPr>
    <w:tblPr>
      <w:tblBorders>
        <w:top w:val="single" w:color="auto" w:sz="12" w:space="0"/>
        <w:bottom w:val="single" w:color="auto" w:sz="12" w:space="0"/>
      </w:tblBorders>
    </w:tblPr>
  </w:style>
  <w:style w:type="table" w:customStyle="1" w:styleId="764">
    <w:name w:val="网格型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5">
    <w:name w:val="无左右边框型2"/>
    <w:basedOn w:val="59"/>
    <w:qFormat/>
    <w:uiPriority w:val="0"/>
    <w:pPr>
      <w:widowControl w:val="0"/>
      <w:jc w:val="both"/>
    </w:pPr>
  </w:style>
  <w:style w:type="table" w:customStyle="1" w:styleId="766">
    <w:name w:val="典雅型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67">
    <w:name w:val="左右无边表格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768">
    <w:name w:val="典雅型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69">
    <w:name w:val="网格型2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0">
    <w:name w:val="网格型1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1">
    <w:name w:val="网格型1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2">
    <w:name w:val="网格型1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3">
    <w:name w:val="网格型5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74">
    <w:name w:val="Char31"/>
    <w:basedOn w:val="1"/>
    <w:qFormat/>
    <w:uiPriority w:val="0"/>
    <w:rPr>
      <w:sz w:val="24"/>
    </w:rPr>
  </w:style>
  <w:style w:type="paragraph" w:customStyle="1" w:styleId="775">
    <w:name w:val="纯文本4"/>
    <w:basedOn w:val="1"/>
    <w:qFormat/>
    <w:uiPriority w:val="0"/>
    <w:pPr>
      <w:adjustRightInd w:val="0"/>
      <w:textAlignment w:val="baseline"/>
    </w:pPr>
    <w:rPr>
      <w:rFonts w:ascii="宋体" w:hAnsi="Courier New" w:eastAsia="仿宋_GB2312"/>
      <w:sz w:val="28"/>
      <w:szCs w:val="28"/>
    </w:rPr>
  </w:style>
  <w:style w:type="paragraph" w:customStyle="1" w:styleId="776">
    <w:name w:val="Char Char Char3"/>
    <w:basedOn w:val="1"/>
    <w:qFormat/>
    <w:uiPriority w:val="0"/>
    <w:pPr>
      <w:spacing w:line="360" w:lineRule="auto"/>
    </w:pPr>
    <w:rPr>
      <w:rFonts w:ascii="Tahoma" w:hAnsi="Tahoma"/>
      <w:sz w:val="24"/>
      <w:szCs w:val="20"/>
    </w:rPr>
  </w:style>
  <w:style w:type="paragraph" w:customStyle="1" w:styleId="777">
    <w:name w:val="Char Char1 Char Char Char Char Char Char Char Char Char Char Char Char Char1"/>
    <w:basedOn w:val="1"/>
    <w:qFormat/>
    <w:uiPriority w:val="0"/>
    <w:pPr>
      <w:spacing w:line="360" w:lineRule="auto"/>
    </w:pPr>
    <w:rPr>
      <w:rFonts w:ascii="Tahoma" w:hAnsi="Tahoma"/>
      <w:sz w:val="24"/>
      <w:szCs w:val="20"/>
    </w:rPr>
  </w:style>
  <w:style w:type="paragraph" w:customStyle="1" w:styleId="778">
    <w:name w:val="Char Char Char Char Char Char Char3"/>
    <w:basedOn w:val="1"/>
    <w:qFormat/>
    <w:uiPriority w:val="0"/>
    <w:rPr>
      <w:sz w:val="24"/>
    </w:rPr>
  </w:style>
  <w:style w:type="paragraph" w:customStyle="1" w:styleId="779">
    <w:name w:val="Char13"/>
    <w:basedOn w:val="1"/>
    <w:qFormat/>
    <w:uiPriority w:val="0"/>
    <w:pPr>
      <w:widowControl/>
      <w:spacing w:line="360" w:lineRule="auto"/>
      <w:ind w:firstLine="200" w:firstLineChars="200"/>
      <w:jc w:val="left"/>
    </w:pPr>
    <w:rPr>
      <w:kern w:val="0"/>
      <w:sz w:val="24"/>
      <w:szCs w:val="20"/>
    </w:rPr>
  </w:style>
  <w:style w:type="paragraph" w:customStyle="1" w:styleId="780">
    <w:name w:val="日期3"/>
    <w:basedOn w:val="1"/>
    <w:next w:val="1"/>
    <w:qFormat/>
    <w:uiPriority w:val="0"/>
    <w:pPr>
      <w:adjustRightInd w:val="0"/>
      <w:textAlignment w:val="baseline"/>
    </w:pPr>
    <w:rPr>
      <w:sz w:val="28"/>
      <w:szCs w:val="20"/>
    </w:rPr>
  </w:style>
  <w:style w:type="table" w:customStyle="1" w:styleId="781">
    <w:name w:val="网格型6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2">
    <w:name w:val="网格型7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3">
    <w:name w:val="网格型81"/>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84">
    <w:name w:val="网格型91"/>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85">
    <w:name w:val="网格型 11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86">
    <w:name w:val="典雅型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87">
    <w:name w:val="网格型 51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88">
    <w:name w:val="典雅型2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89">
    <w:name w:val="典雅型1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0">
    <w:name w:val="MFS表格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791">
    <w:name w:val="王新建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792">
    <w:name w:val="表格主题4"/>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3">
    <w:name w:val="网格型-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4">
    <w:name w:val="网格型 53"/>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5">
    <w:name w:val="典雅型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96">
    <w:name w:val="网格型 14"/>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7">
    <w:name w:val="网格型4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8">
    <w:name w:val="左右无边框3"/>
    <w:basedOn w:val="60"/>
    <w:qFormat/>
    <w:uiPriority w:val="0"/>
    <w:pPr>
      <w:widowControl w:val="0"/>
      <w:jc w:val="both"/>
    </w:pPr>
    <w:tblPr>
      <w:tblBorders>
        <w:top w:val="single" w:color="auto" w:sz="12" w:space="0"/>
        <w:bottom w:val="single" w:color="auto" w:sz="12" w:space="0"/>
      </w:tblBorders>
    </w:tblPr>
  </w:style>
  <w:style w:type="table" w:customStyle="1" w:styleId="799">
    <w:name w:val="网格型33"/>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0">
    <w:name w:val="无左右边框型3"/>
    <w:basedOn w:val="59"/>
    <w:qFormat/>
    <w:uiPriority w:val="0"/>
    <w:pPr>
      <w:widowControl w:val="0"/>
      <w:jc w:val="both"/>
    </w:pPr>
  </w:style>
  <w:style w:type="table" w:customStyle="1" w:styleId="801">
    <w:name w:val="典雅型2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2">
    <w:name w:val="左右无边表格3"/>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03">
    <w:name w:val="典雅型1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4">
    <w:name w:val="网格型23"/>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5">
    <w:name w:val="网格型11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06">
    <w:name w:val="网格型12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07">
    <w:name w:val="网格型133"/>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08">
    <w:name w:val="网格型53"/>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9">
    <w:name w:val="网格型63"/>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0">
    <w:name w:val="网格型7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1">
    <w:name w:val="网格型82"/>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2">
    <w:name w:val="网格型92"/>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3">
    <w:name w:val="网格型 113"/>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4">
    <w:name w:val="典雅型3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15">
    <w:name w:val="网格型 513"/>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6">
    <w:name w:val="典雅型21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7">
    <w:name w:val="典雅型113"/>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18">
    <w:name w:val="MFS表格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19">
    <w:name w:val="王新建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820">
    <w:name w:val="TOC 标题3"/>
    <w:basedOn w:val="2"/>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821">
    <w:name w:val="网格型 15"/>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822">
    <w:name w:val="网格型-5"/>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3">
    <w:name w:val="表格主题5"/>
    <w:basedOn w:val="5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4">
    <w:name w:val="ylf1"/>
    <w:basedOn w:val="60"/>
    <w:qFormat/>
    <w:uiPriority w:val="99"/>
    <w:pPr>
      <w:widowControl w:val="0"/>
      <w:jc w:val="center"/>
    </w:pPr>
    <w:rPr>
      <w:sz w:val="21"/>
      <w:szCs w:val="21"/>
    </w:rPr>
    <w:tblPr>
      <w:tblBorders>
        <w:top w:val="single" w:color="auto" w:sz="12" w:space="0"/>
        <w:bottom w:val="single" w:color="auto" w:sz="12" w:space="0"/>
      </w:tblBorders>
    </w:tblPr>
  </w:style>
  <w:style w:type="table" w:customStyle="1" w:styleId="825">
    <w:name w:val="表格主题1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6">
    <w:name w:val="网格型-1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7">
    <w:name w:val="网格型 54"/>
    <w:basedOn w:val="58"/>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8">
    <w:name w:val="典雅型6"/>
    <w:basedOn w:val="58"/>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29">
    <w:name w:val="网格型 114"/>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0">
    <w:name w:val="网格型4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1">
    <w:name w:val="左右无边框4"/>
    <w:basedOn w:val="60"/>
    <w:qFormat/>
    <w:uiPriority w:val="0"/>
    <w:pPr>
      <w:widowControl w:val="0"/>
      <w:jc w:val="both"/>
    </w:pPr>
    <w:tblPr>
      <w:tblBorders>
        <w:top w:val="single" w:color="auto" w:sz="12" w:space="0"/>
        <w:bottom w:val="single" w:color="auto" w:sz="12" w:space="0"/>
      </w:tblBorders>
    </w:tblPr>
  </w:style>
  <w:style w:type="table" w:customStyle="1" w:styleId="832">
    <w:name w:val="网格型34"/>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3">
    <w:name w:val="无左右边框型4"/>
    <w:basedOn w:val="59"/>
    <w:qFormat/>
    <w:uiPriority w:val="0"/>
    <w:pPr>
      <w:widowControl w:val="0"/>
      <w:jc w:val="both"/>
    </w:pPr>
  </w:style>
  <w:style w:type="table" w:customStyle="1" w:styleId="834">
    <w:name w:val="典雅型2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5">
    <w:name w:val="左右无边表格4"/>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36">
    <w:name w:val="典雅型1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7">
    <w:name w:val="网格型24"/>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8">
    <w:name w:val="网格型114"/>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39">
    <w:name w:val="网格型124"/>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0">
    <w:name w:val="网格型134"/>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1">
    <w:name w:val="网格型54"/>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2">
    <w:name w:val="网格型64"/>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3">
    <w:name w:val="表格主题2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4">
    <w:name w:val="网格型-2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5">
    <w:name w:val="网格型 514"/>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46">
    <w:name w:val="典雅型3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47">
    <w:name w:val="网格型 12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48">
    <w:name w:val="网格型41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9">
    <w:name w:val="左右无边框11"/>
    <w:basedOn w:val="60"/>
    <w:qFormat/>
    <w:uiPriority w:val="0"/>
    <w:pPr>
      <w:widowControl w:val="0"/>
      <w:jc w:val="both"/>
    </w:pPr>
    <w:tblPr>
      <w:tblBorders>
        <w:top w:val="single" w:color="auto" w:sz="12" w:space="0"/>
        <w:bottom w:val="single" w:color="auto" w:sz="12" w:space="0"/>
      </w:tblBorders>
    </w:tblPr>
  </w:style>
  <w:style w:type="table" w:customStyle="1" w:styleId="850">
    <w:name w:val="网格型31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1">
    <w:name w:val="无左右边框型11"/>
    <w:basedOn w:val="59"/>
    <w:qFormat/>
    <w:uiPriority w:val="0"/>
    <w:pPr>
      <w:widowControl w:val="0"/>
      <w:jc w:val="both"/>
    </w:pPr>
  </w:style>
  <w:style w:type="table" w:customStyle="1" w:styleId="852">
    <w:name w:val="典雅型21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3">
    <w:name w:val="左右无边表格1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54">
    <w:name w:val="典雅型114"/>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5">
    <w:name w:val="网格型21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6">
    <w:name w:val="网格型11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57">
    <w:name w:val="网格型12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58">
    <w:name w:val="网格型131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59">
    <w:name w:val="网格型51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0">
    <w:name w:val="网格型61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1">
    <w:name w:val="网格型73"/>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2">
    <w:name w:val="网格型83"/>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3">
    <w:name w:val="网格型93"/>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4">
    <w:name w:val="网格型 111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5">
    <w:name w:val="典雅型3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66">
    <w:name w:val="网格型 511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7">
    <w:name w:val="典雅型21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8">
    <w:name w:val="典雅型111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69">
    <w:name w:val="MFS表格3"/>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70">
    <w:name w:val="王新建3"/>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71">
    <w:name w:val="表格主题3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2">
    <w:name w:val="网格型-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3">
    <w:name w:val="网格型 52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4">
    <w:name w:val="典雅型4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5">
    <w:name w:val="网格型 13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6">
    <w:name w:val="网格型42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7">
    <w:name w:val="左右无边框21"/>
    <w:basedOn w:val="60"/>
    <w:qFormat/>
    <w:uiPriority w:val="0"/>
    <w:pPr>
      <w:widowControl w:val="0"/>
      <w:jc w:val="both"/>
    </w:pPr>
    <w:tblPr>
      <w:tblBorders>
        <w:top w:val="single" w:color="auto" w:sz="12" w:space="0"/>
        <w:bottom w:val="single" w:color="auto" w:sz="12" w:space="0"/>
      </w:tblBorders>
    </w:tblPr>
  </w:style>
  <w:style w:type="table" w:customStyle="1" w:styleId="878">
    <w:name w:val="网格型32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9">
    <w:name w:val="无左右边框型21"/>
    <w:basedOn w:val="59"/>
    <w:qFormat/>
    <w:uiPriority w:val="0"/>
    <w:pPr>
      <w:widowControl w:val="0"/>
      <w:jc w:val="both"/>
    </w:pPr>
  </w:style>
  <w:style w:type="table" w:customStyle="1" w:styleId="880">
    <w:name w:val="典雅型2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1">
    <w:name w:val="左右无边表格2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82">
    <w:name w:val="典雅型1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3">
    <w:name w:val="网格型22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4">
    <w:name w:val="网格型11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85">
    <w:name w:val="网格型12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86">
    <w:name w:val="网格型132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87">
    <w:name w:val="网格型52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8">
    <w:name w:val="网格型62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9">
    <w:name w:val="网格型71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0">
    <w:name w:val="网格型811"/>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1">
    <w:name w:val="网格型911"/>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2">
    <w:name w:val="网格型 112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3">
    <w:name w:val="典雅型3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94">
    <w:name w:val="网格型 512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5">
    <w:name w:val="典雅型21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6">
    <w:name w:val="典雅型112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97">
    <w:name w:val="MFS表格1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98">
    <w:name w:val="王新建1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99">
    <w:name w:val="表格主题4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0">
    <w:name w:val="网格型-4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1">
    <w:name w:val="网格型 53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2">
    <w:name w:val="典雅型5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3">
    <w:name w:val="网格型 14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4">
    <w:name w:val="网格型4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5">
    <w:name w:val="左右无边框31"/>
    <w:basedOn w:val="60"/>
    <w:qFormat/>
    <w:uiPriority w:val="0"/>
    <w:pPr>
      <w:widowControl w:val="0"/>
      <w:jc w:val="both"/>
    </w:pPr>
    <w:tblPr>
      <w:tblBorders>
        <w:top w:val="single" w:color="auto" w:sz="12" w:space="0"/>
        <w:bottom w:val="single" w:color="auto" w:sz="12" w:space="0"/>
      </w:tblBorders>
    </w:tblPr>
  </w:style>
  <w:style w:type="table" w:customStyle="1" w:styleId="906">
    <w:name w:val="网格型331"/>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7">
    <w:name w:val="无左右边框型31"/>
    <w:basedOn w:val="59"/>
    <w:qFormat/>
    <w:uiPriority w:val="0"/>
    <w:pPr>
      <w:widowControl w:val="0"/>
      <w:jc w:val="both"/>
    </w:pPr>
  </w:style>
  <w:style w:type="table" w:customStyle="1" w:styleId="908">
    <w:name w:val="典雅型2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9">
    <w:name w:val="左右无边表格31"/>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10">
    <w:name w:val="典雅型1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1">
    <w:name w:val="网格型231"/>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2">
    <w:name w:val="网格型11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3">
    <w:name w:val="网格型12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4">
    <w:name w:val="网格型1331"/>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5">
    <w:name w:val="网格型531"/>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6">
    <w:name w:val="网格型631"/>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7">
    <w:name w:val="网格型721"/>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8">
    <w:name w:val="网格型821"/>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9">
    <w:name w:val="网格型921"/>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0">
    <w:name w:val="网格型 1131"/>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1">
    <w:name w:val="典雅型3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22">
    <w:name w:val="网格型 5131"/>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3">
    <w:name w:val="典雅型21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4">
    <w:name w:val="典雅型1131"/>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5">
    <w:name w:val="MFS表格2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26">
    <w:name w:val="王新建2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927">
    <w:name w:val="正文_34"/>
    <w:qFormat/>
    <w:uiPriority w:val="0"/>
    <w:pPr>
      <w:widowControl w:val="0"/>
      <w:jc w:val="both"/>
    </w:pPr>
    <w:rPr>
      <w:rFonts w:ascii="Calibri" w:hAnsi="Calibri" w:eastAsia="宋体" w:cs="Times New Roman"/>
      <w:kern w:val="2"/>
      <w:sz w:val="21"/>
      <w:lang w:val="en-US" w:eastAsia="zh-CN" w:bidi="ar-SA"/>
    </w:rPr>
  </w:style>
  <w:style w:type="table" w:customStyle="1" w:styleId="928">
    <w:name w:val="网格型 16"/>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929">
    <w:name w:val="网格型-6"/>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0">
    <w:name w:val="表格主题6"/>
    <w:basedOn w:val="5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1">
    <w:name w:val="ylf2"/>
    <w:basedOn w:val="60"/>
    <w:qFormat/>
    <w:uiPriority w:val="99"/>
    <w:pPr>
      <w:widowControl w:val="0"/>
      <w:jc w:val="center"/>
    </w:pPr>
    <w:rPr>
      <w:sz w:val="21"/>
      <w:szCs w:val="21"/>
    </w:rPr>
    <w:tblPr>
      <w:tblBorders>
        <w:top w:val="single" w:color="auto" w:sz="12" w:space="0"/>
        <w:bottom w:val="single" w:color="auto" w:sz="12" w:space="0"/>
      </w:tblBorders>
    </w:tblPr>
  </w:style>
  <w:style w:type="table" w:customStyle="1" w:styleId="932">
    <w:name w:val="表格主题1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3">
    <w:name w:val="网格型-1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4">
    <w:name w:val="网格型 55"/>
    <w:basedOn w:val="58"/>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5">
    <w:name w:val="典雅型7"/>
    <w:basedOn w:val="58"/>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36">
    <w:name w:val="网格型 115"/>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7">
    <w:name w:val="网格型45"/>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8">
    <w:name w:val="左右无边框5"/>
    <w:basedOn w:val="60"/>
    <w:qFormat/>
    <w:uiPriority w:val="0"/>
    <w:pPr>
      <w:widowControl w:val="0"/>
      <w:jc w:val="both"/>
    </w:pPr>
    <w:tblPr>
      <w:tblBorders>
        <w:top w:val="single" w:color="auto" w:sz="12" w:space="0"/>
        <w:bottom w:val="single" w:color="auto" w:sz="12" w:space="0"/>
      </w:tblBorders>
    </w:tblPr>
  </w:style>
  <w:style w:type="table" w:customStyle="1" w:styleId="939">
    <w:name w:val="网格型35"/>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0">
    <w:name w:val="无左右边框型5"/>
    <w:basedOn w:val="59"/>
    <w:qFormat/>
    <w:uiPriority w:val="0"/>
    <w:pPr>
      <w:widowControl w:val="0"/>
      <w:jc w:val="both"/>
    </w:pPr>
  </w:style>
  <w:style w:type="table" w:customStyle="1" w:styleId="941">
    <w:name w:val="典雅型2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2">
    <w:name w:val="左右无边表格5"/>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43">
    <w:name w:val="典雅型1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4">
    <w:name w:val="网格型25"/>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5">
    <w:name w:val="网格型115"/>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46">
    <w:name w:val="网格型125"/>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47">
    <w:name w:val="网格型135"/>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48">
    <w:name w:val="网格型55"/>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9">
    <w:name w:val="网格型65"/>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0">
    <w:name w:val="表格主题2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1">
    <w:name w:val="网格型-2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2">
    <w:name w:val="网格型 515"/>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3">
    <w:name w:val="典雅型3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54">
    <w:name w:val="网格型 12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5">
    <w:name w:val="网格型41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6">
    <w:name w:val="左右无边框12"/>
    <w:basedOn w:val="60"/>
    <w:qFormat/>
    <w:uiPriority w:val="0"/>
    <w:pPr>
      <w:widowControl w:val="0"/>
      <w:jc w:val="both"/>
    </w:pPr>
    <w:tblPr>
      <w:tblBorders>
        <w:top w:val="single" w:color="auto" w:sz="12" w:space="0"/>
        <w:bottom w:val="single" w:color="auto" w:sz="12" w:space="0"/>
      </w:tblBorders>
    </w:tblPr>
  </w:style>
  <w:style w:type="table" w:customStyle="1" w:styleId="957">
    <w:name w:val="网格型31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8">
    <w:name w:val="无左右边框型12"/>
    <w:basedOn w:val="59"/>
    <w:qFormat/>
    <w:uiPriority w:val="0"/>
    <w:pPr>
      <w:widowControl w:val="0"/>
      <w:jc w:val="both"/>
    </w:pPr>
  </w:style>
  <w:style w:type="table" w:customStyle="1" w:styleId="959">
    <w:name w:val="典雅型21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0">
    <w:name w:val="左右无边表格1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61">
    <w:name w:val="典雅型115"/>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2">
    <w:name w:val="网格型21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3">
    <w:name w:val="网格型11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64">
    <w:name w:val="网格型12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65">
    <w:name w:val="网格型131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66">
    <w:name w:val="网格型51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7">
    <w:name w:val="网格型61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8">
    <w:name w:val="网格型74"/>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9">
    <w:name w:val="网格型84"/>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0">
    <w:name w:val="网格型94"/>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1">
    <w:name w:val="网格型 111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2">
    <w:name w:val="典雅型3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73">
    <w:name w:val="网格型 511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4">
    <w:name w:val="典雅型21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5">
    <w:name w:val="典雅型111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6">
    <w:name w:val="MFS表格4"/>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77">
    <w:name w:val="王新建4"/>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78">
    <w:name w:val="表格主题3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9">
    <w:name w:val="网格型-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0">
    <w:name w:val="网格型 52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1">
    <w:name w:val="典雅型4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2">
    <w:name w:val="网格型 13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3">
    <w:name w:val="网格型42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4">
    <w:name w:val="左右无边框22"/>
    <w:basedOn w:val="60"/>
    <w:qFormat/>
    <w:uiPriority w:val="0"/>
    <w:pPr>
      <w:widowControl w:val="0"/>
      <w:jc w:val="both"/>
    </w:pPr>
    <w:tblPr>
      <w:tblBorders>
        <w:top w:val="single" w:color="auto" w:sz="12" w:space="0"/>
        <w:bottom w:val="single" w:color="auto" w:sz="12" w:space="0"/>
      </w:tblBorders>
    </w:tblPr>
  </w:style>
  <w:style w:type="table" w:customStyle="1" w:styleId="985">
    <w:name w:val="网格型32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6">
    <w:name w:val="无左右边框型22"/>
    <w:basedOn w:val="59"/>
    <w:qFormat/>
    <w:uiPriority w:val="0"/>
    <w:pPr>
      <w:widowControl w:val="0"/>
      <w:jc w:val="both"/>
    </w:pPr>
  </w:style>
  <w:style w:type="table" w:customStyle="1" w:styleId="987">
    <w:name w:val="典雅型2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8">
    <w:name w:val="左右无边表格2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89">
    <w:name w:val="典雅型1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0">
    <w:name w:val="网格型22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1">
    <w:name w:val="网格型11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2">
    <w:name w:val="网格型12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3">
    <w:name w:val="网格型132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4">
    <w:name w:val="网格型52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5">
    <w:name w:val="网格型62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6">
    <w:name w:val="网格型71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7">
    <w:name w:val="网格型812"/>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8">
    <w:name w:val="网格型912"/>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9">
    <w:name w:val="网格型 112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0">
    <w:name w:val="典雅型3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01">
    <w:name w:val="网格型 512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2">
    <w:name w:val="典雅型21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3">
    <w:name w:val="典雅型112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4">
    <w:name w:val="MFS表格1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05">
    <w:name w:val="王新建1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06">
    <w:name w:val="表格主题4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7">
    <w:name w:val="网格型-4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8">
    <w:name w:val="网格型 53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9">
    <w:name w:val="典雅型5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10">
    <w:name w:val="网格型 14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1">
    <w:name w:val="网格型4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2">
    <w:name w:val="左右无边框32"/>
    <w:basedOn w:val="60"/>
    <w:qFormat/>
    <w:uiPriority w:val="0"/>
    <w:pPr>
      <w:widowControl w:val="0"/>
      <w:jc w:val="both"/>
    </w:pPr>
    <w:tblPr>
      <w:tblBorders>
        <w:top w:val="single" w:color="auto" w:sz="12" w:space="0"/>
        <w:bottom w:val="single" w:color="auto" w:sz="12" w:space="0"/>
      </w:tblBorders>
    </w:tblPr>
  </w:style>
  <w:style w:type="table" w:customStyle="1" w:styleId="1013">
    <w:name w:val="网格型332"/>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4">
    <w:name w:val="无左右边框型32"/>
    <w:basedOn w:val="59"/>
    <w:qFormat/>
    <w:uiPriority w:val="0"/>
    <w:pPr>
      <w:widowControl w:val="0"/>
      <w:jc w:val="both"/>
    </w:pPr>
  </w:style>
  <w:style w:type="table" w:customStyle="1" w:styleId="1015">
    <w:name w:val="典雅型2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6">
    <w:name w:val="左右无边表格32"/>
    <w:basedOn w:val="58"/>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1017">
    <w:name w:val="典雅型1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18">
    <w:name w:val="网格型232"/>
    <w:basedOn w:val="5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9">
    <w:name w:val="网格型11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0">
    <w:name w:val="网格型12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1">
    <w:name w:val="网格型1332"/>
    <w:basedOn w:val="58"/>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2">
    <w:name w:val="网格型532"/>
    <w:basedOn w:val="5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3">
    <w:name w:val="网格型632"/>
    <w:basedOn w:val="5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4">
    <w:name w:val="网格型722"/>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5">
    <w:name w:val="网格型822"/>
    <w:basedOn w:val="5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6">
    <w:name w:val="网格型922"/>
    <w:basedOn w:val="58"/>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7">
    <w:name w:val="网格型 1132"/>
    <w:basedOn w:val="58"/>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28">
    <w:name w:val="典雅型3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29">
    <w:name w:val="网格型 5132"/>
    <w:basedOn w:val="58"/>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0">
    <w:name w:val="典雅型21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1">
    <w:name w:val="典雅型1132"/>
    <w:basedOn w:val="58"/>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2">
    <w:name w:val="MFS表格2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33">
    <w:name w:val="王新建2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34">
    <w:name w:val="网格型-7"/>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35">
    <w:name w:val="无间隔 字符"/>
    <w:basedOn w:val="64"/>
    <w:link w:val="418"/>
    <w:qFormat/>
    <w:uiPriority w:val="1"/>
    <w:rPr>
      <w:color w:val="000000"/>
      <w:kern w:val="2"/>
      <w:sz w:val="24"/>
      <w:szCs w:val="24"/>
    </w:rPr>
  </w:style>
  <w:style w:type="paragraph" w:customStyle="1" w:styleId="1036">
    <w:name w:val="！正文"/>
    <w:basedOn w:val="1"/>
    <w:qFormat/>
    <w:uiPriority w:val="0"/>
    <w:pPr>
      <w:spacing w:line="360" w:lineRule="auto"/>
      <w:ind w:firstLine="480" w:firstLineChars="200"/>
    </w:pPr>
    <w:rPr>
      <w:rFonts w:hint="eastAsia" w:ascii="宋体" w:cs="宋体"/>
      <w:kern w:val="0"/>
      <w:sz w:val="24"/>
      <w:szCs w:val="20"/>
    </w:rPr>
  </w:style>
  <w:style w:type="paragraph" w:customStyle="1" w:styleId="1037">
    <w:name w:val="_Style 1036"/>
    <w:basedOn w:val="1"/>
    <w:next w:val="218"/>
    <w:qFormat/>
    <w:uiPriority w:val="34"/>
    <w:pPr>
      <w:widowControl/>
      <w:ind w:firstLine="420" w:firstLineChars="200"/>
      <w:jc w:val="left"/>
    </w:pPr>
    <w:rPr>
      <w:spacing w:val="-2"/>
      <w:kern w:val="0"/>
      <w:sz w:val="28"/>
      <w:szCs w:val="20"/>
    </w:rPr>
  </w:style>
  <w:style w:type="character" w:customStyle="1" w:styleId="1038">
    <w:name w:val="样式 表格 + 黑色 Char"/>
    <w:link w:val="1039"/>
    <w:qFormat/>
    <w:locked/>
    <w:uiPriority w:val="0"/>
    <w:rPr>
      <w:snapToGrid w:val="0"/>
      <w:color w:val="000000"/>
      <w:spacing w:val="-4"/>
      <w:sz w:val="21"/>
      <w:szCs w:val="21"/>
    </w:rPr>
  </w:style>
  <w:style w:type="paragraph" w:customStyle="1" w:styleId="1039">
    <w:name w:val="样式 表格 + 黑色"/>
    <w:basedOn w:val="1"/>
    <w:link w:val="1038"/>
    <w:qFormat/>
    <w:uiPriority w:val="0"/>
    <w:rPr>
      <w:snapToGrid w:val="0"/>
      <w:color w:val="000000"/>
      <w:spacing w:val="-4"/>
      <w:kern w:val="0"/>
      <w:szCs w:val="21"/>
    </w:rPr>
  </w:style>
  <w:style w:type="character" w:customStyle="1" w:styleId="1040">
    <w:name w:val="Default Char"/>
    <w:link w:val="210"/>
    <w:qFormat/>
    <w:uiPriority w:val="0"/>
    <w:rPr>
      <w:rFonts w:ascii="宋体" w:cs="宋体"/>
      <w:color w:val="000000"/>
      <w:sz w:val="24"/>
      <w:szCs w:val="24"/>
    </w:rPr>
  </w:style>
  <w:style w:type="character" w:customStyle="1" w:styleId="1041">
    <w:name w:val="表格内容--中祥 字符"/>
    <w:link w:val="1042"/>
    <w:qFormat/>
    <w:uiPriority w:val="0"/>
    <w:rPr>
      <w:sz w:val="21"/>
      <w:szCs w:val="21"/>
    </w:rPr>
  </w:style>
  <w:style w:type="paragraph" w:customStyle="1" w:styleId="1042">
    <w:name w:val="中祥表格内容"/>
    <w:basedOn w:val="1"/>
    <w:link w:val="1041"/>
    <w:qFormat/>
    <w:uiPriority w:val="0"/>
    <w:pPr>
      <w:jc w:val="center"/>
    </w:pPr>
    <w:rPr>
      <w:kern w:val="0"/>
      <w:szCs w:val="21"/>
    </w:rPr>
  </w:style>
  <w:style w:type="character" w:customStyle="1" w:styleId="1043">
    <w:name w:val="表格标题--中祥 字符"/>
    <w:link w:val="1044"/>
    <w:qFormat/>
    <w:uiPriority w:val="0"/>
    <w:rPr>
      <w:b/>
      <w:color w:val="000000"/>
      <w:kern w:val="2"/>
      <w:sz w:val="24"/>
      <w:szCs w:val="24"/>
      <w:lang w:val="zh-CN"/>
    </w:rPr>
  </w:style>
  <w:style w:type="paragraph" w:customStyle="1" w:styleId="1044">
    <w:name w:val="中祥表标题"/>
    <w:basedOn w:val="1"/>
    <w:link w:val="1043"/>
    <w:qFormat/>
    <w:uiPriority w:val="0"/>
    <w:pPr>
      <w:spacing w:line="320" w:lineRule="exact"/>
      <w:jc w:val="center"/>
    </w:pPr>
    <w:rPr>
      <w:b/>
      <w:color w:val="000000"/>
      <w:sz w:val="24"/>
      <w:lang w:val="zh-CN"/>
    </w:rPr>
  </w:style>
  <w:style w:type="character" w:customStyle="1" w:styleId="1045">
    <w:name w:val="普通(网站) 字符"/>
    <w:qFormat/>
    <w:locked/>
    <w:uiPriority w:val="99"/>
    <w:rPr>
      <w:rFonts w:ascii="宋体" w:hAnsi="宋体" w:eastAsia="宋体"/>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9.wmf"/><Relationship Id="rId15" Type="http://schemas.openxmlformats.org/officeDocument/2006/relationships/oleObject" Target="embeddings/oleObject1.bin"/><Relationship Id="rId14" Type="http://schemas.openxmlformats.org/officeDocument/2006/relationships/image" Target="media/image8.jpe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51E387-1174-4C74-9CA5-93944AE2FE6D}">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95</Pages>
  <Words>10316</Words>
  <Characters>58802</Characters>
  <Lines>490</Lines>
  <Paragraphs>137</Paragraphs>
  <TotalTime>1</TotalTime>
  <ScaleCrop>false</ScaleCrop>
  <LinksUpToDate>false</LinksUpToDate>
  <CharactersWithSpaces>68981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2022-01-21T02:22:00Z</dcterms:created>
  <dc:creator>lhj</dc:creator>
  <cp:lastModifiedBy>LeanHUANG</cp:lastModifiedBy>
  <cp:lastPrinted>2022-01-18T06:44:00Z</cp:lastPrinted>
  <dcterms:modified xsi:type="dcterms:W3CDTF">2022-02-25T02:12:13Z</dcterms:modified>
  <dc:title>附件2</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39447CB37917451FA3CD6DDFBD90C9B0</vt:lpwstr>
  </property>
</Properties>
</file>