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center" w:pos="4422"/>
          <w:tab w:val="left" w:pos="6261"/>
          <w:tab w:val="left" w:pos="8046"/>
        </w:tabs>
        <w:kinsoku/>
        <w:wordWrap/>
        <w:overflowPunct/>
        <w:topLinePunct w:val="0"/>
        <w:autoSpaceDE/>
        <w:autoSpaceDN/>
        <w:bidi w:val="0"/>
        <w:adjustRightInd w:val="0"/>
        <w:snapToGrid w:val="0"/>
        <w:spacing w:line="240" w:lineRule="atLeast"/>
        <w:jc w:val="center"/>
        <w:textAlignment w:val="auto"/>
        <w:outlineLvl w:val="0"/>
        <w:rPr>
          <w:rFonts w:hint="eastAsia" w:ascii="Times New Roman" w:hAnsi="Times New Roman" w:eastAsia="黑体" w:cs="Times New Roman"/>
          <w:b w:val="0"/>
          <w:bCs w:val="0"/>
          <w:color w:val="auto"/>
          <w:sz w:val="30"/>
          <w:szCs w:val="30"/>
          <w:lang w:val="en-US" w:eastAsia="zh-CN"/>
        </w:rPr>
      </w:pPr>
      <w:r>
        <w:rPr>
          <w:rFonts w:hint="default" w:ascii="Times New Roman" w:hAnsi="Times New Roman" w:eastAsia="黑体" w:cs="Times New Roman"/>
          <w:b w:val="0"/>
          <w:bCs w:val="0"/>
          <w:color w:val="auto"/>
          <w:sz w:val="30"/>
          <w:szCs w:val="30"/>
        </w:rPr>
        <w:t>一、建设项目基本情况</w:t>
      </w:r>
      <w:r>
        <w:rPr>
          <w:rFonts w:hint="eastAsia" w:eastAsia="黑体" w:cs="Times New Roman"/>
          <w:b w:val="0"/>
          <w:bCs w:val="0"/>
          <w:color w:val="auto"/>
          <w:sz w:val="30"/>
          <w:szCs w:val="30"/>
          <w:lang w:val="en-US" w:eastAsia="zh-CN"/>
        </w:rPr>
        <w:t xml:space="preserve"> </w:t>
      </w:r>
    </w:p>
    <w:tbl>
      <w:tblPr>
        <w:tblStyle w:val="27"/>
        <w:tblpPr w:leftFromText="180" w:rightFromText="180" w:vertAnchor="text" w:horzAnchor="page" w:tblpX="1522" w:tblpY="650"/>
        <w:tblOverlap w:val="never"/>
        <w:tblW w:w="887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550"/>
        <w:gridCol w:w="2469"/>
        <w:gridCol w:w="2212"/>
        <w:gridCol w:w="263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tabs>
                <w:tab w:val="center" w:pos="4422"/>
                <w:tab w:val="left" w:pos="6261"/>
                <w:tab w:val="left" w:pos="8046"/>
              </w:tabs>
              <w:adjustRightInd w:val="0"/>
              <w:snapToGrid w:val="0"/>
              <w:jc w:val="left"/>
              <w:rPr>
                <w:rFonts w:hint="default" w:ascii="Times New Roman" w:hAnsi="Times New Roman" w:cs="Times New Roman"/>
                <w:color w:val="auto"/>
                <w:sz w:val="24"/>
              </w:rPr>
            </w:pPr>
            <w:r>
              <w:rPr>
                <w:rFonts w:hint="default" w:ascii="Times New Roman" w:hAnsi="Times New Roman" w:cs="Times New Roman"/>
                <w:color w:val="auto"/>
                <w:sz w:val="24"/>
                <w:lang w:eastAsia="zh-CN"/>
              </w:rPr>
              <w:tab/>
            </w:r>
            <w:r>
              <w:rPr>
                <w:rFonts w:hint="default" w:ascii="Times New Roman" w:hAnsi="Times New Roman" w:cs="Times New Roman"/>
                <w:color w:val="auto"/>
                <w:sz w:val="24"/>
              </w:rPr>
              <w:t>建设项目名称</w:t>
            </w:r>
          </w:p>
        </w:tc>
        <w:tc>
          <w:tcPr>
            <w:tcW w:w="7320" w:type="dxa"/>
            <w:gridSpan w:val="3"/>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高性能环保滤料研发及生产项目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项目代码</w:t>
            </w:r>
          </w:p>
        </w:tc>
        <w:tc>
          <w:tcPr>
            <w:tcW w:w="7320" w:type="dxa"/>
            <w:gridSpan w:val="3"/>
            <w:noWrap w:val="0"/>
            <w:vAlign w:val="center"/>
          </w:tcPr>
          <w:p>
            <w:pPr>
              <w:adjustRightInd w:val="0"/>
              <w:snapToGrid w:val="0"/>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lang w:val="en-US" w:eastAsia="zh-CN"/>
              </w:rPr>
              <w:t>2112-340207-04-05-978804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建设单位联系人</w:t>
            </w:r>
          </w:p>
        </w:tc>
        <w:tc>
          <w:tcPr>
            <w:tcW w:w="246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秦峰</w:t>
            </w:r>
          </w:p>
        </w:tc>
        <w:tc>
          <w:tcPr>
            <w:tcW w:w="2212" w:type="dxa"/>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联系方式</w:t>
            </w:r>
          </w:p>
        </w:tc>
        <w:tc>
          <w:tcPr>
            <w:tcW w:w="263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13956185458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建设地点</w:t>
            </w:r>
          </w:p>
        </w:tc>
        <w:tc>
          <w:tcPr>
            <w:tcW w:w="7320" w:type="dxa"/>
            <w:gridSpan w:val="3"/>
            <w:noWrap w:val="0"/>
            <w:vAlign w:val="top"/>
          </w:tcPr>
          <w:p>
            <w:pPr>
              <w:spacing w:before="143" w:line="220" w:lineRule="auto"/>
              <w:ind w:left="232" w:leftChars="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pacing w:val="-1"/>
                <w:sz w:val="24"/>
                <w:szCs w:val="24"/>
              </w:rPr>
              <w:t>芜湖市鸠江区清水街道</w:t>
            </w:r>
            <w:r>
              <w:rPr>
                <w:rFonts w:hint="default" w:ascii="Times New Roman" w:hAnsi="Times New Roman" w:eastAsia="宋体" w:cs="Times New Roman"/>
                <w:color w:val="auto"/>
                <w:sz w:val="24"/>
                <w:szCs w:val="24"/>
              </w:rPr>
              <w:t>清水创业园芜湖铮铮金属加工有限公司厂房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地理坐标</w:t>
            </w:r>
          </w:p>
        </w:tc>
        <w:tc>
          <w:tcPr>
            <w:tcW w:w="7320" w:type="dxa"/>
            <w:gridSpan w:val="3"/>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北纬31°20'744''，东经118°28'150''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国民经济</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p>
        </w:tc>
        <w:tc>
          <w:tcPr>
            <w:tcW w:w="2469" w:type="dxa"/>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C30</w:t>
            </w:r>
            <w:r>
              <w:rPr>
                <w:rFonts w:hint="default" w:ascii="Times New Roman" w:hAnsi="Times New Roman" w:cs="Times New Roman"/>
                <w:color w:val="auto"/>
                <w:sz w:val="24"/>
                <w:lang w:val="en-US" w:eastAsia="zh-CN"/>
              </w:rPr>
              <w:t>9</w:t>
            </w:r>
            <w:r>
              <w:rPr>
                <w:rFonts w:hint="default" w:ascii="Times New Roman" w:hAnsi="Times New Roman" w:cs="Times New Roman"/>
                <w:color w:val="auto"/>
                <w:sz w:val="24"/>
              </w:rPr>
              <w:t>9</w:t>
            </w:r>
            <w:r>
              <w:rPr>
                <w:rFonts w:hint="default" w:ascii="Times New Roman" w:hAnsi="Times New Roman" w:cs="Times New Roman"/>
                <w:color w:val="auto"/>
                <w:sz w:val="24"/>
                <w:lang w:val="en-US" w:eastAsia="zh-CN"/>
              </w:rPr>
              <w:t>其他非金属矿物制品制造</w:t>
            </w:r>
          </w:p>
        </w:tc>
        <w:tc>
          <w:tcPr>
            <w:tcW w:w="2212" w:type="dxa"/>
            <w:noWrap w:val="0"/>
            <w:vAlign w:val="center"/>
          </w:tcPr>
          <w:p>
            <w:pPr>
              <w:adjustRightInd w:val="0"/>
              <w:snapToGrid w:val="0"/>
              <w:jc w:val="center"/>
              <w:rPr>
                <w:rFonts w:hint="default" w:ascii="Times New Roman" w:hAnsi="Times New Roman" w:cs="Times New Roman"/>
                <w:color w:val="auto"/>
                <w:sz w:val="24"/>
              </w:rPr>
            </w:pPr>
            <w:bookmarkStart w:id="0" w:name="_Hlk49843745"/>
            <w:r>
              <w:rPr>
                <w:rFonts w:hint="default" w:ascii="Times New Roman" w:hAnsi="Times New Roman" w:cs="Times New Roman"/>
                <w:color w:val="auto"/>
                <w:sz w:val="24"/>
              </w:rPr>
              <w:t>建设项目</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行业类别</w:t>
            </w:r>
            <w:bookmarkEnd w:id="0"/>
          </w:p>
        </w:tc>
        <w:tc>
          <w:tcPr>
            <w:tcW w:w="263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kern w:val="0"/>
                <w:sz w:val="24"/>
                <w:szCs w:val="24"/>
                <w:lang w:val="en-US" w:eastAsia="zh-CN" w:bidi="ar"/>
              </w:rPr>
              <w:t>“二十七、非金属矿物制品业30”“60.石墨及其他非金属矿物制品制造309”中“其他”项目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建设性质</w:t>
            </w:r>
          </w:p>
        </w:tc>
        <w:tc>
          <w:tcPr>
            <w:tcW w:w="2469" w:type="dxa"/>
            <w:noWrap w:val="0"/>
            <w:vAlign w:val="center"/>
          </w:tcPr>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新建（迁建）</w:t>
            </w:r>
          </w:p>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改建</w:t>
            </w:r>
          </w:p>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扩建</w:t>
            </w:r>
          </w:p>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技术改造</w:t>
            </w:r>
          </w:p>
        </w:tc>
        <w:tc>
          <w:tcPr>
            <w:tcW w:w="2212" w:type="dxa"/>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建设项目</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申报情形</w:t>
            </w:r>
          </w:p>
        </w:tc>
        <w:tc>
          <w:tcPr>
            <w:tcW w:w="2639" w:type="dxa"/>
            <w:noWrap w:val="0"/>
            <w:vAlign w:val="center"/>
          </w:tcPr>
          <w:p>
            <w:pPr>
              <w:jc w:val="left"/>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sym w:font="Wingdings 2" w:char="0052"/>
            </w:r>
            <w:r>
              <w:rPr>
                <w:rFonts w:hint="default" w:ascii="Times New Roman" w:hAnsi="Times New Roman" w:cs="Times New Roman"/>
                <w:color w:val="auto"/>
                <w:sz w:val="24"/>
              </w:rPr>
              <w:t>首次申报项目</w:t>
            </w:r>
          </w:p>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不予批准后再次申报项目</w:t>
            </w:r>
          </w:p>
          <w:p>
            <w:pPr>
              <w:jc w:val="left"/>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超五年重新审核项目</w:t>
            </w:r>
          </w:p>
          <w:p>
            <w:pPr>
              <w:jc w:val="left"/>
              <w:rPr>
                <w:rFonts w:hint="default" w:ascii="Times New Roman" w:hAnsi="Times New Roman" w:cs="Times New Roman"/>
                <w:color w:val="auto"/>
                <w:sz w:val="24"/>
              </w:rPr>
            </w:pPr>
            <w:r>
              <w:rPr>
                <w:rFonts w:hint="default" w:ascii="Times New Roman" w:hAnsi="Times New Roman" w:cs="Times New Roman"/>
                <w:color w:val="auto"/>
                <w:sz w:val="24"/>
              </w:rPr>
              <w:sym w:font="Wingdings 2" w:char="00A3"/>
            </w:r>
            <w:r>
              <w:rPr>
                <w:rFonts w:hint="default" w:ascii="Times New Roman" w:hAnsi="Times New Roman" w:cs="Times New Roman"/>
                <w:color w:val="auto"/>
                <w:sz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项目审批（核准/备案）部门（选填）</w:t>
            </w:r>
          </w:p>
        </w:tc>
        <w:tc>
          <w:tcPr>
            <w:tcW w:w="246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芜湖市鸠江区</w:t>
            </w:r>
            <w:r>
              <w:rPr>
                <w:rFonts w:hint="default" w:ascii="Times New Roman" w:hAnsi="Times New Roman" w:cs="Times New Roman"/>
                <w:color w:val="auto"/>
                <w:sz w:val="24"/>
                <w:lang w:val="en-US" w:eastAsia="zh-CN"/>
              </w:rPr>
              <w:t>发展和改革委员会</w:t>
            </w:r>
          </w:p>
        </w:tc>
        <w:tc>
          <w:tcPr>
            <w:tcW w:w="2212" w:type="dxa"/>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项目审批（核准/</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备案）文号（选填）</w:t>
            </w:r>
          </w:p>
        </w:tc>
        <w:tc>
          <w:tcPr>
            <w:tcW w:w="2639" w:type="dxa"/>
            <w:noWrap w:val="0"/>
            <w:vAlign w:val="center"/>
          </w:tcPr>
          <w:p>
            <w:pPr>
              <w:adjustRightInd w:val="0"/>
              <w:snapToGrid w:val="0"/>
              <w:jc w:val="center"/>
              <w:rPr>
                <w:rFonts w:hint="default" w:ascii="Times New Roman" w:hAnsi="Times New Roman" w:eastAsia="宋体" w:cs="Times New Roman"/>
                <w:color w:val="auto"/>
                <w:sz w:val="21"/>
                <w:szCs w:val="21"/>
                <w:lang w:val="en-US" w:eastAsia="zh-CN"/>
              </w:rPr>
            </w:pPr>
            <w:r>
              <w:rPr>
                <w:rFonts w:hint="eastAsia" w:cs="Times New Roman"/>
                <w:color w:val="auto"/>
                <w:sz w:val="24"/>
                <w:lang w:val="en-US" w:eastAsia="zh-CN"/>
              </w:rPr>
              <w:t>鸠发改告</w:t>
            </w:r>
            <w:r>
              <w:rPr>
                <w:rFonts w:hint="default" w:ascii="Times New Roman" w:hAnsi="Times New Roman" w:cs="Times New Roman"/>
                <w:color w:val="auto"/>
                <w:sz w:val="24"/>
                <w:lang w:val="en-US" w:eastAsia="zh-CN"/>
              </w:rPr>
              <w:t>[202</w:t>
            </w:r>
            <w:r>
              <w:rPr>
                <w:rFonts w:hint="eastAsia" w:cs="Times New Roman"/>
                <w:color w:val="auto"/>
                <w:sz w:val="24"/>
                <w:lang w:val="en-US" w:eastAsia="zh-CN"/>
              </w:rPr>
              <w:t>1</w:t>
            </w:r>
            <w:r>
              <w:rPr>
                <w:rFonts w:hint="default" w:ascii="Times New Roman" w:hAnsi="Times New Roman" w:cs="Times New Roman"/>
                <w:color w:val="auto"/>
                <w:sz w:val="24"/>
                <w:lang w:val="en-US" w:eastAsia="zh-CN"/>
              </w:rPr>
              <w:t>]</w:t>
            </w:r>
            <w:r>
              <w:rPr>
                <w:rFonts w:hint="eastAsia" w:cs="Times New Roman"/>
                <w:color w:val="auto"/>
                <w:sz w:val="24"/>
                <w:lang w:val="en-US" w:eastAsia="zh-CN"/>
              </w:rPr>
              <w:t>55</w:t>
            </w:r>
            <w:r>
              <w:rPr>
                <w:rFonts w:hint="default" w:ascii="Times New Roman" w:hAnsi="Times New Roman" w:cs="Times New Roman"/>
                <w:color w:val="auto"/>
                <w:sz w:val="24"/>
                <w:lang w:val="en-US" w:eastAsia="zh-CN"/>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总投资（万元）</w:t>
            </w:r>
          </w:p>
        </w:tc>
        <w:tc>
          <w:tcPr>
            <w:tcW w:w="246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12500</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环保投资（万元）</w:t>
            </w:r>
          </w:p>
        </w:tc>
        <w:tc>
          <w:tcPr>
            <w:tcW w:w="263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54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trPr>
        <w:tc>
          <w:tcPr>
            <w:tcW w:w="1550"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环保投资占比（%）</w:t>
            </w:r>
          </w:p>
        </w:tc>
        <w:tc>
          <w:tcPr>
            <w:tcW w:w="246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0.432</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施工工期</w:t>
            </w:r>
          </w:p>
        </w:tc>
        <w:tc>
          <w:tcPr>
            <w:tcW w:w="2639" w:type="dxa"/>
            <w:noWrap w:val="0"/>
            <w:vAlign w:val="center"/>
          </w:tcPr>
          <w:p>
            <w:pPr>
              <w:adjustRightInd w:val="0"/>
              <w:snapToGrid w:val="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50" w:type="dxa"/>
            <w:vMerge w:val="restart"/>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是否开工建设</w:t>
            </w:r>
          </w:p>
        </w:tc>
        <w:tc>
          <w:tcPr>
            <w:tcW w:w="2469" w:type="dxa"/>
            <w:noWrap w:val="0"/>
            <w:vAlign w:val="center"/>
          </w:tcPr>
          <w:p>
            <w:pPr>
              <w:adjustRightInd w:val="0"/>
              <w:snapToGrid w:val="0"/>
              <w:rPr>
                <w:rFonts w:hint="default" w:ascii="Times New Roman" w:hAnsi="Times New Roman" w:cs="Times New Roman"/>
                <w:color w:val="auto"/>
              </w:rPr>
            </w:pPr>
            <w:r>
              <w:rPr>
                <w:rFonts w:hint="default" w:ascii="Times New Roman" w:hAnsi="Times New Roman" w:cs="Times New Roman"/>
                <w:color w:val="auto"/>
              </w:rPr>
              <w:sym w:font="Wingdings 2" w:char="00A3"/>
            </w:r>
            <w:r>
              <w:rPr>
                <w:rFonts w:hint="default" w:ascii="Times New Roman" w:hAnsi="Times New Roman" w:cs="Times New Roman"/>
                <w:color w:val="auto"/>
              </w:rPr>
              <w:t>否</w:t>
            </w:r>
          </w:p>
          <w:p>
            <w:pPr>
              <w:adjustRightInd w:val="0"/>
              <w:snapToGrid w:val="0"/>
              <w:rPr>
                <w:rFonts w:hint="default" w:ascii="Times New Roman" w:hAnsi="Times New Roman" w:eastAsia="宋体" w:cs="Times New Roman"/>
                <w:color w:val="auto"/>
                <w:lang w:eastAsia="zh-CN"/>
              </w:rPr>
            </w:pPr>
            <w:r>
              <w:rPr>
                <w:rFonts w:hint="default" w:ascii="Times New Roman" w:hAnsi="Times New Roman" w:cs="Times New Roman"/>
                <w:color w:val="auto"/>
              </w:rPr>
              <w:sym w:font="Wingdings 2" w:char="0052"/>
            </w:r>
            <w:r>
              <w:rPr>
                <w:rFonts w:hint="default" w:ascii="Times New Roman" w:hAnsi="Times New Roman" w:cs="Times New Roman"/>
                <w:color w:val="auto"/>
              </w:rPr>
              <w:t>是：</w:t>
            </w:r>
          </w:p>
        </w:tc>
        <w:tc>
          <w:tcPr>
            <w:tcW w:w="2212" w:type="dxa"/>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pacing w:val="-6"/>
                <w:sz w:val="24"/>
              </w:rPr>
            </w:pPr>
            <w:r>
              <w:rPr>
                <w:rFonts w:hint="default" w:ascii="Times New Roman" w:hAnsi="Times New Roman" w:cs="Times New Roman"/>
                <w:color w:val="auto"/>
                <w:spacing w:val="-6"/>
                <w:sz w:val="24"/>
              </w:rPr>
              <w:t>用地（用海）</w:t>
            </w:r>
          </w:p>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pacing w:val="-6"/>
                <w:sz w:val="24"/>
              </w:rPr>
              <w:t>面积（m</w:t>
            </w:r>
            <w:r>
              <w:rPr>
                <w:rFonts w:hint="default" w:ascii="Times New Roman" w:hAnsi="Times New Roman" w:cs="Times New Roman"/>
                <w:color w:val="auto"/>
                <w:spacing w:val="-6"/>
                <w:sz w:val="24"/>
                <w:vertAlign w:val="superscript"/>
              </w:rPr>
              <w:t>2</w:t>
            </w:r>
            <w:r>
              <w:rPr>
                <w:rFonts w:hint="default" w:ascii="Times New Roman" w:hAnsi="Times New Roman" w:cs="Times New Roman"/>
                <w:color w:val="auto"/>
                <w:spacing w:val="-6"/>
                <w:sz w:val="24"/>
              </w:rPr>
              <w:t>）</w:t>
            </w:r>
          </w:p>
        </w:tc>
        <w:tc>
          <w:tcPr>
            <w:tcW w:w="2639" w:type="dxa"/>
            <w:noWrap w:val="0"/>
            <w:vAlign w:val="center"/>
          </w:tcPr>
          <w:p>
            <w:pPr>
              <w:adjustRightInd w:val="0"/>
              <w:snapToGrid w:val="0"/>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2900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550" w:type="dxa"/>
            <w:vMerge w:val="continue"/>
            <w:noWrap w:val="0"/>
            <w:tcMar>
              <w:top w:w="16" w:type="dxa"/>
              <w:left w:w="16" w:type="dxa"/>
              <w:right w:w="16" w:type="dxa"/>
            </w:tcMar>
            <w:vAlign w:val="center"/>
          </w:tcPr>
          <w:p>
            <w:pPr>
              <w:adjustRightInd w:val="0"/>
              <w:snapToGrid w:val="0"/>
              <w:jc w:val="center"/>
              <w:rPr>
                <w:rFonts w:hint="default" w:ascii="Times New Roman" w:hAnsi="Times New Roman" w:cs="Times New Roman"/>
                <w:color w:val="auto"/>
                <w:sz w:val="24"/>
              </w:rPr>
            </w:pPr>
          </w:p>
        </w:tc>
        <w:tc>
          <w:tcPr>
            <w:tcW w:w="7320"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t>2022年3月8日，芜湖市生态环境局在现场检查时发现企业未依法履行环境影响评价手续情况下擅自开工建设一条破碎筛分生产线；破碎筛分生产线需配套建设的污染物防止设施未建成。芜湖市生态环境局于2022年</w:t>
            </w:r>
            <w:r>
              <w:rPr>
                <w:rFonts w:hint="default" w:ascii="Times New Roman" w:hAnsi="Times New Roman" w:cs="Times New Roman"/>
                <w:color w:val="auto"/>
                <w:sz w:val="24"/>
                <w:szCs w:val="24"/>
                <w:lang w:val="en-US" w:eastAsia="zh-CN"/>
              </w:rPr>
              <w:t>5</w:t>
            </w:r>
            <w:r>
              <w:rPr>
                <w:rFonts w:hint="default" w:ascii="Times New Roman" w:hAnsi="Times New Roman" w:eastAsia="宋体" w:cs="Times New Roman"/>
                <w:color w:val="auto"/>
                <w:sz w:val="24"/>
                <w:szCs w:val="24"/>
                <w:lang w:val="en-US" w:eastAsia="zh-CN"/>
              </w:rPr>
              <w:t>月</w:t>
            </w:r>
            <w:r>
              <w:rPr>
                <w:rFonts w:hint="default" w:ascii="Times New Roman" w:hAnsi="Times New Roman" w:cs="Times New Roman"/>
                <w:color w:val="auto"/>
                <w:sz w:val="24"/>
                <w:szCs w:val="24"/>
                <w:lang w:val="en-US" w:eastAsia="zh-CN"/>
              </w:rPr>
              <w:t>10</w:t>
            </w:r>
            <w:r>
              <w:rPr>
                <w:rFonts w:hint="default" w:ascii="Times New Roman" w:hAnsi="Times New Roman" w:eastAsia="宋体" w:cs="Times New Roman"/>
                <w:color w:val="auto"/>
                <w:sz w:val="24"/>
                <w:szCs w:val="24"/>
                <w:lang w:val="en-US" w:eastAsia="zh-CN"/>
              </w:rPr>
              <w:t>日下发了行政处罚决定书（芜环罚字[2022]</w:t>
            </w:r>
            <w:r>
              <w:rPr>
                <w:rFonts w:hint="default" w:ascii="Times New Roman" w:hAnsi="Times New Roman" w:cs="Times New Roman"/>
                <w:color w:val="auto"/>
                <w:sz w:val="24"/>
                <w:szCs w:val="24"/>
                <w:lang w:val="en-US" w:eastAsia="zh-CN"/>
              </w:rPr>
              <w:t>30</w:t>
            </w:r>
            <w:r>
              <w:rPr>
                <w:rFonts w:hint="default" w:ascii="Times New Roman" w:hAnsi="Times New Roman" w:eastAsia="宋体" w:cs="Times New Roman"/>
                <w:color w:val="auto"/>
                <w:sz w:val="24"/>
                <w:szCs w:val="24"/>
                <w:lang w:val="en-US" w:eastAsia="zh-CN"/>
              </w:rPr>
              <w:t>号），</w:t>
            </w:r>
            <w:r>
              <w:rPr>
                <w:rFonts w:hint="default" w:ascii="Times New Roman" w:hAnsi="Times New Roman" w:cs="Times New Roman"/>
                <w:color w:val="auto"/>
                <w:sz w:val="24"/>
                <w:szCs w:val="24"/>
                <w:lang w:val="en-US" w:eastAsia="zh-CN"/>
              </w:rPr>
              <w:t>罚款缴纳凭证</w:t>
            </w:r>
            <w:r>
              <w:rPr>
                <w:rFonts w:hint="default" w:ascii="Times New Roman" w:hAnsi="Times New Roman" w:eastAsia="宋体" w:cs="Times New Roman"/>
                <w:color w:val="auto"/>
                <w:sz w:val="24"/>
                <w:szCs w:val="24"/>
                <w:lang w:val="en-US" w:eastAsia="zh-CN"/>
              </w:rPr>
              <w:t>见附件。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noWrap w:val="0"/>
            <w:vAlign w:val="center"/>
          </w:tcPr>
          <w:p>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专项评价设置情况</w:t>
            </w:r>
          </w:p>
        </w:tc>
        <w:tc>
          <w:tcPr>
            <w:tcW w:w="7320" w:type="dxa"/>
            <w:gridSpan w:val="3"/>
            <w:noWrap w:val="0"/>
            <w:vAlign w:val="center"/>
          </w:tcPr>
          <w:p>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noWrap w:val="0"/>
            <w:vAlign w:val="center"/>
          </w:tcPr>
          <w:p>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规划情况</w:t>
            </w:r>
          </w:p>
        </w:tc>
        <w:tc>
          <w:tcPr>
            <w:tcW w:w="7320" w:type="dxa"/>
            <w:gridSpan w:val="3"/>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sz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noWrap w:val="0"/>
            <w:vAlign w:val="center"/>
          </w:tcPr>
          <w:p>
            <w:pPr>
              <w:adjustRightInd w:val="0"/>
              <w:snapToGrid w:val="0"/>
              <w:jc w:val="center"/>
              <w:rPr>
                <w:rFonts w:hint="default" w:ascii="Times New Roman" w:hAnsi="Times New Roman" w:cs="Times New Roman"/>
                <w:color w:val="auto"/>
                <w:sz w:val="24"/>
              </w:rPr>
            </w:pPr>
            <w:r>
              <w:rPr>
                <w:rFonts w:hint="default" w:ascii="Times New Roman" w:hAnsi="Times New Roman" w:cs="Times New Roman"/>
                <w:color w:val="auto"/>
                <w:sz w:val="24"/>
              </w:rPr>
              <w:t>规划环境影响</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sz w:val="24"/>
              </w:rPr>
              <w:t>评价情况</w:t>
            </w:r>
          </w:p>
        </w:tc>
        <w:tc>
          <w:tcPr>
            <w:tcW w:w="7320" w:type="dxa"/>
            <w:gridSpan w:val="3"/>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sz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0" w:hRule="atLeast"/>
        </w:trPr>
        <w:tc>
          <w:tcPr>
            <w:tcW w:w="1550" w:type="dxa"/>
            <w:noWrap w:val="0"/>
            <w:vAlign w:val="center"/>
          </w:tcPr>
          <w:p>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规划及规划环境影响评价符合性分析</w:t>
            </w:r>
          </w:p>
        </w:tc>
        <w:tc>
          <w:tcPr>
            <w:tcW w:w="7320" w:type="dxa"/>
            <w:gridSpan w:val="3"/>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1、规划用地相符性分析</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本项目选址位于芜湖市鸠江区清水街道清水创业园芜湖铮铮金属加工有限公司厂房，根据《芜湖市城市总体规划(2012~2030)》(2017调整版)，产业布局为：规划坚持“自主创新、转型升级”的产业发展理念</w:t>
            </w:r>
            <w:r>
              <w:rPr>
                <w:rFonts w:hint="default" w:ascii="Times New Roman" w:hAnsi="Times New Roman" w:cs="Times New Roman"/>
                <w:bCs/>
                <w:color w:val="auto"/>
                <w:kern w:val="0"/>
                <w:sz w:val="24"/>
                <w:szCs w:val="24"/>
                <w:lang w:val="en-US" w:eastAsia="zh-CN" w:bidi="ar-SA"/>
              </w:rPr>
              <w:t>。</w:t>
            </w:r>
            <w:r>
              <w:rPr>
                <w:rFonts w:hint="default" w:ascii="Times New Roman" w:hAnsi="Times New Roman" w:eastAsia="宋体" w:cs="Times New Roman"/>
                <w:bCs/>
                <w:color w:val="auto"/>
                <w:kern w:val="0"/>
                <w:sz w:val="24"/>
                <w:szCs w:val="24"/>
                <w:lang w:val="en-US" w:eastAsia="zh-CN" w:bidi="ar-SA"/>
              </w:rPr>
              <w:t>壮大四大支柱产业，加快培育高端装备、光电光伏、新材料、智能家电四大战略性新兴产业，优先发展金融、现代物流、服务外包、文化创意和旅游五大服务业；努力打造“区域金融中心、区域贸易物流中心、区域文化旅游中心”。</w:t>
            </w:r>
            <w:r>
              <w:rPr>
                <w:rFonts w:hint="default" w:ascii="Times New Roman" w:hAnsi="Times New Roman" w:eastAsia="宋体" w:cs="Times New Roman"/>
                <w:bCs/>
                <w:color w:val="auto"/>
                <w:kern w:val="0"/>
                <w:sz w:val="24"/>
                <w:szCs w:val="24"/>
                <w:lang w:val="en-US" w:eastAsia="zh-CN" w:bidi="ar-SA"/>
              </w:rPr>
              <w:t>根据《芜湖市土地利用总体规划(2006-2020年)》</w:t>
            </w:r>
            <w:r>
              <w:rPr>
                <w:rFonts w:hint="default" w:ascii="Times New Roman" w:hAnsi="Times New Roman" w:cs="Times New Roman"/>
                <w:bCs/>
                <w:color w:val="auto"/>
                <w:kern w:val="0"/>
                <w:sz w:val="24"/>
                <w:szCs w:val="24"/>
                <w:lang w:val="en-US" w:eastAsia="zh-CN" w:bidi="ar-SA"/>
              </w:rPr>
              <w:t>及《芜湖市鸠江区清水街道土地利用总体规划(2006-2020年)》（见附图）</w:t>
            </w:r>
            <w:r>
              <w:rPr>
                <w:rFonts w:hint="default" w:ascii="Times New Roman" w:hAnsi="Times New Roman" w:eastAsia="宋体" w:cs="Times New Roman"/>
                <w:bCs/>
                <w:color w:val="auto"/>
                <w:kern w:val="0"/>
                <w:sz w:val="24"/>
                <w:szCs w:val="24"/>
                <w:lang w:val="en-US" w:eastAsia="zh-CN" w:bidi="ar-SA"/>
              </w:rPr>
              <w:t>，并结合项目地不动产权证(见附件)，本项目用地为</w:t>
            </w:r>
            <w:r>
              <w:rPr>
                <w:rFonts w:hint="default" w:ascii="Times New Roman" w:hAnsi="Times New Roman" w:cs="Times New Roman"/>
                <w:bCs/>
                <w:color w:val="auto"/>
                <w:kern w:val="0"/>
                <w:sz w:val="24"/>
                <w:szCs w:val="24"/>
                <w:lang w:val="en-US" w:eastAsia="zh-CN" w:bidi="ar-SA"/>
              </w:rPr>
              <w:t>工业</w:t>
            </w:r>
            <w:r>
              <w:rPr>
                <w:rFonts w:hint="default" w:ascii="Times New Roman" w:hAnsi="Times New Roman" w:eastAsia="宋体" w:cs="Times New Roman"/>
                <w:bCs/>
                <w:color w:val="auto"/>
                <w:kern w:val="0"/>
                <w:sz w:val="24"/>
                <w:szCs w:val="24"/>
                <w:lang w:val="en-US" w:eastAsia="zh-CN" w:bidi="ar-SA"/>
              </w:rPr>
              <w:t>用地，故本项目建设用地符合芜湖市土地利用总体规划中的用地规划</w:t>
            </w:r>
            <w:r>
              <w:rPr>
                <w:rFonts w:hint="default" w:ascii="Times New Roman" w:hAnsi="Times New Roman" w:cs="Times New Roman"/>
                <w:bCs/>
                <w:color w:val="auto"/>
                <w:kern w:val="0"/>
                <w:sz w:val="24"/>
                <w:szCs w:val="24"/>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Cs/>
                <w:color w:val="auto"/>
                <w:kern w:val="0"/>
                <w:sz w:val="24"/>
                <w:szCs w:val="24"/>
                <w:lang w:val="en-US" w:eastAsia="zh-CN" w:bidi="ar-SA"/>
              </w:rPr>
            </w:pPr>
            <w:r>
              <w:rPr>
                <w:rFonts w:hint="default" w:ascii="Times New Roman" w:hAnsi="Times New Roman" w:eastAsia="宋体" w:cs="Times New Roman"/>
                <w:bCs/>
                <w:color w:val="auto"/>
                <w:kern w:val="0"/>
                <w:sz w:val="24"/>
                <w:szCs w:val="24"/>
                <w:lang w:val="en-US" w:eastAsia="zh-CN" w:bidi="ar-SA"/>
              </w:rPr>
              <w:t>对照国土资源部、国家发改委关于发布实施《限制用地项目目录(2012年本)》和《禁止用地项目目录(2012年本)》的通知，本项目不在限制用地项目目录和禁止用地项目目录内。因此本项目用地符合土地利用规划。</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rPr>
            </w:pPr>
            <w:r>
              <w:rPr>
                <w:rFonts w:hint="default" w:ascii="Times New Roman" w:hAnsi="Times New Roman" w:eastAsia="宋体" w:cs="Times New Roman"/>
                <w:bCs/>
                <w:color w:val="auto"/>
                <w:kern w:val="0"/>
                <w:sz w:val="24"/>
                <w:szCs w:val="24"/>
                <w:lang w:val="en-US" w:eastAsia="zh-CN" w:bidi="ar-SA"/>
              </w:rPr>
              <w:t>综上所述，本项目建设用地符合芜湖市土地利用总体规划和芜湖市鸠江区土地利用总体规划。</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1550" w:type="dxa"/>
            <w:noWrap w:val="0"/>
            <w:vAlign w:val="center"/>
          </w:tcPr>
          <w:p>
            <w:pPr>
              <w:autoSpaceDE w:val="0"/>
              <w:autoSpaceDN w:val="0"/>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其他符合性分析</w:t>
            </w:r>
          </w:p>
        </w:tc>
        <w:tc>
          <w:tcPr>
            <w:tcW w:w="7320" w:type="dxa"/>
            <w:gridSpan w:val="3"/>
            <w:noWrap w:val="0"/>
            <w:vAlign w:val="center"/>
          </w:tcPr>
          <w:p>
            <w:pPr>
              <w:pStyle w:val="69"/>
              <w:keepNext w:val="0"/>
              <w:keepLines w:val="0"/>
              <w:pageBreakBefore w:val="0"/>
              <w:widowControl w:val="0"/>
              <w:numPr>
                <w:ilvl w:val="0"/>
                <w:numId w:val="1"/>
              </w:numPr>
              <w:kinsoku/>
              <w:wordWrap/>
              <w:overflowPunct/>
              <w:topLinePunct w:val="0"/>
              <w:autoSpaceDE/>
              <w:autoSpaceDN/>
              <w:bidi w:val="0"/>
              <w:snapToGrid/>
              <w:spacing w:line="360" w:lineRule="auto"/>
              <w:ind w:firstLineChars="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产业政策分析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本项目产品为高性能环保滤料，</w:t>
            </w:r>
            <w:r>
              <w:rPr>
                <w:rFonts w:hint="default" w:ascii="Times New Roman" w:hAnsi="Times New Roman" w:eastAsia="宋体" w:cs="Times New Roman"/>
                <w:color w:val="auto"/>
                <w:sz w:val="24"/>
                <w:lang w:val="en-US" w:eastAsia="zh-CN"/>
              </w:rPr>
              <w:t>对照《产业结构调整指导目录》（2019年本）的有关条款的决定，本项目不属于其中鼓励类、限制类、淘汰类，可视为允许类。根据《部分工业行业淘汰落后生产工艺装备和产品指导目录(2010年本)》，本项目无淘汰落后生产工艺、设备和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项目已于2021年4月12日经芜湖市鸠江区发展和改革委员会批准备案，编号为鸠发改告[2021]55号(见附件)，项目代码：2112-340207-04-05-978804。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因此，本项目的建设符合国家的产业政策及安徽省工业产业结构调整指导目录要求</w:t>
            </w:r>
          </w:p>
          <w:p>
            <w:pPr>
              <w:pStyle w:val="69"/>
              <w:keepNext w:val="0"/>
              <w:keepLines w:val="0"/>
              <w:pageBreakBefore w:val="0"/>
              <w:widowControl w:val="0"/>
              <w:numPr>
                <w:ilvl w:val="0"/>
                <w:numId w:val="1"/>
              </w:numPr>
              <w:kinsoku/>
              <w:wordWrap/>
              <w:overflowPunct/>
              <w:topLinePunct w:val="0"/>
              <w:autoSpaceDE/>
              <w:autoSpaceDN/>
              <w:bidi w:val="0"/>
              <w:snapToGrid/>
              <w:spacing w:line="360" w:lineRule="auto"/>
              <w:ind w:firstLineChars="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“三线一单”相符性分析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rPr>
            </w:pPr>
            <w:r>
              <w:rPr>
                <w:rFonts w:hint="default" w:ascii="Times New Roman" w:hAnsi="Times New Roman" w:eastAsia="宋体" w:cs="Times New Roman"/>
                <w:color w:val="auto"/>
                <w:sz w:val="24"/>
              </w:rPr>
              <w:t>根据《关于以改善环境质量为核心加强环境影响评价管理的通知》(环环评【2016】150号)要求，切实加强环境影响评价管理，落实“生态保护红线、环境质量底线、资源利用上线和环境准入负面清单”约束，建立项目环评审批与规划、现有项目环境管理、区域环境质量联动机制，更好地发挥环评制度从源头防范环境污染和生态破坏的作用，加强推进改善环境质量。判定本项目与“三线一单”相符性</w:t>
            </w:r>
            <w:r>
              <w:rPr>
                <w:rFonts w:hint="default" w:ascii="Times New Roman" w:hAnsi="Times New Roman" w:cs="Times New Roman"/>
                <w:color w:val="auto"/>
                <w:sz w:val="24"/>
              </w:rPr>
              <w:t>见</w:t>
            </w:r>
            <w:r>
              <w:rPr>
                <w:rFonts w:hint="default" w:ascii="Times New Roman" w:hAnsi="Times New Roman" w:cs="Times New Roman"/>
                <w:color w:val="auto"/>
                <w:sz w:val="24"/>
                <w:lang w:val="en-US" w:eastAsia="zh-CN"/>
              </w:rPr>
              <w:t>下</w:t>
            </w:r>
            <w:r>
              <w:rPr>
                <w:rFonts w:hint="default" w:ascii="Times New Roman" w:hAnsi="Times New Roman" w:cs="Times New Roman"/>
                <w:color w:val="auto"/>
                <w:sz w:val="24"/>
              </w:rPr>
              <w:t>表。</w:t>
            </w:r>
          </w:p>
          <w:p>
            <w:pPr>
              <w:pageBreakBefore w:val="0"/>
              <w:kinsoku/>
              <w:wordWrap/>
              <w:overflowPunct/>
              <w:topLinePunct w:val="0"/>
              <w:bidi w:val="0"/>
              <w:spacing w:line="360" w:lineRule="auto"/>
              <w:jc w:val="center"/>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表1-</w:t>
            </w:r>
            <w:r>
              <w:rPr>
                <w:rFonts w:hint="eastAsia" w:cs="Times New Roman"/>
                <w:b/>
                <w:color w:val="auto"/>
                <w:sz w:val="24"/>
                <w:lang w:val="en-US" w:eastAsia="zh-CN"/>
              </w:rPr>
              <w:t>1</w:t>
            </w:r>
            <w:r>
              <w:rPr>
                <w:rFonts w:hint="default" w:ascii="Times New Roman" w:hAnsi="Times New Roman" w:cs="Times New Roman"/>
                <w:b/>
                <w:color w:val="auto"/>
                <w:sz w:val="24"/>
              </w:rPr>
              <w:t>项目与“三线一单”相符性分析</w:t>
            </w:r>
          </w:p>
          <w:tbl>
            <w:tblPr>
              <w:tblStyle w:val="27"/>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7"/>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982" w:type="dxa"/>
                  <w:tcBorders>
                    <w:tl2br w:val="nil"/>
                    <w:tr2bl w:val="nil"/>
                  </w:tcBorders>
                  <w:noWrap w:val="0"/>
                  <w:vAlign w:val="center"/>
                </w:tcPr>
                <w:p>
                  <w:pPr>
                    <w:pageBreakBefore w:val="0"/>
                    <w:kinsoku/>
                    <w:wordWrap/>
                    <w:overflowPunct/>
                    <w:topLinePunct w:val="0"/>
                    <w:bidi w:val="0"/>
                    <w:spacing w:line="36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环环评【2016】150号要求</w:t>
                  </w:r>
                </w:p>
              </w:tc>
              <w:tc>
                <w:tcPr>
                  <w:tcW w:w="3996" w:type="dxa"/>
                  <w:tcBorders>
                    <w:tl2br w:val="nil"/>
                    <w:tr2bl w:val="nil"/>
                  </w:tcBorders>
                  <w:noWrap w:val="0"/>
                  <w:vAlign w:val="center"/>
                </w:tcPr>
                <w:p>
                  <w:pPr>
                    <w:pageBreakBefore w:val="0"/>
                    <w:kinsoku/>
                    <w:wordWrap/>
                    <w:overflowPunct/>
                    <w:topLinePunct w:val="0"/>
                    <w:bidi w:val="0"/>
                    <w:spacing w:line="36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本项目相符性分析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49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生态保护红线是生态空间范围内具有特殊重要生态功能必须实行强制性严格保护的区域。相关规划环评应将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39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本项目选址位于芜湖市鸠江区清水街道清水创业园，周边无自然保护区、饮用水源保护区、森林公园等生态保护区。</w:t>
                  </w:r>
                  <w:r>
                    <w:rPr>
                      <w:rFonts w:hint="eastAsia" w:cs="Times New Roman"/>
                      <w:color w:val="auto"/>
                      <w:spacing w:val="-4"/>
                      <w:szCs w:val="21"/>
                      <w:lang w:val="en-US" w:eastAsia="zh-CN"/>
                    </w:rPr>
                    <w:t>不属于</w:t>
                  </w:r>
                  <w:r>
                    <w:rPr>
                      <w:rFonts w:hint="default" w:ascii="Times New Roman" w:hAnsi="Times New Roman" w:cs="Times New Roman"/>
                      <w:color w:val="auto"/>
                      <w:spacing w:val="-4"/>
                      <w:szCs w:val="21"/>
                    </w:rPr>
                    <w:t>国家级和省级禁止开发区域、以及其他有必要严格</w:t>
                  </w:r>
                  <w:r>
                    <w:rPr>
                      <w:rFonts w:hint="eastAsia" w:cs="Times New Roman"/>
                      <w:color w:val="auto"/>
                      <w:spacing w:val="-4"/>
                      <w:szCs w:val="21"/>
                      <w:lang w:val="en-US" w:eastAsia="zh-CN"/>
                    </w:rPr>
                    <w:t>保</w:t>
                  </w:r>
                  <w:r>
                    <w:rPr>
                      <w:rFonts w:hint="default" w:ascii="Times New Roman" w:hAnsi="Times New Roman" w:cs="Times New Roman"/>
                      <w:color w:val="auto"/>
                      <w:spacing w:val="-4"/>
                      <w:szCs w:val="21"/>
                    </w:rPr>
                    <w:t>护的各类保护地，项目建设符合生态保护红线要求。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trPr>
              <w:tc>
                <w:tcPr>
                  <w:tcW w:w="49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环境质量底线是国家和地方设置的大气、水和土壤环境质量目标，也是改善环境质量的基准线。有关规划环评应落实区域环境质量目标管理要求，提出区域或者行业污染物排放总量管控建议以及优化区域或行业发展布局、结构和规模的对策措施。项目环评应对照区域环境质量目标，深入分析预测项目建设对环境质量的影响，强化污染防治措施和污染物排放控制要求。</w:t>
                  </w:r>
                </w:p>
              </w:tc>
              <w:tc>
                <w:tcPr>
                  <w:tcW w:w="39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根据《2020年芜湖市环境质量状况公报》中相关数据，</w:t>
                  </w:r>
                  <w:r>
                    <w:rPr>
                      <w:rFonts w:hint="default" w:ascii="Times New Roman" w:hAnsi="Times New Roman" w:cs="Times New Roman"/>
                      <w:color w:val="auto"/>
                      <w:spacing w:val="-4"/>
                      <w:szCs w:val="21"/>
                      <w:lang w:val="en-US" w:eastAsia="zh-CN"/>
                    </w:rPr>
                    <w:t>芜湖市</w:t>
                  </w:r>
                  <w:r>
                    <w:rPr>
                      <w:rFonts w:hint="default" w:ascii="Times New Roman" w:hAnsi="Times New Roman" w:cs="Times New Roman"/>
                      <w:color w:val="auto"/>
                      <w:spacing w:val="-4"/>
                      <w:szCs w:val="21"/>
                      <w:lang w:val="en-US" w:eastAsia="zh-CN"/>
                    </w:rPr>
                    <w:t>鸠江区</w:t>
                  </w:r>
                  <w:r>
                    <w:rPr>
                      <w:rFonts w:hint="default" w:ascii="Times New Roman" w:hAnsi="Times New Roman" w:cs="Times New Roman"/>
                      <w:color w:val="auto"/>
                      <w:spacing w:val="-4"/>
                      <w:szCs w:val="21"/>
                      <w:lang w:val="en-US" w:eastAsia="zh-CN"/>
                    </w:rPr>
                    <w:t>为环境质量</w:t>
                  </w:r>
                  <w:r>
                    <w:rPr>
                      <w:rFonts w:hint="default" w:ascii="Times New Roman" w:hAnsi="Times New Roman" w:cs="Times New Roman"/>
                      <w:color w:val="auto"/>
                      <w:spacing w:val="-4"/>
                      <w:szCs w:val="21"/>
                    </w:rPr>
                    <w:t>达标区。本项目废气、废水、噪声、固废污染物经处理后全部达标排放或者合理处置，且排放处置量较少，对环境影响较小，不会改变区域环境功能级别。根据工程分析及污染防治分析项目所采取污染防治措施合理可行，各污染物达标排放，不会造成环境质量超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49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资源是环境的载体，资源利用上线是各地区能源、水、土地等资源消耗不得突破的“天花板”。相关规划环评应依据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39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根据规划，项目用地为</w:t>
                  </w:r>
                  <w:r>
                    <w:rPr>
                      <w:rFonts w:hint="default" w:ascii="Times New Roman" w:hAnsi="Times New Roman" w:cs="Times New Roman"/>
                      <w:color w:val="auto"/>
                      <w:spacing w:val="-4"/>
                      <w:szCs w:val="21"/>
                      <w:lang w:val="en-US" w:eastAsia="zh-CN"/>
                    </w:rPr>
                    <w:t>建设</w:t>
                  </w:r>
                  <w:r>
                    <w:rPr>
                      <w:rFonts w:hint="default" w:ascii="Times New Roman" w:hAnsi="Times New Roman" w:cs="Times New Roman"/>
                      <w:color w:val="auto"/>
                      <w:spacing w:val="-4"/>
                      <w:szCs w:val="21"/>
                    </w:rPr>
                    <w:t>用地。项目年用水量</w:t>
                  </w:r>
                  <w:r>
                    <w:rPr>
                      <w:rFonts w:hint="default" w:ascii="Times New Roman" w:hAnsi="Times New Roman" w:cs="Times New Roman"/>
                      <w:color w:val="auto"/>
                      <w:spacing w:val="-4"/>
                      <w:szCs w:val="21"/>
                    </w:rPr>
                    <w:t>为</w:t>
                  </w:r>
                  <w:r>
                    <w:rPr>
                      <w:rFonts w:hint="default" w:ascii="Times New Roman" w:hAnsi="Times New Roman" w:cs="Times New Roman"/>
                      <w:color w:val="auto"/>
                      <w:spacing w:val="-4"/>
                      <w:szCs w:val="21"/>
                      <w:lang w:val="en-US" w:eastAsia="zh-CN"/>
                    </w:rPr>
                    <w:t>4768</w:t>
                  </w:r>
                  <w:r>
                    <w:rPr>
                      <w:rFonts w:hint="default" w:ascii="Times New Roman" w:hAnsi="Times New Roman" w:cs="Times New Roman"/>
                      <w:color w:val="auto"/>
                      <w:spacing w:val="-4"/>
                      <w:szCs w:val="21"/>
                    </w:rPr>
                    <w:t>m</w:t>
                  </w:r>
                  <w:r>
                    <w:rPr>
                      <w:rFonts w:hint="default" w:ascii="Times New Roman" w:hAnsi="Times New Roman" w:cs="Times New Roman"/>
                      <w:color w:val="auto"/>
                      <w:spacing w:val="-4"/>
                      <w:szCs w:val="21"/>
                      <w:vertAlign w:val="superscript"/>
                    </w:rPr>
                    <w:t>3</w:t>
                  </w:r>
                  <w:r>
                    <w:rPr>
                      <w:rFonts w:hint="default" w:ascii="Times New Roman" w:hAnsi="Times New Roman" w:cs="Times New Roman"/>
                      <w:color w:val="auto"/>
                      <w:spacing w:val="-4"/>
                      <w:szCs w:val="21"/>
                    </w:rPr>
                    <w:t>，年耗电量为200万kWh，</w:t>
                  </w:r>
                  <w:r>
                    <w:rPr>
                      <w:rFonts w:hint="default" w:ascii="Times New Roman" w:hAnsi="Times New Roman" w:cs="Times New Roman"/>
                      <w:color w:val="auto"/>
                      <w:spacing w:val="-4"/>
                      <w:szCs w:val="21"/>
                    </w:rPr>
                    <w:t>对照《关于加强高耗能、高排放建设项目生态</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环境源头防控的指导意见》(环环评〔2021〕45号)中相关要求，本项目不属于高能耗企业。项目用水取自自来水管网，用电由市政供电网提供，余量充足，项目使用的原材料均为外购，对当地资源利用影响较小。因此，项目建设符合资源利用上线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环境准入负面清单是基于生态保护红线、环境质量底线和资源利用上线，以清单方式列出的禁止、限制等差别化环境准入条件和要求。</w:t>
                  </w:r>
                </w:p>
              </w:tc>
              <w:tc>
                <w:tcPr>
                  <w:tcW w:w="39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本项目行业类别为</w:t>
                  </w:r>
                  <w:r>
                    <w:rPr>
                      <w:rFonts w:hint="default" w:ascii="Times New Roman" w:hAnsi="Times New Roman" w:cs="Times New Roman"/>
                      <w:color w:val="auto"/>
                      <w:spacing w:val="-4"/>
                      <w:szCs w:val="21"/>
                      <w:lang w:val="en-US" w:eastAsia="zh-CN"/>
                    </w:rPr>
                    <w:t>C3099其他非金属矿物制品制造</w:t>
                  </w:r>
                  <w:r>
                    <w:rPr>
                      <w:rFonts w:hint="default" w:ascii="Times New Roman" w:hAnsi="Times New Roman" w:cs="Times New Roman"/>
                      <w:color w:val="auto"/>
                      <w:spacing w:val="-4"/>
                      <w:szCs w:val="21"/>
                    </w:rPr>
                    <w:t>，选址芜湖市鸠江区清水街道清水创业园芜湖铮铮金属加工有限公司厂房，用地性质为</w:t>
                  </w:r>
                  <w:r>
                    <w:rPr>
                      <w:rFonts w:hint="default" w:ascii="Times New Roman" w:hAnsi="Times New Roman" w:cs="Times New Roman"/>
                      <w:color w:val="auto"/>
                      <w:spacing w:val="-4"/>
                      <w:szCs w:val="21"/>
                      <w:highlight w:val="none"/>
                    </w:rPr>
                    <w:t>工业用地，</w:t>
                  </w:r>
                  <w:r>
                    <w:rPr>
                      <w:rFonts w:hint="default" w:ascii="Times New Roman" w:hAnsi="Times New Roman" w:cs="Times New Roman"/>
                      <w:color w:val="auto"/>
                      <w:spacing w:val="-4"/>
                      <w:szCs w:val="21"/>
                    </w:rPr>
                    <w:t>不属于环境准入负面清单中禁止入园企业。</w:t>
                  </w:r>
                </w:p>
              </w:tc>
            </w:tr>
          </w:tbl>
          <w:p>
            <w:pPr>
              <w:pStyle w:val="7"/>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综上所述，本项目建设满足生态保护红线、环境质量底线、资源利用上线，且不在环境准入负面清单中，符合“三线一单”环保要求。</w:t>
            </w:r>
          </w:p>
          <w:p>
            <w:pPr>
              <w:pStyle w:val="7"/>
              <w:pageBreakBefore w:val="0"/>
              <w:kinsoku/>
              <w:wordWrap/>
              <w:overflowPunct/>
              <w:topLinePunct w:val="0"/>
              <w:bidi w:val="0"/>
              <w:spacing w:line="360" w:lineRule="auto"/>
              <w:textAlignment w:val="auto"/>
              <w:rPr>
                <w:rFonts w:hint="default" w:ascii="Times New Roman" w:hAnsi="Times New Roman" w:cs="Times New Roman"/>
                <w:b/>
                <w:bCs/>
                <w:color w:val="auto"/>
                <w:szCs w:val="24"/>
                <w:lang w:val="en-US" w:eastAsia="zh-CN"/>
              </w:rPr>
            </w:pPr>
            <w:r>
              <w:rPr>
                <w:rFonts w:hint="default" w:ascii="Times New Roman" w:hAnsi="Times New Roman" w:cs="Times New Roman"/>
                <w:b/>
                <w:color w:val="auto"/>
              </w:rPr>
              <w:t>3、</w:t>
            </w:r>
            <w:r>
              <w:rPr>
                <w:rFonts w:hint="default" w:ascii="Times New Roman" w:hAnsi="Times New Roman" w:cs="Times New Roman"/>
                <w:b/>
                <w:bCs/>
                <w:color w:val="auto"/>
                <w:szCs w:val="24"/>
              </w:rPr>
              <w:t>与《关于全面打造水清岸绿产业优美丽长江（安徽）经济带的实施意见</w:t>
            </w:r>
            <w:r>
              <w:rPr>
                <w:rFonts w:hint="default" w:ascii="Times New Roman" w:hAnsi="Times New Roman" w:cs="Times New Roman"/>
                <w:b/>
                <w:bCs/>
                <w:color w:val="auto"/>
                <w:szCs w:val="24"/>
                <w:lang w:eastAsia="zh-CN"/>
              </w:rPr>
              <w:t>（</w:t>
            </w:r>
            <w:r>
              <w:rPr>
                <w:rFonts w:hint="default" w:ascii="Times New Roman" w:hAnsi="Times New Roman" w:cs="Times New Roman"/>
                <w:b/>
                <w:bCs/>
                <w:color w:val="auto"/>
                <w:szCs w:val="24"/>
                <w:lang w:val="en-US" w:eastAsia="zh-CN"/>
              </w:rPr>
              <w:t>升级版</w:t>
            </w:r>
            <w:r>
              <w:rPr>
                <w:rFonts w:hint="default" w:ascii="Times New Roman" w:hAnsi="Times New Roman" w:cs="Times New Roman"/>
                <w:b/>
                <w:bCs/>
                <w:color w:val="auto"/>
                <w:szCs w:val="24"/>
                <w:lang w:eastAsia="zh-CN"/>
              </w:rPr>
              <w:t>）</w:t>
            </w:r>
            <w:r>
              <w:rPr>
                <w:rFonts w:hint="default" w:ascii="Times New Roman" w:hAnsi="Times New Roman" w:cs="Times New Roman"/>
                <w:b/>
                <w:bCs/>
                <w:color w:val="auto"/>
                <w:szCs w:val="24"/>
              </w:rPr>
              <w:t>》</w:t>
            </w:r>
            <w:r>
              <w:rPr>
                <w:rFonts w:hint="default" w:ascii="Times New Roman" w:hAnsi="Times New Roman" w:cs="Times New Roman"/>
                <w:b/>
                <w:bCs/>
                <w:color w:val="auto"/>
                <w:szCs w:val="24"/>
                <w:lang w:val="en-US" w:eastAsia="zh-CN"/>
              </w:rPr>
              <w:t>相符性分析</w:t>
            </w:r>
          </w:p>
          <w:p>
            <w:pPr>
              <w:pStyle w:val="7"/>
              <w:pageBreakBefore w:val="0"/>
              <w:kinsoku/>
              <w:wordWrap/>
              <w:overflowPunct/>
              <w:topLinePunct w:val="0"/>
              <w:bidi w:val="0"/>
              <w:spacing w:line="360" w:lineRule="auto"/>
              <w:jc w:val="center"/>
              <w:textAlignment w:val="auto"/>
              <w:rPr>
                <w:rFonts w:hint="default" w:ascii="Times New Roman" w:hAnsi="Times New Roman" w:cs="Times New Roman"/>
                <w:b/>
                <w:bCs/>
                <w:color w:val="auto"/>
                <w:szCs w:val="24"/>
                <w:lang w:val="en-US" w:eastAsia="zh-CN"/>
              </w:rPr>
            </w:pPr>
            <w:r>
              <w:rPr>
                <w:rFonts w:hint="default" w:ascii="Times New Roman" w:hAnsi="Times New Roman" w:cs="Times New Roman"/>
                <w:b/>
                <w:bCs/>
                <w:color w:val="auto"/>
                <w:szCs w:val="24"/>
                <w:lang w:val="en-US" w:eastAsia="zh-CN"/>
              </w:rPr>
              <w:t>表1-</w:t>
            </w:r>
            <w:r>
              <w:rPr>
                <w:rFonts w:hint="eastAsia" w:cs="Times New Roman"/>
                <w:b/>
                <w:bCs/>
                <w:color w:val="auto"/>
                <w:szCs w:val="24"/>
                <w:lang w:val="en-US" w:eastAsia="zh-CN"/>
              </w:rPr>
              <w:t>2</w:t>
            </w:r>
            <w:r>
              <w:rPr>
                <w:rFonts w:hint="default" w:ascii="Times New Roman" w:hAnsi="Times New Roman" w:cs="Times New Roman"/>
                <w:b/>
                <w:bCs/>
                <w:color w:val="auto"/>
                <w:szCs w:val="24"/>
                <w:lang w:val="en-US" w:eastAsia="zh-CN"/>
              </w:rPr>
              <w:t>本项目与“关于全面打造水清岸绿产业优美丽长江（芜湖）经济带的实施意见”相符性分析</w:t>
            </w:r>
          </w:p>
          <w:tbl>
            <w:tblPr>
              <w:tblStyle w:val="27"/>
              <w:tblW w:w="45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5"/>
              <w:gridCol w:w="5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tcBorders>
                    <w:tl2br w:val="nil"/>
                    <w:tr2bl w:val="nil"/>
                  </w:tcBorders>
                  <w:noWrap w:val="0"/>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文件内</w:t>
                  </w:r>
                </w:p>
              </w:tc>
              <w:tc>
                <w:tcPr>
                  <w:tcW w:w="5741" w:type="dxa"/>
                  <w:tcBorders>
                    <w:tl2br w:val="nil"/>
                    <w:tr2bl w:val="nil"/>
                  </w:tcBorders>
                  <w:noWrap w:val="0"/>
                  <w:vAlign w:val="center"/>
                </w:tcPr>
                <w:p>
                  <w:pPr>
                    <w:widowControl/>
                    <w:snapToGrid w:val="0"/>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tcBorders>
                    <w:tl2br w:val="nil"/>
                    <w:tr2bl w:val="nil"/>
                  </w:tcBorders>
                  <w:noWrap w:val="0"/>
                  <w:vAlign w:val="center"/>
                </w:tcPr>
                <w:p>
                  <w:pPr>
                    <w:widowControl/>
                    <w:snapToGrid w:val="0"/>
                    <w:ind w:right="-105" w:rightChars="-5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严禁1公里范围内新建化工项目</w:t>
                  </w:r>
                </w:p>
              </w:tc>
              <w:tc>
                <w:tcPr>
                  <w:tcW w:w="5741" w:type="dxa"/>
                  <w:tcBorders>
                    <w:tl2br w:val="nil"/>
                    <w:tr2bl w:val="nil"/>
                  </w:tcBorders>
                  <w:noWrap w:val="0"/>
                  <w:vAlign w:val="center"/>
                </w:tcPr>
                <w:p>
                  <w:pPr>
                    <w:widowControl/>
                    <w:snapToGrid w:val="0"/>
                    <w:ind w:left="-105" w:leftChars="-50" w:right="-105" w:rightChars="-50" w:firstLine="420" w:firstLineChars="20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禁1公里范围内新建化工项目。长江干支流岸线1公里范围内，严禁新建、扩建化工园区和化工项目。已批未开工的项目，依法停止建设，支持重新选址。已经开工建设的项目，严格进行检查评估，不符合岸线规划和环保、安全要求的，全部依法依规停建搬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tcBorders>
                    <w:tl2br w:val="nil"/>
                    <w:tr2bl w:val="nil"/>
                  </w:tcBorders>
                  <w:noWrap w:val="0"/>
                  <w:vAlign w:val="center"/>
                </w:tcPr>
                <w:p>
                  <w:pPr>
                    <w:widowControl/>
                    <w:snapToGrid w:val="0"/>
                    <w:ind w:right="-105" w:rightChars="-5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严控5公里范围内新建重化工重污染项目</w:t>
                  </w:r>
                </w:p>
              </w:tc>
              <w:tc>
                <w:tcPr>
                  <w:tcW w:w="5741" w:type="dxa"/>
                  <w:tcBorders>
                    <w:tl2br w:val="nil"/>
                    <w:tr2bl w:val="nil"/>
                  </w:tcBorders>
                  <w:noWrap w:val="0"/>
                  <w:vAlign w:val="center"/>
                </w:tcPr>
                <w:p>
                  <w:pPr>
                    <w:widowControl/>
                    <w:snapToGrid w:val="0"/>
                    <w:ind w:left="-105" w:leftChars="-50" w:right="-105" w:rightChars="-50" w:firstLine="420" w:firstLineChars="20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控5公里范围内新建重化工重污染项目。长江干流岸线5公里范围内，全面落实长江岸线功能定位要求，实施严格的化工项目市场准入制度，制定完善危险化学品“禁限控”目录，除提升安全、环保、节能水平，以及质量升级、结构调整的改扩建项目外，严控新建石油化工和煤化工等重化工、重污染项目。严禁新建布局重化工园区。合规化工园区内，严禁新批环境基础设施不完善或长期不能稳定运行的企业新建和扩建化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tcBorders>
                    <w:tl2br w:val="nil"/>
                    <w:tr2bl w:val="nil"/>
                  </w:tcBorders>
                  <w:noWrap w:val="0"/>
                  <w:vAlign w:val="center"/>
                </w:tcPr>
                <w:p>
                  <w:pPr>
                    <w:widowControl/>
                    <w:snapToGrid w:val="0"/>
                    <w:ind w:right="-105" w:rightChars="-5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严管1</w:t>
                  </w:r>
                  <w:r>
                    <w:rPr>
                      <w:rFonts w:hint="default" w:ascii="Times New Roman" w:hAnsi="Times New Roman" w:cs="Times New Roman"/>
                      <w:color w:val="auto"/>
                      <w:kern w:val="0"/>
                      <w:szCs w:val="21"/>
                      <w:lang w:val="en-US" w:eastAsia="zh-CN"/>
                    </w:rPr>
                    <w:t>5</w:t>
                  </w:r>
                  <w:r>
                    <w:rPr>
                      <w:rFonts w:hint="default" w:ascii="Times New Roman" w:hAnsi="Times New Roman" w:cs="Times New Roman"/>
                      <w:color w:val="auto"/>
                      <w:kern w:val="0"/>
                      <w:szCs w:val="21"/>
                    </w:rPr>
                    <w:t>公里范围</w:t>
                  </w:r>
                </w:p>
                <w:p>
                  <w:pPr>
                    <w:widowControl/>
                    <w:snapToGrid w:val="0"/>
                    <w:ind w:right="-105" w:rightChars="-5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内新建项</w:t>
                  </w:r>
                </w:p>
                <w:p>
                  <w:pPr>
                    <w:widowControl/>
                    <w:snapToGrid w:val="0"/>
                    <w:ind w:right="-105" w:rightChars="-5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目</w:t>
                  </w:r>
                </w:p>
              </w:tc>
              <w:tc>
                <w:tcPr>
                  <w:tcW w:w="5741" w:type="dxa"/>
                  <w:tcBorders>
                    <w:tl2br w:val="nil"/>
                    <w:tr2bl w:val="nil"/>
                  </w:tcBorders>
                  <w:noWrap w:val="0"/>
                  <w:vAlign w:val="center"/>
                </w:tcPr>
                <w:p>
                  <w:pPr>
                    <w:widowControl/>
                    <w:snapToGrid w:val="0"/>
                    <w:ind w:left="-105" w:leftChars="-50" w:right="-105" w:rightChars="-50" w:firstLine="420" w:firstLineChars="200"/>
                    <w:jc w:val="left"/>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严格执行《长江经济带发展负面清单指南(试行)》《安徽省长江经济带发展负面清单实施细则(试行)》。实施备案、环评、安评、能评等并联审批，未落实生态环保、安全生产、能源节约要求的，一律不得开工建设</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t>本项目位于安徽省芜湖市三山经济开发区，距离长江干流约</w:t>
            </w:r>
            <w:r>
              <w:rPr>
                <w:rFonts w:hint="default" w:ascii="Times New Roman" w:hAnsi="Times New Roman" w:cs="Times New Roman"/>
                <w:color w:val="auto"/>
                <w:kern w:val="0"/>
                <w:sz w:val="24"/>
                <w:szCs w:val="24"/>
                <w:lang w:val="en-US" w:eastAsia="zh-CN" w:bidi="ar-SA"/>
              </w:rPr>
              <w:t>9.8</w:t>
            </w:r>
            <w:r>
              <w:rPr>
                <w:rFonts w:hint="default" w:ascii="Times New Roman" w:hAnsi="Times New Roman" w:eastAsia="宋体" w:cs="Times New Roman"/>
                <w:color w:val="auto"/>
                <w:kern w:val="0"/>
                <w:sz w:val="24"/>
                <w:szCs w:val="24"/>
                <w:lang w:val="en-US" w:eastAsia="zh-CN" w:bidi="ar-SA"/>
              </w:rPr>
              <w:t>公里，距离青弋江</w:t>
            </w:r>
            <w:r>
              <w:rPr>
                <w:rFonts w:hint="default" w:ascii="Times New Roman" w:hAnsi="Times New Roman" w:cs="Times New Roman"/>
                <w:color w:val="auto"/>
                <w:kern w:val="0"/>
                <w:sz w:val="24"/>
                <w:szCs w:val="24"/>
                <w:lang w:val="en-US" w:eastAsia="zh-CN" w:bidi="ar-SA"/>
              </w:rPr>
              <w:t>1.3</w:t>
            </w:r>
            <w:r>
              <w:rPr>
                <w:rFonts w:hint="default" w:ascii="Times New Roman" w:hAnsi="Times New Roman" w:eastAsia="宋体" w:cs="Times New Roman"/>
                <w:color w:val="auto"/>
                <w:kern w:val="0"/>
                <w:sz w:val="24"/>
                <w:szCs w:val="24"/>
                <w:lang w:val="en-US" w:eastAsia="zh-CN" w:bidi="ar-SA"/>
              </w:rPr>
              <w:t>km，在严管的15公里范围内，但本项目不属于国家长江经济带市场准入禁止限制目录，严格执行环境保护标准，主要污染物排放总量控制目标符合要求，符合严管要求。因此，本项目的建设符合《芜湖市人民政府关于全面打造水清岸绿产业优美丽长江（芜湖）经济带的实施意见（升级版）》（芜市办［2021］28号）的相关要求。</w:t>
            </w:r>
          </w:p>
          <w:p>
            <w:pPr>
              <w:keepNext w:val="0"/>
              <w:keepLines w:val="0"/>
              <w:pageBreakBefore w:val="0"/>
              <w:widowControl w:val="0"/>
              <w:kinsoku/>
              <w:wordWrap/>
              <w:overflowPunct/>
              <w:topLinePunct w:val="0"/>
              <w:autoSpaceDE w:val="0"/>
              <w:autoSpaceDN w:val="0"/>
              <w:bidi w:val="0"/>
              <w:adjustRightInd w:val="0"/>
              <w:snapToGrid/>
              <w:spacing w:beforeLines="0" w:afterLines="0" w:line="360" w:lineRule="auto"/>
              <w:ind w:firstLine="0" w:firstLineChars="0"/>
              <w:jc w:val="left"/>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lang w:val="en-US" w:eastAsia="zh-CN"/>
              </w:rPr>
              <w:t>4、</w:t>
            </w:r>
            <w:r>
              <w:rPr>
                <w:rFonts w:hint="default" w:ascii="Times New Roman" w:hAnsi="Times New Roman" w:cs="Times New Roman"/>
                <w:b/>
                <w:color w:val="auto"/>
                <w:sz w:val="24"/>
                <w:szCs w:val="24"/>
              </w:rPr>
              <w:t>与《安徽省长江经济带发展负面清单实施细则（试行）》相符性分析</w:t>
            </w:r>
          </w:p>
          <w:p>
            <w:pPr>
              <w:autoSpaceDE w:val="0"/>
              <w:autoSpaceDN w:val="0"/>
              <w:adjustRightInd w:val="0"/>
              <w:spacing w:beforeLines="0" w:afterLines="0" w:line="360" w:lineRule="auto"/>
              <w:ind w:firstLine="482" w:firstLineChars="200"/>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表1-</w:t>
            </w:r>
            <w:r>
              <w:rPr>
                <w:rFonts w:hint="eastAsia" w:cs="Times New Roman"/>
                <w:b/>
                <w:color w:val="auto"/>
                <w:sz w:val="24"/>
                <w:szCs w:val="24"/>
                <w:lang w:val="en-US" w:eastAsia="zh-CN"/>
              </w:rPr>
              <w:t>3</w:t>
            </w:r>
            <w:r>
              <w:rPr>
                <w:rFonts w:hint="default" w:ascii="Times New Roman" w:hAnsi="Times New Roman" w:cs="Times New Roman"/>
                <w:b/>
                <w:color w:val="auto"/>
                <w:sz w:val="24"/>
                <w:szCs w:val="24"/>
              </w:rPr>
              <w:t>本项目与《安徽省长江经济带发展负面清单实施细则（试行）》相符性</w:t>
            </w:r>
          </w:p>
          <w:tbl>
            <w:tblPr>
              <w:tblStyle w:val="2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06"/>
              <w:gridCol w:w="3825"/>
              <w:gridCol w:w="1809"/>
              <w:gridCol w:w="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5" w:hRule="atLeast"/>
              </w:trPr>
              <w:tc>
                <w:tcPr>
                  <w:tcW w:w="613"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序号</w:t>
                  </w:r>
                </w:p>
              </w:tc>
              <w:tc>
                <w:tcPr>
                  <w:tcW w:w="3930"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《安徽省长江经济带发展负面清单实施细则（试行）》（皖长江办【2019】18号）</w:t>
                  </w:r>
                </w:p>
              </w:tc>
              <w:tc>
                <w:tcPr>
                  <w:tcW w:w="1845"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本项目情况</w:t>
                  </w:r>
                </w:p>
              </w:tc>
              <w:tc>
                <w:tcPr>
                  <w:tcW w:w="870"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b/>
                      <w:color w:val="auto"/>
                      <w:kern w:val="0"/>
                      <w:sz w:val="21"/>
                      <w:szCs w:val="21"/>
                    </w:rPr>
                  </w:pPr>
                  <w:r>
                    <w:rPr>
                      <w:rFonts w:hint="default" w:ascii="Times New Roman" w:hAnsi="Times New Roman" w:cs="Times New Roman"/>
                      <w:b/>
                      <w:color w:val="auto"/>
                      <w:kern w:val="0"/>
                      <w:sz w:val="21"/>
                      <w:szCs w:val="21"/>
                    </w:rPr>
                    <w:t>相符性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trPr>
              <w:tc>
                <w:tcPr>
                  <w:tcW w:w="7258" w:type="dxa"/>
                  <w:gridSpan w:val="4"/>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产业发展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trPr>
              <w:tc>
                <w:tcPr>
                  <w:tcW w:w="613" w:type="dxa"/>
                  <w:tcBorders>
                    <w:tl2br w:val="nil"/>
                    <w:tr2bl w:val="nil"/>
                  </w:tcBorders>
                  <w:noWrap w:val="0"/>
                  <w:vAlign w:val="center"/>
                </w:tcPr>
                <w:p>
                  <w:pPr>
                    <w:autoSpaceDE w:val="0"/>
                    <w:autoSpaceDN w:val="0"/>
                    <w:spacing w:beforeLines="0" w:afterLine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1</w:t>
                  </w:r>
                </w:p>
              </w:tc>
              <w:tc>
                <w:tcPr>
                  <w:tcW w:w="3930" w:type="dxa"/>
                  <w:tcBorders>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禁止新建、扩建不符合国家石化、现代煤化工等产业布局规划的项目。</w:t>
                  </w:r>
                </w:p>
              </w:tc>
              <w:tc>
                <w:tcPr>
                  <w:tcW w:w="1845" w:type="dxa"/>
                  <w:tcBorders>
                    <w:tl2br w:val="nil"/>
                    <w:tr2bl w:val="nil"/>
                  </w:tcBorders>
                  <w:noWrap w:val="0"/>
                  <w:vAlign w:val="center"/>
                </w:tcPr>
                <w:p>
                  <w:pPr>
                    <w:autoSpaceDE w:val="0"/>
                    <w:autoSpaceDN w:val="0"/>
                    <w:spacing w:beforeLines="0" w:afterLines="0"/>
                    <w:jc w:val="left"/>
                    <w:rPr>
                      <w:rFonts w:hint="default" w:ascii="Times New Roman" w:hAnsi="Times New Roman" w:cs="Times New Roman"/>
                      <w:color w:val="auto"/>
                      <w:kern w:val="0"/>
                      <w:sz w:val="21"/>
                      <w:szCs w:val="21"/>
                    </w:rPr>
                  </w:pPr>
                  <w:r>
                    <w:rPr>
                      <w:rFonts w:hint="default" w:ascii="Times New Roman" w:hAnsi="Times New Roman" w:cs="Times New Roman"/>
                      <w:color w:val="auto"/>
                      <w:sz w:val="21"/>
                      <w:szCs w:val="24"/>
                    </w:rPr>
                    <w:t>本项目不涉及化工生产</w:t>
                  </w:r>
                </w:p>
              </w:tc>
              <w:tc>
                <w:tcPr>
                  <w:tcW w:w="870"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613" w:type="dxa"/>
                  <w:tcBorders>
                    <w:tl2br w:val="nil"/>
                    <w:tr2bl w:val="nil"/>
                  </w:tcBorders>
                  <w:noWrap w:val="0"/>
                  <w:vAlign w:val="center"/>
                </w:tcPr>
                <w:p>
                  <w:pPr>
                    <w:autoSpaceDE w:val="0"/>
                    <w:autoSpaceDN w:val="0"/>
                    <w:spacing w:beforeLines="0" w:afterLine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p>
              </w:tc>
              <w:tc>
                <w:tcPr>
                  <w:tcW w:w="3930" w:type="dxa"/>
                  <w:tcBorders>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禁止新建、扩建法律法规和相关政策明令禁止的落后产能项目。</w:t>
                  </w:r>
                </w:p>
                <w:p>
                  <w:pPr>
                    <w:autoSpaceDE w:val="0"/>
                    <w:autoSpaceDN w:val="0"/>
                    <w:spacing w:beforeLines="0" w:afterLines="0"/>
                    <w:ind w:firstLine="420" w:firstLineChars="20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对属于国家《产业结构调整指导目录》中淘汰类项目，禁止投资。</w:t>
                  </w:r>
                </w:p>
                <w:p>
                  <w:pPr>
                    <w:autoSpaceDE w:val="0"/>
                    <w:autoSpaceDN w:val="0"/>
                    <w:spacing w:beforeLines="0" w:afterLines="0"/>
                    <w:ind w:firstLine="420" w:firstLineChars="20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对属于国家《产业结构调整指导目录》中限制类的新建项目，禁止投资，沿江各级投资管理部门不予审批、核准或备案。对属于限制类的现有生产能力，允许企业在一定期限内采取措施改造升级。</w:t>
                  </w:r>
                </w:p>
              </w:tc>
              <w:tc>
                <w:tcPr>
                  <w:tcW w:w="1845" w:type="dxa"/>
                  <w:tcBorders>
                    <w:tl2br w:val="nil"/>
                    <w:tr2bl w:val="nil"/>
                  </w:tcBorders>
                  <w:noWrap w:val="0"/>
                  <w:vAlign w:val="center"/>
                </w:tcPr>
                <w:p>
                  <w:pPr>
                    <w:autoSpaceDE w:val="0"/>
                    <w:autoSpaceDN w:val="0"/>
                    <w:spacing w:beforeLines="0" w:afterLines="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本项目产品为高性能环保滤料，</w:t>
                  </w:r>
                  <w:r>
                    <w:rPr>
                      <w:rFonts w:hint="default" w:ascii="Times New Roman" w:hAnsi="Times New Roman" w:cs="Times New Roman"/>
                      <w:color w:val="auto"/>
                      <w:kern w:val="0"/>
                      <w:sz w:val="21"/>
                      <w:szCs w:val="21"/>
                      <w:lang w:val="en-US" w:eastAsia="zh-CN"/>
                    </w:rPr>
                    <w:t>对照《产业结构调整指导目录》（2019年本）的有关条款的决定，本项目不属于其中鼓励类、限制类、淘汰类，可视为允许类</w:t>
                  </w:r>
                  <w:r>
                    <w:rPr>
                      <w:rFonts w:hint="eastAsia" w:cs="Times New Roman"/>
                      <w:color w:val="auto"/>
                      <w:kern w:val="0"/>
                      <w:sz w:val="21"/>
                      <w:szCs w:val="21"/>
                      <w:lang w:val="en-US" w:eastAsia="zh-CN"/>
                    </w:rPr>
                    <w:t>，</w:t>
                  </w:r>
                  <w:r>
                    <w:rPr>
                      <w:rFonts w:hint="default" w:ascii="Times New Roman" w:hAnsi="Times New Roman" w:cs="Times New Roman"/>
                      <w:color w:val="auto"/>
                      <w:kern w:val="0"/>
                      <w:sz w:val="21"/>
                      <w:szCs w:val="21"/>
                    </w:rPr>
                    <w:t>不属于落后淘汰的产能，符合国家产业政策</w:t>
                  </w:r>
                </w:p>
              </w:tc>
              <w:tc>
                <w:tcPr>
                  <w:tcW w:w="870"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613" w:type="dxa"/>
                  <w:tcBorders>
                    <w:tl2br w:val="nil"/>
                    <w:tr2bl w:val="nil"/>
                  </w:tcBorders>
                  <w:noWrap w:val="0"/>
                  <w:vAlign w:val="center"/>
                </w:tcPr>
                <w:p>
                  <w:pPr>
                    <w:autoSpaceDE w:val="0"/>
                    <w:autoSpaceDN w:val="0"/>
                    <w:spacing w:beforeLines="0" w:afterLines="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p>
              </w:tc>
              <w:tc>
                <w:tcPr>
                  <w:tcW w:w="3930" w:type="dxa"/>
                  <w:tcBorders>
                    <w:tl2br w:val="nil"/>
                    <w:tr2bl w:val="nil"/>
                  </w:tcBorders>
                  <w:noWrap w:val="0"/>
                  <w:vAlign w:val="center"/>
                </w:tcPr>
                <w:p>
                  <w:pPr>
                    <w:autoSpaceDE w:val="0"/>
                    <w:autoSpaceDN w:val="0"/>
                    <w:spacing w:beforeLines="0" w:afterLines="0"/>
                    <w:ind w:firstLine="420" w:firstLineChars="20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禁止新建、扩建不符合国家产能置换要求的钢铁、水泥、电解铝、平板玻璃等严重过剩产能行业的项目。</w:t>
                  </w:r>
                </w:p>
              </w:tc>
              <w:tc>
                <w:tcPr>
                  <w:tcW w:w="1845" w:type="dxa"/>
                  <w:tcBorders>
                    <w:tl2br w:val="nil"/>
                    <w:tr2bl w:val="nil"/>
                  </w:tcBorders>
                  <w:noWrap w:val="0"/>
                  <w:vAlign w:val="center"/>
                </w:tcPr>
                <w:p>
                  <w:pPr>
                    <w:autoSpaceDE w:val="0"/>
                    <w:autoSpaceDN w:val="0"/>
                    <w:spacing w:beforeLines="0" w:afterLines="0"/>
                    <w:jc w:val="left"/>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本项目不涉及钢铁、水泥、电解铝、平板玻璃等严重产能过剩行业</w:t>
                  </w:r>
                </w:p>
              </w:tc>
              <w:tc>
                <w:tcPr>
                  <w:tcW w:w="870" w:type="dxa"/>
                  <w:tcBorders>
                    <w:tl2br w:val="nil"/>
                    <w:tr2bl w:val="nil"/>
                  </w:tcBorders>
                  <w:noWrap w:val="0"/>
                  <w:vAlign w:val="center"/>
                </w:tcPr>
                <w:p>
                  <w:pPr>
                    <w:autoSpaceDE w:val="0"/>
                    <w:autoSpaceDN w:val="0"/>
                    <w:spacing w:beforeLines="0" w:afterLines="0" w:line="360" w:lineRule="auto"/>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符合</w:t>
                  </w:r>
                </w:p>
              </w:tc>
            </w:tr>
          </w:tbl>
          <w:p>
            <w:pPr>
              <w:pStyle w:val="49"/>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color w:val="auto"/>
              </w:rPr>
            </w:pPr>
          </w:p>
          <w:p>
            <w:pPr>
              <w:pStyle w:val="49"/>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5</w:t>
            </w:r>
            <w:r>
              <w:rPr>
                <w:rFonts w:hint="default" w:ascii="Times New Roman" w:hAnsi="Times New Roman" w:cs="Times New Roman"/>
                <w:b/>
                <w:bCs/>
                <w:color w:val="auto"/>
                <w:lang w:val="en-US" w:eastAsia="zh-CN"/>
              </w:rPr>
              <w:t>、与《关于印发安徽省长江经济带发展负面清单实施细则(试行)的通知》(皖长江办[2019]18号)相符性</w:t>
            </w:r>
          </w:p>
          <w:p>
            <w:pPr>
              <w:pStyle w:val="49"/>
              <w:keepNext w:val="0"/>
              <w:keepLines w:val="0"/>
              <w:pageBreakBefore w:val="0"/>
              <w:widowControl w:val="0"/>
              <w:kinsoku/>
              <w:wordWrap/>
              <w:overflowPunct/>
              <w:topLinePunct w:val="0"/>
              <w:bidi w:val="0"/>
              <w:snapToGrid/>
              <w:spacing w:line="360" w:lineRule="auto"/>
              <w:ind w:firstLine="480" w:firstLineChars="200"/>
              <w:jc w:val="both"/>
              <w:textAlignment w:val="auto"/>
              <w:rPr>
                <w:rFonts w:hint="default" w:ascii="Times New Roman" w:hAnsi="Times New Roman" w:cs="Times New Roman"/>
                <w:color w:val="auto"/>
              </w:rPr>
            </w:pPr>
            <w:r>
              <w:rPr>
                <w:rFonts w:hint="default" w:ascii="Times New Roman" w:hAnsi="Times New Roman" w:cs="Times New Roman"/>
                <w:color w:val="auto"/>
              </w:rPr>
              <w:t>对照《关于印发安徽省长江经济带发展负面清单实施细则(试行)的通知》(皖长江办[2019]18号)，本项目与之符合性分析内容见下表。</w:t>
            </w:r>
          </w:p>
          <w:p>
            <w:pPr>
              <w:pStyle w:val="49"/>
              <w:keepNext w:val="0"/>
              <w:keepLines w:val="0"/>
              <w:pageBreakBefore w:val="0"/>
              <w:widowControl w:val="0"/>
              <w:kinsoku/>
              <w:wordWrap/>
              <w:overflowPunct/>
              <w:topLinePunct w:val="0"/>
              <w:bidi w:val="0"/>
              <w:snapToGrid/>
              <w:spacing w:line="360" w:lineRule="auto"/>
              <w:ind w:firstLine="482" w:firstLineChars="20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表1-</w:t>
            </w:r>
            <w:r>
              <w:rPr>
                <w:rFonts w:hint="eastAsia" w:ascii="Times New Roman" w:hAnsi="Times New Roman" w:cs="Times New Roman"/>
                <w:b/>
                <w:bCs/>
                <w:color w:val="auto"/>
                <w:lang w:val="en-US" w:eastAsia="zh-CN"/>
              </w:rPr>
              <w:t>5</w:t>
            </w:r>
            <w:r>
              <w:rPr>
                <w:rFonts w:hint="default" w:ascii="Times New Roman" w:hAnsi="Times New Roman" w:cs="Times New Roman"/>
                <w:b/>
                <w:bCs/>
                <w:color w:val="auto"/>
                <w:lang w:val="en-US" w:eastAsia="zh-CN"/>
              </w:rPr>
              <w:t>本项目与《关于印发安徽省长江经济带发展负面清单实施细则(试行)的通知》相符性</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48"/>
              <w:gridCol w:w="35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52" w:type="dxa"/>
                  <w:tcBorders>
                    <w:tl2br w:val="nil"/>
                    <w:tr2bl w:val="nil"/>
                  </w:tcBorders>
                  <w:noWrap w:val="0"/>
                  <w:vAlign w:val="top"/>
                </w:tcPr>
                <w:p>
                  <w:pPr>
                    <w:spacing w:before="30" w:line="212" w:lineRule="auto"/>
                    <w:ind w:left="1577" w:leftChars="0"/>
                    <w:rPr>
                      <w:rFonts w:hint="default" w:ascii="Times New Roman" w:hAnsi="Times New Roman" w:cs="Times New Roman"/>
                      <w:color w:val="auto"/>
                      <w:kern w:val="0"/>
                      <w:sz w:val="24"/>
                      <w:vertAlign w:val="baseline"/>
                    </w:rPr>
                  </w:pPr>
                  <w:r>
                    <w:rPr>
                      <w:rFonts w:hint="default" w:ascii="Times New Roman" w:hAnsi="Times New Roman" w:cs="Times New Roman"/>
                      <w:color w:val="auto"/>
                    </w:rPr>
                    <mc:AlternateContent>
                      <mc:Choice Requires="wps">
                        <w:drawing>
                          <wp:anchor distT="0" distB="0" distL="114300" distR="114300" simplePos="0" relativeHeight="251659264" behindDoc="0" locked="0" layoutInCell="1" allowOverlap="1">
                            <wp:simplePos x="0" y="0"/>
                            <wp:positionH relativeFrom="page">
                              <wp:posOffset>62865</wp:posOffset>
                            </wp:positionH>
                            <wp:positionV relativeFrom="page">
                              <wp:posOffset>3810</wp:posOffset>
                            </wp:positionV>
                            <wp:extent cx="3175" cy="173355"/>
                            <wp:effectExtent l="0" t="0" r="15875" b="17145"/>
                            <wp:wrapNone/>
                            <wp:docPr id="6" name="矩形 6"/>
                            <wp:cNvGraphicFramePr/>
                            <a:graphic xmlns:a="http://schemas.openxmlformats.org/drawingml/2006/main">
                              <a:graphicData uri="http://schemas.microsoft.com/office/word/2010/wordprocessingShape">
                                <wps:wsp>
                                  <wps:cNvSpPr/>
                                  <wps:spPr>
                                    <a:xfrm>
                                      <a:off x="0" y="0"/>
                                      <a:ext cx="3175" cy="173355"/>
                                    </a:xfrm>
                                    <a:prstGeom prst="rect">
                                      <a:avLst/>
                                    </a:prstGeom>
                                    <a:solidFill>
                                      <a:srgbClr val="000000"/>
                                    </a:solidFill>
                                    <a:ln>
                                      <a:noFill/>
                                    </a:ln>
                                    <a:effectLst/>
                                  </wps:spPr>
                                  <wps:bodyPr vert="horz" wrap="square" anchor="t" anchorCtr="0" upright="1"/>
                                </wps:wsp>
                              </a:graphicData>
                            </a:graphic>
                          </wp:anchor>
                        </w:drawing>
                      </mc:Choice>
                      <mc:Fallback>
                        <w:pict>
                          <v:rect id="_x0000_s1026" o:spid="_x0000_s1026" o:spt="1" style="position:absolute;left:0pt;margin-left:4.95pt;margin-top:0.3pt;height:13.65pt;width:0.25pt;mso-position-horizontal-relative:page;mso-position-vertical-relative:page;z-index:251659264;mso-width-relative:page;mso-height-relative:page;" fillcolor="#000000" filled="t" stroked="f" coordsize="21600,21600" o:gfxdata="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CdmtL/UAAAABAEAAA8AAAAAAAAAAQAgAAAAIgAAAGRy&#10;cy9kb3ducmV2LnhtbFBLAQIUABQAAAAIAIdO4kAVnvLH0AEAAJ0DAAAOAAAAAAAAAAEAIAAAACMB&#10;AABkcnMvZTJvRG9jLnhtbFBLBQYAAAAABgAGAFkBAABlBQAAAAA=&#10;">
                            <v:fill on="t" focussize="0,0"/>
                            <v:stroke on="f"/>
                            <v:imagedata o:title=""/>
                            <o:lock v:ext="edit" aspectratio="f"/>
                          </v:rect>
                        </w:pict>
                      </mc:Fallback>
                    </mc:AlternateContent>
                  </w:r>
                  <w:r>
                    <w:rPr>
                      <w:rFonts w:hint="default" w:ascii="Times New Roman" w:hAnsi="Times New Roman" w:eastAsia="宋体" w:cs="Times New Roman"/>
                      <w:color w:val="auto"/>
                      <w:spacing w:val="-2"/>
                      <w:sz w:val="21"/>
                      <w:szCs w:val="21"/>
                    </w:rPr>
                    <w:t>文</w:t>
                  </w:r>
                  <w:r>
                    <w:rPr>
                      <w:rFonts w:hint="default" w:ascii="Times New Roman" w:hAnsi="Times New Roman" w:eastAsia="宋体" w:cs="Times New Roman"/>
                      <w:color w:val="auto"/>
                      <w:spacing w:val="-1"/>
                      <w:sz w:val="21"/>
                      <w:szCs w:val="21"/>
                    </w:rPr>
                    <w:t>件内容</w:t>
                  </w:r>
                </w:p>
              </w:tc>
              <w:tc>
                <w:tcPr>
                  <w:tcW w:w="3552" w:type="dxa"/>
                  <w:tcBorders>
                    <w:tl2br w:val="nil"/>
                    <w:tr2bl w:val="nil"/>
                  </w:tcBorders>
                  <w:noWrap w:val="0"/>
                  <w:vAlign w:val="top"/>
                </w:tcPr>
                <w:p>
                  <w:pPr>
                    <w:spacing w:before="30" w:line="212" w:lineRule="auto"/>
                    <w:ind w:left="1198" w:leftChars="0"/>
                    <w:rPr>
                      <w:rFonts w:hint="default" w:ascii="Times New Roman" w:hAnsi="Times New Roman" w:cs="Times New Roman"/>
                      <w:color w:val="auto"/>
                      <w:kern w:val="0"/>
                      <w:sz w:val="24"/>
                      <w:vertAlign w:val="baseline"/>
                    </w:rPr>
                  </w:pPr>
                  <w:r>
                    <w:rPr>
                      <w:rFonts w:hint="default" w:ascii="Times New Roman" w:hAnsi="Times New Roman" w:eastAsia="宋体" w:cs="Times New Roman"/>
                      <w:color w:val="auto"/>
                      <w:spacing w:val="-1"/>
                      <w:sz w:val="21"/>
                      <w:szCs w:val="21"/>
                    </w:rPr>
                    <w:t>相符性分析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5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1、禁止建设不符合全国和全省港口布局规划以及港口总体规划的码头项目；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2、禁止在自然保护区核心区、缓冲区的岸线和河段范围内投资建设旅游和生产经营项目；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3、禁止在饮用水水源二级保护区的岸线和河段范围内新建、改建、扩建排放污染物的建设项目，禁止设置排污口；</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4、长江干流及主要支流岸线1公里范围内，除必须实施的防洪护岸等事关公共安全和公众利益建设项目，以及长江岸线规划确定的城市建设区内非工业项目外，不得新批建设项目，不得布局新的工业园区</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eastAsia="宋体" w:cs="Times New Roman"/>
                      <w:color w:val="auto"/>
                      <w:kern w:val="0"/>
                      <w:sz w:val="21"/>
                      <w:szCs w:val="21"/>
                      <w:lang w:val="en-US" w:eastAsia="zh-CN" w:bidi="ar-SA"/>
                    </w:rPr>
                    <w:t>5、禁止在合规园区外新建、扩建钢铁、石化、化工、焦化、建材、有色等高污染项目6、禁止新建、扩建不符合国家石化、现代煤化工等产业布局规划的项目；禁止新建、扩建法律法规和相关政策明令禁止的落后产能项目</w:t>
                  </w:r>
                </w:p>
              </w:tc>
              <w:tc>
                <w:tcPr>
                  <w:tcW w:w="355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cs="Times New Roman"/>
                      <w:color w:val="auto"/>
                      <w:kern w:val="0"/>
                      <w:sz w:val="21"/>
                      <w:szCs w:val="21"/>
                      <w:vertAlign w:val="baseline"/>
                    </w:rPr>
                    <w:t>1、本项目非码头项目；</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cs="Times New Roman"/>
                      <w:color w:val="auto"/>
                      <w:kern w:val="0"/>
                      <w:sz w:val="21"/>
                      <w:szCs w:val="21"/>
                      <w:vertAlign w:val="baseline"/>
                    </w:rPr>
                    <w:t>2、本项目为新建项目，不在自然保护区核心区、缓冲区的岸线和河段范围内；</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cs="Times New Roman"/>
                      <w:color w:val="auto"/>
                      <w:kern w:val="0"/>
                      <w:sz w:val="21"/>
                      <w:szCs w:val="21"/>
                      <w:vertAlign w:val="baseline"/>
                    </w:rPr>
                    <w:t>3、本项目的建设不涉及饮用水水源二级保护区的岸线和河段范围内；</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cs="Times New Roman"/>
                      <w:color w:val="auto"/>
                      <w:kern w:val="0"/>
                      <w:sz w:val="21"/>
                      <w:szCs w:val="21"/>
                      <w:vertAlign w:val="baseline"/>
                    </w:rPr>
                    <w:t>4、本项目为新建项目，距离长江9.</w:t>
                  </w:r>
                  <w:r>
                    <w:rPr>
                      <w:rFonts w:hint="default" w:ascii="Times New Roman" w:hAnsi="Times New Roman" w:cs="Times New Roman"/>
                      <w:color w:val="auto"/>
                      <w:kern w:val="0"/>
                      <w:sz w:val="21"/>
                      <w:szCs w:val="21"/>
                      <w:vertAlign w:val="baseline"/>
                      <w:lang w:val="en-US" w:eastAsia="zh-CN"/>
                    </w:rPr>
                    <w:t>8</w:t>
                  </w:r>
                  <w:r>
                    <w:rPr>
                      <w:rFonts w:hint="default" w:ascii="Times New Roman" w:hAnsi="Times New Roman" w:cs="Times New Roman"/>
                      <w:color w:val="auto"/>
                      <w:kern w:val="0"/>
                      <w:sz w:val="21"/>
                      <w:szCs w:val="21"/>
                      <w:vertAlign w:val="baseline"/>
                    </w:rPr>
                    <w:t>km，距离青弋江1.</w:t>
                  </w:r>
                  <w:r>
                    <w:rPr>
                      <w:rFonts w:hint="default" w:ascii="Times New Roman" w:hAnsi="Times New Roman" w:cs="Times New Roman"/>
                      <w:color w:val="auto"/>
                      <w:kern w:val="0"/>
                      <w:sz w:val="21"/>
                      <w:szCs w:val="21"/>
                      <w:vertAlign w:val="baseline"/>
                      <w:lang w:val="en-US" w:eastAsia="zh-CN"/>
                    </w:rPr>
                    <w:t>3</w:t>
                  </w:r>
                  <w:r>
                    <w:rPr>
                      <w:rFonts w:hint="default" w:ascii="Times New Roman" w:hAnsi="Times New Roman" w:cs="Times New Roman"/>
                      <w:color w:val="auto"/>
                      <w:kern w:val="0"/>
                      <w:sz w:val="21"/>
                      <w:szCs w:val="21"/>
                      <w:vertAlign w:val="baseline"/>
                    </w:rPr>
                    <w:t>km，项目选址不在长江干流及主要支流岸线1公里范围内；</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auto"/>
                      <w:kern w:val="0"/>
                      <w:sz w:val="21"/>
                      <w:szCs w:val="21"/>
                      <w:vertAlign w:val="baseline"/>
                    </w:rPr>
                  </w:pPr>
                  <w:r>
                    <w:rPr>
                      <w:rFonts w:hint="default" w:ascii="Times New Roman" w:hAnsi="Times New Roman" w:cs="Times New Roman"/>
                      <w:color w:val="auto"/>
                      <w:kern w:val="0"/>
                      <w:sz w:val="21"/>
                      <w:szCs w:val="21"/>
                      <w:vertAlign w:val="baseline"/>
                    </w:rPr>
                    <w:t>5、项目位于芜湖市鸠江区清水街道清水创业园内，用地性质为工业用地，符合芜湖市土地利用总体规划和芜湖市鸠江区清水街道土地利用总体规划要求。</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0"/>
                      <w:sz w:val="21"/>
                      <w:szCs w:val="21"/>
                      <w:vertAlign w:val="baseline"/>
                      <w:lang w:eastAsia="zh-CN"/>
                    </w:rPr>
                  </w:pPr>
                  <w:r>
                    <w:rPr>
                      <w:rFonts w:hint="default" w:ascii="Times New Roman" w:hAnsi="Times New Roman" w:cs="Times New Roman"/>
                      <w:color w:val="auto"/>
                      <w:kern w:val="0"/>
                      <w:sz w:val="21"/>
                      <w:szCs w:val="21"/>
                      <w:vertAlign w:val="baseline"/>
                    </w:rPr>
                    <w:t>6、本项目产品为高性能环保滤料</w:t>
                  </w:r>
                  <w:r>
                    <w:rPr>
                      <w:rFonts w:hint="default" w:ascii="Times New Roman" w:hAnsi="Times New Roman" w:cs="Times New Roman"/>
                      <w:color w:val="auto"/>
                      <w:kern w:val="0"/>
                      <w:sz w:val="21"/>
                      <w:szCs w:val="21"/>
                      <w:vertAlign w:val="baseline"/>
                      <w:lang w:eastAsia="zh-CN"/>
                    </w:rPr>
                    <w:t>，不属于石化、现代煤化工等等高污染行业。</w:t>
                  </w:r>
                </w:p>
              </w:tc>
            </w:tr>
          </w:tbl>
          <w:p>
            <w:pPr>
              <w:pageBreakBefore w:val="0"/>
              <w:kinsoku/>
              <w:wordWrap/>
              <w:overflowPunct/>
              <w:topLinePunct w:val="0"/>
              <w:bidi w:val="0"/>
              <w:spacing w:line="360" w:lineRule="auto"/>
              <w:textAlignment w:val="auto"/>
              <w:rPr>
                <w:rFonts w:hint="eastAsia" w:ascii="Times New Roman" w:hAnsi="Times New Roman" w:eastAsia="宋体" w:cs="Times New Roman"/>
                <w:b/>
                <w:bCs/>
                <w:color w:val="auto"/>
                <w:kern w:val="0"/>
                <w:sz w:val="24"/>
                <w:lang w:val="en-US" w:eastAsia="zh-CN"/>
              </w:rPr>
            </w:pPr>
            <w:r>
              <w:rPr>
                <w:rFonts w:hint="eastAsia"/>
                <w:color w:val="auto"/>
                <w:sz w:val="24"/>
                <w:szCs w:val="24"/>
                <w:lang w:val="en-US" w:eastAsia="zh-CN"/>
              </w:rPr>
              <w:t>6、</w:t>
            </w:r>
            <w:r>
              <w:rPr>
                <w:rFonts w:hint="eastAsia" w:ascii="Times New Roman" w:hAnsi="Times New Roman" w:eastAsia="宋体" w:cs="Times New Roman"/>
                <w:b/>
                <w:bCs/>
                <w:color w:val="auto"/>
                <w:kern w:val="0"/>
                <w:sz w:val="24"/>
                <w:lang w:val="en-US" w:eastAsia="zh-CN"/>
              </w:rPr>
              <w:t>与安徽省《建筑工程施工和预拌混凝土生产扬尘污染防治标准（试行）》</w:t>
            </w:r>
            <w:r>
              <w:rPr>
                <w:rFonts w:hint="eastAsia" w:cs="Times New Roman"/>
                <w:b/>
                <w:bCs/>
                <w:color w:val="auto"/>
                <w:kern w:val="0"/>
                <w:sz w:val="24"/>
                <w:lang w:val="en-US" w:eastAsia="zh-CN"/>
              </w:rPr>
              <w:t>参照</w:t>
            </w:r>
            <w:r>
              <w:rPr>
                <w:rFonts w:hint="eastAsia" w:ascii="Times New Roman" w:hAnsi="Times New Roman" w:eastAsia="宋体" w:cs="Times New Roman"/>
                <w:b/>
                <w:bCs/>
                <w:color w:val="auto"/>
                <w:kern w:val="0"/>
                <w:sz w:val="24"/>
                <w:lang w:val="en-US" w:eastAsia="zh-CN"/>
              </w:rPr>
              <w:t>分析</w:t>
            </w:r>
          </w:p>
          <w:p>
            <w:pPr>
              <w:pageBreakBefore w:val="0"/>
              <w:kinsoku/>
              <w:wordWrap/>
              <w:overflowPunct/>
              <w:topLinePunct w:val="0"/>
              <w:bidi w:val="0"/>
              <w:spacing w:line="360" w:lineRule="auto"/>
              <w:jc w:val="center"/>
              <w:textAlignment w:val="auto"/>
              <w:rPr>
                <w:rFonts w:hint="eastAsia"/>
                <w:b/>
                <w:bCs/>
                <w:color w:val="auto"/>
                <w:sz w:val="24"/>
                <w:szCs w:val="24"/>
                <w:lang w:val="en-US" w:eastAsia="zh-CN"/>
              </w:rPr>
            </w:pPr>
            <w:r>
              <w:rPr>
                <w:rFonts w:hint="eastAsia"/>
                <w:b/>
                <w:bCs/>
                <w:color w:val="auto"/>
                <w:sz w:val="24"/>
                <w:szCs w:val="24"/>
                <w:lang w:val="en-US" w:eastAsia="zh-CN"/>
              </w:rPr>
              <w:t>表1-5本项目粉尘控制措施与标准要求分析</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4"/>
              <w:gridCol w:w="2574"/>
              <w:gridCol w:w="2965"/>
              <w:gridCol w:w="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67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b/>
                      <w:bCs/>
                      <w:color w:val="auto"/>
                      <w:spacing w:val="0"/>
                      <w:kern w:val="0"/>
                      <w:sz w:val="21"/>
                      <w:szCs w:val="21"/>
                      <w:lang w:val="en-US" w:eastAsia="zh-CN" w:bidi="ar"/>
                    </w:rPr>
                    <w:t>序号</w:t>
                  </w:r>
                </w:p>
              </w:tc>
              <w:tc>
                <w:tcPr>
                  <w:tcW w:w="2574"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b/>
                      <w:bCs/>
                      <w:color w:val="auto"/>
                      <w:spacing w:val="0"/>
                      <w:kern w:val="0"/>
                      <w:sz w:val="21"/>
                      <w:szCs w:val="21"/>
                      <w:lang w:val="en-US" w:eastAsia="zh-CN" w:bidi="ar"/>
                    </w:rPr>
                    <w:t>防治标准要求</w:t>
                  </w:r>
                </w:p>
              </w:tc>
              <w:tc>
                <w:tcPr>
                  <w:tcW w:w="296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b/>
                      <w:bCs/>
                      <w:color w:val="auto"/>
                      <w:spacing w:val="0"/>
                      <w:kern w:val="0"/>
                      <w:sz w:val="21"/>
                      <w:szCs w:val="21"/>
                      <w:lang w:val="en-US" w:eastAsia="zh-CN" w:bidi="ar"/>
                    </w:rPr>
                    <w:t>本项目采取措施</w:t>
                  </w:r>
                </w:p>
              </w:tc>
              <w:tc>
                <w:tcPr>
                  <w:tcW w:w="88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b/>
                      <w:bCs/>
                      <w:color w:val="auto"/>
                      <w:spacing w:val="0"/>
                      <w:kern w:val="0"/>
                      <w:sz w:val="21"/>
                      <w:szCs w:val="21"/>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1</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预拌混凝土厂生产区宜建成封闭式厂房项目搅拌楼生产厂房为封闭式结构符合要求</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本项目生产厂房为三面封闭式</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2</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砂石堆场与配料设施应整体封闭，骨料传输皮带机与生产主机楼包括粉料筒仓应整体封闭</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本项目外购页岩为三面封闭式堆棚；页岩转运均采用密闭皮带运输，并在产尘节点处均设置收尘设施；水泥仓筒整体封闭</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3</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砂石堆场、卸料区、车辆进出口及骨料配料设施应有降尘抑尘设施设备。下料点应采取喷淋或其他抑尘措施。</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本项目厂区卸料处、堆场、车辆进出口、配料设施、下料点均采取喷淋措施</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4</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道路及硬化地面必须保持完好、清洁，车辆在行驶时不得产生可见扬尘。应配备洒水车辆，宜选用洒水、冲洗、吸尘功能专业保洁车辆。</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本项目厂区和进出场道路均采用硬化处理，进出场车辆进行清洗，同时厂区配备洒水车1辆，具备洒水、冲洗、吸尘功能。</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5</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厂区内雨水、污水排水沟、管道以及沉淀池等应及时清理。生产废料、垃圾应集中堆放，并应及时清理、处理，同时应采取防尘措施。</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厂区内周边设置雨水沟和沉淀池，安排专人及时进行清掏，同时厂区定期开展洒水降尘措施，进一步减少粉尘的排放。</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6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6</w:t>
                  </w:r>
                </w:p>
              </w:tc>
              <w:tc>
                <w:tcPr>
                  <w:tcW w:w="25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应建设车辆出厂冲洗设施。运输车辆出厂前必须冲洗清理，车体应保持清洁，冲洗废水应循环使用。</w:t>
                  </w:r>
                </w:p>
              </w:tc>
              <w:tc>
                <w:tcPr>
                  <w:tcW w:w="2965"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项目配备进出场车辆冲洗设施，冲洗废水收集沉淀处理后循环使用</w:t>
                  </w:r>
                </w:p>
              </w:tc>
              <w:tc>
                <w:tcPr>
                  <w:tcW w:w="88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eastAsia" w:ascii="宋体" w:hAnsi="宋体" w:eastAsia="宋体" w:cs="宋体"/>
                      <w:color w:val="auto"/>
                      <w:spacing w:val="0"/>
                      <w:sz w:val="21"/>
                      <w:szCs w:val="21"/>
                      <w:vertAlign w:val="baseline"/>
                      <w:lang w:val="en-US" w:eastAsia="zh-CN"/>
                    </w:rPr>
                  </w:pPr>
                  <w:r>
                    <w:rPr>
                      <w:rFonts w:hint="eastAsia" w:ascii="宋体" w:hAnsi="宋体" w:eastAsia="宋体" w:cs="宋体"/>
                      <w:color w:val="auto"/>
                      <w:spacing w:val="0"/>
                      <w:sz w:val="21"/>
                      <w:szCs w:val="21"/>
                      <w:vertAlign w:val="baseline"/>
                      <w:lang w:val="en-US" w:eastAsia="zh-CN"/>
                    </w:rPr>
                    <w:t>符合要求</w:t>
                  </w:r>
                </w:p>
              </w:tc>
            </w:tr>
          </w:tbl>
          <w:p>
            <w:pPr>
              <w:pageBreakBefore w:val="0"/>
              <w:kinsoku/>
              <w:wordWrap/>
              <w:overflowPunct/>
              <w:topLinePunct w:val="0"/>
              <w:bidi w:val="0"/>
              <w:spacing w:line="360" w:lineRule="auto"/>
              <w:textAlignment w:val="auto"/>
              <w:rPr>
                <w:rFonts w:hint="default" w:ascii="Times New Roman" w:hAnsi="Times New Roman" w:eastAsia="宋体" w:cs="Times New Roman"/>
                <w:b/>
                <w:bCs/>
                <w:color w:val="auto"/>
                <w:kern w:val="0"/>
                <w:sz w:val="24"/>
                <w:lang w:val="en-US" w:eastAsia="zh-CN"/>
              </w:rPr>
            </w:pPr>
            <w:r>
              <w:rPr>
                <w:rFonts w:hint="eastAsia" w:cs="Times New Roman"/>
                <w:b/>
                <w:bCs/>
                <w:color w:val="auto"/>
                <w:kern w:val="0"/>
                <w:sz w:val="24"/>
                <w:lang w:val="en-US" w:eastAsia="zh-CN"/>
              </w:rPr>
              <w:t>7</w:t>
            </w:r>
            <w:r>
              <w:rPr>
                <w:rFonts w:hint="default" w:ascii="Times New Roman" w:hAnsi="Times New Roman" w:eastAsia="宋体" w:cs="Times New Roman"/>
                <w:b/>
                <w:bCs/>
                <w:color w:val="auto"/>
                <w:kern w:val="0"/>
                <w:sz w:val="24"/>
                <w:lang w:val="en-US" w:eastAsia="zh-CN"/>
              </w:rPr>
              <w:t>、与《安徽省2021年应对气候变化和大气污染防治重点工作任务》</w:t>
            </w:r>
          </w:p>
          <w:p>
            <w:pPr>
              <w:pageBreakBefore w:val="0"/>
              <w:kinsoku/>
              <w:wordWrap/>
              <w:overflowPunct/>
              <w:topLinePunct w:val="0"/>
              <w:bidi w:val="0"/>
              <w:spacing w:line="360" w:lineRule="auto"/>
              <w:textAlignment w:val="auto"/>
              <w:rPr>
                <w:rFonts w:hint="default" w:ascii="Times New Roman" w:hAnsi="Times New Roman" w:eastAsia="宋体" w:cs="Times New Roman"/>
                <w:b/>
                <w:bCs/>
                <w:color w:val="auto"/>
                <w:kern w:val="0"/>
                <w:sz w:val="24"/>
                <w:lang w:val="en-US" w:eastAsia="zh-CN"/>
              </w:rPr>
            </w:pPr>
            <w:r>
              <w:rPr>
                <w:rFonts w:hint="default" w:ascii="Times New Roman" w:hAnsi="Times New Roman" w:eastAsia="宋体" w:cs="Times New Roman"/>
                <w:b/>
                <w:bCs/>
                <w:color w:val="auto"/>
                <w:kern w:val="0"/>
                <w:sz w:val="24"/>
                <w:lang w:val="en-US" w:eastAsia="zh-CN"/>
              </w:rPr>
              <w:t>相符性分析</w:t>
            </w:r>
          </w:p>
          <w:p>
            <w:pPr>
              <w:pStyle w:val="49"/>
              <w:keepNext w:val="0"/>
              <w:keepLines w:val="0"/>
              <w:pageBreakBefore w:val="0"/>
              <w:widowControl w:val="0"/>
              <w:kinsoku/>
              <w:wordWrap/>
              <w:overflowPunct/>
              <w:topLinePunct w:val="0"/>
              <w:bidi w:val="0"/>
              <w:snapToGrid/>
              <w:spacing w:line="360" w:lineRule="auto"/>
              <w:jc w:val="both"/>
              <w:textAlignment w:val="auto"/>
              <w:rPr>
                <w:rFonts w:hint="default" w:ascii="Times New Roman" w:hAnsi="Times New Roman" w:cs="Times New Roman"/>
                <w:b/>
                <w:bCs/>
                <w:color w:val="auto"/>
                <w:lang w:val="en-US" w:eastAsia="zh-CN"/>
              </w:rPr>
            </w:pPr>
          </w:p>
          <w:p>
            <w:pPr>
              <w:pStyle w:val="49"/>
              <w:keepNext w:val="0"/>
              <w:keepLines w:val="0"/>
              <w:pageBreakBefore w:val="0"/>
              <w:widowControl w:val="0"/>
              <w:kinsoku/>
              <w:wordWrap/>
              <w:overflowPunct/>
              <w:topLinePunct w:val="0"/>
              <w:bidi w:val="0"/>
              <w:snapToGrid/>
              <w:spacing w:line="360" w:lineRule="auto"/>
              <w:ind w:firstLine="482" w:firstLineChars="20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表1-</w:t>
            </w:r>
            <w:r>
              <w:rPr>
                <w:rFonts w:hint="eastAsia" w:ascii="Times New Roman" w:hAnsi="Times New Roman" w:cs="Times New Roman"/>
                <w:b/>
                <w:bCs/>
                <w:color w:val="auto"/>
                <w:lang w:val="en-US" w:eastAsia="zh-CN"/>
              </w:rPr>
              <w:t>6</w:t>
            </w:r>
            <w:r>
              <w:rPr>
                <w:rFonts w:hint="default" w:ascii="Times New Roman" w:hAnsi="Times New Roman" w:cs="Times New Roman"/>
                <w:b/>
                <w:bCs/>
                <w:color w:val="auto"/>
                <w:lang w:val="en-US" w:eastAsia="zh-CN"/>
              </w:rPr>
              <w:t>本项目与《安徽省2021年应对气候变化和大气污染防治重点工作任务》相符性</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3"/>
              <w:gridCol w:w="2792"/>
              <w:gridCol w:w="2458"/>
              <w:gridCol w:w="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3755" w:type="dxa"/>
                  <w:gridSpan w:val="2"/>
                  <w:tcBorders>
                    <w:tl2br w:val="nil"/>
                    <w:tr2bl w:val="nil"/>
                  </w:tcBorders>
                  <w:noWrap w:val="0"/>
                  <w:vAlign w:val="top"/>
                </w:tcPr>
                <w:p>
                  <w:pPr>
                    <w:pageBreakBefore w:val="0"/>
                    <w:kinsoku/>
                    <w:wordWrap/>
                    <w:overflowPunct/>
                    <w:topLinePunct w:val="0"/>
                    <w:bidi w:val="0"/>
                    <w:spacing w:line="360" w:lineRule="auto"/>
                    <w:jc w:val="center"/>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spacing w:val="-2"/>
                      <w:sz w:val="21"/>
                      <w:szCs w:val="21"/>
                    </w:rPr>
                    <w:t>文</w:t>
                  </w:r>
                  <w:r>
                    <w:rPr>
                      <w:rFonts w:hint="default" w:ascii="Times New Roman" w:hAnsi="Times New Roman" w:eastAsia="宋体" w:cs="Times New Roman"/>
                      <w:color w:val="auto"/>
                      <w:spacing w:val="-1"/>
                      <w:sz w:val="21"/>
                      <w:szCs w:val="21"/>
                    </w:rPr>
                    <w:t>件要求</w:t>
                  </w:r>
                </w:p>
              </w:tc>
              <w:tc>
                <w:tcPr>
                  <w:tcW w:w="2458" w:type="dxa"/>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spacing w:val="-1"/>
                      <w:sz w:val="21"/>
                      <w:szCs w:val="21"/>
                    </w:rPr>
                    <w:t>本项目建设</w:t>
                  </w:r>
                  <w:r>
                    <w:rPr>
                      <w:rFonts w:hint="default" w:ascii="Times New Roman" w:hAnsi="Times New Roman" w:eastAsia="宋体" w:cs="Times New Roman"/>
                      <w:color w:val="auto"/>
                      <w:sz w:val="21"/>
                      <w:szCs w:val="21"/>
                    </w:rPr>
                    <w:t>情况</w:t>
                  </w:r>
                </w:p>
              </w:tc>
              <w:tc>
                <w:tcPr>
                  <w:tcW w:w="881" w:type="dxa"/>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spacing w:val="-1"/>
                      <w:sz w:val="21"/>
                      <w:szCs w:val="21"/>
                      <w:lang w:val="en-US" w:eastAsia="zh-CN"/>
                    </w:rPr>
                    <w:t>相符性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 w:type="dxa"/>
                  <w:vMerge w:val="restart"/>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三、强化产业布局升级，源头推进绿色发展</w:t>
                  </w:r>
                </w:p>
              </w:tc>
              <w:tc>
                <w:tcPr>
                  <w:tcW w:w="279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eastAsia="宋体" w:cs="Times New Roman"/>
                      <w:color w:val="auto"/>
                      <w:kern w:val="0"/>
                      <w:sz w:val="21"/>
                      <w:szCs w:val="21"/>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6.优化产业结构及布局。对标节能减排要求和碳达峰碳中和目标，坚决遏制高耗能高排放项目盲目发展。提高新建项目节能环保准入标准，加大落后和过剩产能压减力度。严格执行国家高耗能、高污染和高资源型行业准入条件，钢铁、水泥熟料、平板玻璃、焦化等新、扩建项目严格实施产能置换，未纳入国家规划的炼油、煤化工等项目不再新建。加快推动沿江地区制造业绿色发展，形成一批国内领先的绿色工厂、绿色产品、绿色园区、绿色供应链。以清洁生产一级水平为标杆，加快传统产业技术改造，推动我省长三角中心区内8市钢铁、石化、有色金属、建材、船舶、纺织印染、酿造等传统产业绿色转型。严格按照《产业结构调整指导目录》，支持发展先进产能，依法淘汰落后产能，建立“散乱污”企业动态管理机制，坚决杜绝“散乱污”企业异地转移，严防死灰复燃。</w:t>
                  </w:r>
                </w:p>
              </w:tc>
              <w:tc>
                <w:tcPr>
                  <w:tcW w:w="2458"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kern w:val="0"/>
                      <w:sz w:val="21"/>
                      <w:szCs w:val="21"/>
                      <w:vertAlign w:val="baseline"/>
                      <w:lang w:val="en-US" w:eastAsia="zh-CN"/>
                    </w:rPr>
                    <w:t>本项目生产高性能环保滤料，对照《关于加强高耗能、高排放建设项目生态环境源头防控的指导意见》(环环评〔2021〕45号)中相关要求，不属于“两高”行业；对照《产业结构调整指导目录（2019年本）》，本项目不属于鼓励类，也非限制类和淘汰类，为允许类。根据《部分工业行业淘汰落后生产工艺装备和产品指导目录(2010年本)》，本项目无淘汰落后生产工艺、设备和产品。</w:t>
                  </w:r>
                </w:p>
              </w:tc>
              <w:tc>
                <w:tcPr>
                  <w:tcW w:w="881" w:type="dxa"/>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cs="Times New Roman"/>
                      <w:color w:val="auto"/>
                      <w:kern w:val="0"/>
                      <w:sz w:val="21"/>
                      <w:szCs w:val="21"/>
                      <w:vertAlign w:val="baseline"/>
                      <w:lang w:val="en-US" w:eastAsia="zh-CN"/>
                    </w:rPr>
                    <w:t>符合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 w:type="dxa"/>
                  <w:vMerge w:val="continue"/>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p>
              </w:tc>
              <w:tc>
                <w:tcPr>
                  <w:tcW w:w="2792"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tLeast"/>
                    <w:ind w:left="0"/>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color w:val="auto"/>
                      <w:spacing w:val="-12"/>
                      <w:sz w:val="21"/>
                      <w:szCs w:val="21"/>
                    </w:rPr>
                    <w:t>7</w:t>
                  </w:r>
                  <w:r>
                    <w:rPr>
                      <w:rFonts w:hint="default" w:ascii="Times New Roman" w:hAnsi="Times New Roman" w:eastAsia="宋体" w:cs="Times New Roman"/>
                      <w:color w:val="auto"/>
                      <w:spacing w:val="-9"/>
                      <w:sz w:val="21"/>
                      <w:szCs w:val="21"/>
                    </w:rPr>
                    <w:t>.</w:t>
                  </w:r>
                  <w:r>
                    <w:rPr>
                      <w:rFonts w:hint="default" w:ascii="Times New Roman" w:hAnsi="Times New Roman" w:eastAsia="宋体" w:cs="Times New Roman"/>
                      <w:color w:val="auto"/>
                      <w:spacing w:val="-6"/>
                      <w:sz w:val="21"/>
                      <w:szCs w:val="21"/>
                    </w:rPr>
                    <w:t>加快区域产业调整。加快推进</w:t>
                  </w:r>
                  <w:r>
                    <w:rPr>
                      <w:rFonts w:hint="default" w:ascii="Times New Roman" w:hAnsi="Times New Roman" w:eastAsia="宋体" w:cs="Times New Roman"/>
                      <w:color w:val="auto"/>
                      <w:spacing w:val="6"/>
                      <w:sz w:val="21"/>
                      <w:szCs w:val="21"/>
                    </w:rPr>
                    <w:t>城</w:t>
                  </w:r>
                  <w:r>
                    <w:rPr>
                      <w:rFonts w:hint="default" w:ascii="Times New Roman" w:hAnsi="Times New Roman" w:eastAsia="宋体" w:cs="Times New Roman"/>
                      <w:color w:val="auto"/>
                      <w:spacing w:val="5"/>
                      <w:sz w:val="21"/>
                      <w:szCs w:val="21"/>
                    </w:rPr>
                    <w:t>市建成区重污染企业搬迁改</w:t>
                  </w:r>
                  <w:r>
                    <w:rPr>
                      <w:rFonts w:hint="default" w:ascii="Times New Roman" w:hAnsi="Times New Roman" w:eastAsia="宋体" w:cs="Times New Roman"/>
                      <w:color w:val="auto"/>
                      <w:spacing w:val="9"/>
                      <w:sz w:val="21"/>
                      <w:szCs w:val="21"/>
                    </w:rPr>
                    <w:t>造</w:t>
                  </w:r>
                  <w:r>
                    <w:rPr>
                      <w:rFonts w:hint="default" w:ascii="Times New Roman" w:hAnsi="Times New Roman" w:eastAsia="宋体" w:cs="Times New Roman"/>
                      <w:color w:val="auto"/>
                      <w:spacing w:val="6"/>
                      <w:sz w:val="21"/>
                      <w:szCs w:val="21"/>
                    </w:rPr>
                    <w:t>、兼并重组、转型升级或关闭</w:t>
                  </w:r>
                  <w:r>
                    <w:rPr>
                      <w:rFonts w:hint="default" w:ascii="Times New Roman" w:hAnsi="Times New Roman" w:eastAsia="宋体" w:cs="Times New Roman"/>
                      <w:color w:val="auto"/>
                      <w:spacing w:val="-10"/>
                      <w:sz w:val="21"/>
                      <w:szCs w:val="21"/>
                    </w:rPr>
                    <w:t>退</w:t>
                  </w:r>
                  <w:r>
                    <w:rPr>
                      <w:rFonts w:hint="default" w:ascii="Times New Roman" w:hAnsi="Times New Roman" w:eastAsia="宋体" w:cs="Times New Roman"/>
                      <w:color w:val="auto"/>
                      <w:spacing w:val="-7"/>
                      <w:sz w:val="21"/>
                      <w:szCs w:val="21"/>
                    </w:rPr>
                    <w:t>出，继续推动实施水泥、钢铁、</w:t>
                  </w:r>
                  <w:r>
                    <w:rPr>
                      <w:rFonts w:hint="default" w:ascii="Times New Roman" w:hAnsi="Times New Roman" w:eastAsia="宋体" w:cs="Times New Roman"/>
                      <w:color w:val="auto"/>
                      <w:spacing w:val="9"/>
                      <w:sz w:val="21"/>
                      <w:szCs w:val="21"/>
                    </w:rPr>
                    <w:t>玻</w:t>
                  </w:r>
                  <w:r>
                    <w:rPr>
                      <w:rFonts w:hint="default" w:ascii="Times New Roman" w:hAnsi="Times New Roman" w:eastAsia="宋体" w:cs="Times New Roman"/>
                      <w:color w:val="auto"/>
                      <w:spacing w:val="6"/>
                      <w:sz w:val="21"/>
                      <w:szCs w:val="21"/>
                    </w:rPr>
                    <w:t>璃、化工等重污染企业搬迁工</w:t>
                  </w:r>
                  <w:r>
                    <w:rPr>
                      <w:rFonts w:hint="default" w:ascii="Times New Roman" w:hAnsi="Times New Roman" w:eastAsia="宋体" w:cs="Times New Roman"/>
                      <w:color w:val="auto"/>
                      <w:spacing w:val="11"/>
                      <w:sz w:val="21"/>
                      <w:szCs w:val="21"/>
                    </w:rPr>
                    <w:t>程</w:t>
                  </w:r>
                  <w:r>
                    <w:rPr>
                      <w:rFonts w:hint="default" w:ascii="Times New Roman" w:hAnsi="Times New Roman" w:eastAsia="宋体" w:cs="Times New Roman"/>
                      <w:color w:val="auto"/>
                      <w:spacing w:val="6"/>
                      <w:sz w:val="21"/>
                      <w:szCs w:val="21"/>
                    </w:rPr>
                    <w:t>。沿江城市要全面落实“1515”</w:t>
                  </w:r>
                  <w:r>
                    <w:rPr>
                      <w:rFonts w:hint="default" w:ascii="Times New Roman" w:hAnsi="Times New Roman" w:eastAsia="宋体" w:cs="Times New Roman"/>
                      <w:color w:val="auto"/>
                      <w:spacing w:val="4"/>
                      <w:sz w:val="21"/>
                      <w:szCs w:val="21"/>
                    </w:rPr>
                    <w:t>三道防线和“禁新建、减存量、</w:t>
                  </w:r>
                  <w:r>
                    <w:rPr>
                      <w:rFonts w:hint="default" w:ascii="Times New Roman" w:hAnsi="Times New Roman" w:eastAsia="宋体" w:cs="Times New Roman"/>
                      <w:color w:val="auto"/>
                      <w:spacing w:val="10"/>
                      <w:sz w:val="21"/>
                      <w:szCs w:val="21"/>
                    </w:rPr>
                    <w:t>光</w:t>
                  </w:r>
                  <w:r>
                    <w:rPr>
                      <w:rFonts w:hint="default" w:ascii="Times New Roman" w:hAnsi="Times New Roman" w:eastAsia="宋体" w:cs="Times New Roman"/>
                      <w:color w:val="auto"/>
                      <w:spacing w:val="6"/>
                      <w:sz w:val="21"/>
                      <w:szCs w:val="21"/>
                    </w:rPr>
                    <w:t>污源、进园区、建新绿、纳统</w:t>
                  </w:r>
                  <w:r>
                    <w:rPr>
                      <w:rFonts w:hint="default" w:ascii="Times New Roman" w:hAnsi="Times New Roman" w:eastAsia="宋体" w:cs="Times New Roman"/>
                      <w:color w:val="auto"/>
                      <w:spacing w:val="10"/>
                      <w:sz w:val="21"/>
                      <w:szCs w:val="21"/>
                    </w:rPr>
                    <w:t>管</w:t>
                  </w:r>
                  <w:r>
                    <w:rPr>
                      <w:rFonts w:hint="default" w:ascii="Times New Roman" w:hAnsi="Times New Roman" w:eastAsia="宋体" w:cs="Times New Roman"/>
                      <w:color w:val="auto"/>
                      <w:spacing w:val="6"/>
                      <w:sz w:val="21"/>
                      <w:szCs w:val="21"/>
                    </w:rPr>
                    <w:t>、强机制”七项举措，推进化</w:t>
                  </w:r>
                  <w:r>
                    <w:rPr>
                      <w:rFonts w:hint="default" w:ascii="Times New Roman" w:hAnsi="Times New Roman" w:eastAsia="宋体" w:cs="Times New Roman"/>
                      <w:color w:val="auto"/>
                      <w:spacing w:val="5"/>
                      <w:sz w:val="21"/>
                      <w:szCs w:val="21"/>
                    </w:rPr>
                    <w:t>工</w:t>
                  </w:r>
                  <w:r>
                    <w:rPr>
                      <w:rFonts w:hint="default" w:ascii="Times New Roman" w:hAnsi="Times New Roman" w:eastAsia="宋体" w:cs="Times New Roman"/>
                      <w:color w:val="auto"/>
                      <w:spacing w:val="4"/>
                      <w:sz w:val="21"/>
                      <w:szCs w:val="21"/>
                    </w:rPr>
                    <w:t>企业关闭或拆迁至合规园区。</w:t>
                  </w:r>
                  <w:r>
                    <w:rPr>
                      <w:rFonts w:hint="default" w:ascii="Times New Roman" w:hAnsi="Times New Roman" w:eastAsia="宋体" w:cs="Times New Roman"/>
                      <w:color w:val="auto"/>
                      <w:spacing w:val="10"/>
                      <w:sz w:val="21"/>
                      <w:szCs w:val="21"/>
                    </w:rPr>
                    <w:t>各</w:t>
                  </w:r>
                  <w:r>
                    <w:rPr>
                      <w:rFonts w:hint="default" w:ascii="Times New Roman" w:hAnsi="Times New Roman" w:eastAsia="宋体" w:cs="Times New Roman"/>
                      <w:color w:val="auto"/>
                      <w:spacing w:val="6"/>
                      <w:sz w:val="21"/>
                      <w:szCs w:val="21"/>
                    </w:rPr>
                    <w:t>地已明确的退城企业，要明确</w:t>
                  </w:r>
                  <w:r>
                    <w:rPr>
                      <w:rFonts w:hint="default" w:ascii="Times New Roman" w:hAnsi="Times New Roman" w:eastAsia="宋体" w:cs="Times New Roman"/>
                      <w:color w:val="auto"/>
                      <w:spacing w:val="-10"/>
                      <w:sz w:val="21"/>
                      <w:szCs w:val="21"/>
                    </w:rPr>
                    <w:t>时</w:t>
                  </w:r>
                  <w:r>
                    <w:rPr>
                      <w:rFonts w:hint="default" w:ascii="Times New Roman" w:hAnsi="Times New Roman" w:eastAsia="宋体" w:cs="Times New Roman"/>
                      <w:color w:val="auto"/>
                      <w:spacing w:val="-7"/>
                      <w:sz w:val="21"/>
                      <w:szCs w:val="21"/>
                    </w:rPr>
                    <w:t>间表，逾期不退城的予以停产。</w:t>
                  </w:r>
                </w:p>
              </w:tc>
              <w:tc>
                <w:tcPr>
                  <w:tcW w:w="2458" w:type="dxa"/>
                  <w:tcBorders>
                    <w:tl2br w:val="nil"/>
                    <w:tr2bl w:val="nil"/>
                  </w:tcBorders>
                  <w:noWrap w:val="0"/>
                  <w:vAlign w:val="top"/>
                </w:tcPr>
                <w:p>
                  <w:pPr>
                    <w:keepNext w:val="0"/>
                    <w:keepLines w:val="0"/>
                    <w:pageBreakBefore w:val="0"/>
                    <w:widowControl/>
                    <w:kinsoku w:val="0"/>
                    <w:wordWrap/>
                    <w:overflowPunct/>
                    <w:topLinePunct w:val="0"/>
                    <w:autoSpaceDE w:val="0"/>
                    <w:autoSpaceDN w:val="0"/>
                    <w:bidi w:val="0"/>
                    <w:adjustRightInd w:val="0"/>
                    <w:snapToGrid w:val="0"/>
                    <w:spacing w:line="240" w:lineRule="atLeast"/>
                    <w:ind w:left="0" w:right="0"/>
                    <w:jc w:val="both"/>
                    <w:textAlignment w:val="baseline"/>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eastAsia="宋体" w:cs="Times New Roman"/>
                      <w:snapToGrid w:val="0"/>
                      <w:color w:val="auto"/>
                      <w:spacing w:val="-1"/>
                      <w:kern w:val="0"/>
                      <w:sz w:val="21"/>
                      <w:szCs w:val="21"/>
                    </w:rPr>
                    <w:t>本项目位于芜湖市鸠江</w:t>
                  </w:r>
                  <w:r>
                    <w:rPr>
                      <w:rFonts w:hint="default" w:ascii="Times New Roman" w:hAnsi="Times New Roman" w:eastAsia="宋体" w:cs="Times New Roman"/>
                      <w:snapToGrid w:val="0"/>
                      <w:color w:val="auto"/>
                      <w:kern w:val="0"/>
                      <w:sz w:val="21"/>
                      <w:szCs w:val="21"/>
                    </w:rPr>
                    <w:t>区</w:t>
                  </w:r>
                  <w:r>
                    <w:rPr>
                      <w:rFonts w:hint="default" w:ascii="Times New Roman" w:hAnsi="Times New Roman" w:eastAsia="宋体" w:cs="Times New Roman"/>
                      <w:snapToGrid w:val="0"/>
                      <w:color w:val="auto"/>
                      <w:spacing w:val="-5"/>
                      <w:kern w:val="0"/>
                      <w:sz w:val="21"/>
                      <w:szCs w:val="21"/>
                    </w:rPr>
                    <w:t>清水街道清水创业园内</w:t>
                  </w:r>
                  <w:r>
                    <w:rPr>
                      <w:rFonts w:hint="default" w:ascii="Times New Roman" w:hAnsi="Times New Roman" w:eastAsia="宋体" w:cs="Times New Roman"/>
                      <w:snapToGrid w:val="0"/>
                      <w:color w:val="auto"/>
                      <w:spacing w:val="-4"/>
                      <w:kern w:val="0"/>
                      <w:sz w:val="21"/>
                      <w:szCs w:val="21"/>
                    </w:rPr>
                    <w:t>，</w:t>
                  </w:r>
                  <w:r>
                    <w:rPr>
                      <w:rFonts w:hint="default" w:ascii="Times New Roman" w:hAnsi="Times New Roman" w:eastAsia="宋体" w:cs="Times New Roman"/>
                      <w:snapToGrid w:val="0"/>
                      <w:color w:val="auto"/>
                      <w:spacing w:val="-6"/>
                      <w:kern w:val="0"/>
                      <w:sz w:val="21"/>
                      <w:szCs w:val="21"/>
                    </w:rPr>
                    <w:t>距离</w:t>
                  </w:r>
                  <w:r>
                    <w:rPr>
                      <w:rFonts w:hint="default" w:ascii="Times New Roman" w:hAnsi="Times New Roman" w:eastAsia="宋体" w:cs="Times New Roman"/>
                      <w:snapToGrid w:val="0"/>
                      <w:color w:val="auto"/>
                      <w:spacing w:val="-4"/>
                      <w:kern w:val="0"/>
                      <w:sz w:val="21"/>
                      <w:szCs w:val="21"/>
                    </w:rPr>
                    <w:t>长</w:t>
                  </w:r>
                  <w:r>
                    <w:rPr>
                      <w:rFonts w:hint="default" w:ascii="Times New Roman" w:hAnsi="Times New Roman" w:eastAsia="宋体" w:cs="Times New Roman"/>
                      <w:snapToGrid w:val="0"/>
                      <w:color w:val="auto"/>
                      <w:spacing w:val="-3"/>
                      <w:kern w:val="0"/>
                      <w:sz w:val="21"/>
                      <w:szCs w:val="21"/>
                    </w:rPr>
                    <w:t>江</w:t>
                  </w:r>
                  <w:r>
                    <w:rPr>
                      <w:rFonts w:hint="default" w:ascii="Times New Roman" w:hAnsi="Times New Roman" w:eastAsia="Times New Roman" w:cs="Times New Roman"/>
                      <w:snapToGrid w:val="0"/>
                      <w:color w:val="auto"/>
                      <w:spacing w:val="-3"/>
                      <w:kern w:val="0"/>
                      <w:sz w:val="21"/>
                      <w:szCs w:val="21"/>
                    </w:rPr>
                    <w:t>9.</w:t>
                  </w:r>
                  <w:r>
                    <w:rPr>
                      <w:rFonts w:hint="default" w:ascii="Times New Roman" w:hAnsi="Times New Roman" w:eastAsia="宋体" w:cs="Times New Roman"/>
                      <w:snapToGrid w:val="0"/>
                      <w:color w:val="auto"/>
                      <w:spacing w:val="-3"/>
                      <w:kern w:val="0"/>
                      <w:sz w:val="21"/>
                      <w:szCs w:val="21"/>
                      <w:lang w:val="en-US" w:eastAsia="zh-CN"/>
                    </w:rPr>
                    <w:t>8</w:t>
                  </w:r>
                  <w:r>
                    <w:rPr>
                      <w:rFonts w:hint="default" w:ascii="Times New Roman" w:hAnsi="Times New Roman" w:eastAsia="Times New Roman" w:cs="Times New Roman"/>
                      <w:snapToGrid w:val="0"/>
                      <w:color w:val="auto"/>
                      <w:spacing w:val="-3"/>
                      <w:kern w:val="0"/>
                      <w:sz w:val="21"/>
                      <w:szCs w:val="21"/>
                    </w:rPr>
                    <w:t>km</w:t>
                  </w:r>
                  <w:r>
                    <w:rPr>
                      <w:rFonts w:hint="default" w:ascii="Times New Roman" w:hAnsi="Times New Roman" w:eastAsia="宋体" w:cs="Times New Roman"/>
                      <w:snapToGrid w:val="0"/>
                      <w:color w:val="auto"/>
                      <w:spacing w:val="-3"/>
                      <w:kern w:val="0"/>
                      <w:sz w:val="21"/>
                      <w:szCs w:val="21"/>
                    </w:rPr>
                    <w:t>，距离青</w:t>
                  </w:r>
                  <w:r>
                    <w:rPr>
                      <w:rFonts w:hint="default" w:ascii="Times New Roman" w:hAnsi="Times New Roman" w:eastAsia="宋体" w:cs="Times New Roman"/>
                      <w:snapToGrid w:val="0"/>
                      <w:color w:val="auto"/>
                      <w:spacing w:val="-4"/>
                      <w:kern w:val="0"/>
                      <w:sz w:val="21"/>
                      <w:szCs w:val="21"/>
                    </w:rPr>
                    <w:t>弋江</w:t>
                  </w:r>
                  <w:r>
                    <w:rPr>
                      <w:rFonts w:hint="default" w:ascii="Times New Roman" w:hAnsi="Times New Roman" w:eastAsia="Times New Roman" w:cs="Times New Roman"/>
                      <w:snapToGrid w:val="0"/>
                      <w:color w:val="auto"/>
                      <w:spacing w:val="-4"/>
                      <w:kern w:val="0"/>
                      <w:sz w:val="21"/>
                      <w:szCs w:val="21"/>
                    </w:rPr>
                    <w:t>1.</w:t>
                  </w:r>
                  <w:r>
                    <w:rPr>
                      <w:rFonts w:hint="default" w:ascii="Times New Roman" w:hAnsi="Times New Roman" w:eastAsia="宋体" w:cs="Times New Roman"/>
                      <w:snapToGrid w:val="0"/>
                      <w:color w:val="auto"/>
                      <w:spacing w:val="-3"/>
                      <w:kern w:val="0"/>
                      <w:sz w:val="21"/>
                      <w:szCs w:val="21"/>
                      <w:lang w:val="en-US" w:eastAsia="zh-CN"/>
                    </w:rPr>
                    <w:t>3</w:t>
                  </w:r>
                  <w:r>
                    <w:rPr>
                      <w:rFonts w:hint="default" w:ascii="Times New Roman" w:hAnsi="Times New Roman" w:eastAsia="Times New Roman" w:cs="Times New Roman"/>
                      <w:snapToGrid w:val="0"/>
                      <w:color w:val="auto"/>
                      <w:spacing w:val="-2"/>
                      <w:kern w:val="0"/>
                      <w:sz w:val="21"/>
                      <w:szCs w:val="21"/>
                    </w:rPr>
                    <w:t>km</w:t>
                  </w:r>
                  <w:r>
                    <w:rPr>
                      <w:rFonts w:hint="default" w:ascii="Times New Roman" w:hAnsi="Times New Roman" w:eastAsia="宋体" w:cs="Times New Roman"/>
                      <w:snapToGrid w:val="0"/>
                      <w:color w:val="auto"/>
                      <w:spacing w:val="-2"/>
                      <w:kern w:val="0"/>
                      <w:sz w:val="21"/>
                      <w:szCs w:val="21"/>
                    </w:rPr>
                    <w:t>。本项目产品</w:t>
                  </w:r>
                  <w:r>
                    <w:rPr>
                      <w:rFonts w:hint="default" w:ascii="Times New Roman" w:hAnsi="Times New Roman" w:eastAsia="宋体" w:cs="Times New Roman"/>
                      <w:snapToGrid w:val="0"/>
                      <w:color w:val="auto"/>
                      <w:spacing w:val="-1"/>
                      <w:kern w:val="0"/>
                      <w:sz w:val="21"/>
                      <w:szCs w:val="21"/>
                    </w:rPr>
                    <w:t>为高性能环保滤料，</w:t>
                  </w:r>
                  <w:r>
                    <w:rPr>
                      <w:rFonts w:hint="default" w:ascii="Times New Roman" w:hAnsi="Times New Roman" w:eastAsia="宋体" w:cs="Times New Roman"/>
                      <w:snapToGrid w:val="0"/>
                      <w:color w:val="auto"/>
                      <w:kern w:val="0"/>
                      <w:sz w:val="21"/>
                      <w:szCs w:val="21"/>
                    </w:rPr>
                    <w:t>不属</w:t>
                  </w:r>
                  <w:r>
                    <w:rPr>
                      <w:rFonts w:hint="default" w:ascii="Times New Roman" w:hAnsi="Times New Roman" w:eastAsia="宋体" w:cs="Times New Roman"/>
                      <w:snapToGrid w:val="0"/>
                      <w:color w:val="auto"/>
                      <w:spacing w:val="-6"/>
                      <w:kern w:val="0"/>
                      <w:sz w:val="21"/>
                      <w:szCs w:val="21"/>
                    </w:rPr>
                    <w:t>于</w:t>
                  </w:r>
                  <w:r>
                    <w:rPr>
                      <w:rFonts w:hint="default" w:ascii="Times New Roman" w:hAnsi="Times New Roman" w:eastAsia="宋体" w:cs="Times New Roman"/>
                      <w:snapToGrid w:val="0"/>
                      <w:color w:val="auto"/>
                      <w:spacing w:val="-5"/>
                      <w:kern w:val="0"/>
                      <w:sz w:val="21"/>
                      <w:szCs w:val="21"/>
                    </w:rPr>
                    <w:t>重污染企业。</w:t>
                  </w:r>
                </w:p>
              </w:tc>
              <w:tc>
                <w:tcPr>
                  <w:tcW w:w="881" w:type="dxa"/>
                  <w:tcBorders>
                    <w:tl2br w:val="nil"/>
                    <w:tr2bl w:val="nil"/>
                  </w:tcBorders>
                  <w:noWrap w:val="0"/>
                  <w:vAlign w:val="top"/>
                </w:tcPr>
                <w:p>
                  <w:pPr>
                    <w:pageBreakBefore w:val="0"/>
                    <w:kinsoku/>
                    <w:wordWrap/>
                    <w:overflowPunct/>
                    <w:topLinePunct w:val="0"/>
                    <w:bidi w:val="0"/>
                    <w:spacing w:line="360" w:lineRule="auto"/>
                    <w:textAlignment w:val="auto"/>
                    <w:rPr>
                      <w:rFonts w:hint="default" w:ascii="Times New Roman" w:hAnsi="Times New Roman" w:eastAsia="宋体" w:cs="Times New Roman"/>
                      <w:color w:val="auto"/>
                      <w:kern w:val="0"/>
                      <w:sz w:val="24"/>
                      <w:vertAlign w:val="baseline"/>
                      <w:lang w:val="en-US" w:eastAsia="zh-CN"/>
                    </w:rPr>
                  </w:pPr>
                  <w:r>
                    <w:rPr>
                      <w:rFonts w:hint="default" w:ascii="Times New Roman" w:hAnsi="Times New Roman" w:cs="Times New Roman"/>
                      <w:color w:val="auto"/>
                      <w:kern w:val="0"/>
                      <w:sz w:val="21"/>
                      <w:szCs w:val="21"/>
                      <w:vertAlign w:val="baseline"/>
                      <w:lang w:val="en-US" w:eastAsia="zh-CN"/>
                    </w:rPr>
                    <w:t>符合</w:t>
                  </w:r>
                </w:p>
              </w:tc>
            </w:tr>
          </w:tbl>
          <w:p>
            <w:pPr>
              <w:pageBreakBefore w:val="0"/>
              <w:kinsoku/>
              <w:wordWrap/>
              <w:overflowPunct/>
              <w:topLinePunct w:val="0"/>
              <w:bidi w:val="0"/>
              <w:spacing w:line="360" w:lineRule="auto"/>
              <w:textAlignment w:val="auto"/>
              <w:rPr>
                <w:rFonts w:hint="default" w:ascii="Times New Roman" w:hAnsi="Times New Roman" w:cs="Times New Roman"/>
                <w:color w:val="auto"/>
                <w:kern w:val="0"/>
                <w:sz w:val="24"/>
              </w:rPr>
            </w:pPr>
          </w:p>
        </w:tc>
      </w:tr>
    </w:tbl>
    <w:p>
      <w:pPr>
        <w:spacing w:line="360" w:lineRule="auto"/>
        <w:outlineLvl w:val="0"/>
        <w:rPr>
          <w:rFonts w:hint="default" w:ascii="Times New Roman" w:hAnsi="Times New Roman" w:cs="Times New Roman"/>
          <w:color w:val="auto"/>
          <w:sz w:val="30"/>
        </w:rPr>
      </w:pPr>
    </w:p>
    <w:p>
      <w:pPr>
        <w:pStyle w:val="2"/>
        <w:rPr>
          <w:rFonts w:hint="default"/>
          <w:color w:val="auto"/>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p>
      <w:pPr>
        <w:pStyle w:val="24"/>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84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0" w:hRule="atLeast"/>
          <w:jc w:val="center"/>
        </w:trPr>
        <w:tc>
          <w:tcPr>
            <w:tcW w:w="415" w:type="dxa"/>
            <w:noWrap w:val="0"/>
            <w:vAlign w:val="center"/>
          </w:tcPr>
          <w:p>
            <w:pPr>
              <w:pStyle w:val="24"/>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Cs w:val="24"/>
              </w:rPr>
              <w:t>建设内容</w:t>
            </w:r>
          </w:p>
        </w:tc>
        <w:tc>
          <w:tcPr>
            <w:tcW w:w="8409" w:type="dxa"/>
            <w:noWrap w:val="0"/>
            <w:vAlign w:val="top"/>
          </w:tcPr>
          <w:p>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1、企业概况及项目背景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现代社会经济快速发展历程中，绿色发展理念盛行，并逐渐应用于我国各大生产行业，国内环保事业随时得到了快速发展的机会与平台。现阶段，基于民众对生活用水、环境空气质量等方面的高要求发展现状，环保过滤产业的发展具有极其重要的现实价值。在此发展情形下，国内环保过滤材料研发及生产工艺呈现快速进步发展的态势。</w:t>
            </w:r>
          </w:p>
          <w:p>
            <w:pPr>
              <w:spacing w:line="360" w:lineRule="auto"/>
              <w:ind w:firstLine="480" w:firstLineChars="200"/>
              <w:rPr>
                <w:rFonts w:hint="default" w:ascii="Times New Roman" w:hAnsi="Times New Roman" w:eastAsia="宋体" w:cs="Times New Roman"/>
                <w:color w:val="auto"/>
                <w:spacing w:val="0"/>
                <w:position w:val="0"/>
                <w:sz w:val="24"/>
                <w:szCs w:val="24"/>
              </w:rPr>
            </w:pPr>
            <w:bookmarkStart w:id="2" w:name="_GoBack"/>
            <w:r>
              <w:rPr>
                <w:rFonts w:hint="default" w:ascii="Times New Roman" w:hAnsi="Times New Roman" w:eastAsia="宋体" w:cs="Times New Roman"/>
                <w:color w:val="auto"/>
                <w:spacing w:val="0"/>
                <w:position w:val="0"/>
                <w:sz w:val="24"/>
                <w:szCs w:val="24"/>
              </w:rPr>
              <w:t>芜湖荆峰建材销售有限公司</w:t>
            </w:r>
            <w:bookmarkEnd w:id="2"/>
            <w:r>
              <w:rPr>
                <w:rFonts w:hint="default" w:ascii="Times New Roman" w:hAnsi="Times New Roman" w:eastAsia="宋体" w:cs="Times New Roman"/>
                <w:color w:val="auto"/>
                <w:spacing w:val="0"/>
                <w:position w:val="0"/>
                <w:sz w:val="24"/>
                <w:szCs w:val="24"/>
              </w:rPr>
              <w:t>拟投资</w:t>
            </w:r>
            <w:r>
              <w:rPr>
                <w:rFonts w:hint="default" w:ascii="Times New Roman" w:hAnsi="Times New Roman" w:eastAsia="Times New Roman" w:cs="Times New Roman"/>
                <w:color w:val="auto"/>
                <w:spacing w:val="0"/>
                <w:position w:val="0"/>
                <w:sz w:val="24"/>
                <w:szCs w:val="24"/>
              </w:rPr>
              <w:t>12000</w:t>
            </w:r>
            <w:r>
              <w:rPr>
                <w:rFonts w:hint="default" w:ascii="Times New Roman" w:hAnsi="Times New Roman" w:eastAsia="宋体" w:cs="Times New Roman"/>
                <w:color w:val="auto"/>
                <w:spacing w:val="0"/>
                <w:position w:val="0"/>
                <w:sz w:val="24"/>
                <w:szCs w:val="24"/>
              </w:rPr>
              <w:t>万元，位于芜湖市鸠江区清水街道清水创业园，租赁芜湖铮铮金属加工有限公司厂房，占地面积约</w:t>
            </w:r>
            <w:r>
              <w:rPr>
                <w:rFonts w:hint="default" w:ascii="Times New Roman" w:hAnsi="Times New Roman" w:eastAsia="Times New Roman" w:cs="Times New Roman"/>
                <w:color w:val="auto"/>
                <w:spacing w:val="0"/>
                <w:position w:val="0"/>
                <w:sz w:val="24"/>
                <w:szCs w:val="24"/>
              </w:rPr>
              <w:t>2900m</w:t>
            </w:r>
            <w:r>
              <w:rPr>
                <w:rFonts w:hint="eastAsia" w:eastAsia="宋体" w:cs="Times New Roman"/>
                <w:color w:val="auto"/>
                <w:spacing w:val="0"/>
                <w:position w:val="0"/>
                <w:sz w:val="24"/>
                <w:szCs w:val="24"/>
                <w:vertAlign w:val="superscript"/>
                <w:lang w:val="en-US" w:eastAsia="zh-CN"/>
              </w:rPr>
              <w:t>2</w:t>
            </w:r>
            <w:r>
              <w:rPr>
                <w:rFonts w:hint="default" w:ascii="Times New Roman" w:hAnsi="Times New Roman" w:eastAsia="宋体" w:cs="Times New Roman"/>
                <w:color w:val="auto"/>
                <w:spacing w:val="0"/>
                <w:position w:val="0"/>
                <w:sz w:val="24"/>
                <w:szCs w:val="24"/>
              </w:rPr>
              <w:t>，建设高性能环保滤料研发及生产项目，建成后形成年产</w:t>
            </w:r>
            <w:r>
              <w:rPr>
                <w:rFonts w:hint="default" w:ascii="Times New Roman" w:hAnsi="Times New Roman" w:eastAsia="Times New Roman" w:cs="Times New Roman"/>
                <w:color w:val="auto"/>
                <w:spacing w:val="0"/>
                <w:position w:val="0"/>
                <w:sz w:val="24"/>
                <w:szCs w:val="24"/>
              </w:rPr>
              <w:t>2</w:t>
            </w:r>
            <w:r>
              <w:rPr>
                <w:rFonts w:hint="default" w:ascii="Times New Roman" w:hAnsi="Times New Roman" w:eastAsia="宋体" w:cs="Times New Roman"/>
                <w:color w:val="auto"/>
                <w:spacing w:val="0"/>
                <w:position w:val="0"/>
                <w:sz w:val="24"/>
                <w:szCs w:val="24"/>
              </w:rPr>
              <w:t>万吨高性能环保滤料的生产规模，可应用于人工湿地、污水处理等环保处理的领域中。</w:t>
            </w:r>
          </w:p>
          <w:p>
            <w:pPr>
              <w:pStyle w:val="26"/>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auto"/>
                <w:spacing w:val="0"/>
                <w:kern w:val="2"/>
                <w:sz w:val="24"/>
                <w:szCs w:val="24"/>
                <w:lang w:val="en-US" w:eastAsia="zh-CN" w:bidi="ar-SA"/>
              </w:rPr>
            </w:pPr>
            <w:r>
              <w:rPr>
                <w:rFonts w:hint="default" w:ascii="Times New Roman" w:hAnsi="Times New Roman" w:eastAsia="宋体" w:cs="Times New Roman"/>
                <w:color w:val="auto"/>
                <w:spacing w:val="0"/>
                <w:kern w:val="2"/>
                <w:sz w:val="24"/>
                <w:szCs w:val="24"/>
                <w:lang w:val="en-US" w:eastAsia="zh-CN" w:bidi="ar-SA"/>
              </w:rPr>
              <w:t>2022年3月8日，芜湖市生态环境局在现场检查时发现企业未依法履行环境影响评价手续情况下擅自开工建设一条破碎筛分生产线；破碎筛分生产线需配套建设的污染物防止设施未建成。芜湖市生态环境局于2022年</w:t>
            </w:r>
            <w:r>
              <w:rPr>
                <w:rFonts w:hint="default" w:ascii="Times New Roman" w:hAnsi="Times New Roman" w:cs="Times New Roman"/>
                <w:color w:val="auto"/>
                <w:spacing w:val="0"/>
                <w:kern w:val="2"/>
                <w:sz w:val="24"/>
                <w:szCs w:val="24"/>
                <w:lang w:val="en-US" w:eastAsia="zh-CN" w:bidi="ar-SA"/>
              </w:rPr>
              <w:t>5</w:t>
            </w:r>
            <w:r>
              <w:rPr>
                <w:rFonts w:hint="default" w:ascii="Times New Roman" w:hAnsi="Times New Roman" w:eastAsia="宋体" w:cs="Times New Roman"/>
                <w:color w:val="auto"/>
                <w:spacing w:val="0"/>
                <w:kern w:val="2"/>
                <w:sz w:val="24"/>
                <w:szCs w:val="24"/>
                <w:lang w:val="en-US" w:eastAsia="zh-CN" w:bidi="ar-SA"/>
              </w:rPr>
              <w:t>月</w:t>
            </w:r>
            <w:r>
              <w:rPr>
                <w:rFonts w:hint="default" w:ascii="Times New Roman" w:hAnsi="Times New Roman" w:cs="Times New Roman"/>
                <w:color w:val="auto"/>
                <w:spacing w:val="0"/>
                <w:kern w:val="2"/>
                <w:sz w:val="24"/>
                <w:szCs w:val="24"/>
                <w:lang w:val="en-US" w:eastAsia="zh-CN" w:bidi="ar-SA"/>
              </w:rPr>
              <w:t>10</w:t>
            </w:r>
            <w:r>
              <w:rPr>
                <w:rFonts w:hint="default" w:ascii="Times New Roman" w:hAnsi="Times New Roman" w:eastAsia="宋体" w:cs="Times New Roman"/>
                <w:color w:val="auto"/>
                <w:spacing w:val="0"/>
                <w:kern w:val="2"/>
                <w:sz w:val="24"/>
                <w:szCs w:val="24"/>
                <w:lang w:val="en-US" w:eastAsia="zh-CN" w:bidi="ar-SA"/>
              </w:rPr>
              <w:t>日下发了行政处罚决定书（芜环罚字[202</w:t>
            </w:r>
            <w:r>
              <w:rPr>
                <w:rFonts w:hint="default" w:ascii="Times New Roman" w:hAnsi="Times New Roman" w:eastAsia="宋体" w:cs="Times New Roman"/>
                <w:color w:val="auto"/>
                <w:spacing w:val="0"/>
                <w:kern w:val="2"/>
                <w:sz w:val="24"/>
                <w:szCs w:val="24"/>
                <w:lang w:val="en-US" w:eastAsia="zh-CN" w:bidi="ar-SA"/>
              </w:rPr>
              <w:t>2]</w:t>
            </w:r>
            <w:r>
              <w:rPr>
                <w:rFonts w:hint="default" w:ascii="Times New Roman" w:hAnsi="Times New Roman" w:cs="Times New Roman"/>
                <w:color w:val="auto"/>
                <w:spacing w:val="0"/>
                <w:kern w:val="2"/>
                <w:sz w:val="24"/>
                <w:szCs w:val="24"/>
                <w:lang w:val="en-US" w:eastAsia="zh-CN" w:bidi="ar-SA"/>
              </w:rPr>
              <w:t>30</w:t>
            </w:r>
            <w:r>
              <w:rPr>
                <w:rFonts w:hint="default" w:ascii="Times New Roman" w:hAnsi="Times New Roman" w:eastAsia="宋体" w:cs="Times New Roman"/>
                <w:color w:val="auto"/>
                <w:spacing w:val="0"/>
                <w:kern w:val="2"/>
                <w:sz w:val="24"/>
                <w:szCs w:val="24"/>
                <w:lang w:val="en-US" w:eastAsia="zh-CN" w:bidi="ar-SA"/>
              </w:rPr>
              <w:t>号</w:t>
            </w:r>
            <w:r>
              <w:rPr>
                <w:rFonts w:hint="default" w:ascii="Times New Roman" w:hAnsi="Times New Roman" w:eastAsia="宋体" w:cs="Times New Roman"/>
                <w:color w:val="auto"/>
                <w:spacing w:val="0"/>
                <w:kern w:val="2"/>
                <w:sz w:val="24"/>
                <w:szCs w:val="24"/>
                <w:lang w:val="en-US" w:eastAsia="zh-CN" w:bidi="ar-SA"/>
              </w:rPr>
              <w:t>）</w:t>
            </w:r>
            <w:r>
              <w:rPr>
                <w:rFonts w:hint="default" w:ascii="Times New Roman" w:hAnsi="Times New Roman" w:cs="Times New Roman"/>
                <w:color w:val="auto"/>
                <w:spacing w:val="0"/>
                <w:kern w:val="2"/>
                <w:sz w:val="24"/>
                <w:szCs w:val="24"/>
                <w:lang w:val="en-US" w:eastAsia="zh-CN" w:bidi="ar-SA"/>
              </w:rPr>
              <w:t>，企业于2022年5月23日缴纳罚金。</w:t>
            </w:r>
          </w:p>
          <w:p>
            <w:pPr>
              <w:pStyle w:val="26"/>
              <w:keepNext w:val="0"/>
              <w:keepLines w:val="0"/>
              <w:pageBreakBefore w:val="0"/>
              <w:widowControl/>
              <w:kinsoku/>
              <w:wordWrap/>
              <w:overflowPunct/>
              <w:topLinePunct w:val="0"/>
              <w:autoSpaceDE/>
              <w:autoSpaceDN/>
              <w:bidi w:val="0"/>
              <w:adjustRightInd/>
              <w:snapToGrid/>
              <w:spacing w:after="0" w:line="360" w:lineRule="auto"/>
              <w:ind w:left="0" w:leftChars="0"/>
              <w:textAlignment w:val="auto"/>
              <w:rPr>
                <w:rFonts w:hint="default" w:ascii="Times New Roman" w:hAnsi="Times New Roman" w:eastAsia="宋体" w:cs="Times New Roman"/>
                <w:color w:val="auto"/>
                <w:spacing w:val="3"/>
                <w:kern w:val="2"/>
                <w:sz w:val="24"/>
                <w:szCs w:val="24"/>
                <w:lang w:val="en-US" w:eastAsia="zh-CN" w:bidi="ar-SA"/>
              </w:rPr>
            </w:pPr>
            <w:r>
              <w:rPr>
                <w:rFonts w:hint="default" w:ascii="Times New Roman" w:hAnsi="Times New Roman" w:eastAsia="宋体" w:cs="Times New Roman"/>
                <w:color w:val="auto"/>
                <w:spacing w:val="3"/>
                <w:kern w:val="2"/>
                <w:sz w:val="24"/>
                <w:szCs w:val="24"/>
                <w:lang w:val="en-US" w:eastAsia="zh-CN" w:bidi="ar-SA"/>
              </w:rPr>
              <w:t>根据《中华人民共和国环境保护法》、《中华人民共和国环境影响评价法》和《建设项目环境保护管理条例》中有关规定，项目应履行环境影响评价手续。结合《建设项目环境影响评价分类管理名录(2021年版)》(生态环境部第16号令，2020年11月30日)中对有关建设项目的分类管理要求，本项目属于“二十七、非金属矿物制品业30”“</w:t>
            </w:r>
            <w:r>
              <w:rPr>
                <w:rFonts w:hint="default" w:ascii="Times New Roman" w:hAnsi="Times New Roman" w:cs="Times New Roman"/>
                <w:color w:val="auto"/>
                <w:spacing w:val="3"/>
                <w:kern w:val="2"/>
                <w:sz w:val="24"/>
                <w:szCs w:val="24"/>
                <w:lang w:val="en-US" w:eastAsia="zh-CN" w:bidi="ar-SA"/>
              </w:rPr>
              <w:t>60</w:t>
            </w:r>
            <w:r>
              <w:rPr>
                <w:rFonts w:hint="default" w:ascii="Times New Roman" w:hAnsi="Times New Roman" w:eastAsia="宋体" w:cs="Times New Roman"/>
                <w:color w:val="auto"/>
                <w:spacing w:val="3"/>
                <w:kern w:val="2"/>
                <w:sz w:val="24"/>
                <w:szCs w:val="24"/>
                <w:lang w:val="en-US" w:eastAsia="zh-CN" w:bidi="ar-SA"/>
              </w:rPr>
              <w:t>、石墨及其他非金属矿物制品制造309”中“其他”项目，按照要求确定该项目环境影响评价形式为环境影响报告表。受建设单位委托，我公司承担了本项目的环境影响评价工作。在对现场进行了详细踏勘、资料收集等基础后，结合当地有关规划和环境质量现状情况，编制了本项目环境影响报告表。</w:t>
            </w:r>
          </w:p>
          <w:p>
            <w:pPr>
              <w:spacing w:line="360" w:lineRule="auto"/>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b/>
                <w:bCs/>
                <w:color w:val="auto"/>
                <w:kern w:val="0"/>
                <w:sz w:val="24"/>
                <w:szCs w:val="20"/>
                <w:lang w:val="en-US" w:eastAsia="zh-CN" w:bidi="ar-SA"/>
              </w:rPr>
              <w:t>表2-1项目环境影响评价文件类别判定</w:t>
            </w:r>
          </w:p>
          <w:tbl>
            <w:tblPr>
              <w:tblStyle w:val="93"/>
              <w:tblW w:w="49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0" w:type="dxa"/>
                <w:bottom w:w="0" w:type="dxa"/>
                <w:right w:w="0" w:type="dxa"/>
              </w:tblCellMar>
            </w:tblPr>
            <w:tblGrid>
              <w:gridCol w:w="510"/>
              <w:gridCol w:w="2115"/>
              <w:gridCol w:w="1371"/>
              <w:gridCol w:w="3117"/>
              <w:gridCol w:w="10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0" w:type="dxa"/>
                  <w:bottom w:w="0" w:type="dxa"/>
                  <w:right w:w="0" w:type="dxa"/>
                </w:tblCellMar>
              </w:tblPrEx>
              <w:trPr>
                <w:trHeight w:val="623" w:hRule="atLeast"/>
                <w:jc w:val="center"/>
              </w:trPr>
              <w:tc>
                <w:tcPr>
                  <w:tcW w:w="2625" w:type="dxa"/>
                  <w:gridSpan w:val="2"/>
                  <w:tcBorders>
                    <w:tl2br w:val="nil"/>
                    <w:tr2bl w:val="nil"/>
                  </w:tcBorders>
                  <w:shd w:val="clear" w:color="auto" w:fill="FFFFFF"/>
                  <w:noWrap w:val="0"/>
                  <w:vAlign w:val="center"/>
                </w:tcPr>
                <w:p>
                  <w:pPr>
                    <w:pStyle w:val="61"/>
                    <w:spacing w:before="2" w:line="267" w:lineRule="exact"/>
                    <w:ind w:left="1241"/>
                    <w:rPr>
                      <w:rFonts w:hint="default" w:ascii="Times New Roman" w:hAnsi="Times New Roman" w:cs="Times New Roman"/>
                      <w:b/>
                      <w:bCs/>
                      <w:color w:val="auto"/>
                      <w:lang w:eastAsia="en-US"/>
                    </w:rPr>
                  </w:pPr>
                  <w:r>
                    <w:rPr>
                      <w:rFonts w:hint="default" w:ascii="Times New Roman" w:hAnsi="Times New Roman" w:cs="Times New Roman"/>
                      <w:b/>
                      <w:bCs/>
                      <w:color w:val="auto"/>
                      <w:lang w:eastAsia="en-US"/>
                    </w:rPr>
                    <w:t>环评类别</w:t>
                  </w:r>
                </w:p>
                <w:p>
                  <w:pPr>
                    <w:pStyle w:val="61"/>
                    <w:spacing w:line="267" w:lineRule="exact"/>
                    <w:ind w:left="215"/>
                    <w:jc w:val="left"/>
                    <w:rPr>
                      <w:rFonts w:hint="default" w:ascii="Times New Roman" w:hAnsi="Times New Roman" w:cs="Times New Roman"/>
                      <w:b/>
                      <w:bCs/>
                      <w:color w:val="auto"/>
                      <w:lang w:eastAsia="en-US"/>
                    </w:rPr>
                  </w:pPr>
                  <w:r>
                    <w:rPr>
                      <w:rFonts w:hint="default" w:ascii="Times New Roman" w:hAnsi="Times New Roman" w:cs="Times New Roman"/>
                      <w:b/>
                      <w:bCs/>
                      <w:color w:val="auto"/>
                      <w:lang w:eastAsia="en-US"/>
                    </w:rPr>
                    <w:t>项目类别</w:t>
                  </w:r>
                </w:p>
              </w:tc>
              <w:tc>
                <w:tcPr>
                  <w:tcW w:w="1371" w:type="dxa"/>
                  <w:tcBorders>
                    <w:tl2br w:val="nil"/>
                    <w:tr2bl w:val="nil"/>
                  </w:tcBorders>
                  <w:shd w:val="clear" w:color="auto" w:fill="FFFFFF"/>
                  <w:noWrap w:val="0"/>
                  <w:vAlign w:val="center"/>
                </w:tcPr>
                <w:p>
                  <w:pPr>
                    <w:pStyle w:val="61"/>
                    <w:spacing w:before="107"/>
                    <w:ind w:left="84" w:right="76"/>
                    <w:jc w:val="center"/>
                    <w:rPr>
                      <w:rFonts w:hint="default" w:ascii="Times New Roman" w:hAnsi="Times New Roman" w:cs="Times New Roman"/>
                      <w:b/>
                      <w:bCs/>
                      <w:color w:val="auto"/>
                      <w:lang w:eastAsia="en-US"/>
                    </w:rPr>
                  </w:pPr>
                  <w:r>
                    <w:rPr>
                      <w:rFonts w:hint="default" w:ascii="Times New Roman" w:hAnsi="Times New Roman" w:cs="Times New Roman"/>
                      <w:b/>
                      <w:bCs/>
                      <w:color w:val="auto"/>
                      <w:lang w:eastAsia="en-US"/>
                    </w:rPr>
                    <w:t>报告书</w:t>
                  </w:r>
                </w:p>
              </w:tc>
              <w:tc>
                <w:tcPr>
                  <w:tcW w:w="3118" w:type="dxa"/>
                  <w:tcBorders>
                    <w:tl2br w:val="nil"/>
                    <w:tr2bl w:val="nil"/>
                  </w:tcBorders>
                  <w:shd w:val="solid" w:color="A5A5A5" w:fill="FFFFFF"/>
                  <w:noWrap w:val="0"/>
                  <w:vAlign w:val="center"/>
                </w:tcPr>
                <w:p>
                  <w:pPr>
                    <w:pStyle w:val="61"/>
                    <w:spacing w:before="107"/>
                    <w:ind w:left="111" w:right="101"/>
                    <w:jc w:val="center"/>
                    <w:rPr>
                      <w:rFonts w:hint="default" w:ascii="Times New Roman" w:hAnsi="Times New Roman" w:cs="Times New Roman"/>
                      <w:b/>
                      <w:bCs/>
                      <w:color w:val="auto"/>
                      <w:lang w:eastAsia="en-US"/>
                    </w:rPr>
                  </w:pPr>
                  <w:r>
                    <w:rPr>
                      <w:rFonts w:hint="default" w:ascii="Times New Roman" w:hAnsi="Times New Roman" w:cs="Times New Roman"/>
                      <w:b/>
                      <w:bCs/>
                      <w:color w:val="auto"/>
                      <w:lang w:eastAsia="en-US"/>
                    </w:rPr>
                    <w:t>报告表</w:t>
                  </w:r>
                </w:p>
              </w:tc>
              <w:tc>
                <w:tcPr>
                  <w:tcW w:w="1000" w:type="dxa"/>
                  <w:tcBorders>
                    <w:tl2br w:val="nil"/>
                    <w:tr2bl w:val="nil"/>
                  </w:tcBorders>
                  <w:shd w:val="clear" w:color="auto" w:fill="FFFFFF"/>
                  <w:noWrap w:val="0"/>
                  <w:vAlign w:val="center"/>
                </w:tcPr>
                <w:p>
                  <w:pPr>
                    <w:pStyle w:val="61"/>
                    <w:spacing w:before="107"/>
                    <w:ind w:left="182" w:right="176"/>
                    <w:jc w:val="center"/>
                    <w:rPr>
                      <w:rFonts w:hint="default" w:ascii="Times New Roman" w:hAnsi="Times New Roman" w:cs="Times New Roman"/>
                      <w:b/>
                      <w:bCs/>
                      <w:color w:val="auto"/>
                      <w:lang w:eastAsia="en-US"/>
                    </w:rPr>
                  </w:pPr>
                  <w:r>
                    <w:rPr>
                      <w:rFonts w:hint="default" w:ascii="Times New Roman" w:hAnsi="Times New Roman" w:cs="Times New Roman"/>
                      <w:b/>
                      <w:bCs/>
                      <w:color w:val="auto"/>
                      <w:lang w:eastAsia="en-US"/>
                    </w:rPr>
                    <w:t>登记表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jc w:val="center"/>
              </w:trPr>
              <w:tc>
                <w:tcPr>
                  <w:tcW w:w="8114" w:type="dxa"/>
                  <w:gridSpan w:val="5"/>
                  <w:tcBorders>
                    <w:tl2br w:val="nil"/>
                    <w:tr2bl w:val="nil"/>
                  </w:tcBorders>
                  <w:shd w:val="clear" w:color="A5A5A5" w:fill="FFFFFF"/>
                  <w:noWrap w:val="0"/>
                  <w:vAlign w:val="center"/>
                </w:tcPr>
                <w:p>
                  <w:pPr>
                    <w:pStyle w:val="61"/>
                    <w:spacing w:before="1"/>
                    <w:ind w:left="106"/>
                    <w:jc w:val="left"/>
                    <w:rPr>
                      <w:rFonts w:hint="default" w:ascii="Times New Roman" w:hAnsi="Times New Roman" w:cs="Times New Roman"/>
                      <w:color w:val="auto"/>
                      <w:lang w:val="en-US" w:eastAsia="zh-CN"/>
                    </w:rPr>
                  </w:pPr>
                  <w:r>
                    <w:rPr>
                      <w:rFonts w:hint="default" w:ascii="Times New Roman" w:hAnsi="Times New Roman" w:cs="Times New Roman"/>
                      <w:color w:val="auto"/>
                      <w:lang w:eastAsia="zh-CN"/>
                    </w:rPr>
                    <w:t>二十</w:t>
                  </w:r>
                  <w:r>
                    <w:rPr>
                      <w:rFonts w:hint="default" w:ascii="Times New Roman" w:hAnsi="Times New Roman" w:cs="Times New Roman"/>
                      <w:color w:val="auto"/>
                      <w:lang w:val="en-US" w:eastAsia="zh-CN"/>
                    </w:rPr>
                    <w:t>七</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非金属矿物制品业30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2" w:hRule="atLeast"/>
                <w:jc w:val="center"/>
              </w:trPr>
              <w:tc>
                <w:tcPr>
                  <w:tcW w:w="510" w:type="dxa"/>
                  <w:tcBorders>
                    <w:tl2br w:val="nil"/>
                    <w:tr2bl w:val="nil"/>
                  </w:tcBorders>
                  <w:shd w:val="clear" w:color="auto" w:fill="FFFFFF"/>
                  <w:noWrap w:val="0"/>
                  <w:vAlign w:val="center"/>
                </w:tcPr>
                <w:p>
                  <w:pPr>
                    <w:keepNext w:val="0"/>
                    <w:keepLines w:val="0"/>
                    <w:widowControl/>
                    <w:suppressLineNumbers w:val="0"/>
                    <w:jc w:val="center"/>
                    <w:rPr>
                      <w:rFonts w:hint="default" w:ascii="Times New Roman" w:hAnsi="Times New Roman" w:cs="Times New Roman"/>
                      <w:color w:val="auto"/>
                      <w:lang w:val="en-US" w:eastAsia="en-US"/>
                    </w:rPr>
                  </w:pPr>
                  <w:r>
                    <w:rPr>
                      <w:rFonts w:hint="default" w:ascii="Times New Roman" w:hAnsi="Times New Roman" w:cs="Times New Roman"/>
                      <w:color w:val="auto"/>
                      <w:kern w:val="0"/>
                      <w:sz w:val="21"/>
                      <w:szCs w:val="21"/>
                      <w:lang w:val="en-US" w:eastAsia="zh-CN" w:bidi="ar"/>
                    </w:rPr>
                    <w:t>60</w:t>
                  </w:r>
                </w:p>
              </w:tc>
              <w:tc>
                <w:tcPr>
                  <w:tcW w:w="2115" w:type="dxa"/>
                  <w:tcBorders>
                    <w:tl2br w:val="nil"/>
                    <w:tr2bl w:val="nil"/>
                  </w:tcBorders>
                  <w:shd w:val="clear" w:color="auto" w:fill="FFFFFF"/>
                  <w:noWrap w:val="0"/>
                  <w:vAlign w:val="center"/>
                </w:tcPr>
                <w:p>
                  <w:pPr>
                    <w:pStyle w:val="61"/>
                    <w:ind w:left="205"/>
                    <w:rPr>
                      <w:rFonts w:hint="default" w:ascii="Times New Roman" w:hAnsi="Times New Roman" w:cs="Times New Roman"/>
                      <w:color w:val="auto"/>
                      <w:lang w:val="en-US" w:eastAsia="en-US"/>
                    </w:rPr>
                  </w:pPr>
                  <w:r>
                    <w:rPr>
                      <w:rFonts w:hint="default" w:ascii="Times New Roman" w:hAnsi="Times New Roman" w:cs="Times New Roman"/>
                      <w:color w:val="auto"/>
                      <w:lang w:val="en-US" w:eastAsia="zh-CN"/>
                    </w:rPr>
                    <w:t>石墨及其他非金属矿物制品制造309</w:t>
                  </w:r>
                </w:p>
              </w:tc>
              <w:tc>
                <w:tcPr>
                  <w:tcW w:w="1371" w:type="dxa"/>
                  <w:tcBorders>
                    <w:tl2br w:val="nil"/>
                    <w:tr2bl w:val="nil"/>
                  </w:tcBorders>
                  <w:shd w:val="clear" w:color="auto" w:fill="FFFFFF"/>
                  <w:noWrap w:val="0"/>
                  <w:vAlign w:val="center"/>
                </w:tcPr>
                <w:p>
                  <w:pPr>
                    <w:pStyle w:val="61"/>
                    <w:spacing w:before="72"/>
                    <w:ind w:left="157"/>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石棉制品；含焙烧的石墨、碳素制品</w:t>
                  </w:r>
                </w:p>
              </w:tc>
              <w:tc>
                <w:tcPr>
                  <w:tcW w:w="3118" w:type="dxa"/>
                  <w:tcBorders>
                    <w:tl2br w:val="nil"/>
                    <w:tr2bl w:val="nil"/>
                  </w:tcBorders>
                  <w:shd w:val="solid" w:color="A5A5A5" w:fill="FFFFFF"/>
                  <w:noWrap w:val="0"/>
                  <w:vAlign w:val="center"/>
                </w:tcPr>
                <w:p>
                  <w:pPr>
                    <w:pStyle w:val="61"/>
                    <w:ind w:left="111" w:right="104"/>
                    <w:jc w:val="center"/>
                    <w:rPr>
                      <w:rFonts w:hint="default" w:ascii="Times New Roman" w:hAnsi="Times New Roman" w:cs="Times New Roman"/>
                      <w:color w:val="auto"/>
                      <w:lang w:eastAsia="zh-CN"/>
                    </w:rPr>
                  </w:pPr>
                  <w:r>
                    <w:rPr>
                      <w:rFonts w:hint="default" w:ascii="Times New Roman" w:hAnsi="Times New Roman" w:cs="Times New Roman"/>
                      <w:color w:val="auto"/>
                      <w:lang w:val="en-US" w:eastAsia="zh-CN"/>
                    </w:rPr>
                    <w:t>其他</w:t>
                  </w:r>
                </w:p>
              </w:tc>
              <w:tc>
                <w:tcPr>
                  <w:tcW w:w="1000" w:type="dxa"/>
                  <w:tcBorders>
                    <w:tl2br w:val="nil"/>
                    <w:tr2bl w:val="nil"/>
                  </w:tcBorders>
                  <w:shd w:val="clear" w:color="auto" w:fill="FFFFFF"/>
                  <w:noWrap w:val="0"/>
                  <w:vAlign w:val="center"/>
                </w:tcPr>
                <w:p>
                  <w:pPr>
                    <w:pStyle w:val="61"/>
                    <w:ind w:left="11"/>
                    <w:jc w:val="center"/>
                    <w:rPr>
                      <w:rFonts w:hint="default" w:ascii="Times New Roman" w:hAnsi="Times New Roman" w:cs="Times New Roman"/>
                      <w:color w:val="auto"/>
                      <w:lang w:eastAsia="zh-CN"/>
                    </w:rPr>
                  </w:pPr>
                  <w:r>
                    <w:rPr>
                      <w:rFonts w:hint="default" w:ascii="Times New Roman" w:hAnsi="Times New Roman" w:cs="Times New Roman"/>
                      <w:color w:val="auto"/>
                      <w:lang w:eastAsia="zh-CN"/>
                    </w:rPr>
                    <w:t>/</w:t>
                  </w:r>
                </w:p>
              </w:tc>
            </w:tr>
          </w:tbl>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本项目属于C30</w:t>
            </w:r>
            <w:r>
              <w:rPr>
                <w:rFonts w:hint="default" w:ascii="Times New Roman" w:hAnsi="Times New Roman" w:cs="Times New Roman"/>
                <w:color w:val="auto"/>
                <w:sz w:val="24"/>
                <w:lang w:val="en-US" w:eastAsia="zh-CN"/>
              </w:rPr>
              <w:t>9</w:t>
            </w:r>
            <w:r>
              <w:rPr>
                <w:rFonts w:hint="default" w:ascii="Times New Roman" w:hAnsi="Times New Roman" w:eastAsia="宋体" w:cs="Times New Roman"/>
                <w:color w:val="auto"/>
                <w:sz w:val="24"/>
              </w:rPr>
              <w:t>9</w:t>
            </w:r>
            <w:r>
              <w:rPr>
                <w:rFonts w:hint="default" w:ascii="Times New Roman" w:hAnsi="Times New Roman" w:eastAsia="宋体" w:cs="Times New Roman"/>
                <w:color w:val="auto"/>
                <w:sz w:val="24"/>
                <w:lang w:val="en-US" w:eastAsia="zh-CN"/>
              </w:rPr>
              <w:t>其他非金属矿物制品制造</w:t>
            </w:r>
            <w:r>
              <w:rPr>
                <w:rFonts w:hint="default" w:ascii="Times New Roman" w:hAnsi="Times New Roman" w:eastAsia="宋体" w:cs="Times New Roman"/>
                <w:color w:val="auto"/>
                <w:sz w:val="24"/>
              </w:rPr>
              <w:t>，对照《固定污染源排污许可证分类管理名录》(2019年版)，本项目属于“二十五、非金属矿物制品业30”“70、石墨及其他非金属矿物制品制造309”中“其他非金属矿物制品制造3099(除重点管理、简化管理以外的)”，应进行“登记管理”。芜湖荆峰建材销售有限公司已填报了固定污染源排污登记，登记编号：</w:t>
            </w:r>
            <w:r>
              <w:rPr>
                <w:rFonts w:hint="default" w:ascii="Times New Roman" w:hAnsi="Times New Roman" w:eastAsia="宋体" w:cs="Times New Roman"/>
                <w:color w:val="auto"/>
                <w:sz w:val="24"/>
              </w:rPr>
              <w:t>913402076910884508001Z(排污登记回执及登记表见附件)</w:t>
            </w:r>
            <w:r>
              <w:rPr>
                <w:rFonts w:hint="default" w:ascii="Times New Roman" w:hAnsi="Times New Roman" w:eastAsia="宋体" w:cs="Times New Roman"/>
                <w:color w:val="auto"/>
                <w:sz w:val="24"/>
              </w:rPr>
              <w:t>。</w:t>
            </w:r>
          </w:p>
          <w:p>
            <w:pPr>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表2-</w:t>
            </w:r>
            <w:r>
              <w:rPr>
                <w:rFonts w:hint="default" w:ascii="Times New Roman" w:hAnsi="Times New Roman" w:eastAsia="宋体" w:cs="Times New Roman"/>
                <w:b/>
                <w:bCs/>
                <w:color w:val="auto"/>
                <w:sz w:val="24"/>
                <w:lang w:val="en-US" w:eastAsia="zh-CN"/>
              </w:rPr>
              <w:t>2</w:t>
            </w:r>
            <w:r>
              <w:rPr>
                <w:rFonts w:hint="default" w:ascii="Times New Roman" w:hAnsi="Times New Roman" w:eastAsia="宋体" w:cs="Times New Roman"/>
                <w:b/>
                <w:bCs/>
                <w:color w:val="auto"/>
                <w:sz w:val="24"/>
              </w:rPr>
              <w:t>固定污染源排污许可分类管理名录对照表</w:t>
            </w:r>
          </w:p>
          <w:tbl>
            <w:tblPr>
              <w:tblStyle w:val="27"/>
              <w:tblW w:w="80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3"/>
              <w:gridCol w:w="2030"/>
              <w:gridCol w:w="1710"/>
              <w:gridCol w:w="2530"/>
              <w:gridCol w:w="1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473" w:type="dxa"/>
                  <w:tcBorders>
                    <w:tl2br w:val="nil"/>
                    <w:tr2bl w:val="nil"/>
                  </w:tcBorders>
                  <w:shd w:val="clear" w:color="auto" w:fill="auto"/>
                  <w:noWrap w:val="0"/>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序号</w:t>
                  </w:r>
                </w:p>
              </w:tc>
              <w:tc>
                <w:tcPr>
                  <w:tcW w:w="2030" w:type="dxa"/>
                  <w:tcBorders>
                    <w:tl2br w:val="nil"/>
                    <w:tr2bl w:val="nil"/>
                  </w:tcBorders>
                  <w:shd w:val="clear" w:color="auto" w:fill="auto"/>
                  <w:noWrap w:val="0"/>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行业类别</w:t>
                  </w:r>
                </w:p>
              </w:tc>
              <w:tc>
                <w:tcPr>
                  <w:tcW w:w="1710" w:type="dxa"/>
                  <w:tcBorders>
                    <w:tl2br w:val="nil"/>
                    <w:tr2bl w:val="nil"/>
                  </w:tcBorders>
                  <w:shd w:val="clear" w:color="auto" w:fill="FFFFFF"/>
                  <w:noWrap w:val="0"/>
                  <w:vAlign w:val="center"/>
                </w:tcPr>
                <w:p>
                  <w:pPr>
                    <w:adjustRightInd w:val="0"/>
                    <w:snapToGrid w:val="0"/>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重点管理</w:t>
                  </w:r>
                </w:p>
              </w:tc>
              <w:tc>
                <w:tcPr>
                  <w:tcW w:w="2530" w:type="dxa"/>
                  <w:tcBorders>
                    <w:tl2br w:val="nil"/>
                    <w:tr2bl w:val="nil"/>
                  </w:tcBorders>
                  <w:shd w:val="clear" w:color="auto" w:fill="auto"/>
                  <w:noWrap w:val="0"/>
                  <w:vAlign w:val="center"/>
                </w:tcPr>
                <w:p>
                  <w:pPr>
                    <w:adjustRightInd w:val="0"/>
                    <w:snapToGrid w:val="0"/>
                    <w:jc w:val="center"/>
                    <w:rPr>
                      <w:rFonts w:hint="default" w:ascii="Times New Roman" w:hAnsi="Times New Roman" w:eastAsia="宋体" w:cs="Times New Roman"/>
                      <w:b/>
                      <w:color w:val="auto"/>
                      <w:szCs w:val="21"/>
                      <w:highlight w:val="none"/>
                    </w:rPr>
                  </w:pPr>
                  <w:r>
                    <w:rPr>
                      <w:rFonts w:hint="default" w:ascii="Times New Roman" w:hAnsi="Times New Roman" w:eastAsia="宋体" w:cs="Times New Roman"/>
                      <w:b/>
                      <w:color w:val="auto"/>
                      <w:szCs w:val="21"/>
                      <w:highlight w:val="none"/>
                    </w:rPr>
                    <w:t>简化管理</w:t>
                  </w:r>
                </w:p>
              </w:tc>
              <w:tc>
                <w:tcPr>
                  <w:tcW w:w="1297" w:type="dxa"/>
                  <w:tcBorders>
                    <w:tl2br w:val="nil"/>
                    <w:tr2bl w:val="nil"/>
                  </w:tcBorders>
                  <w:shd w:val="clear" w:color="auto" w:fill="D7D7D7"/>
                  <w:noWrap w:val="0"/>
                  <w:vAlign w:val="center"/>
                </w:tcPr>
                <w:p>
                  <w:pPr>
                    <w:adjustRightInd w:val="0"/>
                    <w:snapToGrid w:val="0"/>
                    <w:jc w:val="center"/>
                    <w:rPr>
                      <w:rFonts w:hint="default" w:ascii="Times New Roman" w:hAnsi="Times New Roman" w:eastAsia="宋体" w:cs="Times New Roman"/>
                      <w:b/>
                      <w:color w:val="auto"/>
                      <w:szCs w:val="21"/>
                      <w:highlight w:val="none"/>
                      <w:shd w:val="pct10" w:color="auto" w:fill="FFFFFF"/>
                    </w:rPr>
                  </w:pPr>
                  <w:r>
                    <w:rPr>
                      <w:rFonts w:hint="default" w:ascii="Times New Roman" w:hAnsi="Times New Roman" w:eastAsia="宋体" w:cs="Times New Roman"/>
                      <w:b/>
                      <w:color w:val="auto"/>
                      <w:szCs w:val="21"/>
                      <w:highlight w:val="none"/>
                    </w:rPr>
                    <w:t>登记管理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8040" w:type="dxa"/>
                  <w:gridSpan w:val="5"/>
                  <w:tcBorders>
                    <w:tl2br w:val="nil"/>
                    <w:tr2bl w:val="nil"/>
                  </w:tcBorders>
                  <w:noWrap w:val="0"/>
                  <w:vAlign w:val="center"/>
                </w:tcPr>
                <w:p>
                  <w:pPr>
                    <w:adjustRightInd w:val="0"/>
                    <w:snapToGrid w:val="0"/>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kern w:val="0"/>
                      <w:szCs w:val="21"/>
                      <w:highlight w:val="none"/>
                    </w:rPr>
                    <w:t>二十</w:t>
                  </w:r>
                  <w:r>
                    <w:rPr>
                      <w:rFonts w:hint="default" w:ascii="Times New Roman" w:hAnsi="Times New Roman" w:eastAsia="宋体" w:cs="Times New Roman"/>
                      <w:b/>
                      <w:color w:val="auto"/>
                      <w:kern w:val="0"/>
                      <w:szCs w:val="21"/>
                      <w:highlight w:val="none"/>
                      <w:lang w:val="en-US" w:eastAsia="zh-CN"/>
                    </w:rPr>
                    <w:t>五</w:t>
                  </w:r>
                  <w:r>
                    <w:rPr>
                      <w:rFonts w:hint="default" w:ascii="Times New Roman" w:hAnsi="Times New Roman" w:eastAsia="宋体" w:cs="Times New Roman"/>
                      <w:b/>
                      <w:color w:val="auto"/>
                      <w:kern w:val="0"/>
                      <w:szCs w:val="21"/>
                      <w:highlight w:val="none"/>
                    </w:rPr>
                    <w:t>、</w:t>
                  </w:r>
                  <w:r>
                    <w:rPr>
                      <w:rFonts w:hint="default" w:ascii="Times New Roman" w:hAnsi="Times New Roman" w:eastAsia="宋体" w:cs="Times New Roman"/>
                      <w:b/>
                      <w:color w:val="auto"/>
                      <w:kern w:val="0"/>
                      <w:szCs w:val="21"/>
                      <w:highlight w:val="none"/>
                      <w:lang w:val="en-US" w:eastAsia="zh-CN"/>
                    </w:rPr>
                    <w:t>非金属矿物</w:t>
                  </w:r>
                  <w:r>
                    <w:rPr>
                      <w:rFonts w:hint="default" w:ascii="Times New Roman" w:hAnsi="Times New Roman" w:eastAsia="宋体" w:cs="Times New Roman"/>
                      <w:b/>
                      <w:color w:val="auto"/>
                      <w:kern w:val="0"/>
                      <w:szCs w:val="21"/>
                      <w:highlight w:val="none"/>
                    </w:rPr>
                    <w:t>制品业</w:t>
                  </w:r>
                  <w:r>
                    <w:rPr>
                      <w:rFonts w:hint="default" w:ascii="Times New Roman" w:hAnsi="Times New Roman" w:eastAsia="宋体" w:cs="Times New Roman"/>
                      <w:b/>
                      <w:color w:val="auto"/>
                      <w:kern w:val="0"/>
                      <w:szCs w:val="21"/>
                      <w:highlight w:val="none"/>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473" w:type="dxa"/>
                  <w:tcBorders>
                    <w:tl2br w:val="nil"/>
                    <w:tr2bl w:val="nil"/>
                  </w:tcBorders>
                  <w:shd w:val="clear" w:color="auto" w:fill="auto"/>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70</w:t>
                  </w:r>
                </w:p>
              </w:tc>
              <w:tc>
                <w:tcPr>
                  <w:tcW w:w="2030" w:type="dxa"/>
                  <w:tcBorders>
                    <w:tl2br w:val="nil"/>
                    <w:tr2bl w:val="nil"/>
                  </w:tcBorders>
                  <w:shd w:val="clear" w:color="auto" w:fill="auto"/>
                  <w:noWrap w:val="0"/>
                  <w:vAlign w:val="center"/>
                </w:tcPr>
                <w:p>
                  <w:pPr>
                    <w:autoSpaceDE w:val="0"/>
                    <w:autoSpaceDN w:val="0"/>
                    <w:adjustRightInd w:val="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石墨及其他非金属矿物制品制造309</w:t>
                  </w:r>
                </w:p>
              </w:tc>
              <w:tc>
                <w:tcPr>
                  <w:tcW w:w="1710" w:type="dxa"/>
                  <w:tcBorders>
                    <w:tl2br w:val="nil"/>
                    <w:tr2bl w:val="nil"/>
                  </w:tcBorders>
                  <w:shd w:val="clear" w:color="auto" w:fill="FFFFFF"/>
                  <w:noWrap w:val="0"/>
                  <w:vAlign w:val="center"/>
                </w:tcPr>
                <w:p>
                  <w:pPr>
                    <w:autoSpaceDE w:val="0"/>
                    <w:autoSpaceDN w:val="0"/>
                    <w:adjustRightInd w:val="0"/>
                    <w:jc w:val="center"/>
                    <w:rPr>
                      <w:rFonts w:hint="default" w:ascii="Times New Roman" w:hAnsi="Times New Roman" w:eastAsia="宋体" w:cs="Times New Roman"/>
                      <w:color w:val="auto"/>
                      <w:kern w:val="0"/>
                      <w:szCs w:val="21"/>
                    </w:rPr>
                  </w:pPr>
                  <w:r>
                    <w:rPr>
                      <w:rFonts w:hint="default" w:ascii="Times New Roman" w:hAnsi="Times New Roman" w:eastAsia="宋体" w:cs="Times New Roman"/>
                      <w:color w:val="auto"/>
                      <w:kern w:val="0"/>
                      <w:szCs w:val="21"/>
                      <w:lang w:val="en-US" w:eastAsia="zh-CN"/>
                    </w:rPr>
                    <w:t>石墨及碳素制品制造3091（石墨制品、碳制品、碳素新材料），其他非金属矿物制品制造3099（多晶硅棒）</w:t>
                  </w:r>
                </w:p>
              </w:tc>
              <w:tc>
                <w:tcPr>
                  <w:tcW w:w="2530" w:type="dxa"/>
                  <w:tcBorders>
                    <w:tl2br w:val="nil"/>
                    <w:tr2bl w:val="nil"/>
                  </w:tcBorders>
                  <w:shd w:val="clear" w:color="auto" w:fill="auto"/>
                  <w:noWrap w:val="0"/>
                  <w:vAlign w:val="center"/>
                </w:tcPr>
                <w:p>
                  <w:pPr>
                    <w:autoSpaceDE w:val="0"/>
                    <w:autoSpaceDN w:val="0"/>
                    <w:adjustRightInd w:val="0"/>
                    <w:jc w:val="center"/>
                    <w:rPr>
                      <w:rFonts w:hint="default" w:ascii="Times New Roman" w:hAnsi="Times New Roman" w:eastAsia="宋体" w:cs="Times New Roman"/>
                      <w:color w:val="auto"/>
                      <w:kern w:val="0"/>
                      <w:szCs w:val="21"/>
                      <w:highlight w:val="none"/>
                    </w:rPr>
                  </w:pPr>
                  <w:r>
                    <w:rPr>
                      <w:rFonts w:hint="default" w:ascii="Times New Roman" w:hAnsi="Times New Roman" w:eastAsia="宋体" w:cs="Times New Roman"/>
                      <w:color w:val="auto"/>
                      <w:kern w:val="0"/>
                      <w:szCs w:val="21"/>
                      <w:highlight w:val="none"/>
                      <w:lang w:val="en-US" w:eastAsia="zh-CN"/>
                    </w:rPr>
                    <w:t>石墨及碳素制品制造3091（除石墨制品、碳制品、碳素新材料以外的），其他非金属矿物制品制造3099（单晶硅棒，沥青混合物）</w:t>
                  </w:r>
                </w:p>
              </w:tc>
              <w:tc>
                <w:tcPr>
                  <w:tcW w:w="1297" w:type="dxa"/>
                  <w:tcBorders>
                    <w:tl2br w:val="nil"/>
                    <w:tr2bl w:val="nil"/>
                  </w:tcBorders>
                  <w:shd w:val="clear" w:color="auto" w:fill="D7D7D7"/>
                  <w:noWrap w:val="0"/>
                  <w:vAlign w:val="center"/>
                </w:tcPr>
                <w:p>
                  <w:pPr>
                    <w:snapToGrid w:val="0"/>
                    <w:jc w:val="center"/>
                    <w:rPr>
                      <w:rFonts w:hint="default" w:ascii="Times New Roman" w:hAnsi="Times New Roman" w:eastAsia="宋体" w:cs="Times New Roman"/>
                      <w:color w:val="auto"/>
                      <w:szCs w:val="21"/>
                      <w:highlight w:val="none"/>
                      <w:shd w:val="pct10" w:color="auto" w:fill="FFFFFF"/>
                    </w:rPr>
                  </w:pPr>
                  <w:r>
                    <w:rPr>
                      <w:rFonts w:hint="default" w:ascii="Times New Roman" w:hAnsi="Times New Roman" w:eastAsia="宋体" w:cs="Times New Roman"/>
                      <w:color w:val="auto"/>
                      <w:szCs w:val="21"/>
                      <w:highlight w:val="none"/>
                      <w:lang w:val="en-US" w:eastAsia="zh-CN"/>
                    </w:rPr>
                    <w:t>其他非金属矿物制品制造3099（除重点管理、简化管理以外的）</w:t>
                  </w:r>
                </w:p>
              </w:tc>
            </w:tr>
          </w:tbl>
          <w:p>
            <w:pPr>
              <w:spacing w:line="360" w:lineRule="auto"/>
              <w:ind w:firstLine="482" w:firstLineChars="200"/>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2、地理位置及周边关系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rPr>
            </w:pPr>
            <w:r>
              <w:rPr>
                <w:rFonts w:hint="default" w:ascii="Times New Roman" w:hAnsi="Times New Roman" w:cs="Times New Roman"/>
                <w:color w:val="auto"/>
                <w:kern w:val="0"/>
                <w:sz w:val="24"/>
              </w:rPr>
              <w:t>本项目位于芜湖市鸠江区清水街道清水创业园芜湖铮铮金属加工有限公司厂房，项目</w:t>
            </w:r>
            <w:r>
              <w:rPr>
                <w:rFonts w:hint="default" w:ascii="Times New Roman" w:hAnsi="Times New Roman" w:cs="Times New Roman"/>
                <w:color w:val="auto"/>
                <w:kern w:val="0"/>
                <w:sz w:val="24"/>
                <w:lang w:val="en-US" w:eastAsia="zh-CN"/>
              </w:rPr>
              <w:t>西</w:t>
            </w:r>
            <w:r>
              <w:rPr>
                <w:rFonts w:hint="default" w:ascii="Times New Roman" w:hAnsi="Times New Roman" w:cs="Times New Roman"/>
                <w:color w:val="auto"/>
                <w:kern w:val="0"/>
                <w:sz w:val="24"/>
              </w:rPr>
              <w:t>侧为芜湖宏春木业集团有限公司、</w:t>
            </w:r>
            <w:r>
              <w:rPr>
                <w:rFonts w:hint="default" w:ascii="Times New Roman" w:hAnsi="Times New Roman" w:cs="Times New Roman"/>
                <w:color w:val="auto"/>
                <w:kern w:val="0"/>
                <w:sz w:val="24"/>
                <w:lang w:val="en-US" w:eastAsia="zh-CN"/>
              </w:rPr>
              <w:t>东</w:t>
            </w:r>
            <w:r>
              <w:rPr>
                <w:rFonts w:hint="default" w:ascii="Times New Roman" w:hAnsi="Times New Roman" w:cs="Times New Roman"/>
                <w:color w:val="auto"/>
                <w:kern w:val="0"/>
                <w:sz w:val="24"/>
              </w:rPr>
              <w:t>侧</w:t>
            </w:r>
            <w:r>
              <w:rPr>
                <w:rFonts w:hint="default" w:ascii="Times New Roman" w:hAnsi="Times New Roman" w:cs="Times New Roman"/>
                <w:color w:val="auto"/>
                <w:kern w:val="0"/>
                <w:sz w:val="24"/>
                <w:lang w:val="en-US" w:eastAsia="zh-CN"/>
              </w:rPr>
              <w:t>为宁芜高速</w:t>
            </w:r>
            <w:r>
              <w:rPr>
                <w:rFonts w:hint="default" w:ascii="Times New Roman" w:hAnsi="Times New Roman" w:cs="Times New Roman"/>
                <w:color w:val="auto"/>
                <w:kern w:val="0"/>
                <w:sz w:val="24"/>
              </w:rPr>
              <w:t>，南侧为园区内部道路，隔路为芜湖同达家具有限公司，北侧为北京东路。项目厂址周边500m范围内无文物保护、饮用水源地等敏感环境保护目标。具体项目周边环境关系图见附图。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3、</w:t>
            </w:r>
            <w:r>
              <w:rPr>
                <w:rFonts w:hint="default" w:ascii="Times New Roman" w:hAnsi="Times New Roman" w:eastAsia="宋体" w:cs="Times New Roman"/>
                <w:b/>
                <w:color w:val="auto"/>
                <w:sz w:val="24"/>
              </w:rPr>
              <w:t>产品方案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生产的页岩滤料为矿物质地的多孔滤料，矿物质地不易板结硬化，具有良好的亲水性；比表面积非常大，降低能耗，与传统的有机生物滤料相比，占用面积减少；按照严格要求制造的工程滤料，处理效果有稳定的可预见性和稳定性，可持久实现废水污染物去除的理想效果。具体产品方案见</w:t>
            </w:r>
            <w:r>
              <w:rPr>
                <w:rFonts w:hint="default" w:ascii="Times New Roman" w:hAnsi="Times New Roman" w:eastAsia="宋体" w:cs="Times New Roman"/>
                <w:color w:val="auto"/>
                <w:sz w:val="24"/>
                <w:lang w:val="en-US" w:eastAsia="zh-CN"/>
              </w:rPr>
              <w:t>下表</w:t>
            </w:r>
            <w:r>
              <w:rPr>
                <w:rFonts w:hint="default" w:ascii="Times New Roman" w:hAnsi="Times New Roman" w:eastAsia="宋体" w:cs="Times New Roman"/>
                <w:color w:val="auto"/>
                <w:sz w:val="24"/>
              </w:rPr>
              <w:t>。</w:t>
            </w:r>
          </w:p>
          <w:p>
            <w:pPr>
              <w:widowControl w:val="0"/>
              <w:adjustRightInd w:val="0"/>
              <w:snapToGrid w:val="0"/>
              <w:spacing w:line="312" w:lineRule="auto"/>
              <w:ind w:firstLine="0"/>
              <w:jc w:val="center"/>
              <w:rPr>
                <w:rFonts w:hint="default" w:ascii="Times New Roman" w:hAnsi="Times New Roman" w:eastAsia="宋体" w:cs="Times New Roman"/>
                <w:b/>
                <w:bCs/>
                <w:color w:val="auto"/>
                <w:kern w:val="2"/>
                <w:sz w:val="24"/>
                <w:szCs w:val="24"/>
                <w:lang w:val="en-US" w:eastAsia="zh-CN" w:bidi="ar-SA"/>
              </w:rPr>
            </w:pPr>
            <w:r>
              <w:rPr>
                <w:rFonts w:hint="default" w:ascii="Times New Roman" w:hAnsi="Times New Roman" w:eastAsia="宋体" w:cs="Times New Roman"/>
                <w:b/>
                <w:bCs/>
                <w:color w:val="auto"/>
                <w:kern w:val="2"/>
                <w:sz w:val="24"/>
                <w:szCs w:val="24"/>
                <w:lang w:val="en-US" w:eastAsia="zh-CN" w:bidi="ar-SA"/>
              </w:rPr>
              <w:t>表2-</w:t>
            </w:r>
            <w:r>
              <w:rPr>
                <w:rFonts w:hint="eastAsia" w:cs="Times New Roman"/>
                <w:b/>
                <w:bCs/>
                <w:color w:val="auto"/>
                <w:kern w:val="2"/>
                <w:sz w:val="24"/>
                <w:szCs w:val="24"/>
                <w:lang w:val="en-US" w:eastAsia="zh-CN" w:bidi="ar-SA"/>
              </w:rPr>
              <w:t>3</w:t>
            </w:r>
            <w:r>
              <w:rPr>
                <w:rFonts w:hint="default" w:ascii="Times New Roman" w:hAnsi="Times New Roman" w:eastAsia="宋体" w:cs="Times New Roman"/>
                <w:b/>
                <w:bCs/>
                <w:color w:val="auto"/>
                <w:kern w:val="2"/>
                <w:sz w:val="24"/>
                <w:szCs w:val="24"/>
                <w:lang w:val="en-US" w:eastAsia="zh-CN" w:bidi="ar-SA"/>
              </w:rPr>
              <w:t>产品方案</w:t>
            </w:r>
          </w:p>
          <w:tbl>
            <w:tblPr>
              <w:tblStyle w:val="27"/>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65"/>
              <w:gridCol w:w="1954"/>
              <w:gridCol w:w="2127"/>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3" w:hRule="atLeast"/>
                <w:jc w:val="center"/>
              </w:trPr>
              <w:tc>
                <w:tcPr>
                  <w:tcW w:w="34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1192"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subscript"/>
                    </w:rPr>
                  </w:pPr>
                  <w:r>
                    <w:rPr>
                      <w:rFonts w:hint="default" w:ascii="Times New Roman" w:hAnsi="Times New Roman" w:eastAsia="宋体" w:cs="Times New Roman"/>
                      <w:b/>
                      <w:bCs/>
                      <w:color w:val="auto"/>
                      <w:sz w:val="21"/>
                      <w:szCs w:val="21"/>
                    </w:rPr>
                    <w:t>产品名称</w:t>
                  </w:r>
                </w:p>
              </w:tc>
              <w:tc>
                <w:tcPr>
                  <w:tcW w:w="129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rPr>
                  </w:pPr>
                  <w:r>
                    <w:rPr>
                      <w:rFonts w:hint="default" w:ascii="Times New Roman" w:hAnsi="Times New Roman" w:eastAsia="宋体" w:cs="Times New Roman"/>
                      <w:b/>
                      <w:bCs/>
                      <w:color w:val="auto"/>
                      <w:sz w:val="21"/>
                      <w:szCs w:val="21"/>
                      <w:lang w:val="en-US" w:eastAsia="zh-CN"/>
                    </w:rPr>
                    <w:t>年产量</w:t>
                  </w:r>
                </w:p>
              </w:tc>
              <w:tc>
                <w:tcPr>
                  <w:tcW w:w="108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lang w:val="en-US" w:eastAsia="zh-CN"/>
                    </w:rPr>
                    <w:t>单位</w:t>
                  </w:r>
                </w:p>
              </w:tc>
              <w:tc>
                <w:tcPr>
                  <w:tcW w:w="108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23" w:hRule="atLeast"/>
                <w:jc w:val="center"/>
              </w:trPr>
              <w:tc>
                <w:tcPr>
                  <w:tcW w:w="34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119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kern w:val="0"/>
                      <w:sz w:val="21"/>
                      <w:szCs w:val="21"/>
                    </w:rPr>
                    <w:t>高性能环保滤料</w:t>
                  </w:r>
                </w:p>
              </w:tc>
              <w:tc>
                <w:tcPr>
                  <w:tcW w:w="129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2</w:t>
                  </w:r>
                </w:p>
              </w:tc>
              <w:tc>
                <w:tcPr>
                  <w:tcW w:w="108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万吨</w:t>
                  </w:r>
                </w:p>
              </w:tc>
              <w:tc>
                <w:tcPr>
                  <w:tcW w:w="108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粒径1~5cm</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4、</w:t>
            </w:r>
            <w:r>
              <w:rPr>
                <w:rFonts w:hint="default" w:ascii="Times New Roman" w:hAnsi="Times New Roman" w:cs="Times New Roman"/>
                <w:b/>
                <w:color w:val="auto"/>
                <w:sz w:val="24"/>
              </w:rPr>
              <w:t>工程建设内容</w:t>
            </w:r>
          </w:p>
          <w:p>
            <w:pPr>
              <w:spacing w:line="360" w:lineRule="auto"/>
              <w:ind w:firstLine="480"/>
              <w:rPr>
                <w:rFonts w:hint="default" w:ascii="Times New Roman" w:hAnsi="Times New Roman" w:cs="Times New Roman"/>
                <w:color w:val="auto"/>
                <w:sz w:val="24"/>
              </w:rPr>
            </w:pPr>
            <w:r>
              <w:rPr>
                <w:rFonts w:hint="default" w:ascii="Times New Roman" w:hAnsi="Times New Roman" w:cs="Times New Roman"/>
                <w:bCs/>
                <w:color w:val="auto"/>
                <w:sz w:val="24"/>
              </w:rPr>
              <w:t>项目占地面积约</w:t>
            </w:r>
            <w:r>
              <w:rPr>
                <w:rFonts w:hint="default" w:ascii="Times New Roman" w:hAnsi="Times New Roman" w:cs="Times New Roman"/>
                <w:bCs/>
                <w:color w:val="auto"/>
                <w:sz w:val="24"/>
                <w:lang w:val="en-US" w:eastAsia="zh-CN"/>
              </w:rPr>
              <w:t>2900</w:t>
            </w:r>
            <w:r>
              <w:rPr>
                <w:rFonts w:hint="default" w:ascii="Times New Roman" w:hAnsi="Times New Roman" w:cs="Times New Roman"/>
                <w:bCs/>
                <w:color w:val="auto"/>
                <w:sz w:val="24"/>
              </w:rPr>
              <w:t>m</w:t>
            </w:r>
            <w:r>
              <w:rPr>
                <w:rFonts w:hint="default" w:ascii="Times New Roman" w:hAnsi="Times New Roman" w:cs="Times New Roman"/>
                <w:bCs/>
                <w:color w:val="auto"/>
                <w:sz w:val="24"/>
                <w:vertAlign w:val="superscript"/>
              </w:rPr>
              <w:t>2</w:t>
            </w:r>
            <w:r>
              <w:rPr>
                <w:rFonts w:hint="default" w:ascii="Times New Roman" w:hAnsi="Times New Roman" w:cs="Times New Roman"/>
                <w:color w:val="auto"/>
                <w:sz w:val="24"/>
              </w:rPr>
              <w:t>；</w:t>
            </w:r>
            <w:r>
              <w:rPr>
                <w:rFonts w:hint="default" w:ascii="Times New Roman" w:hAnsi="Times New Roman" w:cs="Times New Roman"/>
                <w:bCs/>
                <w:color w:val="auto"/>
                <w:sz w:val="24"/>
              </w:rPr>
              <w:t>项目</w:t>
            </w:r>
            <w:r>
              <w:rPr>
                <w:rFonts w:hint="default" w:ascii="Times New Roman" w:hAnsi="Times New Roman" w:cs="Times New Roman"/>
                <w:color w:val="auto"/>
                <w:sz w:val="24"/>
              </w:rPr>
              <w:t>主要工程内容及规模见</w:t>
            </w:r>
            <w:r>
              <w:rPr>
                <w:rFonts w:hint="eastAsia" w:cs="Times New Roman"/>
                <w:color w:val="auto"/>
                <w:sz w:val="24"/>
                <w:lang w:val="en-US" w:eastAsia="zh-CN"/>
              </w:rPr>
              <w:t>下</w:t>
            </w:r>
            <w:r>
              <w:rPr>
                <w:rFonts w:hint="default" w:ascii="Times New Roman" w:hAnsi="Times New Roman" w:cs="Times New Roman"/>
                <w:color w:val="auto"/>
                <w:sz w:val="24"/>
              </w:rPr>
              <w:t>表：</w:t>
            </w:r>
          </w:p>
          <w:p>
            <w:pPr>
              <w:pStyle w:val="60"/>
              <w:spacing w:line="360" w:lineRule="auto"/>
              <w:ind w:firstLine="0"/>
              <w:jc w:val="center"/>
              <w:rPr>
                <w:rFonts w:hint="default" w:ascii="Times New Roman" w:hAnsi="Times New Roman" w:cs="Times New Roman"/>
                <w:b/>
                <w:bCs/>
                <w:color w:val="auto"/>
                <w:kern w:val="2"/>
                <w:sz w:val="24"/>
                <w:szCs w:val="24"/>
              </w:rPr>
            </w:pPr>
            <w:r>
              <w:rPr>
                <w:rFonts w:hint="default" w:ascii="Times New Roman" w:hAnsi="Times New Roman" w:cs="Times New Roman"/>
                <w:b/>
                <w:bCs/>
                <w:color w:val="auto"/>
                <w:kern w:val="2"/>
                <w:sz w:val="24"/>
                <w:szCs w:val="24"/>
              </w:rPr>
              <w:t>表2-</w:t>
            </w:r>
            <w:r>
              <w:rPr>
                <w:rFonts w:hint="eastAsia" w:ascii="Times New Roman" w:hAnsi="Times New Roman" w:cs="Times New Roman"/>
                <w:b/>
                <w:bCs/>
                <w:color w:val="auto"/>
                <w:kern w:val="2"/>
                <w:sz w:val="24"/>
                <w:szCs w:val="24"/>
                <w:lang w:val="en-US" w:eastAsia="zh-CN"/>
              </w:rPr>
              <w:t>4</w:t>
            </w:r>
            <w:r>
              <w:rPr>
                <w:rFonts w:hint="default" w:ascii="Times New Roman" w:hAnsi="Times New Roman" w:cs="Times New Roman"/>
                <w:b/>
                <w:bCs/>
                <w:color w:val="auto"/>
                <w:kern w:val="2"/>
                <w:sz w:val="24"/>
                <w:szCs w:val="24"/>
              </w:rPr>
              <w:t>建设项目组成一览表</w:t>
            </w:r>
          </w:p>
          <w:tbl>
            <w:tblPr>
              <w:tblStyle w:val="27"/>
              <w:tblW w:w="457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3"/>
              <w:gridCol w:w="494"/>
              <w:gridCol w:w="735"/>
              <w:gridCol w:w="57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1" w:hRule="atLeast"/>
                <w:jc w:val="center"/>
              </w:trPr>
              <w:tc>
                <w:tcPr>
                  <w:tcW w:w="369" w:type="pct"/>
                  <w:tcBorders>
                    <w:tl2br w:val="nil"/>
                    <w:tr2bl w:val="nil"/>
                  </w:tcBorders>
                  <w:noWrap w:val="0"/>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类别</w:t>
                  </w:r>
                </w:p>
              </w:tc>
              <w:tc>
                <w:tcPr>
                  <w:tcW w:w="819" w:type="pct"/>
                  <w:gridSpan w:val="2"/>
                  <w:tcBorders>
                    <w:tl2br w:val="nil"/>
                    <w:tr2bl w:val="nil"/>
                  </w:tcBorders>
                  <w:noWrap w:val="0"/>
                  <w:vAlign w:val="center"/>
                </w:tcPr>
                <w:p>
                  <w:pPr>
                    <w:widowControl/>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工程名称</w:t>
                  </w:r>
                </w:p>
              </w:tc>
              <w:tc>
                <w:tcPr>
                  <w:tcW w:w="3811" w:type="pct"/>
                  <w:tcBorders>
                    <w:tl2br w:val="nil"/>
                    <w:tr2bl w:val="nil"/>
                  </w:tcBorders>
                  <w:noWrap w:val="0"/>
                  <w:vAlign w:val="center"/>
                </w:tcPr>
                <w:p>
                  <w:pPr>
                    <w:widowControl/>
                    <w:spacing w:line="320" w:lineRule="exact"/>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lang w:val="en-US" w:eastAsia="zh-CN"/>
                    </w:rPr>
                    <w:t>工程建设内容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5" w:hRule="atLeast"/>
                <w:jc w:val="center"/>
              </w:trPr>
              <w:tc>
                <w:tcPr>
                  <w:tcW w:w="369" w:type="pct"/>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主体工程</w:t>
                  </w:r>
                </w:p>
              </w:tc>
              <w:tc>
                <w:tcPr>
                  <w:tcW w:w="819" w:type="pct"/>
                  <w:gridSpan w:val="2"/>
                  <w:tcBorders>
                    <w:tl2br w:val="nil"/>
                    <w:tr2bl w:val="nil"/>
                  </w:tcBorders>
                  <w:noWrap w:val="0"/>
                  <w:vAlign w:val="center"/>
                </w:tcPr>
                <w:p>
                  <w:pPr>
                    <w:jc w:val="center"/>
                    <w:rPr>
                      <w:rFonts w:hint="default" w:ascii="Times New Roman" w:hAnsi="Times New Roman" w:cs="Times New Roman"/>
                      <w:bCs/>
                      <w:color w:val="auto"/>
                      <w:kern w:val="0"/>
                      <w:szCs w:val="21"/>
                    </w:rPr>
                  </w:pPr>
                  <w:r>
                    <w:rPr>
                      <w:rFonts w:hint="default" w:ascii="Times New Roman" w:hAnsi="Times New Roman" w:cs="Times New Roman"/>
                      <w:color w:val="auto"/>
                      <w:szCs w:val="21"/>
                      <w:lang w:val="en-US" w:eastAsia="zh-CN"/>
                    </w:rPr>
                    <w:t>生产车间</w:t>
                  </w:r>
                </w:p>
              </w:tc>
              <w:tc>
                <w:tcPr>
                  <w:tcW w:w="3811" w:type="pct"/>
                  <w:tcBorders>
                    <w:tl2br w:val="nil"/>
                    <w:tr2bl w:val="nil"/>
                  </w:tcBorders>
                  <w:noWrap w:val="0"/>
                  <w:vAlign w:val="center"/>
                </w:tcPr>
                <w:p>
                  <w:pPr>
                    <w:widowControl/>
                    <w:jc w:val="center"/>
                    <w:rPr>
                      <w:rFonts w:hint="default" w:ascii="Times New Roman" w:hAnsi="Times New Roman" w:cs="Times New Roman"/>
                      <w:bCs/>
                      <w:color w:val="auto"/>
                      <w:kern w:val="0"/>
                      <w:szCs w:val="21"/>
                      <w:lang w:val="en-US"/>
                    </w:rPr>
                  </w:pPr>
                  <w:r>
                    <w:rPr>
                      <w:rFonts w:hint="default" w:ascii="Times New Roman" w:hAnsi="Times New Roman" w:cs="Times New Roman"/>
                      <w:bCs/>
                      <w:color w:val="auto"/>
                      <w:kern w:val="0"/>
                      <w:szCs w:val="21"/>
                      <w:lang w:val="en-US" w:eastAsia="zh-CN"/>
                    </w:rPr>
                    <w:t>占地面积约2900m</w:t>
                  </w:r>
                  <w:r>
                    <w:rPr>
                      <w:rFonts w:hint="default" w:ascii="Times New Roman" w:hAnsi="Times New Roman" w:cs="Times New Roman"/>
                      <w:bCs/>
                      <w:color w:val="auto"/>
                      <w:kern w:val="0"/>
                      <w:szCs w:val="21"/>
                      <w:vertAlign w:val="superscript"/>
                      <w:lang w:val="en-US" w:eastAsia="zh-CN"/>
                    </w:rPr>
                    <w:t>2</w:t>
                  </w:r>
                  <w:r>
                    <w:rPr>
                      <w:rFonts w:hint="default" w:ascii="Times New Roman" w:hAnsi="Times New Roman" w:cs="Times New Roman"/>
                      <w:bCs/>
                      <w:color w:val="auto"/>
                      <w:kern w:val="0"/>
                      <w:szCs w:val="21"/>
                      <w:lang w:val="en-US" w:eastAsia="zh-CN"/>
                    </w:rPr>
                    <w:t>，包括生产区域、成品仓库、一般固废区等，生产区域包括破碎机</w:t>
                  </w:r>
                  <w:r>
                    <w:rPr>
                      <w:rFonts w:hint="eastAsia" w:cs="Times New Roman"/>
                      <w:bCs/>
                      <w:color w:val="auto"/>
                      <w:kern w:val="0"/>
                      <w:szCs w:val="21"/>
                      <w:lang w:val="en-US" w:eastAsia="zh-CN"/>
                    </w:rPr>
                    <w:t>2台</w:t>
                  </w:r>
                  <w:r>
                    <w:rPr>
                      <w:rFonts w:hint="default" w:ascii="Times New Roman" w:hAnsi="Times New Roman" w:cs="Times New Roman"/>
                      <w:bCs/>
                      <w:color w:val="auto"/>
                      <w:kern w:val="0"/>
                      <w:szCs w:val="21"/>
                      <w:lang w:val="en-US" w:eastAsia="zh-CN"/>
                    </w:rPr>
                    <w:t>、振动筛</w:t>
                  </w:r>
                  <w:r>
                    <w:rPr>
                      <w:rFonts w:hint="eastAsia" w:cs="Times New Roman"/>
                      <w:bCs/>
                      <w:color w:val="auto"/>
                      <w:kern w:val="0"/>
                      <w:szCs w:val="21"/>
                      <w:lang w:val="en-US" w:eastAsia="zh-CN"/>
                    </w:rPr>
                    <w:t>1台</w:t>
                  </w:r>
                  <w:r>
                    <w:rPr>
                      <w:rFonts w:hint="default" w:ascii="Times New Roman" w:hAnsi="Times New Roman" w:cs="Times New Roman"/>
                      <w:bCs/>
                      <w:color w:val="auto"/>
                      <w:kern w:val="0"/>
                      <w:szCs w:val="21"/>
                      <w:lang w:val="en-US" w:eastAsia="zh-CN"/>
                    </w:rPr>
                    <w:t>、搅拌主机</w:t>
                  </w:r>
                  <w:r>
                    <w:rPr>
                      <w:rFonts w:hint="eastAsia" w:cs="Times New Roman"/>
                      <w:bCs/>
                      <w:color w:val="auto"/>
                      <w:kern w:val="0"/>
                      <w:szCs w:val="21"/>
                      <w:lang w:val="en-US" w:eastAsia="zh-CN"/>
                    </w:rPr>
                    <w:t>1台</w:t>
                  </w:r>
                  <w:r>
                    <w:rPr>
                      <w:rFonts w:hint="default" w:ascii="Times New Roman" w:hAnsi="Times New Roman" w:cs="Times New Roman"/>
                      <w:bCs/>
                      <w:color w:val="auto"/>
                      <w:kern w:val="0"/>
                      <w:szCs w:val="21"/>
                      <w:lang w:val="en-US" w:eastAsia="zh-CN"/>
                    </w:rPr>
                    <w:t>等设备</w:t>
                  </w:r>
                  <w:r>
                    <w:rPr>
                      <w:rFonts w:hint="eastAsia" w:cs="Times New Roman"/>
                      <w:bCs/>
                      <w:color w:val="auto"/>
                      <w:kern w:val="0"/>
                      <w:szCs w:val="21"/>
                      <w:lang w:val="en-US" w:eastAsia="zh-CN"/>
                    </w:rPr>
                    <w:t>，建设年产2万吨高性能环保滤料生产线</w:t>
                  </w:r>
                  <w:r>
                    <w:rPr>
                      <w:rFonts w:hint="default" w:ascii="Times New Roman" w:hAnsi="Times New Roman" w:cs="Times New Roman"/>
                      <w:bCs/>
                      <w:color w:val="auto"/>
                      <w:kern w:val="0"/>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369" w:type="pct"/>
                  <w:vMerge w:val="restart"/>
                  <w:tcBorders>
                    <w:tl2br w:val="nil"/>
                    <w:tr2bl w:val="nil"/>
                  </w:tcBorders>
                  <w:noWrap w:val="0"/>
                  <w:vAlign w:val="center"/>
                </w:tcPr>
                <w:p>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辅助工程</w:t>
                  </w:r>
                </w:p>
              </w:tc>
              <w:tc>
                <w:tcPr>
                  <w:tcW w:w="819" w:type="pct"/>
                  <w:gridSpan w:val="2"/>
                  <w:tcBorders>
                    <w:tl2br w:val="nil"/>
                    <w:tr2bl w:val="nil"/>
                  </w:tcBorders>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办公区</w:t>
                  </w:r>
                </w:p>
              </w:tc>
              <w:tc>
                <w:tcPr>
                  <w:tcW w:w="3811" w:type="pct"/>
                  <w:tcBorders>
                    <w:tl2br w:val="nil"/>
                    <w:tr2bl w:val="nil"/>
                  </w:tcBorders>
                  <w:noWrap w:val="0"/>
                  <w:vAlign w:val="top"/>
                </w:tcPr>
                <w:p>
                  <w:pPr>
                    <w:spacing w:before="63" w:line="220" w:lineRule="auto"/>
                    <w:ind w:left="174" w:leftChars="0"/>
                    <w:rPr>
                      <w:rFonts w:hint="default" w:ascii="Times New Roman" w:hAnsi="Times New Roman" w:cs="Times New Roman"/>
                      <w:bCs/>
                      <w:color w:val="auto"/>
                      <w:kern w:val="0"/>
                      <w:szCs w:val="21"/>
                      <w:lang w:val="en-US" w:eastAsia="zh-CN"/>
                    </w:rPr>
                  </w:pPr>
                  <w:r>
                    <w:rPr>
                      <w:rFonts w:hint="default" w:ascii="Times New Roman" w:hAnsi="Times New Roman" w:eastAsia="宋体" w:cs="Times New Roman"/>
                      <w:color w:val="auto"/>
                      <w:spacing w:val="-16"/>
                      <w:sz w:val="21"/>
                      <w:szCs w:val="21"/>
                    </w:rPr>
                    <w:t>占地</w:t>
                  </w:r>
                  <w:r>
                    <w:rPr>
                      <w:rFonts w:hint="default" w:ascii="Times New Roman" w:hAnsi="Times New Roman" w:eastAsia="宋体" w:cs="Times New Roman"/>
                      <w:color w:val="auto"/>
                      <w:spacing w:val="-11"/>
                      <w:sz w:val="21"/>
                      <w:szCs w:val="21"/>
                    </w:rPr>
                    <w:t>面</w:t>
                  </w:r>
                  <w:r>
                    <w:rPr>
                      <w:rFonts w:hint="default" w:ascii="Times New Roman" w:hAnsi="Times New Roman" w:eastAsia="宋体" w:cs="Times New Roman"/>
                      <w:color w:val="auto"/>
                      <w:spacing w:val="-8"/>
                      <w:sz w:val="21"/>
                      <w:szCs w:val="21"/>
                    </w:rPr>
                    <w:t>积约</w:t>
                  </w:r>
                  <w:r>
                    <w:rPr>
                      <w:rFonts w:hint="default" w:ascii="Times New Roman" w:hAnsi="Times New Roman" w:eastAsia="Times New Roman" w:cs="Times New Roman"/>
                      <w:color w:val="auto"/>
                      <w:spacing w:val="-8"/>
                      <w:sz w:val="21"/>
                      <w:szCs w:val="21"/>
                    </w:rPr>
                    <w:t>120m</w:t>
                  </w:r>
                  <w:r>
                    <w:rPr>
                      <w:rFonts w:hint="default" w:ascii="Times New Roman" w:hAnsi="Times New Roman" w:eastAsia="Times New Roman" w:cs="Times New Roman"/>
                      <w:color w:val="auto"/>
                      <w:spacing w:val="-8"/>
                      <w:position w:val="7"/>
                      <w:sz w:val="14"/>
                      <w:szCs w:val="14"/>
                    </w:rPr>
                    <w:t>2</w:t>
                  </w:r>
                  <w:r>
                    <w:rPr>
                      <w:rFonts w:hint="default" w:ascii="Times New Roman" w:hAnsi="Times New Roman" w:eastAsia="宋体" w:cs="Times New Roman"/>
                      <w:color w:val="auto"/>
                      <w:spacing w:val="-8"/>
                      <w:sz w:val="21"/>
                      <w:szCs w:val="21"/>
                    </w:rPr>
                    <w:t>，位于厂区东南侧，用于员工日常办公。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洗车台</w:t>
                  </w:r>
                </w:p>
              </w:tc>
              <w:tc>
                <w:tcPr>
                  <w:tcW w:w="3811" w:type="pct"/>
                  <w:tcBorders>
                    <w:tl2br w:val="nil"/>
                    <w:tr2bl w:val="nil"/>
                  </w:tcBorders>
                  <w:noWrap w:val="0"/>
                  <w:vAlign w:val="top"/>
                </w:tcPr>
                <w:p>
                  <w:pPr>
                    <w:spacing w:before="65" w:line="220" w:lineRule="auto"/>
                    <w:ind w:left="996" w:leftChars="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pacing w:val="-12"/>
                      <w:sz w:val="21"/>
                      <w:szCs w:val="21"/>
                    </w:rPr>
                    <w:t>占</w:t>
                  </w:r>
                  <w:r>
                    <w:rPr>
                      <w:rFonts w:hint="default" w:ascii="Times New Roman" w:hAnsi="Times New Roman" w:eastAsia="宋体" w:cs="Times New Roman"/>
                      <w:color w:val="auto"/>
                      <w:spacing w:val="-10"/>
                      <w:sz w:val="21"/>
                      <w:szCs w:val="21"/>
                    </w:rPr>
                    <w:t>地</w:t>
                  </w:r>
                  <w:r>
                    <w:rPr>
                      <w:rFonts w:hint="default" w:ascii="Times New Roman" w:hAnsi="Times New Roman" w:eastAsia="宋体" w:cs="Times New Roman"/>
                      <w:color w:val="auto"/>
                      <w:spacing w:val="-6"/>
                      <w:sz w:val="21"/>
                      <w:szCs w:val="21"/>
                    </w:rPr>
                    <w:t>面积约</w:t>
                  </w:r>
                  <w:r>
                    <w:rPr>
                      <w:rFonts w:hint="default" w:ascii="Times New Roman" w:hAnsi="Times New Roman" w:eastAsia="Times New Roman" w:cs="Times New Roman"/>
                      <w:color w:val="auto"/>
                      <w:spacing w:val="-6"/>
                      <w:sz w:val="21"/>
                      <w:szCs w:val="21"/>
                    </w:rPr>
                    <w:t>10m</w:t>
                  </w:r>
                  <w:r>
                    <w:rPr>
                      <w:rFonts w:hint="default" w:ascii="Times New Roman" w:hAnsi="Times New Roman" w:eastAsia="Times New Roman" w:cs="Times New Roman"/>
                      <w:color w:val="auto"/>
                      <w:spacing w:val="-6"/>
                      <w:position w:val="7"/>
                      <w:sz w:val="14"/>
                      <w:szCs w:val="14"/>
                    </w:rPr>
                    <w:t>2</w:t>
                  </w:r>
                  <w:r>
                    <w:rPr>
                      <w:rFonts w:hint="default" w:ascii="Times New Roman" w:hAnsi="Times New Roman" w:eastAsia="宋体" w:cs="Times New Roman"/>
                      <w:color w:val="auto"/>
                      <w:spacing w:val="-6"/>
                      <w:sz w:val="21"/>
                      <w:szCs w:val="21"/>
                    </w:rPr>
                    <w:t>，用于进出厂车辆清洗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9"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szCs w:val="21"/>
                      <w:lang w:val="en-US" w:eastAsia="zh-CN"/>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地磅</w:t>
                  </w:r>
                </w:p>
              </w:tc>
              <w:tc>
                <w:tcPr>
                  <w:tcW w:w="3811" w:type="pct"/>
                  <w:tcBorders>
                    <w:tl2br w:val="nil"/>
                    <w:tr2bl w:val="nil"/>
                  </w:tcBorders>
                  <w:noWrap w:val="0"/>
                  <w:vAlign w:val="top"/>
                </w:tcPr>
                <w:p>
                  <w:pPr>
                    <w:spacing w:before="63" w:line="221" w:lineRule="auto"/>
                    <w:ind w:left="996" w:leftChars="0"/>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pacing w:val="-12"/>
                      <w:sz w:val="21"/>
                      <w:szCs w:val="21"/>
                    </w:rPr>
                    <w:t>占</w:t>
                  </w:r>
                  <w:r>
                    <w:rPr>
                      <w:rFonts w:hint="default" w:ascii="Times New Roman" w:hAnsi="Times New Roman" w:eastAsia="宋体" w:cs="Times New Roman"/>
                      <w:color w:val="auto"/>
                      <w:spacing w:val="-11"/>
                      <w:sz w:val="21"/>
                      <w:szCs w:val="21"/>
                    </w:rPr>
                    <w:t>地</w:t>
                  </w:r>
                  <w:r>
                    <w:rPr>
                      <w:rFonts w:hint="default" w:ascii="Times New Roman" w:hAnsi="Times New Roman" w:eastAsia="宋体" w:cs="Times New Roman"/>
                      <w:color w:val="auto"/>
                      <w:spacing w:val="-6"/>
                      <w:sz w:val="21"/>
                      <w:szCs w:val="21"/>
                    </w:rPr>
                    <w:t>面积约</w:t>
                  </w:r>
                  <w:r>
                    <w:rPr>
                      <w:rFonts w:hint="default" w:ascii="Times New Roman" w:hAnsi="Times New Roman" w:eastAsia="Times New Roman" w:cs="Times New Roman"/>
                      <w:color w:val="auto"/>
                      <w:spacing w:val="-6"/>
                      <w:sz w:val="21"/>
                      <w:szCs w:val="21"/>
                    </w:rPr>
                    <w:t>10m</w:t>
                  </w:r>
                  <w:r>
                    <w:rPr>
                      <w:rFonts w:hint="default" w:ascii="Times New Roman" w:hAnsi="Times New Roman" w:eastAsia="Times New Roman" w:cs="Times New Roman"/>
                      <w:color w:val="auto"/>
                      <w:spacing w:val="-6"/>
                      <w:position w:val="7"/>
                      <w:sz w:val="14"/>
                      <w:szCs w:val="14"/>
                    </w:rPr>
                    <w:t>2</w:t>
                  </w:r>
                  <w:r>
                    <w:rPr>
                      <w:rFonts w:hint="default" w:ascii="Times New Roman" w:hAnsi="Times New Roman" w:eastAsia="宋体" w:cs="Times New Roman"/>
                      <w:color w:val="auto"/>
                      <w:spacing w:val="-6"/>
                      <w:sz w:val="21"/>
                      <w:szCs w:val="21"/>
                    </w:rPr>
                    <w:t>，用于进出厂计量称重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369" w:type="pct"/>
                  <w:vMerge w:val="restart"/>
                  <w:tcBorders>
                    <w:tl2br w:val="nil"/>
                    <w:tr2bl w:val="nil"/>
                  </w:tcBorders>
                  <w:noWrap w:val="0"/>
                  <w:vAlign w:val="center"/>
                </w:tcPr>
                <w:p>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储运工程</w:t>
                  </w: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原料仓库</w:t>
                  </w:r>
                </w:p>
              </w:tc>
              <w:tc>
                <w:tcPr>
                  <w:tcW w:w="3811" w:type="pct"/>
                  <w:tcBorders>
                    <w:tl2br w:val="nil"/>
                    <w:tr2bl w:val="nil"/>
                  </w:tcBorders>
                  <w:noWrap w:val="0"/>
                  <w:vAlign w:val="top"/>
                </w:tcPr>
                <w:p>
                  <w:pPr>
                    <w:spacing w:before="64" w:line="220" w:lineRule="auto"/>
                    <w:ind w:left="539" w:leftChars="0"/>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pacing w:val="-10"/>
                      <w:sz w:val="21"/>
                      <w:szCs w:val="21"/>
                    </w:rPr>
                    <w:t>占地</w:t>
                  </w:r>
                  <w:r>
                    <w:rPr>
                      <w:rFonts w:hint="default" w:ascii="Times New Roman" w:hAnsi="Times New Roman" w:eastAsia="宋体" w:cs="Times New Roman"/>
                      <w:color w:val="auto"/>
                      <w:spacing w:val="-6"/>
                      <w:sz w:val="21"/>
                      <w:szCs w:val="21"/>
                    </w:rPr>
                    <w:t>面</w:t>
                  </w:r>
                  <w:r>
                    <w:rPr>
                      <w:rFonts w:hint="default" w:ascii="Times New Roman" w:hAnsi="Times New Roman" w:eastAsia="宋体" w:cs="Times New Roman"/>
                      <w:color w:val="auto"/>
                      <w:spacing w:val="-5"/>
                      <w:sz w:val="21"/>
                      <w:szCs w:val="21"/>
                    </w:rPr>
                    <w:t>积约</w:t>
                  </w:r>
                  <w:r>
                    <w:rPr>
                      <w:rFonts w:hint="default" w:ascii="Times New Roman" w:hAnsi="Times New Roman" w:eastAsia="Times New Roman" w:cs="Times New Roman"/>
                      <w:color w:val="auto"/>
                      <w:spacing w:val="-5"/>
                      <w:sz w:val="21"/>
                      <w:szCs w:val="21"/>
                    </w:rPr>
                    <w:t>400m</w:t>
                  </w:r>
                  <w:r>
                    <w:rPr>
                      <w:rFonts w:hint="default" w:ascii="Times New Roman" w:hAnsi="Times New Roman" w:eastAsia="Times New Roman" w:cs="Times New Roman"/>
                      <w:color w:val="auto"/>
                      <w:spacing w:val="-5"/>
                      <w:position w:val="7"/>
                      <w:sz w:val="14"/>
                      <w:szCs w:val="14"/>
                    </w:rPr>
                    <w:t>2</w:t>
                  </w:r>
                  <w:r>
                    <w:rPr>
                      <w:rFonts w:hint="default" w:ascii="Times New Roman" w:hAnsi="Times New Roman" w:eastAsia="宋体" w:cs="Times New Roman"/>
                      <w:color w:val="auto"/>
                      <w:spacing w:val="-5"/>
                      <w:sz w:val="21"/>
                      <w:szCs w:val="21"/>
                    </w:rPr>
                    <w:t>，位于厂区西</w:t>
                  </w:r>
                  <w:r>
                    <w:rPr>
                      <w:rFonts w:hint="eastAsia" w:cs="Times New Roman"/>
                      <w:color w:val="auto"/>
                      <w:spacing w:val="-5"/>
                      <w:sz w:val="21"/>
                      <w:szCs w:val="21"/>
                      <w:lang w:val="en-US" w:eastAsia="zh-CN"/>
                    </w:rPr>
                    <w:t>部</w:t>
                  </w:r>
                  <w:r>
                    <w:rPr>
                      <w:rFonts w:hint="default" w:ascii="Times New Roman" w:hAnsi="Times New Roman" w:eastAsia="宋体" w:cs="Times New Roman"/>
                      <w:color w:val="auto"/>
                      <w:spacing w:val="-5"/>
                      <w:sz w:val="21"/>
                      <w:szCs w:val="21"/>
                    </w:rPr>
                    <w:t>，用于存储页岩</w:t>
                  </w:r>
                  <w:r>
                    <w:rPr>
                      <w:rFonts w:hint="eastAsia" w:cs="Times New Roman"/>
                      <w:color w:val="auto"/>
                      <w:spacing w:val="-5"/>
                      <w:sz w:val="21"/>
                      <w:szCs w:val="21"/>
                      <w:lang w:eastAsia="zh-CN"/>
                    </w:rPr>
                    <w:t>，</w:t>
                  </w:r>
                  <w:r>
                    <w:rPr>
                      <w:rFonts w:hint="eastAsia" w:cs="Times New Roman"/>
                      <w:color w:val="auto"/>
                      <w:spacing w:val="-5"/>
                      <w:sz w:val="21"/>
                      <w:szCs w:val="21"/>
                      <w:lang w:val="en-US" w:eastAsia="zh-CN"/>
                    </w:rPr>
                    <w:t>最大储存量400t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成品仓库</w:t>
                  </w:r>
                </w:p>
              </w:tc>
              <w:tc>
                <w:tcPr>
                  <w:tcW w:w="3811" w:type="pct"/>
                  <w:tcBorders>
                    <w:tl2br w:val="nil"/>
                    <w:tr2bl w:val="nil"/>
                  </w:tcBorders>
                  <w:noWrap w:val="0"/>
                  <w:vAlign w:val="top"/>
                </w:tcPr>
                <w:p>
                  <w:pPr>
                    <w:spacing w:before="66" w:line="220" w:lineRule="auto"/>
                    <w:ind w:left="314" w:leftChars="0"/>
                    <w:rPr>
                      <w:rFonts w:hint="default" w:ascii="Times New Roman" w:hAnsi="Times New Roman" w:cs="Times New Roman"/>
                      <w:color w:val="auto"/>
                      <w:kern w:val="0"/>
                      <w:szCs w:val="21"/>
                    </w:rPr>
                  </w:pPr>
                  <w:r>
                    <w:rPr>
                      <w:rFonts w:hint="default" w:ascii="Times New Roman" w:hAnsi="Times New Roman" w:eastAsia="宋体" w:cs="Times New Roman"/>
                      <w:color w:val="auto"/>
                      <w:spacing w:val="-10"/>
                      <w:sz w:val="21"/>
                      <w:szCs w:val="21"/>
                    </w:rPr>
                    <w:t>占地</w:t>
                  </w:r>
                  <w:r>
                    <w:rPr>
                      <w:rFonts w:hint="default" w:ascii="Times New Roman" w:hAnsi="Times New Roman" w:eastAsia="宋体" w:cs="Times New Roman"/>
                      <w:color w:val="auto"/>
                      <w:spacing w:val="-5"/>
                      <w:sz w:val="21"/>
                      <w:szCs w:val="21"/>
                    </w:rPr>
                    <w:t>面积约</w:t>
                  </w:r>
                  <w:r>
                    <w:rPr>
                      <w:rFonts w:hint="default" w:ascii="Times New Roman" w:hAnsi="Times New Roman" w:eastAsia="Times New Roman" w:cs="Times New Roman"/>
                      <w:color w:val="auto"/>
                      <w:spacing w:val="-5"/>
                      <w:sz w:val="21"/>
                      <w:szCs w:val="21"/>
                    </w:rPr>
                    <w:t>350m</w:t>
                  </w:r>
                  <w:r>
                    <w:rPr>
                      <w:rFonts w:hint="default" w:ascii="Times New Roman" w:hAnsi="Times New Roman" w:eastAsia="Times New Roman" w:cs="Times New Roman"/>
                      <w:color w:val="auto"/>
                      <w:spacing w:val="-5"/>
                      <w:position w:val="7"/>
                      <w:sz w:val="14"/>
                      <w:szCs w:val="14"/>
                    </w:rPr>
                    <w:t>2</w:t>
                  </w:r>
                  <w:r>
                    <w:rPr>
                      <w:rFonts w:hint="default" w:ascii="Times New Roman" w:hAnsi="Times New Roman" w:eastAsia="宋体" w:cs="Times New Roman"/>
                      <w:color w:val="auto"/>
                      <w:spacing w:val="-5"/>
                      <w:sz w:val="21"/>
                      <w:szCs w:val="21"/>
                    </w:rPr>
                    <w:t>，位于生产车间东</w:t>
                  </w:r>
                  <w:r>
                    <w:rPr>
                      <w:rFonts w:hint="eastAsia"/>
                      <w:color w:val="auto"/>
                      <w:lang w:val="en-US" w:eastAsia="zh-CN"/>
                    </w:rPr>
                    <w:t>部</w:t>
                  </w:r>
                  <w:r>
                    <w:rPr>
                      <w:rFonts w:hint="default" w:ascii="Times New Roman" w:hAnsi="Times New Roman" w:eastAsia="宋体" w:cs="Times New Roman"/>
                      <w:color w:val="auto"/>
                      <w:spacing w:val="-5"/>
                      <w:sz w:val="21"/>
                      <w:szCs w:val="21"/>
                    </w:rPr>
                    <w:t>，用于存放成品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2"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卧式</w:t>
                  </w:r>
                  <w:r>
                    <w:rPr>
                      <w:rFonts w:hint="default" w:ascii="Times New Roman" w:hAnsi="Times New Roman" w:cs="Times New Roman"/>
                      <w:color w:val="auto"/>
                      <w:szCs w:val="21"/>
                      <w:lang w:val="en-US" w:eastAsia="zh-CN"/>
                    </w:rPr>
                    <w:t>水泥</w:t>
                  </w:r>
                  <w:r>
                    <w:rPr>
                      <w:rFonts w:hint="eastAsia" w:cs="Times New Roman"/>
                      <w:color w:val="auto"/>
                      <w:szCs w:val="21"/>
                      <w:lang w:val="en-US" w:eastAsia="zh-CN"/>
                    </w:rPr>
                    <w:t>桶</w:t>
                  </w:r>
                  <w:r>
                    <w:rPr>
                      <w:rFonts w:hint="default" w:ascii="Times New Roman" w:hAnsi="Times New Roman" w:eastAsia="宋体" w:cs="Times New Roman"/>
                      <w:color w:val="auto"/>
                      <w:szCs w:val="21"/>
                      <w:lang w:val="en-US" w:eastAsia="zh-CN"/>
                    </w:rPr>
                    <w:t>仓</w:t>
                  </w:r>
                </w:p>
              </w:tc>
              <w:tc>
                <w:tcPr>
                  <w:tcW w:w="3811" w:type="pct"/>
                  <w:tcBorders>
                    <w:tl2br w:val="nil"/>
                    <w:tr2bl w:val="nil"/>
                  </w:tcBorders>
                  <w:noWrap w:val="0"/>
                  <w:vAlign w:val="top"/>
                </w:tcPr>
                <w:p>
                  <w:pPr>
                    <w:spacing w:before="32" w:line="227" w:lineRule="auto"/>
                    <w:ind w:left="2278" w:leftChars="0" w:right="102" w:rightChars="0" w:hanging="2154" w:firstLineChars="0"/>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spacing w:val="-8"/>
                      <w:sz w:val="21"/>
                      <w:szCs w:val="21"/>
                    </w:rPr>
                    <w:t>容积为</w:t>
                  </w:r>
                  <w:r>
                    <w:rPr>
                      <w:rFonts w:hint="default" w:ascii="Times New Roman" w:hAnsi="Times New Roman" w:eastAsia="Times New Roman" w:cs="Times New Roman"/>
                      <w:color w:val="auto"/>
                      <w:spacing w:val="-8"/>
                      <w:sz w:val="21"/>
                      <w:szCs w:val="21"/>
                    </w:rPr>
                    <w:t>54m</w:t>
                  </w:r>
                  <w:r>
                    <w:rPr>
                      <w:rFonts w:hint="default" w:ascii="Times New Roman" w:hAnsi="Times New Roman" w:eastAsia="Times New Roman" w:cs="Times New Roman"/>
                      <w:color w:val="auto"/>
                      <w:spacing w:val="-8"/>
                      <w:position w:val="7"/>
                      <w:sz w:val="14"/>
                      <w:szCs w:val="14"/>
                    </w:rPr>
                    <w:t>3</w:t>
                  </w:r>
                  <w:r>
                    <w:rPr>
                      <w:rFonts w:hint="default" w:ascii="Times New Roman" w:hAnsi="Times New Roman" w:eastAsia="宋体" w:cs="Times New Roman"/>
                      <w:color w:val="auto"/>
                      <w:spacing w:val="-8"/>
                      <w:sz w:val="21"/>
                      <w:szCs w:val="21"/>
                    </w:rPr>
                    <w:t>，20m×1.8m×1.5m</w:t>
                  </w:r>
                  <w:r>
                    <w:rPr>
                      <w:rFonts w:hint="eastAsia" w:cs="Times New Roman"/>
                      <w:color w:val="auto"/>
                      <w:spacing w:val="-8"/>
                      <w:sz w:val="21"/>
                      <w:szCs w:val="21"/>
                      <w:lang w:eastAsia="zh-CN"/>
                    </w:rPr>
                    <w:t>，</w:t>
                  </w:r>
                  <w:r>
                    <w:rPr>
                      <w:rFonts w:hint="default" w:ascii="Times New Roman" w:hAnsi="Times New Roman" w:eastAsia="宋体" w:cs="Times New Roman"/>
                      <w:color w:val="auto"/>
                      <w:spacing w:val="-8"/>
                      <w:sz w:val="21"/>
                      <w:szCs w:val="21"/>
                    </w:rPr>
                    <w:t>共</w:t>
                  </w:r>
                  <w:r>
                    <w:rPr>
                      <w:rFonts w:hint="default" w:ascii="Times New Roman" w:hAnsi="Times New Roman" w:eastAsia="Times New Roman" w:cs="Times New Roman"/>
                      <w:color w:val="auto"/>
                      <w:spacing w:val="-8"/>
                      <w:sz w:val="21"/>
                      <w:szCs w:val="21"/>
                    </w:rPr>
                    <w:t>1</w:t>
                  </w:r>
                  <w:r>
                    <w:rPr>
                      <w:rFonts w:hint="default" w:ascii="Times New Roman" w:hAnsi="Times New Roman" w:eastAsia="宋体" w:cs="Times New Roman"/>
                      <w:color w:val="auto"/>
                      <w:spacing w:val="-8"/>
                      <w:sz w:val="21"/>
                      <w:szCs w:val="21"/>
                    </w:rPr>
                    <w:t>个，位于生产车间南侧区域，用于储存</w:t>
                  </w:r>
                  <w:r>
                    <w:rPr>
                      <w:rFonts w:hint="default" w:ascii="Times New Roman" w:hAnsi="Times New Roman" w:cs="Times New Roman"/>
                      <w:color w:val="auto"/>
                      <w:spacing w:val="-2"/>
                      <w:sz w:val="21"/>
                      <w:szCs w:val="21"/>
                      <w:lang w:val="en-US" w:eastAsia="zh-CN"/>
                    </w:rPr>
                    <w:t>水泥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6"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eastAsia="宋体" w:cs="Times New Roman"/>
                      <w:color w:val="auto"/>
                      <w:kern w:val="0"/>
                      <w:szCs w:val="21"/>
                      <w:lang w:val="en-US" w:eastAsia="zh-CN"/>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水储罐</w:t>
                  </w:r>
                </w:p>
              </w:tc>
              <w:tc>
                <w:tcPr>
                  <w:tcW w:w="3811" w:type="pct"/>
                  <w:tcBorders>
                    <w:tl2br w:val="nil"/>
                    <w:tr2bl w:val="nil"/>
                  </w:tcBorders>
                  <w:noWrap w:val="0"/>
                  <w:vAlign w:val="top"/>
                </w:tcPr>
                <w:p>
                  <w:pPr>
                    <w:spacing w:before="32" w:line="228" w:lineRule="auto"/>
                    <w:ind w:left="2383" w:leftChars="0" w:right="90" w:rightChars="0" w:hanging="2270" w:firstLineChars="0"/>
                    <w:rPr>
                      <w:rFonts w:hint="default" w:ascii="Times New Roman" w:hAnsi="Times New Roman" w:cs="Times New Roman"/>
                      <w:color w:val="auto"/>
                      <w:kern w:val="0"/>
                      <w:szCs w:val="21"/>
                    </w:rPr>
                  </w:pPr>
                  <w:r>
                    <w:rPr>
                      <w:rFonts w:hint="default" w:ascii="Times New Roman" w:hAnsi="Times New Roman" w:eastAsia="宋体" w:cs="Times New Roman"/>
                      <w:color w:val="auto"/>
                      <w:spacing w:val="-15"/>
                      <w:sz w:val="21"/>
                      <w:szCs w:val="21"/>
                    </w:rPr>
                    <w:t>容</w:t>
                  </w:r>
                  <w:r>
                    <w:rPr>
                      <w:rFonts w:hint="default" w:ascii="Times New Roman" w:hAnsi="Times New Roman" w:eastAsia="宋体" w:cs="Times New Roman"/>
                      <w:color w:val="auto"/>
                      <w:spacing w:val="-13"/>
                      <w:sz w:val="21"/>
                      <w:szCs w:val="21"/>
                    </w:rPr>
                    <w:t>积为</w:t>
                  </w:r>
                  <w:r>
                    <w:rPr>
                      <w:rFonts w:hint="default" w:ascii="Times New Roman" w:hAnsi="Times New Roman" w:eastAsia="Times New Roman" w:cs="Times New Roman"/>
                      <w:color w:val="auto"/>
                      <w:spacing w:val="-13"/>
                      <w:sz w:val="21"/>
                      <w:szCs w:val="21"/>
                    </w:rPr>
                    <w:t>150m</w:t>
                  </w:r>
                  <w:r>
                    <w:rPr>
                      <w:rFonts w:hint="default" w:ascii="Times New Roman" w:hAnsi="Times New Roman" w:eastAsia="Times New Roman" w:cs="Times New Roman"/>
                      <w:color w:val="auto"/>
                      <w:spacing w:val="-13"/>
                      <w:position w:val="7"/>
                      <w:sz w:val="14"/>
                      <w:szCs w:val="14"/>
                    </w:rPr>
                    <w:t>3</w:t>
                  </w:r>
                  <w:r>
                    <w:rPr>
                      <w:rFonts w:hint="default" w:ascii="Times New Roman" w:hAnsi="Times New Roman" w:eastAsia="宋体" w:cs="Times New Roman"/>
                      <w:color w:val="auto"/>
                      <w:spacing w:val="-13"/>
                      <w:sz w:val="21"/>
                      <w:szCs w:val="21"/>
                    </w:rPr>
                    <w:t>，共</w:t>
                  </w:r>
                  <w:r>
                    <w:rPr>
                      <w:rFonts w:hint="default" w:ascii="Times New Roman" w:hAnsi="Times New Roman" w:eastAsia="Times New Roman" w:cs="Times New Roman"/>
                      <w:color w:val="auto"/>
                      <w:spacing w:val="-13"/>
                      <w:sz w:val="21"/>
                      <w:szCs w:val="21"/>
                    </w:rPr>
                    <w:t>1</w:t>
                  </w:r>
                  <w:r>
                    <w:rPr>
                      <w:rFonts w:hint="default" w:ascii="Times New Roman" w:hAnsi="Times New Roman" w:eastAsia="宋体" w:cs="Times New Roman"/>
                      <w:color w:val="auto"/>
                      <w:spacing w:val="-13"/>
                      <w:sz w:val="21"/>
                      <w:szCs w:val="21"/>
                    </w:rPr>
                    <w:t>个，位于生产车间南</w:t>
                  </w:r>
                  <w:r>
                    <w:rPr>
                      <w:rFonts w:hint="eastAsia" w:cs="Times New Roman"/>
                      <w:color w:val="auto"/>
                      <w:spacing w:val="-13"/>
                      <w:sz w:val="21"/>
                      <w:szCs w:val="21"/>
                      <w:lang w:val="en-US" w:eastAsia="zh-CN"/>
                    </w:rPr>
                    <w:t>部</w:t>
                  </w:r>
                  <w:r>
                    <w:rPr>
                      <w:rFonts w:hint="default" w:ascii="Times New Roman" w:hAnsi="Times New Roman" w:eastAsia="宋体" w:cs="Times New Roman"/>
                      <w:color w:val="auto"/>
                      <w:spacing w:val="-13"/>
                      <w:sz w:val="21"/>
                      <w:szCs w:val="21"/>
                    </w:rPr>
                    <w:t>区域，用于储存</w:t>
                  </w:r>
                  <w:r>
                    <w:rPr>
                      <w:rFonts w:hint="default" w:ascii="Times New Roman" w:hAnsi="Times New Roman" w:eastAsia="宋体" w:cs="Times New Roman"/>
                      <w:color w:val="auto"/>
                      <w:spacing w:val="-2"/>
                      <w:sz w:val="21"/>
                      <w:szCs w:val="21"/>
                    </w:rPr>
                    <w:t>搅拌</w:t>
                  </w:r>
                  <w:r>
                    <w:rPr>
                      <w:rFonts w:hint="default" w:ascii="Times New Roman" w:hAnsi="Times New Roman" w:eastAsia="宋体" w:cs="Times New Roman"/>
                      <w:color w:val="auto"/>
                      <w:spacing w:val="-1"/>
                      <w:sz w:val="21"/>
                      <w:szCs w:val="21"/>
                    </w:rPr>
                    <w:t>用水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369" w:type="pct"/>
                  <w:vMerge w:val="restart"/>
                  <w:tcBorders>
                    <w:tl2br w:val="nil"/>
                    <w:tr2bl w:val="nil"/>
                  </w:tcBorders>
                  <w:noWrap w:val="0"/>
                  <w:vAlign w:val="center"/>
                </w:tcPr>
                <w:p>
                  <w:pPr>
                    <w:widowControl/>
                    <w:jc w:val="center"/>
                    <w:rPr>
                      <w:rFonts w:hint="default" w:ascii="Times New Roman" w:hAnsi="Times New Roman" w:cs="Times New Roman"/>
                      <w:color w:val="auto"/>
                      <w:kern w:val="0"/>
                      <w:szCs w:val="21"/>
                      <w:lang w:val="en-US" w:eastAsia="zh-CN"/>
                    </w:rPr>
                  </w:pPr>
                  <w:r>
                    <w:rPr>
                      <w:rFonts w:hint="default" w:ascii="Times New Roman" w:hAnsi="Times New Roman" w:cs="Times New Roman"/>
                      <w:color w:val="auto"/>
                      <w:kern w:val="0"/>
                      <w:szCs w:val="21"/>
                      <w:lang w:val="en-US" w:eastAsia="zh-CN"/>
                    </w:rPr>
                    <w:t>公用工程</w:t>
                  </w: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供水系统</w:t>
                  </w:r>
                </w:p>
              </w:tc>
              <w:tc>
                <w:tcPr>
                  <w:tcW w:w="3811" w:type="pct"/>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eastAsia="宋体" w:cs="Times New Roman"/>
                      <w:color w:val="auto"/>
                      <w:spacing w:val="-26"/>
                      <w:sz w:val="21"/>
                      <w:szCs w:val="21"/>
                    </w:rPr>
                  </w:pPr>
                  <w:r>
                    <w:rPr>
                      <w:rFonts w:hint="default" w:ascii="Times New Roman" w:hAnsi="Times New Roman" w:eastAsia="宋体" w:cs="Times New Roman"/>
                      <w:color w:val="auto"/>
                      <w:spacing w:val="16"/>
                      <w:sz w:val="21"/>
                      <w:szCs w:val="21"/>
                    </w:rPr>
                    <w:t>由</w:t>
                  </w:r>
                  <w:r>
                    <w:rPr>
                      <w:rFonts w:hint="default" w:ascii="Times New Roman" w:hAnsi="Times New Roman" w:eastAsia="宋体" w:cs="Times New Roman"/>
                      <w:color w:val="auto"/>
                      <w:spacing w:val="12"/>
                      <w:sz w:val="21"/>
                      <w:szCs w:val="21"/>
                    </w:rPr>
                    <w:t>市</w:t>
                  </w:r>
                  <w:r>
                    <w:rPr>
                      <w:rFonts w:hint="default" w:ascii="Times New Roman" w:hAnsi="Times New Roman" w:eastAsia="宋体" w:cs="Times New Roman"/>
                      <w:color w:val="auto"/>
                      <w:spacing w:val="8"/>
                      <w:sz w:val="21"/>
                      <w:szCs w:val="21"/>
                    </w:rPr>
                    <w:t>政给水管网提供，主要包括生活用水、车辆冲洗</w:t>
                  </w:r>
                  <w:r>
                    <w:rPr>
                      <w:rFonts w:hint="default" w:ascii="Times New Roman" w:hAnsi="Times New Roman" w:eastAsia="宋体" w:cs="Times New Roman"/>
                      <w:color w:val="auto"/>
                      <w:spacing w:val="12"/>
                      <w:sz w:val="21"/>
                      <w:szCs w:val="21"/>
                    </w:rPr>
                    <w:t>用水</w:t>
                  </w:r>
                  <w:r>
                    <w:rPr>
                      <w:rFonts w:hint="default" w:ascii="Times New Roman" w:hAnsi="Times New Roman" w:eastAsia="宋体" w:cs="Times New Roman"/>
                      <w:color w:val="auto"/>
                      <w:spacing w:val="9"/>
                      <w:sz w:val="21"/>
                      <w:szCs w:val="21"/>
                    </w:rPr>
                    <w:t>、</w:t>
                  </w:r>
                  <w:r>
                    <w:rPr>
                      <w:rFonts w:hint="default" w:ascii="Times New Roman" w:hAnsi="Times New Roman" w:eastAsia="宋体" w:cs="Times New Roman"/>
                      <w:color w:val="auto"/>
                      <w:spacing w:val="6"/>
                      <w:sz w:val="21"/>
                      <w:szCs w:val="21"/>
                    </w:rPr>
                    <w:t>配料用水、降尘用水等，新鲜水用量为</w:t>
                  </w:r>
                  <w:r>
                    <w:rPr>
                      <w:rFonts w:hint="eastAsia" w:cs="Times New Roman"/>
                      <w:color w:val="auto"/>
                      <w:spacing w:val="6"/>
                      <w:sz w:val="21"/>
                      <w:szCs w:val="21"/>
                      <w:lang w:val="en-US" w:eastAsia="zh-CN"/>
                    </w:rPr>
                    <w:t>5040</w:t>
                  </w:r>
                  <w:r>
                    <w:rPr>
                      <w:rFonts w:hint="default" w:ascii="Times New Roman" w:hAnsi="Times New Roman" w:eastAsia="宋体" w:cs="Times New Roman"/>
                      <w:color w:val="auto"/>
                      <w:sz w:val="21"/>
                      <w:szCs w:val="21"/>
                    </w:rPr>
                    <w:t>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pacing w:val="6"/>
                      <w:sz w:val="21"/>
                      <w:szCs w:val="21"/>
                    </w:rPr>
                    <w:t>/</w:t>
                  </w:r>
                  <w:r>
                    <w:rPr>
                      <w:rFonts w:hint="default" w:ascii="Times New Roman" w:hAnsi="Times New Roman" w:eastAsia="宋体" w:cs="Times New Roman"/>
                      <w:color w:val="auto"/>
                      <w:sz w:val="21"/>
                      <w:szCs w:val="21"/>
                    </w:rPr>
                    <w: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5"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lang w:val="en-US" w:eastAsia="zh-CN"/>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排水系统</w:t>
                  </w:r>
                </w:p>
              </w:tc>
              <w:tc>
                <w:tcPr>
                  <w:tcW w:w="3811" w:type="pct"/>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line="240" w:lineRule="atLeast"/>
                    <w:ind w:left="0" w:leftChars="0" w:right="0" w:rightChars="0" w:firstLine="425" w:firstLineChars="0"/>
                    <w:jc w:val="center"/>
                    <w:textAlignment w:val="auto"/>
                    <w:rPr>
                      <w:rFonts w:hint="default" w:ascii="Times New Roman" w:hAnsi="Times New Roman" w:eastAsia="宋体" w:cs="Times New Roman"/>
                      <w:color w:val="auto"/>
                      <w:spacing w:val="-26"/>
                      <w:sz w:val="21"/>
                      <w:szCs w:val="21"/>
                    </w:rPr>
                  </w:pPr>
                  <w:r>
                    <w:rPr>
                      <w:rFonts w:hint="default" w:ascii="Times New Roman" w:hAnsi="Times New Roman" w:eastAsia="宋体" w:cs="Times New Roman"/>
                      <w:color w:val="auto"/>
                      <w:spacing w:val="6"/>
                      <w:sz w:val="21"/>
                      <w:szCs w:val="21"/>
                    </w:rPr>
                    <w:t>实</w:t>
                  </w:r>
                  <w:r>
                    <w:rPr>
                      <w:rFonts w:hint="default" w:ascii="Times New Roman" w:hAnsi="Times New Roman" w:eastAsia="宋体" w:cs="Times New Roman"/>
                      <w:color w:val="auto"/>
                      <w:spacing w:val="5"/>
                      <w:sz w:val="21"/>
                      <w:szCs w:val="21"/>
                    </w:rPr>
                    <w:t>行</w:t>
                  </w:r>
                  <w:r>
                    <w:rPr>
                      <w:rFonts w:hint="default" w:ascii="Times New Roman" w:hAnsi="Times New Roman" w:eastAsia="宋体" w:cs="Times New Roman"/>
                      <w:color w:val="auto"/>
                      <w:spacing w:val="3"/>
                      <w:sz w:val="21"/>
                      <w:szCs w:val="21"/>
                    </w:rPr>
                    <w:t>雨污分流制，雨水直接排入市政雨水管网；本项</w:t>
                  </w:r>
                  <w:r>
                    <w:rPr>
                      <w:rFonts w:hint="default" w:ascii="Times New Roman" w:hAnsi="Times New Roman" w:eastAsia="宋体" w:cs="Times New Roman"/>
                      <w:color w:val="auto"/>
                      <w:spacing w:val="2"/>
                      <w:sz w:val="21"/>
                      <w:szCs w:val="21"/>
                    </w:rPr>
                    <w:t>目无生产废水排放，车辆冲洗废水经沉淀</w:t>
                  </w:r>
                  <w:r>
                    <w:rPr>
                      <w:rFonts w:hint="default" w:ascii="Times New Roman" w:hAnsi="Times New Roman" w:eastAsia="宋体" w:cs="Times New Roman"/>
                      <w:color w:val="auto"/>
                      <w:spacing w:val="1"/>
                      <w:sz w:val="21"/>
                      <w:szCs w:val="21"/>
                    </w:rPr>
                    <w:t>池沉淀后回用，</w:t>
                  </w:r>
                  <w:r>
                    <w:rPr>
                      <w:rFonts w:hint="default" w:ascii="Times New Roman" w:hAnsi="Times New Roman" w:eastAsia="宋体" w:cs="Times New Roman"/>
                      <w:color w:val="auto"/>
                      <w:spacing w:val="6"/>
                      <w:sz w:val="21"/>
                      <w:szCs w:val="21"/>
                    </w:rPr>
                    <w:t>不外排；</w:t>
                  </w:r>
                  <w:r>
                    <w:rPr>
                      <w:rFonts w:hint="default" w:ascii="Times New Roman" w:hAnsi="Times New Roman" w:eastAsia="宋体" w:cs="Times New Roman"/>
                      <w:color w:val="auto"/>
                      <w:spacing w:val="4"/>
                      <w:sz w:val="21"/>
                      <w:szCs w:val="21"/>
                    </w:rPr>
                    <w:t>废</w:t>
                  </w:r>
                  <w:r>
                    <w:rPr>
                      <w:rFonts w:hint="default" w:ascii="Times New Roman" w:hAnsi="Times New Roman" w:eastAsia="宋体" w:cs="Times New Roman"/>
                      <w:color w:val="auto"/>
                      <w:spacing w:val="3"/>
                      <w:sz w:val="21"/>
                      <w:szCs w:val="21"/>
                    </w:rPr>
                    <w:t>水主要为职工生活污水，生活污水产污系数取</w:t>
                  </w:r>
                  <w:r>
                    <w:rPr>
                      <w:rFonts w:hint="default" w:ascii="Times New Roman" w:hAnsi="Times New Roman" w:eastAsia="宋体" w:cs="Times New Roman"/>
                      <w:color w:val="auto"/>
                      <w:spacing w:val="-2"/>
                      <w:sz w:val="21"/>
                      <w:szCs w:val="21"/>
                    </w:rPr>
                    <w:t>80%，经计算，生活污水产生量约2</w:t>
                  </w:r>
                  <w:r>
                    <w:rPr>
                      <w:rFonts w:hint="default" w:ascii="Times New Roman" w:hAnsi="Times New Roman" w:eastAsia="宋体" w:cs="Times New Roman"/>
                      <w:color w:val="auto"/>
                      <w:spacing w:val="-1"/>
                      <w:sz w:val="21"/>
                      <w:szCs w:val="21"/>
                    </w:rPr>
                    <w:t>40m</w:t>
                  </w:r>
                  <w:r>
                    <w:rPr>
                      <w:rFonts w:hint="default" w:ascii="Times New Roman" w:hAnsi="Times New Roman" w:eastAsia="宋体" w:cs="Times New Roman"/>
                      <w:color w:val="auto"/>
                      <w:spacing w:val="-1"/>
                      <w:sz w:val="21"/>
                      <w:szCs w:val="21"/>
                      <w:vertAlign w:val="superscript"/>
                      <w:lang w:val="en-US" w:eastAsia="zh-CN"/>
                    </w:rPr>
                    <w:t>3</w:t>
                  </w:r>
                  <w:r>
                    <w:rPr>
                      <w:rFonts w:hint="default" w:ascii="Times New Roman" w:hAnsi="Times New Roman" w:eastAsia="宋体" w:cs="Times New Roman"/>
                      <w:color w:val="auto"/>
                      <w:spacing w:val="-1"/>
                      <w:sz w:val="21"/>
                      <w:szCs w:val="21"/>
                    </w:rPr>
                    <w:t>/a，生活污水经化粪池处理达标后，通过市政污水管网</w:t>
                  </w:r>
                  <w:r>
                    <w:rPr>
                      <w:rFonts w:hint="default" w:ascii="Times New Roman" w:hAnsi="Times New Roman" w:eastAsia="宋体" w:cs="Times New Roman"/>
                      <w:color w:val="auto"/>
                      <w:sz w:val="21"/>
                      <w:szCs w:val="21"/>
                    </w:rPr>
                    <w:t>排入城东污水处理厂</w:t>
                  </w:r>
                  <w:r>
                    <w:rPr>
                      <w:rFonts w:hint="eastAsia" w:cs="Times New Roman"/>
                      <w:color w:val="auto"/>
                      <w:spacing w:val="-4"/>
                      <w:sz w:val="21"/>
                      <w:szCs w:val="21"/>
                      <w:lang w:val="en-US" w:eastAsia="zh-CN"/>
                    </w:rPr>
                    <w:t>处理后达标排放</w:t>
                  </w:r>
                  <w:r>
                    <w:rPr>
                      <w:rFonts w:hint="default" w:ascii="Times New Roman" w:hAnsi="Times New Roman" w:eastAsia="宋体" w:cs="Times New Roman"/>
                      <w:color w:val="auto"/>
                      <w:spacing w:val="-3"/>
                      <w:sz w:val="21"/>
                      <w:szCs w:val="21"/>
                    </w:rPr>
                    <w:t>，</w:t>
                  </w:r>
                  <w:r>
                    <w:rPr>
                      <w:rFonts w:hint="default" w:ascii="Times New Roman" w:hAnsi="Times New Roman" w:eastAsia="宋体" w:cs="Times New Roman"/>
                      <w:color w:val="auto"/>
                      <w:spacing w:val="-2"/>
                      <w:sz w:val="21"/>
                      <w:szCs w:val="21"/>
                    </w:rPr>
                    <w:t>最终排入青弋江。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lang w:val="en-US" w:eastAsia="zh-CN"/>
                    </w:rPr>
                  </w:pPr>
                </w:p>
              </w:tc>
              <w:tc>
                <w:tcPr>
                  <w:tcW w:w="819" w:type="pct"/>
                  <w:gridSpan w:val="2"/>
                  <w:tcBorders>
                    <w:tl2br w:val="nil"/>
                    <w:tr2bl w:val="nil"/>
                  </w:tcBorders>
                  <w:noWrap w:val="0"/>
                  <w:vAlign w:val="top"/>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供电系统</w:t>
                  </w:r>
                </w:p>
              </w:tc>
              <w:tc>
                <w:tcPr>
                  <w:tcW w:w="3811" w:type="pct"/>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line="240" w:lineRule="atLeast"/>
                    <w:ind w:left="0" w:leftChars="0" w:right="0"/>
                    <w:jc w:val="center"/>
                    <w:textAlignment w:val="auto"/>
                    <w:rPr>
                      <w:rFonts w:hint="default" w:ascii="Times New Roman" w:hAnsi="Times New Roman" w:eastAsia="宋体" w:cs="Times New Roman"/>
                      <w:color w:val="auto"/>
                      <w:spacing w:val="-26"/>
                      <w:sz w:val="21"/>
                      <w:szCs w:val="21"/>
                    </w:rPr>
                  </w:pPr>
                  <w:r>
                    <w:rPr>
                      <w:rFonts w:hint="default" w:ascii="Times New Roman" w:hAnsi="Times New Roman" w:eastAsia="宋体" w:cs="Times New Roman"/>
                      <w:color w:val="auto"/>
                      <w:spacing w:val="-12"/>
                      <w:position w:val="1"/>
                      <w:sz w:val="21"/>
                      <w:szCs w:val="21"/>
                    </w:rPr>
                    <w:t>由芜</w:t>
                  </w:r>
                  <w:r>
                    <w:rPr>
                      <w:rFonts w:hint="default" w:ascii="Times New Roman" w:hAnsi="Times New Roman" w:eastAsia="宋体" w:cs="Times New Roman"/>
                      <w:color w:val="auto"/>
                      <w:spacing w:val="-10"/>
                      <w:position w:val="1"/>
                      <w:sz w:val="21"/>
                      <w:szCs w:val="21"/>
                    </w:rPr>
                    <w:t>湖</w:t>
                  </w:r>
                  <w:r>
                    <w:rPr>
                      <w:rFonts w:hint="default" w:ascii="Times New Roman" w:hAnsi="Times New Roman" w:eastAsia="宋体" w:cs="Times New Roman"/>
                      <w:color w:val="auto"/>
                      <w:spacing w:val="-6"/>
                      <w:position w:val="1"/>
                      <w:sz w:val="21"/>
                      <w:szCs w:val="21"/>
                    </w:rPr>
                    <w:t>市供电系统供给，用电量约200万kw•h/a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80" w:hRule="atLeast"/>
                <w:jc w:val="center"/>
              </w:trPr>
              <w:tc>
                <w:tcPr>
                  <w:tcW w:w="369" w:type="pct"/>
                  <w:vMerge w:val="restart"/>
                  <w:tcBorders>
                    <w:tl2br w:val="nil"/>
                    <w:tr2bl w:val="nil"/>
                  </w:tcBorders>
                  <w:noWrap w:val="0"/>
                  <w:vAlign w:val="center"/>
                </w:tcPr>
                <w:p>
                  <w:pPr>
                    <w:widowControl/>
                    <w:jc w:val="center"/>
                    <w:rPr>
                      <w:rFonts w:hint="default" w:ascii="Times New Roman" w:hAnsi="Times New Roman" w:eastAsia="宋体" w:cs="Times New Roman"/>
                      <w:color w:val="auto"/>
                      <w:kern w:val="0"/>
                      <w:szCs w:val="21"/>
                      <w:lang w:val="en-US" w:eastAsia="zh-CN"/>
                    </w:rPr>
                  </w:pPr>
                  <w:r>
                    <w:rPr>
                      <w:rFonts w:hint="default" w:ascii="Times New Roman" w:hAnsi="Times New Roman" w:cs="Times New Roman"/>
                      <w:color w:val="auto"/>
                      <w:kern w:val="0"/>
                      <w:szCs w:val="21"/>
                      <w:lang w:val="en-US" w:eastAsia="zh-CN"/>
                    </w:rPr>
                    <w:t>环保工程</w:t>
                  </w:r>
                </w:p>
              </w:tc>
              <w:tc>
                <w:tcPr>
                  <w:tcW w:w="819" w:type="pct"/>
                  <w:gridSpan w:val="2"/>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废水治理</w:t>
                  </w:r>
                </w:p>
              </w:tc>
              <w:tc>
                <w:tcPr>
                  <w:tcW w:w="3811"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color w:val="auto"/>
                      <w:kern w:val="0"/>
                      <w:szCs w:val="21"/>
                    </w:rPr>
                  </w:pPr>
                  <w:r>
                    <w:rPr>
                      <w:rFonts w:hint="default" w:ascii="Times New Roman" w:hAnsi="Times New Roman" w:cs="Times New Roman"/>
                      <w:color w:val="auto"/>
                      <w:szCs w:val="21"/>
                    </w:rPr>
                    <w:t>实行雨污分流制，雨水直接排入市政雨水管网；本项目无生产废水排放，车辆冲洗废水经沉淀池沉淀后回用，不外排；废水主要为职工生活污水，生活污水产污系数取80%，经计算生活污水产生量约</w:t>
                  </w:r>
                  <w:r>
                    <w:rPr>
                      <w:rFonts w:hint="default" w:ascii="Times New Roman" w:hAnsi="Times New Roman" w:cs="Times New Roman"/>
                      <w:color w:val="auto"/>
                      <w:szCs w:val="21"/>
                    </w:rPr>
                    <w:t>240m</w:t>
                  </w:r>
                  <w:r>
                    <w:rPr>
                      <w:rFonts w:hint="default" w:ascii="Times New Roman" w:hAnsi="Times New Roman" w:cs="Times New Roman"/>
                      <w:color w:val="auto"/>
                      <w:szCs w:val="21"/>
                      <w:vertAlign w:val="superscript"/>
                    </w:rPr>
                    <w:t>3</w:t>
                  </w:r>
                  <w:r>
                    <w:rPr>
                      <w:rFonts w:hint="default" w:ascii="Times New Roman" w:hAnsi="Times New Roman" w:cs="Times New Roman"/>
                      <w:color w:val="auto"/>
                      <w:szCs w:val="21"/>
                    </w:rPr>
                    <w:t>/a，</w:t>
                  </w:r>
                  <w:r>
                    <w:rPr>
                      <w:rFonts w:hint="default" w:ascii="Times New Roman" w:hAnsi="Times New Roman" w:cs="Times New Roman"/>
                      <w:color w:val="auto"/>
                      <w:szCs w:val="21"/>
                    </w:rPr>
                    <w:t>生活污水经化粪池处理达标后，通过市政污水管网排入城东污水处理厂深度处理，最终排入青弋江。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329" w:type="pct"/>
                  <w:vMerge w:val="restart"/>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废气治理</w:t>
                  </w:r>
                </w:p>
              </w:tc>
              <w:tc>
                <w:tcPr>
                  <w:tcW w:w="490" w:type="pct"/>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lang w:val="en-US" w:eastAsia="zh-CN"/>
                    </w:rPr>
                    <w:t>破碎、筛分粉尘</w:t>
                  </w:r>
                </w:p>
              </w:tc>
              <w:tc>
                <w:tcPr>
                  <w:tcW w:w="3811" w:type="pct"/>
                  <w:tcBorders>
                    <w:tl2br w:val="nil"/>
                    <w:tr2bl w:val="nil"/>
                  </w:tcBorders>
                  <w:noWrap w:val="0"/>
                  <w:vAlign w:val="center"/>
                </w:tcPr>
                <w:p>
                  <w:pPr>
                    <w:keepNext w:val="0"/>
                    <w:keepLines w:val="0"/>
                    <w:widowControl/>
                    <w:suppressLineNumbers w:val="0"/>
                    <w:jc w:val="left"/>
                    <w:rPr>
                      <w:rFonts w:hint="eastAsia" w:eastAsia="宋体"/>
                      <w:color w:val="auto"/>
                      <w:lang w:val="en-US" w:eastAsia="zh-CN"/>
                    </w:rPr>
                  </w:pPr>
                  <w:r>
                    <w:rPr>
                      <w:rFonts w:hint="eastAsia" w:ascii="宋体" w:hAnsi="宋体" w:eastAsia="宋体" w:cs="宋体"/>
                      <w:color w:val="auto"/>
                      <w:kern w:val="0"/>
                      <w:sz w:val="21"/>
                      <w:szCs w:val="21"/>
                      <w:lang w:val="en-US" w:eastAsia="zh-CN" w:bidi="ar"/>
                    </w:rPr>
                    <w:t>破碎、二次粉碎和筛分工段工段全密闭，并在破碎、二次粉碎和筛分工段工段安装雾化喷淋设施。粉碎、筛分工段建设封闭单间，</w:t>
                  </w:r>
                  <w:r>
                    <w:rPr>
                      <w:rFonts w:hint="eastAsia"/>
                      <w:color w:val="auto"/>
                      <w:lang w:val="en-US" w:eastAsia="zh-CN"/>
                    </w:rPr>
                    <w:t>废气</w:t>
                  </w:r>
                  <w:r>
                    <w:rPr>
                      <w:rFonts w:hint="default"/>
                      <w:color w:val="auto"/>
                      <w:lang w:val="en-US" w:eastAsia="zh-CN"/>
                    </w:rPr>
                    <w:t>经</w:t>
                  </w:r>
                  <w:r>
                    <w:rPr>
                      <w:rFonts w:hint="eastAsia"/>
                      <w:color w:val="auto"/>
                      <w:lang w:val="en-US" w:eastAsia="zh-CN"/>
                    </w:rPr>
                    <w:t>集气罩</w:t>
                  </w:r>
                  <w:r>
                    <w:rPr>
                      <w:rFonts w:hint="default"/>
                      <w:color w:val="auto"/>
                      <w:lang w:val="en-US" w:eastAsia="zh-CN"/>
                    </w:rPr>
                    <w:t>集中收集至脉冲式布袋除尘器处理后，通过15m高排气筒(DA001)排放</w:t>
                  </w:r>
                  <w:r>
                    <w:rPr>
                      <w:rFonts w:hint="eastAsia"/>
                      <w:color w:val="auto"/>
                      <w:lang w:val="en-US" w:eastAsia="zh-CN"/>
                    </w:rPr>
                    <w:t>，风量为20000m</w:t>
                  </w:r>
                  <w:r>
                    <w:rPr>
                      <w:rFonts w:hint="eastAsia"/>
                      <w:color w:val="auto"/>
                      <w:vertAlign w:val="superscript"/>
                      <w:lang w:val="en-US" w:eastAsia="zh-CN"/>
                    </w:rPr>
                    <w:t>3</w:t>
                  </w:r>
                  <w:r>
                    <w:rPr>
                      <w:rFonts w:hint="eastAsia"/>
                      <w:color w:val="auto"/>
                      <w:lang w:val="en-US" w:eastAsia="zh-CN"/>
                    </w:rPr>
                    <w:t>/h</w:t>
                  </w:r>
                  <w:r>
                    <w:rPr>
                      <w:rFonts w:hint="default"/>
                      <w:color w:val="auto"/>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color w:val="auto"/>
                    </w:rPr>
                  </w:pPr>
                </w:p>
              </w:tc>
              <w:tc>
                <w:tcPr>
                  <w:tcW w:w="329" w:type="pct"/>
                  <w:vMerge w:val="continue"/>
                  <w:tcBorders>
                    <w:tl2br w:val="nil"/>
                    <w:tr2bl w:val="nil"/>
                  </w:tcBorders>
                  <w:noWrap w:val="0"/>
                  <w:vAlign w:val="center"/>
                </w:tcPr>
                <w:p>
                  <w:pPr>
                    <w:widowControl/>
                    <w:jc w:val="center"/>
                    <w:rPr>
                      <w:color w:val="auto"/>
                    </w:rPr>
                  </w:pPr>
                </w:p>
              </w:tc>
              <w:tc>
                <w:tcPr>
                  <w:tcW w:w="490" w:type="pct"/>
                  <w:tcBorders>
                    <w:tl2br w:val="nil"/>
                    <w:tr2bl w:val="nil"/>
                  </w:tcBorders>
                  <w:noWrap w:val="0"/>
                  <w:vAlign w:val="center"/>
                </w:tcPr>
                <w:p>
                  <w:pPr>
                    <w:widowControl/>
                    <w:jc w:val="center"/>
                    <w:rPr>
                      <w:color w:val="auto"/>
                    </w:rPr>
                  </w:pPr>
                  <w:r>
                    <w:rPr>
                      <w:rFonts w:hint="eastAsia"/>
                      <w:color w:val="auto"/>
                      <w:lang w:val="en-US" w:eastAsia="zh-CN"/>
                    </w:rPr>
                    <w:t>堆料扬尘</w:t>
                  </w:r>
                </w:p>
              </w:tc>
              <w:tc>
                <w:tcPr>
                  <w:tcW w:w="3811" w:type="pct"/>
                  <w:tcBorders>
                    <w:tl2br w:val="nil"/>
                    <w:tr2bl w:val="nil"/>
                  </w:tcBorders>
                  <w:noWrap w:val="0"/>
                  <w:vAlign w:val="center"/>
                </w:tcPr>
                <w:p>
                  <w:pPr>
                    <w:widowControl/>
                    <w:jc w:val="center"/>
                    <w:rPr>
                      <w:color w:val="auto"/>
                    </w:rPr>
                  </w:pPr>
                  <w:r>
                    <w:rPr>
                      <w:rFonts w:hint="eastAsia"/>
                      <w:color w:val="auto"/>
                      <w:lang w:val="en-US" w:eastAsia="zh-CN"/>
                    </w:rPr>
                    <w:t>原料仓库库门采取挡帘，库内作业时关闭挡帘,根据车辆的宽度和高度对车辆出入的大门合理设计并设置喷淋系统。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color w:val="auto"/>
                    </w:rPr>
                  </w:pPr>
                </w:p>
              </w:tc>
              <w:tc>
                <w:tcPr>
                  <w:tcW w:w="329" w:type="pct"/>
                  <w:vMerge w:val="continue"/>
                  <w:tcBorders>
                    <w:tl2br w:val="nil"/>
                    <w:tr2bl w:val="nil"/>
                  </w:tcBorders>
                  <w:noWrap w:val="0"/>
                  <w:vAlign w:val="center"/>
                </w:tcPr>
                <w:p>
                  <w:pPr>
                    <w:widowControl/>
                    <w:jc w:val="center"/>
                    <w:rPr>
                      <w:color w:val="auto"/>
                    </w:rPr>
                  </w:pPr>
                </w:p>
              </w:tc>
              <w:tc>
                <w:tcPr>
                  <w:tcW w:w="490" w:type="pct"/>
                  <w:tcBorders>
                    <w:tl2br w:val="nil"/>
                    <w:tr2bl w:val="nil"/>
                  </w:tcBorders>
                  <w:noWrap w:val="0"/>
                  <w:vAlign w:val="center"/>
                </w:tcPr>
                <w:p>
                  <w:pPr>
                    <w:widowControl/>
                    <w:jc w:val="center"/>
                    <w:rPr>
                      <w:color w:val="auto"/>
                    </w:rPr>
                  </w:pPr>
                  <w:r>
                    <w:rPr>
                      <w:rFonts w:hint="eastAsia"/>
                      <w:color w:val="auto"/>
                      <w:lang w:val="en-US" w:eastAsia="zh-CN"/>
                    </w:rPr>
                    <w:t>道路运输扬尘</w:t>
                  </w:r>
                </w:p>
              </w:tc>
              <w:tc>
                <w:tcPr>
                  <w:tcW w:w="3811" w:type="pct"/>
                  <w:tcBorders>
                    <w:tl2br w:val="nil"/>
                    <w:tr2bl w:val="nil"/>
                  </w:tcBorders>
                  <w:noWrap w:val="0"/>
                  <w:vAlign w:val="center"/>
                </w:tcPr>
                <w:p>
                  <w:pPr>
                    <w:widowControl/>
                    <w:jc w:val="center"/>
                    <w:rPr>
                      <w:color w:val="auto"/>
                    </w:rPr>
                  </w:pPr>
                  <w:r>
                    <w:rPr>
                      <w:rFonts w:hint="eastAsia"/>
                      <w:color w:val="auto"/>
                      <w:lang w:val="en-US" w:eastAsia="zh-CN"/>
                    </w:rPr>
                    <w:t>厂区内地面进行硬化处理，定期打扫，车辆在运输途中及厂内慢行，运输车辆封闭遮盖，水泥采用水泥搅拌车密闭运输。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color w:val="auto"/>
                    </w:rPr>
                  </w:pPr>
                </w:p>
              </w:tc>
              <w:tc>
                <w:tcPr>
                  <w:tcW w:w="329" w:type="pct"/>
                  <w:vMerge w:val="continue"/>
                  <w:tcBorders>
                    <w:tl2br w:val="nil"/>
                    <w:tr2bl w:val="nil"/>
                  </w:tcBorders>
                  <w:noWrap w:val="0"/>
                  <w:vAlign w:val="center"/>
                </w:tcPr>
                <w:p>
                  <w:pPr>
                    <w:widowControl/>
                    <w:jc w:val="center"/>
                    <w:rPr>
                      <w:color w:val="auto"/>
                    </w:rPr>
                  </w:pPr>
                </w:p>
              </w:tc>
              <w:tc>
                <w:tcPr>
                  <w:tcW w:w="490" w:type="pct"/>
                  <w:tcBorders>
                    <w:tl2br w:val="nil"/>
                    <w:tr2bl w:val="nil"/>
                  </w:tcBorders>
                  <w:noWrap w:val="0"/>
                  <w:vAlign w:val="center"/>
                </w:tcPr>
                <w:p>
                  <w:pPr>
                    <w:widowControl/>
                    <w:jc w:val="center"/>
                    <w:rPr>
                      <w:color w:val="auto"/>
                    </w:rPr>
                  </w:pPr>
                  <w:r>
                    <w:rPr>
                      <w:rFonts w:hint="eastAsia"/>
                      <w:color w:val="auto"/>
                      <w:lang w:val="en-US" w:eastAsia="zh-CN"/>
                    </w:rPr>
                    <w:t>铲车装料粉尘</w:t>
                  </w:r>
                </w:p>
              </w:tc>
              <w:tc>
                <w:tcPr>
                  <w:tcW w:w="3811" w:type="pct"/>
                  <w:tcBorders>
                    <w:tl2br w:val="nil"/>
                    <w:tr2bl w:val="nil"/>
                  </w:tcBorders>
                  <w:noWrap w:val="0"/>
                  <w:vAlign w:val="center"/>
                </w:tcPr>
                <w:p>
                  <w:pPr>
                    <w:widowControl/>
                    <w:jc w:val="center"/>
                    <w:rPr>
                      <w:color w:val="auto"/>
                    </w:rPr>
                  </w:pPr>
                  <w:r>
                    <w:rPr>
                      <w:rFonts w:hint="eastAsia"/>
                      <w:color w:val="auto"/>
                      <w:lang w:val="en-US" w:eastAsia="zh-CN"/>
                    </w:rPr>
                    <w:t>车间内设置水喷淋设施，生产车间为</w:t>
                  </w:r>
                  <w:r>
                    <w:rPr>
                      <w:rFonts w:hint="default"/>
                      <w:color w:val="auto"/>
                      <w:lang w:eastAsia="zh-CN"/>
                    </w:rPr>
                    <w:t>三面</w:t>
                  </w:r>
                  <w:r>
                    <w:rPr>
                      <w:rFonts w:hint="eastAsia"/>
                      <w:color w:val="auto"/>
                      <w:lang w:val="en-US" w:eastAsia="zh-CN"/>
                    </w:rPr>
                    <w:t>密闭。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color w:val="auto"/>
                    </w:rPr>
                  </w:pPr>
                </w:p>
              </w:tc>
              <w:tc>
                <w:tcPr>
                  <w:tcW w:w="329" w:type="pct"/>
                  <w:vMerge w:val="continue"/>
                  <w:tcBorders>
                    <w:tl2br w:val="nil"/>
                    <w:tr2bl w:val="nil"/>
                  </w:tcBorders>
                  <w:noWrap w:val="0"/>
                  <w:vAlign w:val="center"/>
                </w:tcPr>
                <w:p>
                  <w:pPr>
                    <w:widowControl/>
                    <w:jc w:val="center"/>
                    <w:rPr>
                      <w:color w:val="auto"/>
                    </w:rPr>
                  </w:pPr>
                </w:p>
              </w:tc>
              <w:tc>
                <w:tcPr>
                  <w:tcW w:w="490" w:type="pct"/>
                  <w:tcBorders>
                    <w:tl2br w:val="nil"/>
                    <w:tr2bl w:val="nil"/>
                  </w:tcBorders>
                  <w:noWrap w:val="0"/>
                  <w:vAlign w:val="center"/>
                </w:tcPr>
                <w:p>
                  <w:pPr>
                    <w:widowControl/>
                    <w:jc w:val="center"/>
                    <w:rPr>
                      <w:color w:val="auto"/>
                    </w:rPr>
                  </w:pPr>
                  <w:r>
                    <w:rPr>
                      <w:rFonts w:hint="eastAsia"/>
                      <w:color w:val="auto"/>
                      <w:lang w:val="en-US" w:eastAsia="zh-CN"/>
                    </w:rPr>
                    <w:t>料仓呼吸粉尘</w:t>
                  </w:r>
                </w:p>
              </w:tc>
              <w:tc>
                <w:tcPr>
                  <w:tcW w:w="3811" w:type="pct"/>
                  <w:tcBorders>
                    <w:tl2br w:val="nil"/>
                    <w:tr2bl w:val="nil"/>
                  </w:tcBorders>
                  <w:noWrap w:val="0"/>
                  <w:vAlign w:val="center"/>
                </w:tcPr>
                <w:p>
                  <w:pPr>
                    <w:widowControl/>
                    <w:jc w:val="center"/>
                    <w:rPr>
                      <w:color w:val="auto"/>
                    </w:rPr>
                  </w:pPr>
                  <w:r>
                    <w:rPr>
                      <w:rFonts w:hint="eastAsia"/>
                      <w:color w:val="auto"/>
                      <w:lang w:val="en-US" w:eastAsia="zh-CN"/>
                    </w:rPr>
                    <w:t>料仓顶部自带滤筒式除尘器，对料仓呼吸粉尘进行处理，处理效率约98%计，风量为2000m</w:t>
                  </w:r>
                  <w:r>
                    <w:rPr>
                      <w:rFonts w:hint="eastAsia"/>
                      <w:color w:val="auto"/>
                      <w:vertAlign w:val="superscript"/>
                      <w:lang w:val="en-US" w:eastAsia="zh-CN"/>
                    </w:rPr>
                    <w:t>3</w:t>
                  </w:r>
                  <w:r>
                    <w:rPr>
                      <w:rFonts w:hint="eastAsia"/>
                      <w:color w:val="auto"/>
                      <w:lang w:val="en-US" w:eastAsia="zh-CN"/>
                    </w:rPr>
                    <w:t>/h， 料仓呼吸粉尘经处理后无组织排放。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2" w:hRule="atLeast"/>
                <w:jc w:val="center"/>
              </w:trPr>
              <w:tc>
                <w:tcPr>
                  <w:tcW w:w="369" w:type="pct"/>
                  <w:vMerge w:val="continue"/>
                  <w:tcBorders>
                    <w:tl2br w:val="nil"/>
                    <w:tr2bl w:val="nil"/>
                  </w:tcBorders>
                  <w:noWrap w:val="0"/>
                  <w:vAlign w:val="center"/>
                </w:tcPr>
                <w:p>
                  <w:pPr>
                    <w:widowControl/>
                    <w:jc w:val="center"/>
                    <w:rPr>
                      <w:color w:val="auto"/>
                    </w:rPr>
                  </w:pPr>
                </w:p>
              </w:tc>
              <w:tc>
                <w:tcPr>
                  <w:tcW w:w="329" w:type="pct"/>
                  <w:vMerge w:val="continue"/>
                  <w:tcBorders>
                    <w:tl2br w:val="nil"/>
                    <w:tr2bl w:val="nil"/>
                  </w:tcBorders>
                  <w:noWrap w:val="0"/>
                  <w:vAlign w:val="center"/>
                </w:tcPr>
                <w:p>
                  <w:pPr>
                    <w:widowControl/>
                    <w:jc w:val="center"/>
                    <w:rPr>
                      <w:color w:val="auto"/>
                    </w:rPr>
                  </w:pPr>
                </w:p>
              </w:tc>
              <w:tc>
                <w:tcPr>
                  <w:tcW w:w="490" w:type="pct"/>
                  <w:tcBorders>
                    <w:tl2br w:val="nil"/>
                    <w:tr2bl w:val="nil"/>
                  </w:tcBorders>
                  <w:noWrap w:val="0"/>
                  <w:vAlign w:val="center"/>
                </w:tcPr>
                <w:p>
                  <w:pPr>
                    <w:widowControl/>
                    <w:jc w:val="center"/>
                    <w:rPr>
                      <w:color w:val="auto"/>
                    </w:rPr>
                  </w:pPr>
                  <w:r>
                    <w:rPr>
                      <w:rFonts w:hint="eastAsia"/>
                      <w:color w:val="auto"/>
                      <w:lang w:val="en-US" w:eastAsia="zh-CN"/>
                    </w:rPr>
                    <w:t>装卸料粉尘</w:t>
                  </w:r>
                </w:p>
              </w:tc>
              <w:tc>
                <w:tcPr>
                  <w:tcW w:w="3811" w:type="pct"/>
                  <w:tcBorders>
                    <w:tl2br w:val="nil"/>
                    <w:tr2bl w:val="nil"/>
                  </w:tcBorders>
                  <w:noWrap w:val="0"/>
                  <w:vAlign w:val="center"/>
                </w:tcPr>
                <w:p>
                  <w:pPr>
                    <w:widowControl/>
                    <w:jc w:val="center"/>
                    <w:rPr>
                      <w:rFonts w:hint="eastAsia"/>
                      <w:color w:val="auto"/>
                      <w:lang w:val="en-US" w:eastAsia="zh-CN"/>
                    </w:rPr>
                  </w:pPr>
                  <w:r>
                    <w:rPr>
                      <w:rFonts w:hint="eastAsia"/>
                      <w:color w:val="auto"/>
                      <w:lang w:val="en-US" w:eastAsia="zh-CN"/>
                    </w:rPr>
                    <w:t>设置进出车辆清洗池，装卸料旁设置喷淋洒水。</w:t>
                  </w:r>
                </w:p>
                <w:p>
                  <w:pPr>
                    <w:widowControl/>
                    <w:jc w:val="center"/>
                    <w:rPr>
                      <w:color w:val="auto"/>
                    </w:rPr>
                  </w:pPr>
                  <w:r>
                    <w:rPr>
                      <w:rFonts w:hint="eastAsia"/>
                      <w:color w:val="auto"/>
                      <w:lang w:val="en-US" w:eastAsia="zh-CN"/>
                    </w:rPr>
                    <w:t>厂区设置约2m围挡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819" w:type="pct"/>
                  <w:gridSpan w:val="2"/>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噪声治理</w:t>
                  </w:r>
                </w:p>
              </w:tc>
              <w:tc>
                <w:tcPr>
                  <w:tcW w:w="3811" w:type="pct"/>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szCs w:val="21"/>
                    </w:rPr>
                    <w:t>生产车间采用墙体、门窗隔声，生产设备采用减振等措施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3"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819" w:type="pct"/>
                  <w:gridSpan w:val="2"/>
                  <w:vMerge w:val="restart"/>
                  <w:tcBorders>
                    <w:tl2br w:val="nil"/>
                    <w:tr2bl w:val="nil"/>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固体废物处理</w:t>
                  </w:r>
                </w:p>
              </w:tc>
              <w:tc>
                <w:tcPr>
                  <w:tcW w:w="3811" w:type="pct"/>
                  <w:tcBorders>
                    <w:tl2br w:val="nil"/>
                    <w:tr2bl w:val="nil"/>
                  </w:tcBorders>
                  <w:noWrap w:val="0"/>
                  <w:vAlign w:val="top"/>
                </w:tcPr>
                <w:p>
                  <w:pPr>
                    <w:spacing w:before="65" w:line="220" w:lineRule="auto"/>
                    <w:ind w:left="1526" w:leftChars="0"/>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spacing w:val="-1"/>
                      <w:sz w:val="21"/>
                      <w:szCs w:val="21"/>
                    </w:rPr>
                    <w:t>生活垃圾交由环卫部门</w:t>
                  </w:r>
                  <w:r>
                    <w:rPr>
                      <w:rFonts w:hint="default" w:ascii="Times New Roman" w:hAnsi="Times New Roman" w:eastAsia="宋体" w:cs="Times New Roman"/>
                      <w:color w:val="auto"/>
                      <w:sz w:val="21"/>
                      <w:szCs w:val="21"/>
                    </w:rPr>
                    <w:t>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369" w:type="pct"/>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819" w:type="pct"/>
                  <w:gridSpan w:val="2"/>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rPr>
                  </w:pPr>
                </w:p>
              </w:tc>
              <w:tc>
                <w:tcPr>
                  <w:tcW w:w="3811" w:type="pct"/>
                  <w:tcBorders>
                    <w:tl2br w:val="nil"/>
                    <w:tr2bl w:val="nil"/>
                  </w:tcBorders>
                  <w:noWrap w:val="0"/>
                  <w:vAlign w:val="top"/>
                </w:tcPr>
                <w:p>
                  <w:pPr>
                    <w:spacing w:before="31" w:line="239" w:lineRule="auto"/>
                    <w:ind w:left="125" w:right="103"/>
                    <w:jc w:val="center"/>
                    <w:rPr>
                      <w:rFonts w:hint="default" w:ascii="Times New Roman" w:hAnsi="Times New Roman" w:eastAsia="宋体" w:cs="Times New Roman"/>
                      <w:color w:val="auto"/>
                      <w:kern w:val="0"/>
                      <w:szCs w:val="21"/>
                      <w:lang w:eastAsia="zh-CN"/>
                    </w:rPr>
                  </w:pPr>
                  <w:r>
                    <w:rPr>
                      <w:rFonts w:hint="default" w:ascii="Times New Roman" w:hAnsi="Times New Roman" w:eastAsia="宋体" w:cs="Times New Roman"/>
                      <w:color w:val="auto"/>
                      <w:spacing w:val="-6"/>
                      <w:sz w:val="21"/>
                      <w:szCs w:val="21"/>
                    </w:rPr>
                    <w:t>设置一般固废暂</w:t>
                  </w:r>
                  <w:r>
                    <w:rPr>
                      <w:rFonts w:hint="default" w:ascii="Times New Roman" w:hAnsi="Times New Roman" w:eastAsia="宋体" w:cs="Times New Roman"/>
                      <w:color w:val="auto"/>
                      <w:spacing w:val="-3"/>
                      <w:sz w:val="21"/>
                      <w:szCs w:val="21"/>
                    </w:rPr>
                    <w:t>存区，</w:t>
                  </w:r>
                  <w:r>
                    <w:rPr>
                      <w:rFonts w:hint="eastAsia" w:cs="Times New Roman"/>
                      <w:color w:val="auto"/>
                      <w:spacing w:val="-3"/>
                      <w:sz w:val="21"/>
                      <w:szCs w:val="21"/>
                      <w:lang w:val="en-US" w:eastAsia="zh-CN"/>
                    </w:rPr>
                    <w:t>位于厂房内东侧，</w:t>
                  </w:r>
                  <w:r>
                    <w:rPr>
                      <w:rFonts w:hint="default" w:ascii="Times New Roman" w:hAnsi="Times New Roman" w:eastAsia="宋体" w:cs="Times New Roman"/>
                      <w:color w:val="auto"/>
                      <w:spacing w:val="-3"/>
                      <w:sz w:val="21"/>
                      <w:szCs w:val="21"/>
                    </w:rPr>
                    <w:t>占地面积约</w:t>
                  </w:r>
                  <w:r>
                    <w:rPr>
                      <w:rFonts w:hint="default" w:ascii="Times New Roman" w:hAnsi="Times New Roman" w:eastAsia="Times New Roman" w:cs="Times New Roman"/>
                      <w:color w:val="auto"/>
                      <w:spacing w:val="-3"/>
                      <w:sz w:val="21"/>
                      <w:szCs w:val="21"/>
                    </w:rPr>
                    <w:t>30m</w:t>
                  </w:r>
                  <w:r>
                    <w:rPr>
                      <w:rFonts w:hint="default" w:ascii="Times New Roman" w:hAnsi="Times New Roman" w:eastAsia="Times New Roman" w:cs="Times New Roman"/>
                      <w:color w:val="auto"/>
                      <w:spacing w:val="-3"/>
                      <w:position w:val="7"/>
                      <w:sz w:val="14"/>
                      <w:szCs w:val="14"/>
                    </w:rPr>
                    <w:t>2</w:t>
                  </w:r>
                  <w:r>
                    <w:rPr>
                      <w:rFonts w:hint="default" w:ascii="Times New Roman" w:hAnsi="Times New Roman" w:eastAsia="宋体" w:cs="Times New Roman"/>
                      <w:color w:val="auto"/>
                      <w:spacing w:val="-3"/>
                      <w:sz w:val="21"/>
                      <w:szCs w:val="21"/>
                    </w:rPr>
                    <w:t>，</w:t>
                  </w:r>
                  <w:r>
                    <w:rPr>
                      <w:rFonts w:hint="default" w:ascii="Times New Roman" w:hAnsi="Times New Roman" w:eastAsia="宋体" w:cs="Times New Roman"/>
                      <w:color w:val="auto"/>
                      <w:sz w:val="21"/>
                      <w:szCs w:val="21"/>
                    </w:rPr>
                    <w:t>除尘器收集粉尘、沉淀池沉渣经收</w:t>
                  </w:r>
                  <w:r>
                    <w:rPr>
                      <w:rFonts w:hint="default" w:ascii="Times New Roman" w:hAnsi="Times New Roman" w:eastAsia="宋体" w:cs="Times New Roman"/>
                      <w:color w:val="auto"/>
                      <w:spacing w:val="-2"/>
                      <w:sz w:val="21"/>
                      <w:szCs w:val="21"/>
                    </w:rPr>
                    <w:t>集后</w:t>
                  </w:r>
                  <w:r>
                    <w:rPr>
                      <w:rFonts w:hint="default" w:ascii="Times New Roman" w:hAnsi="Times New Roman" w:eastAsia="宋体" w:cs="Times New Roman"/>
                      <w:color w:val="auto"/>
                      <w:spacing w:val="-2"/>
                      <w:sz w:val="21"/>
                      <w:szCs w:val="21"/>
                      <w:lang w:eastAsia="zh-CN"/>
                    </w:rPr>
                    <w:t>综合利用</w:t>
                  </w:r>
                </w:p>
              </w:tc>
            </w:tr>
          </w:tbl>
          <w:p>
            <w:pPr>
              <w:spacing w:line="460" w:lineRule="exact"/>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5、</w:t>
            </w:r>
            <w:r>
              <w:rPr>
                <w:rFonts w:hint="default" w:ascii="Times New Roman" w:hAnsi="Times New Roman" w:cs="Times New Roman"/>
                <w:b/>
                <w:color w:val="auto"/>
                <w:sz w:val="24"/>
              </w:rPr>
              <w:t>主要生产设备</w:t>
            </w:r>
          </w:p>
          <w:p>
            <w:pPr>
              <w:spacing w:line="44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表2-</w:t>
            </w:r>
            <w:r>
              <w:rPr>
                <w:rFonts w:hint="eastAsia" w:cs="Times New Roman"/>
                <w:b/>
                <w:color w:val="auto"/>
                <w:sz w:val="24"/>
                <w:lang w:val="en-US" w:eastAsia="zh-CN"/>
              </w:rPr>
              <w:t>5</w:t>
            </w:r>
            <w:r>
              <w:rPr>
                <w:rFonts w:hint="default" w:ascii="Times New Roman" w:hAnsi="Times New Roman" w:cs="Times New Roman"/>
                <w:b/>
                <w:color w:val="auto"/>
                <w:sz w:val="24"/>
              </w:rPr>
              <w:t>项目主要设备一览表</w:t>
            </w:r>
          </w:p>
          <w:tbl>
            <w:tblPr>
              <w:tblStyle w:val="28"/>
              <w:tblW w:w="819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38"/>
              <w:gridCol w:w="1638"/>
              <w:gridCol w:w="1752"/>
              <w:gridCol w:w="1526"/>
              <w:gridCol w:w="1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638" w:type="dxa"/>
                  <w:tcBorders>
                    <w:tl2br w:val="nil"/>
                    <w:tr2bl w:val="nil"/>
                  </w:tcBorders>
                  <w:noWrap w:val="0"/>
                  <w:vAlign w:val="top"/>
                </w:tcPr>
                <w:p>
                  <w:pPr>
                    <w:pStyle w:val="26"/>
                    <w:keepNext w:val="0"/>
                    <w:keepLines w:val="0"/>
                    <w:pageBreakBefore w:val="0"/>
                    <w:kinsoku/>
                    <w:wordWrap/>
                    <w:overflowPunct/>
                    <w:topLinePunct w:val="0"/>
                    <w:autoSpaceDE/>
                    <w:autoSpaceDN/>
                    <w:bidi w:val="0"/>
                    <w:adjustRightInd/>
                    <w:snapToGrid/>
                    <w:spacing w:after="0" w:line="240" w:lineRule="atLeast"/>
                    <w:ind w:left="0" w:leftChars="0" w:firstLine="0" w:firstLineChars="0"/>
                    <w:jc w:val="center"/>
                    <w:textAlignment w:val="auto"/>
                    <w:rPr>
                      <w:rFonts w:hint="default" w:ascii="Times New Roman" w:hAnsi="Times New Roman" w:eastAsia="宋体" w:cs="Times New Roman"/>
                      <w:b/>
                      <w:bCs/>
                      <w:color w:val="auto"/>
                      <w:sz w:val="21"/>
                      <w:szCs w:val="21"/>
                      <w:vertAlign w:val="baseline"/>
                    </w:rPr>
                  </w:pPr>
                  <w:r>
                    <w:rPr>
                      <w:rFonts w:hint="default" w:ascii="Times New Roman" w:hAnsi="Times New Roman" w:eastAsia="宋体" w:cs="Times New Roman"/>
                      <w:b/>
                      <w:bCs/>
                      <w:color w:val="auto"/>
                      <w:sz w:val="21"/>
                      <w:szCs w:val="21"/>
                      <w:vertAlign w:val="baseline"/>
                    </w:rPr>
                    <w:t>序号</w:t>
                  </w:r>
                </w:p>
              </w:tc>
              <w:tc>
                <w:tcPr>
                  <w:tcW w:w="1638" w:type="dxa"/>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beforeLines="0" w:afterLines="0" w:line="240" w:lineRule="atLeast"/>
                    <w:ind w:left="0" w:leftChars="0"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设备名称</w:t>
                  </w:r>
                </w:p>
              </w:tc>
              <w:tc>
                <w:tcPr>
                  <w:tcW w:w="1752" w:type="dxa"/>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beforeLines="0" w:afterLines="0" w:line="240" w:lineRule="atLeast"/>
                    <w:ind w:left="0" w:leftChars="0"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规格型号</w:t>
                  </w:r>
                </w:p>
              </w:tc>
              <w:tc>
                <w:tcPr>
                  <w:tcW w:w="1526" w:type="dxa"/>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beforeLines="0" w:afterLines="0" w:line="240" w:lineRule="atLeast"/>
                    <w:ind w:left="0" w:leftChars="0"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数量</w:t>
                  </w:r>
                </w:p>
              </w:tc>
              <w:tc>
                <w:tcPr>
                  <w:tcW w:w="1639" w:type="dxa"/>
                  <w:tcBorders>
                    <w:tl2br w:val="nil"/>
                    <w:tr2bl w:val="nil"/>
                  </w:tcBorders>
                  <w:noWrap w:val="0"/>
                  <w:vAlign w:val="top"/>
                </w:tcPr>
                <w:p>
                  <w:pPr>
                    <w:keepNext w:val="0"/>
                    <w:keepLines w:val="0"/>
                    <w:pageBreakBefore w:val="0"/>
                    <w:kinsoku/>
                    <w:wordWrap/>
                    <w:overflowPunct/>
                    <w:topLinePunct w:val="0"/>
                    <w:autoSpaceDE/>
                    <w:autoSpaceDN/>
                    <w:bidi w:val="0"/>
                    <w:adjustRightInd/>
                    <w:snapToGrid/>
                    <w:spacing w:beforeLines="0" w:afterLines="0" w:line="240" w:lineRule="atLeast"/>
                    <w:ind w:left="0" w:leftChars="0"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w:t>
                  </w:r>
                </w:p>
              </w:tc>
              <w:tc>
                <w:tcPr>
                  <w:tcW w:w="1638" w:type="dxa"/>
                  <w:tcBorders>
                    <w:tl2br w:val="nil"/>
                    <w:tr2bl w:val="nil"/>
                  </w:tcBorders>
                  <w:noWrap w:val="0"/>
                  <w:vAlign w:val="top"/>
                </w:tcPr>
                <w:p>
                  <w:pPr>
                    <w:spacing w:before="64"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搅拌</w:t>
                  </w:r>
                  <w:r>
                    <w:rPr>
                      <w:rFonts w:hint="default" w:ascii="Times New Roman" w:hAnsi="Times New Roman" w:eastAsia="宋体" w:cs="Times New Roman"/>
                      <w:color w:val="auto"/>
                      <w:spacing w:val="-1"/>
                      <w:sz w:val="21"/>
                      <w:szCs w:val="21"/>
                    </w:rPr>
                    <w:t>主机</w:t>
                  </w:r>
                </w:p>
              </w:tc>
              <w:tc>
                <w:tcPr>
                  <w:tcW w:w="1752" w:type="dxa"/>
                  <w:tcBorders>
                    <w:tl2br w:val="nil"/>
                    <w:tr2bl w:val="nil"/>
                  </w:tcBorders>
                  <w:noWrap w:val="0"/>
                  <w:vAlign w:val="top"/>
                </w:tcPr>
                <w:p>
                  <w:pPr>
                    <w:spacing w:before="65" w:line="228"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WDB</w:t>
                  </w:r>
                  <w:r>
                    <w:rPr>
                      <w:rFonts w:hint="default" w:ascii="Times New Roman" w:hAnsi="Times New Roman" w:eastAsia="Times New Roman" w:cs="Times New Roman"/>
                      <w:color w:val="auto"/>
                      <w:spacing w:val="4"/>
                      <w:sz w:val="21"/>
                      <w:szCs w:val="21"/>
                    </w:rPr>
                    <w:t>6</w:t>
                  </w:r>
                  <w:r>
                    <w:rPr>
                      <w:rFonts w:hint="default" w:ascii="Times New Roman" w:hAnsi="Times New Roman" w:eastAsia="Times New Roman" w:cs="Times New Roman"/>
                      <w:color w:val="auto"/>
                      <w:spacing w:val="2"/>
                      <w:sz w:val="21"/>
                      <w:szCs w:val="21"/>
                    </w:rPr>
                    <w:t>00</w:t>
                  </w:r>
                  <w:r>
                    <w:rPr>
                      <w:rFonts w:hint="default" w:ascii="Times New Roman" w:hAnsi="Times New Roman" w:eastAsia="宋体" w:cs="Times New Roman"/>
                      <w:color w:val="auto"/>
                      <w:spacing w:val="2"/>
                      <w:sz w:val="21"/>
                      <w:szCs w:val="21"/>
                    </w:rPr>
                    <w:t>型</w:t>
                  </w:r>
                </w:p>
              </w:tc>
              <w:tc>
                <w:tcPr>
                  <w:tcW w:w="1526" w:type="dxa"/>
                  <w:tcBorders>
                    <w:tl2br w:val="nil"/>
                    <w:tr2bl w:val="nil"/>
                  </w:tcBorders>
                  <w:noWrap w:val="0"/>
                  <w:vAlign w:val="top"/>
                </w:tcPr>
                <w:p>
                  <w:pPr>
                    <w:spacing w:before="102"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5"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2</w:t>
                  </w:r>
                </w:p>
              </w:tc>
              <w:tc>
                <w:tcPr>
                  <w:tcW w:w="1638" w:type="dxa"/>
                  <w:tcBorders>
                    <w:tl2br w:val="nil"/>
                    <w:tr2bl w:val="nil"/>
                  </w:tcBorders>
                  <w:noWrap w:val="0"/>
                  <w:vAlign w:val="top"/>
                </w:tcPr>
                <w:p>
                  <w:pPr>
                    <w:spacing w:before="64"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破碎</w:t>
                  </w:r>
                  <w:r>
                    <w:rPr>
                      <w:rFonts w:hint="default" w:ascii="Times New Roman" w:hAnsi="Times New Roman" w:eastAsia="宋体" w:cs="Times New Roman"/>
                      <w:color w:val="auto"/>
                      <w:spacing w:val="-1"/>
                      <w:sz w:val="21"/>
                      <w:szCs w:val="21"/>
                    </w:rPr>
                    <w:t>机</w:t>
                  </w:r>
                </w:p>
              </w:tc>
              <w:tc>
                <w:tcPr>
                  <w:tcW w:w="1752" w:type="dxa"/>
                  <w:tcBorders>
                    <w:tl2br w:val="nil"/>
                    <w:tr2bl w:val="nil"/>
                  </w:tcBorders>
                  <w:noWrap w:val="0"/>
                  <w:vAlign w:val="top"/>
                </w:tcPr>
                <w:p>
                  <w:pPr>
                    <w:spacing w:before="99" w:line="190" w:lineRule="auto"/>
                    <w:jc w:val="left"/>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Times New Roman" w:cs="Times New Roman"/>
                      <w:color w:val="auto"/>
                      <w:spacing w:val="-2"/>
                      <w:sz w:val="21"/>
                      <w:szCs w:val="21"/>
                    </w:rPr>
                    <w:t>90</w:t>
                  </w:r>
                  <w:r>
                    <w:rPr>
                      <w:rFonts w:hint="default" w:ascii="Times New Roman" w:hAnsi="Times New Roman" w:eastAsia="Times New Roman" w:cs="Times New Roman"/>
                      <w:color w:val="auto"/>
                      <w:spacing w:val="-1"/>
                      <w:sz w:val="21"/>
                      <w:szCs w:val="21"/>
                    </w:rPr>
                    <w:t>0*60</w:t>
                  </w:r>
                  <w:r>
                    <w:rPr>
                      <w:rFonts w:hint="eastAsia" w:eastAsia="宋体" w:cs="Times New Roman"/>
                      <w:color w:val="auto"/>
                      <w:spacing w:val="-1"/>
                      <w:sz w:val="21"/>
                      <w:szCs w:val="21"/>
                      <w:lang w:val="en-US" w:eastAsia="zh-CN"/>
                    </w:rPr>
                    <w:t>0</w:t>
                  </w:r>
                </w:p>
              </w:tc>
              <w:tc>
                <w:tcPr>
                  <w:tcW w:w="1526" w:type="dxa"/>
                  <w:tcBorders>
                    <w:tl2br w:val="nil"/>
                    <w:tr2bl w:val="nil"/>
                  </w:tcBorders>
                  <w:noWrap w:val="0"/>
                  <w:vAlign w:val="top"/>
                </w:tcPr>
                <w:p>
                  <w:pPr>
                    <w:spacing w:before="103"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5"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jc w:val="left"/>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3</w:t>
                  </w:r>
                </w:p>
              </w:tc>
              <w:tc>
                <w:tcPr>
                  <w:tcW w:w="1638" w:type="dxa"/>
                  <w:tcBorders>
                    <w:tl2br w:val="nil"/>
                    <w:tr2bl w:val="nil"/>
                  </w:tcBorders>
                  <w:noWrap w:val="0"/>
                  <w:vAlign w:val="top"/>
                </w:tcPr>
                <w:p>
                  <w:pPr>
                    <w:spacing w:before="64" w:beforeLines="0" w:afterLines="0" w:line="220" w:lineRule="auto"/>
                    <w:jc w:val="left"/>
                    <w:rPr>
                      <w:rFonts w:hint="default" w:ascii="Times New Roman" w:hAnsi="Times New Roman" w:eastAsia="宋体" w:cs="Times New Roman"/>
                      <w:color w:val="auto"/>
                      <w:spacing w:val="-2"/>
                      <w:sz w:val="21"/>
                      <w:szCs w:val="21"/>
                    </w:rPr>
                  </w:pPr>
                  <w:r>
                    <w:rPr>
                      <w:rFonts w:hint="default" w:ascii="Times New Roman" w:hAnsi="Times New Roman" w:eastAsia="宋体" w:cs="Times New Roman"/>
                      <w:color w:val="auto"/>
                      <w:spacing w:val="-2"/>
                      <w:sz w:val="21"/>
                      <w:szCs w:val="21"/>
                    </w:rPr>
                    <w:t>破碎机</w:t>
                  </w:r>
                </w:p>
              </w:tc>
              <w:tc>
                <w:tcPr>
                  <w:tcW w:w="1752" w:type="dxa"/>
                  <w:tcBorders>
                    <w:tl2br w:val="nil"/>
                    <w:tr2bl w:val="nil"/>
                  </w:tcBorders>
                  <w:noWrap w:val="0"/>
                  <w:vAlign w:val="top"/>
                </w:tcPr>
                <w:p>
                  <w:pPr>
                    <w:spacing w:before="99" w:line="190" w:lineRule="auto"/>
                    <w:jc w:val="left"/>
                    <w:rPr>
                      <w:rFonts w:hint="default" w:ascii="Times New Roman" w:hAnsi="Times New Roman" w:eastAsia="宋体" w:cs="Times New Roman"/>
                      <w:color w:val="auto"/>
                      <w:spacing w:val="-2"/>
                      <w:sz w:val="21"/>
                      <w:szCs w:val="21"/>
                      <w:lang w:val="en-US" w:eastAsia="zh-CN"/>
                    </w:rPr>
                  </w:pPr>
                  <w:r>
                    <w:rPr>
                      <w:rFonts w:hint="default" w:ascii="Times New Roman" w:hAnsi="Times New Roman" w:eastAsia="宋体" w:cs="Times New Roman"/>
                      <w:color w:val="auto"/>
                      <w:spacing w:val="-2"/>
                      <w:sz w:val="21"/>
                      <w:szCs w:val="21"/>
                      <w:lang w:val="en-US" w:eastAsia="zh-CN"/>
                    </w:rPr>
                    <w:t>750</w:t>
                  </w:r>
                  <w:r>
                    <w:rPr>
                      <w:rFonts w:hint="default" w:ascii="Times New Roman" w:hAnsi="Times New Roman" w:eastAsia="Times New Roman" w:cs="Times New Roman"/>
                      <w:color w:val="auto"/>
                      <w:spacing w:val="-2"/>
                      <w:sz w:val="21"/>
                      <w:szCs w:val="21"/>
                    </w:rPr>
                    <w:t>*</w:t>
                  </w:r>
                  <w:r>
                    <w:rPr>
                      <w:rFonts w:hint="default" w:ascii="Times New Roman" w:hAnsi="Times New Roman" w:eastAsia="宋体" w:cs="Times New Roman"/>
                      <w:color w:val="auto"/>
                      <w:spacing w:val="-2"/>
                      <w:sz w:val="21"/>
                      <w:szCs w:val="21"/>
                      <w:lang w:val="en-US" w:eastAsia="zh-CN"/>
                    </w:rPr>
                    <w:t>50</w:t>
                  </w:r>
                  <w:r>
                    <w:rPr>
                      <w:rFonts w:hint="eastAsia" w:cs="Times New Roman"/>
                      <w:color w:val="auto"/>
                      <w:spacing w:val="-2"/>
                      <w:sz w:val="21"/>
                      <w:szCs w:val="21"/>
                      <w:lang w:val="en-US" w:eastAsia="zh-CN"/>
                    </w:rPr>
                    <w:t>0</w:t>
                  </w:r>
                </w:p>
              </w:tc>
              <w:tc>
                <w:tcPr>
                  <w:tcW w:w="1526" w:type="dxa"/>
                  <w:tcBorders>
                    <w:tl2br w:val="nil"/>
                    <w:tr2bl w:val="nil"/>
                  </w:tcBorders>
                  <w:noWrap w:val="0"/>
                  <w:vAlign w:val="top"/>
                </w:tcPr>
                <w:p>
                  <w:pPr>
                    <w:spacing w:before="103" w:line="186" w:lineRule="auto"/>
                    <w:ind w:left="543" w:left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1639" w:type="dxa"/>
                  <w:tcBorders>
                    <w:tl2br w:val="nil"/>
                    <w:tr2bl w:val="nil"/>
                  </w:tcBorders>
                  <w:noWrap w:val="0"/>
                  <w:vAlign w:val="top"/>
                </w:tcPr>
                <w:p>
                  <w:pPr>
                    <w:spacing w:before="65" w:line="222" w:lineRule="auto"/>
                    <w:ind w:left="513" w:leftChars="0"/>
                    <w:jc w:val="left"/>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w:t>
                  </w:r>
                </w:p>
              </w:tc>
              <w:tc>
                <w:tcPr>
                  <w:tcW w:w="1638" w:type="dxa"/>
                  <w:tcBorders>
                    <w:tl2br w:val="nil"/>
                    <w:tr2bl w:val="nil"/>
                  </w:tcBorders>
                  <w:noWrap w:val="0"/>
                  <w:vAlign w:val="top"/>
                </w:tcPr>
                <w:p>
                  <w:pPr>
                    <w:spacing w:before="66"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振动</w:t>
                  </w:r>
                  <w:r>
                    <w:rPr>
                      <w:rFonts w:hint="default" w:ascii="Times New Roman" w:hAnsi="Times New Roman" w:eastAsia="宋体" w:cs="Times New Roman"/>
                      <w:color w:val="auto"/>
                      <w:spacing w:val="-1"/>
                      <w:sz w:val="21"/>
                      <w:szCs w:val="21"/>
                    </w:rPr>
                    <w:t>筛</w:t>
                  </w:r>
                </w:p>
              </w:tc>
              <w:tc>
                <w:tcPr>
                  <w:tcW w:w="1752" w:type="dxa"/>
                  <w:tcBorders>
                    <w:tl2br w:val="nil"/>
                    <w:tr2bl w:val="nil"/>
                  </w:tcBorders>
                  <w:noWrap w:val="0"/>
                  <w:vAlign w:val="top"/>
                </w:tcPr>
                <w:p>
                  <w:pPr>
                    <w:spacing w:before="34" w:line="276" w:lineRule="exact"/>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3"/>
                      <w:position w:val="1"/>
                      <w:sz w:val="21"/>
                      <w:szCs w:val="21"/>
                    </w:rPr>
                    <w:t>3</w:t>
                  </w:r>
                  <w:r>
                    <w:rPr>
                      <w:rFonts w:hint="default" w:ascii="Times New Roman" w:hAnsi="Times New Roman" w:eastAsia="Times New Roman" w:cs="Times New Roman"/>
                      <w:color w:val="auto"/>
                      <w:spacing w:val="-2"/>
                      <w:position w:val="1"/>
                      <w:sz w:val="21"/>
                      <w:szCs w:val="21"/>
                    </w:rPr>
                    <w:t>5kw</w:t>
                  </w:r>
                </w:p>
              </w:tc>
              <w:tc>
                <w:tcPr>
                  <w:tcW w:w="1526" w:type="dxa"/>
                  <w:tcBorders>
                    <w:tl2br w:val="nil"/>
                    <w:tr2bl w:val="nil"/>
                  </w:tcBorders>
                  <w:noWrap w:val="0"/>
                  <w:vAlign w:val="top"/>
                </w:tcPr>
                <w:p>
                  <w:pPr>
                    <w:spacing w:before="103"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6"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w:t>
                  </w:r>
                </w:p>
              </w:tc>
              <w:tc>
                <w:tcPr>
                  <w:tcW w:w="1638" w:type="dxa"/>
                  <w:tcBorders>
                    <w:tl2br w:val="nil"/>
                    <w:tr2bl w:val="nil"/>
                  </w:tcBorders>
                  <w:noWrap w:val="0"/>
                  <w:vAlign w:val="top"/>
                </w:tcPr>
                <w:p>
                  <w:pPr>
                    <w:spacing w:before="66"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骨</w:t>
                  </w:r>
                  <w:r>
                    <w:rPr>
                      <w:rFonts w:hint="default" w:ascii="Times New Roman" w:hAnsi="Times New Roman" w:eastAsia="宋体" w:cs="Times New Roman"/>
                      <w:color w:val="auto"/>
                      <w:spacing w:val="-1"/>
                      <w:sz w:val="21"/>
                      <w:szCs w:val="21"/>
                    </w:rPr>
                    <w:t>料提升系统</w:t>
                  </w:r>
                </w:p>
              </w:tc>
              <w:tc>
                <w:tcPr>
                  <w:tcW w:w="1752" w:type="dxa"/>
                  <w:tcBorders>
                    <w:tl2br w:val="nil"/>
                    <w:tr2bl w:val="nil"/>
                  </w:tcBorders>
                  <w:noWrap w:val="0"/>
                  <w:vAlign w:val="top"/>
                </w:tcPr>
                <w:p>
                  <w:pPr>
                    <w:spacing w:before="65" w:line="221"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3"/>
                      <w:sz w:val="21"/>
                      <w:szCs w:val="21"/>
                    </w:rPr>
                    <w:t>非</w:t>
                  </w:r>
                  <w:r>
                    <w:rPr>
                      <w:rFonts w:hint="default" w:ascii="Times New Roman" w:hAnsi="Times New Roman" w:eastAsia="宋体" w:cs="Times New Roman"/>
                      <w:color w:val="auto"/>
                      <w:spacing w:val="-2"/>
                      <w:sz w:val="21"/>
                      <w:szCs w:val="21"/>
                    </w:rPr>
                    <w:t>标定制</w:t>
                  </w:r>
                </w:p>
              </w:tc>
              <w:tc>
                <w:tcPr>
                  <w:tcW w:w="1526" w:type="dxa"/>
                  <w:tcBorders>
                    <w:tl2br w:val="nil"/>
                    <w:tr2bl w:val="nil"/>
                  </w:tcBorders>
                  <w:noWrap w:val="0"/>
                  <w:vAlign w:val="top"/>
                </w:tcPr>
                <w:p>
                  <w:pPr>
                    <w:spacing w:before="104"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6"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w:t>
                  </w:r>
                </w:p>
              </w:tc>
              <w:tc>
                <w:tcPr>
                  <w:tcW w:w="1638" w:type="dxa"/>
                  <w:tcBorders>
                    <w:tl2br w:val="nil"/>
                    <w:tr2bl w:val="nil"/>
                  </w:tcBorders>
                  <w:noWrap w:val="0"/>
                  <w:vAlign w:val="top"/>
                </w:tcPr>
                <w:p>
                  <w:pPr>
                    <w:spacing w:before="67"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1"/>
                      <w:sz w:val="21"/>
                      <w:szCs w:val="21"/>
                    </w:rPr>
                    <w:t>单斗骨料仓配料与计量</w:t>
                  </w:r>
                  <w:r>
                    <w:rPr>
                      <w:rFonts w:hint="default" w:ascii="Times New Roman" w:hAnsi="Times New Roman" w:eastAsia="宋体" w:cs="Times New Roman"/>
                      <w:color w:val="auto"/>
                      <w:sz w:val="21"/>
                      <w:szCs w:val="21"/>
                    </w:rPr>
                    <w:t>系统</w:t>
                  </w:r>
                </w:p>
              </w:tc>
              <w:tc>
                <w:tcPr>
                  <w:tcW w:w="1752" w:type="dxa"/>
                  <w:tcBorders>
                    <w:tl2br w:val="nil"/>
                    <w:tr2bl w:val="nil"/>
                  </w:tcBorders>
                  <w:noWrap w:val="0"/>
                  <w:vAlign w:val="top"/>
                </w:tcPr>
                <w:p>
                  <w:pPr>
                    <w:spacing w:before="67" w:line="221"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3"/>
                      <w:sz w:val="21"/>
                      <w:szCs w:val="21"/>
                    </w:rPr>
                    <w:t>非</w:t>
                  </w:r>
                  <w:r>
                    <w:rPr>
                      <w:rFonts w:hint="default" w:ascii="Times New Roman" w:hAnsi="Times New Roman" w:eastAsia="宋体" w:cs="Times New Roman"/>
                      <w:color w:val="auto"/>
                      <w:spacing w:val="-2"/>
                      <w:sz w:val="21"/>
                      <w:szCs w:val="21"/>
                    </w:rPr>
                    <w:t>标定制</w:t>
                  </w:r>
                </w:p>
              </w:tc>
              <w:tc>
                <w:tcPr>
                  <w:tcW w:w="1526" w:type="dxa"/>
                  <w:tcBorders>
                    <w:tl2br w:val="nil"/>
                    <w:tr2bl w:val="nil"/>
                  </w:tcBorders>
                  <w:noWrap w:val="0"/>
                  <w:vAlign w:val="top"/>
                </w:tcPr>
                <w:p>
                  <w:pPr>
                    <w:spacing w:before="104"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7"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7</w:t>
                  </w:r>
                </w:p>
              </w:tc>
              <w:tc>
                <w:tcPr>
                  <w:tcW w:w="1638" w:type="dxa"/>
                  <w:tcBorders>
                    <w:tl2br w:val="nil"/>
                    <w:tr2bl w:val="nil"/>
                  </w:tcBorders>
                  <w:noWrap w:val="0"/>
                  <w:vAlign w:val="top"/>
                </w:tcPr>
                <w:p>
                  <w:pPr>
                    <w:spacing w:before="66"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4"/>
                      <w:sz w:val="21"/>
                      <w:szCs w:val="21"/>
                    </w:rPr>
                    <w:t>水</w:t>
                  </w:r>
                  <w:r>
                    <w:rPr>
                      <w:rFonts w:hint="default" w:ascii="Times New Roman" w:hAnsi="Times New Roman" w:eastAsia="宋体" w:cs="Times New Roman"/>
                      <w:color w:val="auto"/>
                      <w:spacing w:val="-2"/>
                      <w:sz w:val="21"/>
                      <w:szCs w:val="21"/>
                    </w:rPr>
                    <w:t>储罐</w:t>
                  </w:r>
                </w:p>
              </w:tc>
              <w:tc>
                <w:tcPr>
                  <w:tcW w:w="1752" w:type="dxa"/>
                  <w:tcBorders>
                    <w:tl2br w:val="nil"/>
                    <w:tr2bl w:val="nil"/>
                  </w:tcBorders>
                  <w:noWrap w:val="0"/>
                  <w:vAlign w:val="top"/>
                </w:tcPr>
                <w:p>
                  <w:pPr>
                    <w:spacing w:before="103" w:line="187"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1"/>
                      <w:sz w:val="21"/>
                      <w:szCs w:val="21"/>
                    </w:rPr>
                    <w:t>2</w:t>
                  </w:r>
                  <w:r>
                    <w:rPr>
                      <w:rFonts w:hint="default" w:ascii="Times New Roman" w:hAnsi="Times New Roman" w:eastAsia="Times New Roman" w:cs="Times New Roman"/>
                      <w:color w:val="auto"/>
                      <w:sz w:val="21"/>
                      <w:szCs w:val="21"/>
                    </w:rPr>
                    <w:t>0m×5m×1.5m</w:t>
                  </w:r>
                </w:p>
              </w:tc>
              <w:tc>
                <w:tcPr>
                  <w:tcW w:w="1526" w:type="dxa"/>
                  <w:tcBorders>
                    <w:tl2br w:val="nil"/>
                    <w:tr2bl w:val="nil"/>
                  </w:tcBorders>
                  <w:noWrap w:val="0"/>
                  <w:vAlign w:val="top"/>
                </w:tcPr>
                <w:p>
                  <w:pPr>
                    <w:spacing w:before="104"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6"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9</w:t>
                  </w:r>
                </w:p>
              </w:tc>
              <w:tc>
                <w:tcPr>
                  <w:tcW w:w="1638" w:type="dxa"/>
                  <w:tcBorders>
                    <w:tl2br w:val="nil"/>
                    <w:tr2bl w:val="nil"/>
                  </w:tcBorders>
                  <w:noWrap w:val="0"/>
                  <w:vAlign w:val="top"/>
                </w:tcPr>
                <w:p>
                  <w:pPr>
                    <w:spacing w:before="66" w:beforeLines="0" w:afterLines="0" w:line="220" w:lineRule="auto"/>
                    <w:jc w:val="left"/>
                    <w:rPr>
                      <w:rFonts w:hint="default" w:ascii="Times New Roman" w:hAnsi="Times New Roman" w:cs="Times New Roman"/>
                      <w:color w:val="auto"/>
                      <w:sz w:val="21"/>
                      <w:szCs w:val="21"/>
                      <w:vertAlign w:val="baseline"/>
                    </w:rPr>
                  </w:pPr>
                  <w:r>
                    <w:rPr>
                      <w:rFonts w:hint="default" w:ascii="Times New Roman" w:hAnsi="Times New Roman" w:cs="Times New Roman"/>
                      <w:color w:val="auto"/>
                      <w:spacing w:val="-1"/>
                      <w:sz w:val="21"/>
                      <w:szCs w:val="21"/>
                      <w:lang w:val="en-US" w:eastAsia="zh-CN"/>
                    </w:rPr>
                    <w:t>水泥桶</w:t>
                  </w:r>
                  <w:r>
                    <w:rPr>
                      <w:rFonts w:hint="default" w:ascii="Times New Roman" w:hAnsi="Times New Roman" w:eastAsia="宋体" w:cs="Times New Roman"/>
                      <w:color w:val="auto"/>
                      <w:spacing w:val="-1"/>
                      <w:sz w:val="21"/>
                      <w:szCs w:val="21"/>
                    </w:rPr>
                    <w:t>仓</w:t>
                  </w:r>
                </w:p>
              </w:tc>
              <w:tc>
                <w:tcPr>
                  <w:tcW w:w="1752" w:type="dxa"/>
                  <w:tcBorders>
                    <w:tl2br w:val="nil"/>
                    <w:tr2bl w:val="nil"/>
                  </w:tcBorders>
                  <w:noWrap w:val="0"/>
                  <w:vAlign w:val="top"/>
                </w:tcPr>
                <w:p>
                  <w:pPr>
                    <w:spacing w:before="103" w:line="187"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1"/>
                      <w:sz w:val="21"/>
                      <w:szCs w:val="21"/>
                    </w:rPr>
                    <w:t>20</w:t>
                  </w:r>
                  <w:r>
                    <w:rPr>
                      <w:rFonts w:hint="default" w:ascii="Times New Roman" w:hAnsi="Times New Roman" w:eastAsia="Times New Roman" w:cs="Times New Roman"/>
                      <w:color w:val="auto"/>
                      <w:sz w:val="21"/>
                      <w:szCs w:val="21"/>
                    </w:rPr>
                    <w:t>m</w:t>
                  </w:r>
                  <w:r>
                    <w:rPr>
                      <w:rFonts w:hint="default" w:ascii="Times New Roman" w:hAnsi="Times New Roman" w:eastAsia="Times New Roman" w:cs="Times New Roman"/>
                      <w:color w:val="auto"/>
                      <w:spacing w:val="-1"/>
                      <w:sz w:val="21"/>
                      <w:szCs w:val="21"/>
                    </w:rPr>
                    <w:t>×</w:t>
                  </w:r>
                  <w:r>
                    <w:rPr>
                      <w:rFonts w:hint="default" w:ascii="Times New Roman" w:hAnsi="Times New Roman" w:eastAsia="Times New Roman" w:cs="Times New Roman"/>
                      <w:color w:val="auto"/>
                      <w:sz w:val="21"/>
                      <w:szCs w:val="21"/>
                    </w:rPr>
                    <w:t>1.8m×1.5m</w:t>
                  </w:r>
                </w:p>
              </w:tc>
              <w:tc>
                <w:tcPr>
                  <w:tcW w:w="1526" w:type="dxa"/>
                  <w:tcBorders>
                    <w:tl2br w:val="nil"/>
                    <w:tr2bl w:val="nil"/>
                  </w:tcBorders>
                  <w:noWrap w:val="0"/>
                  <w:vAlign w:val="top"/>
                </w:tcPr>
                <w:p>
                  <w:pPr>
                    <w:spacing w:before="104"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6"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w:t>
                  </w:r>
                </w:p>
              </w:tc>
              <w:tc>
                <w:tcPr>
                  <w:tcW w:w="1638" w:type="dxa"/>
                  <w:tcBorders>
                    <w:tl2br w:val="nil"/>
                    <w:tr2bl w:val="nil"/>
                  </w:tcBorders>
                  <w:noWrap w:val="0"/>
                  <w:vAlign w:val="top"/>
                </w:tcPr>
                <w:p>
                  <w:pPr>
                    <w:keepNext w:val="0"/>
                    <w:keepLines w:val="0"/>
                    <w:widowControl/>
                    <w:suppressLineNumbers w:val="0"/>
                    <w:kinsoku w:val="0"/>
                    <w:autoSpaceDE w:val="0"/>
                    <w:autoSpaceDN w:val="0"/>
                    <w:adjustRightInd w:val="0"/>
                    <w:snapToGrid w:val="0"/>
                    <w:spacing w:before="118" w:beforeAutospacing="0" w:after="0" w:afterAutospacing="0"/>
                    <w:ind w:right="0" w:rightChars="0"/>
                    <w:jc w:val="left"/>
                    <w:textAlignment w:val="baseline"/>
                    <w:rPr>
                      <w:rFonts w:hint="default" w:ascii="Times New Roman" w:hAnsi="Times New Roman" w:cs="Times New Roman"/>
                      <w:color w:val="auto"/>
                      <w:sz w:val="21"/>
                      <w:szCs w:val="21"/>
                      <w:vertAlign w:val="baseline"/>
                    </w:rPr>
                  </w:pPr>
                  <w:r>
                    <w:rPr>
                      <w:rFonts w:hint="default" w:ascii="Times New Roman" w:hAnsi="Times New Roman" w:eastAsia="宋体" w:cs="Times New Roman"/>
                      <w:snapToGrid/>
                      <w:color w:val="auto"/>
                      <w:spacing w:val="-2"/>
                      <w:kern w:val="0"/>
                      <w:sz w:val="21"/>
                      <w:szCs w:val="21"/>
                      <w:lang w:val="en-US" w:eastAsia="zh-CN" w:bidi="ar"/>
                    </w:rPr>
                    <w:t>输送</w:t>
                  </w:r>
                  <w:r>
                    <w:rPr>
                      <w:rFonts w:hint="default" w:ascii="Times New Roman" w:hAnsi="Times New Roman" w:eastAsia="宋体" w:cs="Times New Roman"/>
                      <w:snapToGrid/>
                      <w:color w:val="auto"/>
                      <w:spacing w:val="-1"/>
                      <w:kern w:val="0"/>
                      <w:sz w:val="21"/>
                      <w:szCs w:val="21"/>
                      <w:lang w:val="en-US" w:eastAsia="zh-CN" w:bidi="ar"/>
                    </w:rPr>
                    <w:t>带</w:t>
                  </w:r>
                </w:p>
              </w:tc>
              <w:tc>
                <w:tcPr>
                  <w:tcW w:w="1752" w:type="dxa"/>
                  <w:tcBorders>
                    <w:tl2br w:val="nil"/>
                    <w:tr2bl w:val="nil"/>
                  </w:tcBorders>
                  <w:noWrap w:val="0"/>
                  <w:vAlign w:val="top"/>
                </w:tcPr>
                <w:p>
                  <w:pPr>
                    <w:spacing w:before="87" w:line="276" w:lineRule="exact"/>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6"/>
                      <w:position w:val="1"/>
                      <w:sz w:val="21"/>
                      <w:szCs w:val="21"/>
                    </w:rPr>
                    <w:t>10kw</w:t>
                  </w:r>
                </w:p>
              </w:tc>
              <w:tc>
                <w:tcPr>
                  <w:tcW w:w="1526" w:type="dxa"/>
                  <w:tcBorders>
                    <w:tl2br w:val="nil"/>
                    <w:tr2bl w:val="nil"/>
                  </w:tcBorders>
                  <w:noWrap w:val="0"/>
                  <w:vAlign w:val="top"/>
                </w:tcPr>
                <w:p>
                  <w:pPr>
                    <w:spacing w:before="156" w:line="186" w:lineRule="auto"/>
                    <w:ind w:left="490"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6"/>
                      <w:sz w:val="21"/>
                      <w:szCs w:val="21"/>
                    </w:rPr>
                    <w:t>10</w:t>
                  </w:r>
                </w:p>
              </w:tc>
              <w:tc>
                <w:tcPr>
                  <w:tcW w:w="1639" w:type="dxa"/>
                  <w:tcBorders>
                    <w:tl2br w:val="nil"/>
                    <w:tr2bl w:val="nil"/>
                  </w:tcBorders>
                  <w:noWrap w:val="0"/>
                  <w:vAlign w:val="top"/>
                </w:tcPr>
                <w:p>
                  <w:pPr>
                    <w:spacing w:before="118" w:line="220" w:lineRule="auto"/>
                    <w:ind w:left="498"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11</w:t>
                  </w:r>
                </w:p>
              </w:tc>
              <w:tc>
                <w:tcPr>
                  <w:tcW w:w="1638" w:type="dxa"/>
                  <w:tcBorders>
                    <w:tl2br w:val="nil"/>
                    <w:tr2bl w:val="nil"/>
                  </w:tcBorders>
                  <w:noWrap w:val="0"/>
                  <w:vAlign w:val="top"/>
                </w:tcPr>
                <w:p>
                  <w:pPr>
                    <w:keepNext w:val="0"/>
                    <w:keepLines w:val="0"/>
                    <w:widowControl/>
                    <w:suppressLineNumbers w:val="0"/>
                    <w:kinsoku w:val="0"/>
                    <w:autoSpaceDE w:val="0"/>
                    <w:autoSpaceDN w:val="0"/>
                    <w:adjustRightInd w:val="0"/>
                    <w:snapToGrid w:val="0"/>
                    <w:spacing w:before="60" w:beforeAutospacing="0" w:after="0" w:afterAutospacing="0"/>
                    <w:ind w:right="0" w:rightChars="0"/>
                    <w:jc w:val="left"/>
                    <w:textAlignment w:val="baseline"/>
                    <w:rPr>
                      <w:rFonts w:hint="default" w:ascii="Times New Roman" w:hAnsi="Times New Roman" w:cs="Times New Roman"/>
                      <w:color w:val="auto"/>
                      <w:sz w:val="21"/>
                      <w:szCs w:val="21"/>
                      <w:vertAlign w:val="baseline"/>
                    </w:rPr>
                  </w:pPr>
                  <w:r>
                    <w:rPr>
                      <w:rFonts w:hint="default" w:ascii="Times New Roman" w:hAnsi="Times New Roman" w:eastAsia="宋体" w:cs="Times New Roman"/>
                      <w:snapToGrid/>
                      <w:color w:val="auto"/>
                      <w:spacing w:val="-2"/>
                      <w:kern w:val="0"/>
                      <w:sz w:val="21"/>
                      <w:szCs w:val="21"/>
                      <w:lang w:val="en-US" w:eastAsia="zh-CN" w:bidi="ar"/>
                    </w:rPr>
                    <w:t>骨料</w:t>
                  </w:r>
                  <w:r>
                    <w:rPr>
                      <w:rFonts w:hint="default" w:ascii="Times New Roman" w:hAnsi="Times New Roman" w:eastAsia="宋体" w:cs="Times New Roman"/>
                      <w:snapToGrid/>
                      <w:color w:val="auto"/>
                      <w:spacing w:val="-1"/>
                      <w:kern w:val="0"/>
                      <w:sz w:val="21"/>
                      <w:szCs w:val="21"/>
                      <w:lang w:val="en-US" w:eastAsia="zh-CN" w:bidi="ar"/>
                    </w:rPr>
                    <w:t>仓</w:t>
                  </w:r>
                </w:p>
              </w:tc>
              <w:tc>
                <w:tcPr>
                  <w:tcW w:w="1752" w:type="dxa"/>
                  <w:tcBorders>
                    <w:tl2br w:val="nil"/>
                    <w:tr2bl w:val="nil"/>
                  </w:tcBorders>
                  <w:noWrap w:val="0"/>
                  <w:vAlign w:val="top"/>
                </w:tcPr>
                <w:p>
                  <w:pPr>
                    <w:spacing w:before="99" w:line="186"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1"/>
                      <w:sz w:val="21"/>
                      <w:szCs w:val="21"/>
                    </w:rPr>
                    <w:t>2</w:t>
                  </w:r>
                  <w:r>
                    <w:rPr>
                      <w:rFonts w:hint="default" w:ascii="Times New Roman" w:hAnsi="Times New Roman" w:eastAsia="Times New Roman" w:cs="Times New Roman"/>
                      <w:color w:val="auto"/>
                      <w:sz w:val="21"/>
                      <w:szCs w:val="21"/>
                    </w:rPr>
                    <w:t>m</w:t>
                  </w:r>
                  <w:r>
                    <w:rPr>
                      <w:rFonts w:hint="default" w:ascii="Times New Roman" w:hAnsi="Times New Roman" w:eastAsia="Times New Roman" w:cs="Times New Roman"/>
                      <w:color w:val="auto"/>
                      <w:spacing w:val="-1"/>
                      <w:sz w:val="21"/>
                      <w:szCs w:val="21"/>
                    </w:rPr>
                    <w:t>×2</w:t>
                  </w:r>
                  <w:r>
                    <w:rPr>
                      <w:rFonts w:hint="default" w:ascii="Times New Roman" w:hAnsi="Times New Roman" w:eastAsia="Times New Roman" w:cs="Times New Roman"/>
                      <w:color w:val="auto"/>
                      <w:sz w:val="21"/>
                      <w:szCs w:val="21"/>
                    </w:rPr>
                    <w:t>m</w:t>
                  </w:r>
                  <w:r>
                    <w:rPr>
                      <w:rFonts w:hint="default" w:ascii="Times New Roman" w:hAnsi="Times New Roman" w:eastAsia="Times New Roman" w:cs="Times New Roman"/>
                      <w:color w:val="auto"/>
                      <w:spacing w:val="-1"/>
                      <w:sz w:val="21"/>
                      <w:szCs w:val="21"/>
                    </w:rPr>
                    <w:t>×</w:t>
                  </w:r>
                  <w:r>
                    <w:rPr>
                      <w:rFonts w:hint="default" w:ascii="Times New Roman" w:hAnsi="Times New Roman" w:eastAsia="Times New Roman" w:cs="Times New Roman"/>
                      <w:color w:val="auto"/>
                      <w:sz w:val="21"/>
                      <w:szCs w:val="21"/>
                    </w:rPr>
                    <w:t>1m</w:t>
                  </w:r>
                </w:p>
              </w:tc>
              <w:tc>
                <w:tcPr>
                  <w:tcW w:w="1526" w:type="dxa"/>
                  <w:tcBorders>
                    <w:tl2br w:val="nil"/>
                    <w:tr2bl w:val="nil"/>
                  </w:tcBorders>
                  <w:noWrap w:val="0"/>
                  <w:vAlign w:val="top"/>
                </w:tcPr>
                <w:p>
                  <w:pPr>
                    <w:spacing w:before="99" w:line="186" w:lineRule="auto"/>
                    <w:ind w:left="522"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4</w:t>
                  </w:r>
                </w:p>
              </w:tc>
              <w:tc>
                <w:tcPr>
                  <w:tcW w:w="1639" w:type="dxa"/>
                  <w:tcBorders>
                    <w:tl2br w:val="nil"/>
                    <w:tr2bl w:val="nil"/>
                  </w:tcBorders>
                  <w:noWrap w:val="0"/>
                  <w:vAlign w:val="top"/>
                </w:tcPr>
                <w:p>
                  <w:pPr>
                    <w:spacing w:before="60" w:line="221" w:lineRule="auto"/>
                    <w:ind w:left="498"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12</w:t>
                  </w:r>
                </w:p>
              </w:tc>
              <w:tc>
                <w:tcPr>
                  <w:tcW w:w="1638" w:type="dxa"/>
                  <w:tcBorders>
                    <w:tl2br w:val="nil"/>
                    <w:tr2bl w:val="nil"/>
                  </w:tcBorders>
                  <w:noWrap w:val="0"/>
                  <w:vAlign w:val="top"/>
                </w:tcPr>
                <w:p>
                  <w:pPr>
                    <w:keepNext w:val="0"/>
                    <w:keepLines w:val="0"/>
                    <w:widowControl/>
                    <w:suppressLineNumbers w:val="0"/>
                    <w:kinsoku w:val="0"/>
                    <w:autoSpaceDE w:val="0"/>
                    <w:autoSpaceDN w:val="0"/>
                    <w:adjustRightInd w:val="0"/>
                    <w:snapToGrid w:val="0"/>
                    <w:spacing w:before="61" w:beforeAutospacing="0" w:after="0" w:afterAutospacing="0"/>
                    <w:ind w:right="0" w:rightChars="0"/>
                    <w:jc w:val="left"/>
                    <w:textAlignment w:val="baseline"/>
                    <w:rPr>
                      <w:rFonts w:hint="default" w:ascii="Times New Roman" w:hAnsi="Times New Roman" w:cs="Times New Roman"/>
                      <w:color w:val="auto"/>
                      <w:sz w:val="21"/>
                      <w:szCs w:val="21"/>
                      <w:vertAlign w:val="baseline"/>
                    </w:rPr>
                  </w:pPr>
                  <w:r>
                    <w:rPr>
                      <w:rFonts w:hint="default" w:ascii="Times New Roman" w:hAnsi="Times New Roman" w:eastAsia="宋体" w:cs="Times New Roman"/>
                      <w:snapToGrid/>
                      <w:color w:val="auto"/>
                      <w:spacing w:val="-4"/>
                      <w:kern w:val="0"/>
                      <w:sz w:val="21"/>
                      <w:szCs w:val="21"/>
                      <w:lang w:val="en-US" w:eastAsia="zh-CN" w:bidi="ar"/>
                    </w:rPr>
                    <w:t>喷</w:t>
                  </w:r>
                  <w:r>
                    <w:rPr>
                      <w:rFonts w:hint="default" w:ascii="Times New Roman" w:hAnsi="Times New Roman" w:eastAsia="宋体" w:cs="Times New Roman"/>
                      <w:snapToGrid/>
                      <w:color w:val="auto"/>
                      <w:spacing w:val="-3"/>
                      <w:kern w:val="0"/>
                      <w:sz w:val="21"/>
                      <w:szCs w:val="21"/>
                      <w:lang w:val="en-US" w:eastAsia="zh-CN" w:bidi="ar"/>
                    </w:rPr>
                    <w:t>淋装置</w:t>
                  </w:r>
                </w:p>
              </w:tc>
              <w:tc>
                <w:tcPr>
                  <w:tcW w:w="1752" w:type="dxa"/>
                  <w:tcBorders>
                    <w:tl2br w:val="nil"/>
                    <w:tr2bl w:val="nil"/>
                  </w:tcBorders>
                  <w:noWrap w:val="0"/>
                  <w:vAlign w:val="top"/>
                </w:tcPr>
                <w:p>
                  <w:pPr>
                    <w:spacing w:before="62" w:line="220" w:lineRule="auto"/>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9"/>
                      <w:sz w:val="21"/>
                      <w:szCs w:val="21"/>
                    </w:rPr>
                    <w:t>喷头扬尘</w:t>
                  </w:r>
                  <w:r>
                    <w:rPr>
                      <w:rFonts w:hint="default" w:ascii="Times New Roman" w:hAnsi="Times New Roman" w:eastAsia="Times New Roman" w:cs="Times New Roman"/>
                      <w:color w:val="auto"/>
                      <w:spacing w:val="-9"/>
                      <w:sz w:val="21"/>
                      <w:szCs w:val="21"/>
                    </w:rPr>
                    <w:t>5m</w:t>
                  </w:r>
                </w:p>
              </w:tc>
              <w:tc>
                <w:tcPr>
                  <w:tcW w:w="1526" w:type="dxa"/>
                  <w:tcBorders>
                    <w:tl2br w:val="nil"/>
                    <w:tr2bl w:val="nil"/>
                  </w:tcBorders>
                  <w:noWrap w:val="0"/>
                  <w:vAlign w:val="top"/>
                </w:tcPr>
                <w:p>
                  <w:pPr>
                    <w:spacing w:before="100" w:line="186" w:lineRule="auto"/>
                    <w:ind w:left="523" w:leftChars="0"/>
                    <w:jc w:val="left"/>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4</w:t>
                  </w:r>
                </w:p>
              </w:tc>
              <w:tc>
                <w:tcPr>
                  <w:tcW w:w="1639" w:type="dxa"/>
                  <w:tcBorders>
                    <w:tl2br w:val="nil"/>
                    <w:tr2bl w:val="nil"/>
                  </w:tcBorders>
                  <w:noWrap w:val="0"/>
                  <w:vAlign w:val="top"/>
                </w:tcPr>
                <w:p>
                  <w:pPr>
                    <w:spacing w:before="62"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ind w:left="420" w:leftChars="200" w:firstLine="420" w:firstLineChars="200"/>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13</w:t>
                  </w:r>
                </w:p>
              </w:tc>
              <w:tc>
                <w:tcPr>
                  <w:tcW w:w="1638" w:type="dxa"/>
                  <w:tcBorders>
                    <w:tl2br w:val="nil"/>
                    <w:tr2bl w:val="nil"/>
                  </w:tcBorders>
                  <w:noWrap w:val="0"/>
                  <w:vAlign w:val="top"/>
                </w:tcPr>
                <w:p>
                  <w:pPr>
                    <w:keepNext w:val="0"/>
                    <w:keepLines w:val="0"/>
                    <w:widowControl/>
                    <w:suppressLineNumbers w:val="0"/>
                    <w:kinsoku w:val="0"/>
                    <w:autoSpaceDE w:val="0"/>
                    <w:autoSpaceDN w:val="0"/>
                    <w:adjustRightInd w:val="0"/>
                    <w:snapToGrid w:val="0"/>
                    <w:spacing w:before="60" w:beforeAutospacing="0" w:after="0" w:afterAutospacing="0"/>
                    <w:ind w:right="0" w:rightChars="0"/>
                    <w:jc w:val="left"/>
                    <w:textAlignment w:val="baseline"/>
                    <w:rPr>
                      <w:rFonts w:hint="default" w:ascii="Times New Roman" w:hAnsi="Times New Roman" w:cs="Times New Roman"/>
                      <w:color w:val="auto"/>
                      <w:sz w:val="21"/>
                      <w:szCs w:val="21"/>
                      <w:vertAlign w:val="baseline"/>
                    </w:rPr>
                  </w:pPr>
                  <w:r>
                    <w:rPr>
                      <w:rFonts w:hint="default" w:ascii="Times New Roman" w:hAnsi="Times New Roman" w:eastAsia="宋体" w:cs="Times New Roman"/>
                      <w:snapToGrid/>
                      <w:color w:val="auto"/>
                      <w:spacing w:val="-2"/>
                      <w:kern w:val="0"/>
                      <w:sz w:val="21"/>
                      <w:szCs w:val="21"/>
                      <w:lang w:val="en-US" w:eastAsia="zh-CN" w:bidi="ar"/>
                    </w:rPr>
                    <w:t>洗车</w:t>
                  </w:r>
                  <w:r>
                    <w:rPr>
                      <w:rFonts w:hint="default" w:ascii="Times New Roman" w:hAnsi="Times New Roman" w:eastAsia="宋体" w:cs="Times New Roman"/>
                      <w:snapToGrid/>
                      <w:color w:val="auto"/>
                      <w:spacing w:val="-1"/>
                      <w:kern w:val="0"/>
                      <w:sz w:val="21"/>
                      <w:szCs w:val="21"/>
                      <w:lang w:val="en-US" w:eastAsia="zh-CN" w:bidi="ar"/>
                    </w:rPr>
                    <w:t>台</w:t>
                  </w:r>
                </w:p>
              </w:tc>
              <w:tc>
                <w:tcPr>
                  <w:tcW w:w="1752" w:type="dxa"/>
                  <w:tcBorders>
                    <w:tl2br w:val="nil"/>
                    <w:tr2bl w:val="nil"/>
                  </w:tcBorders>
                  <w:noWrap w:val="0"/>
                  <w:vAlign w:val="top"/>
                </w:tcPr>
                <w:p>
                  <w:pPr>
                    <w:spacing w:before="99" w:line="186"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3"/>
                      <w:sz w:val="21"/>
                      <w:szCs w:val="21"/>
                    </w:rPr>
                    <w:t>80t</w:t>
                  </w:r>
                </w:p>
              </w:tc>
              <w:tc>
                <w:tcPr>
                  <w:tcW w:w="1526" w:type="dxa"/>
                  <w:tcBorders>
                    <w:tl2br w:val="nil"/>
                    <w:tr2bl w:val="nil"/>
                  </w:tcBorders>
                  <w:noWrap w:val="0"/>
                  <w:vAlign w:val="top"/>
                </w:tcPr>
                <w:p>
                  <w:pPr>
                    <w:spacing w:before="99"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0" w:line="221" w:lineRule="auto"/>
                    <w:ind w:left="498"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638" w:type="dxa"/>
                  <w:tcBorders>
                    <w:tl2br w:val="nil"/>
                    <w:tr2bl w:val="nil"/>
                  </w:tcBorders>
                  <w:noWrap w:val="0"/>
                  <w:vAlign w:val="top"/>
                </w:tcPr>
                <w:p>
                  <w:pPr>
                    <w:pStyle w:val="26"/>
                    <w:jc w:val="left"/>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14</w:t>
                  </w:r>
                </w:p>
              </w:tc>
              <w:tc>
                <w:tcPr>
                  <w:tcW w:w="1638" w:type="dxa"/>
                  <w:tcBorders>
                    <w:tl2br w:val="nil"/>
                    <w:tr2bl w:val="nil"/>
                  </w:tcBorders>
                  <w:noWrap w:val="0"/>
                  <w:vAlign w:val="top"/>
                </w:tcPr>
                <w:p>
                  <w:pPr>
                    <w:keepNext w:val="0"/>
                    <w:keepLines w:val="0"/>
                    <w:widowControl/>
                    <w:suppressLineNumbers w:val="0"/>
                    <w:kinsoku w:val="0"/>
                    <w:autoSpaceDE w:val="0"/>
                    <w:autoSpaceDN w:val="0"/>
                    <w:adjustRightInd w:val="0"/>
                    <w:snapToGrid w:val="0"/>
                    <w:spacing w:before="62" w:beforeAutospacing="0" w:after="0" w:afterAutospacing="0"/>
                    <w:ind w:right="0" w:rightChars="0"/>
                    <w:jc w:val="left"/>
                    <w:textAlignment w:val="baseline"/>
                    <w:rPr>
                      <w:rFonts w:hint="default" w:ascii="Times New Roman" w:hAnsi="Times New Roman" w:cs="Times New Roman"/>
                      <w:color w:val="auto"/>
                      <w:sz w:val="21"/>
                      <w:szCs w:val="21"/>
                      <w:vertAlign w:val="baseline"/>
                    </w:rPr>
                  </w:pPr>
                  <w:r>
                    <w:rPr>
                      <w:rFonts w:hint="default" w:ascii="Times New Roman" w:hAnsi="Times New Roman" w:eastAsia="宋体" w:cs="Times New Roman"/>
                      <w:snapToGrid/>
                      <w:color w:val="auto"/>
                      <w:spacing w:val="-3"/>
                      <w:kern w:val="0"/>
                      <w:sz w:val="21"/>
                      <w:szCs w:val="21"/>
                      <w:lang w:val="en-US" w:eastAsia="zh-CN" w:bidi="ar"/>
                    </w:rPr>
                    <w:t>地</w:t>
                  </w:r>
                  <w:r>
                    <w:rPr>
                      <w:rFonts w:hint="default" w:ascii="Times New Roman" w:hAnsi="Times New Roman" w:eastAsia="宋体" w:cs="Times New Roman"/>
                      <w:snapToGrid/>
                      <w:color w:val="auto"/>
                      <w:spacing w:val="-2"/>
                      <w:kern w:val="0"/>
                      <w:sz w:val="21"/>
                      <w:szCs w:val="21"/>
                      <w:lang w:val="en-US" w:eastAsia="zh-CN" w:bidi="ar"/>
                    </w:rPr>
                    <w:t>磅</w:t>
                  </w:r>
                </w:p>
              </w:tc>
              <w:tc>
                <w:tcPr>
                  <w:tcW w:w="1752" w:type="dxa"/>
                  <w:tcBorders>
                    <w:tl2br w:val="nil"/>
                    <w:tr2bl w:val="nil"/>
                  </w:tcBorders>
                  <w:noWrap w:val="0"/>
                  <w:vAlign w:val="top"/>
                </w:tcPr>
                <w:p>
                  <w:pPr>
                    <w:spacing w:before="100" w:line="186" w:lineRule="auto"/>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6"/>
                      <w:sz w:val="21"/>
                      <w:szCs w:val="21"/>
                    </w:rPr>
                    <w:t>100t</w:t>
                  </w:r>
                </w:p>
              </w:tc>
              <w:tc>
                <w:tcPr>
                  <w:tcW w:w="1526" w:type="dxa"/>
                  <w:tcBorders>
                    <w:tl2br w:val="nil"/>
                    <w:tr2bl w:val="nil"/>
                  </w:tcBorders>
                  <w:noWrap w:val="0"/>
                  <w:vAlign w:val="top"/>
                </w:tcPr>
                <w:p>
                  <w:pPr>
                    <w:spacing w:before="100" w:line="186" w:lineRule="auto"/>
                    <w:ind w:left="543" w:leftChars="0"/>
                    <w:jc w:val="left"/>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1</w:t>
                  </w:r>
                </w:p>
              </w:tc>
              <w:tc>
                <w:tcPr>
                  <w:tcW w:w="1639" w:type="dxa"/>
                  <w:tcBorders>
                    <w:tl2br w:val="nil"/>
                    <w:tr2bl w:val="nil"/>
                  </w:tcBorders>
                  <w:noWrap w:val="0"/>
                  <w:vAlign w:val="top"/>
                </w:tcPr>
                <w:p>
                  <w:pPr>
                    <w:spacing w:before="62" w:line="222" w:lineRule="auto"/>
                    <w:ind w:left="513" w:leftChars="0"/>
                    <w:jc w:val="left"/>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台</w:t>
                  </w:r>
                </w:p>
              </w:tc>
            </w:tr>
          </w:tbl>
          <w:p>
            <w:pPr>
              <w:adjustRightInd w:val="0"/>
              <w:spacing w:line="440" w:lineRule="exact"/>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6、</w:t>
            </w:r>
            <w:r>
              <w:rPr>
                <w:rFonts w:hint="default" w:ascii="Times New Roman" w:hAnsi="Times New Roman" w:cs="Times New Roman"/>
                <w:b/>
                <w:color w:val="auto"/>
                <w:sz w:val="24"/>
              </w:rPr>
              <w:t>主要原辅材料及能源消耗</w:t>
            </w:r>
          </w:p>
          <w:p>
            <w:pPr>
              <w:spacing w:line="440" w:lineRule="exact"/>
              <w:jc w:val="center"/>
              <w:rPr>
                <w:rFonts w:hint="default" w:ascii="Times New Roman" w:hAnsi="Times New Roman" w:cs="Times New Roman"/>
                <w:b/>
                <w:color w:val="auto"/>
                <w:sz w:val="24"/>
              </w:rPr>
            </w:pPr>
            <w:r>
              <w:rPr>
                <w:rFonts w:hint="default" w:ascii="Times New Roman" w:hAnsi="Times New Roman" w:cs="Times New Roman"/>
                <w:b/>
                <w:color w:val="auto"/>
                <w:sz w:val="24"/>
              </w:rPr>
              <w:t>表2-</w:t>
            </w:r>
            <w:r>
              <w:rPr>
                <w:rFonts w:hint="eastAsia" w:cs="Times New Roman"/>
                <w:b/>
                <w:color w:val="auto"/>
                <w:sz w:val="24"/>
                <w:lang w:val="en-US" w:eastAsia="zh-CN"/>
              </w:rPr>
              <w:t>6</w:t>
            </w:r>
            <w:r>
              <w:rPr>
                <w:rFonts w:hint="default" w:ascii="Times New Roman" w:hAnsi="Times New Roman" w:cs="Times New Roman"/>
                <w:b/>
                <w:color w:val="auto"/>
                <w:sz w:val="24"/>
              </w:rPr>
              <w:t>主要原辅材料及能源消耗一览表</w:t>
            </w:r>
          </w:p>
          <w:tbl>
            <w:tblPr>
              <w:tblStyle w:val="27"/>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65"/>
              <w:gridCol w:w="661"/>
              <w:gridCol w:w="915"/>
              <w:gridCol w:w="1413"/>
              <w:gridCol w:w="1310"/>
              <w:gridCol w:w="1613"/>
              <w:gridCol w:w="16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078" w:hRule="atLeast"/>
                <w:jc w:val="center"/>
              </w:trPr>
              <w:tc>
                <w:tcPr>
                  <w:tcW w:w="406" w:type="pct"/>
                  <w:tcBorders>
                    <w:tl2br w:val="nil"/>
                    <w:tr2bl w:val="nil"/>
                  </w:tcBorders>
                  <w:noWrap w:val="0"/>
                  <w:vAlign w:val="center"/>
                </w:tcPr>
                <w:p>
                  <w:pPr>
                    <w:keepNext w:val="0"/>
                    <w:keepLines w:val="0"/>
                    <w:pageBreakBefore w:val="0"/>
                    <w:widowControl/>
                    <w:kinsoku/>
                    <w:wordWrap/>
                    <w:overflowPunct/>
                    <w:topLinePunct w:val="0"/>
                    <w:autoSpaceDE w:val="0"/>
                    <w:autoSpaceDN/>
                    <w:bidi w:val="0"/>
                    <w:adjustRightInd/>
                    <w:snapToGrid/>
                    <w:spacing w:line="240" w:lineRule="atLeast"/>
                    <w:ind w:left="0" w:firstLine="0"/>
                    <w:jc w:val="center"/>
                    <w:textAlignment w:val="auto"/>
                    <w:rPr>
                      <w:rFonts w:hint="default" w:ascii="Times New Roman" w:hAnsi="Times New Roman" w:eastAsia="宋体" w:cs="Times New Roman"/>
                      <w:b/>
                      <w:bCs/>
                      <w:color w:val="auto"/>
                      <w:kern w:val="0"/>
                      <w:sz w:val="21"/>
                      <w:szCs w:val="21"/>
                      <w:lang w:eastAsia="zh-CN"/>
                    </w:rPr>
                  </w:pPr>
                  <w:r>
                    <w:rPr>
                      <w:rFonts w:hint="default" w:ascii="Times New Roman" w:hAnsi="Times New Roman" w:eastAsia="宋体" w:cs="Times New Roman"/>
                      <w:b/>
                      <w:bCs/>
                      <w:color w:val="auto"/>
                      <w:kern w:val="0"/>
                      <w:sz w:val="21"/>
                      <w:szCs w:val="21"/>
                      <w:lang w:val="en-US" w:eastAsia="zh-CN"/>
                    </w:rPr>
                    <w:t>序号</w:t>
                  </w:r>
                </w:p>
              </w:tc>
              <w:tc>
                <w:tcPr>
                  <w:tcW w:w="403"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leftChars="0" w:firstLine="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pacing w:val="-1"/>
                      <w:sz w:val="21"/>
                      <w:szCs w:val="21"/>
                    </w:rPr>
                    <w:t>材料类型</w:t>
                  </w:r>
                </w:p>
              </w:tc>
              <w:tc>
                <w:tcPr>
                  <w:tcW w:w="558"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firstLine="0"/>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eastAsia="宋体" w:cs="Times New Roman"/>
                      <w:b/>
                      <w:bCs/>
                      <w:color w:val="auto"/>
                      <w:spacing w:val="-3"/>
                      <w:sz w:val="21"/>
                      <w:szCs w:val="21"/>
                    </w:rPr>
                    <w:t>名</w:t>
                  </w:r>
                  <w:r>
                    <w:rPr>
                      <w:rFonts w:hint="default" w:ascii="Times New Roman" w:hAnsi="Times New Roman" w:eastAsia="宋体" w:cs="Times New Roman"/>
                      <w:b/>
                      <w:bCs/>
                      <w:color w:val="auto"/>
                      <w:spacing w:val="-2"/>
                      <w:sz w:val="21"/>
                      <w:szCs w:val="21"/>
                    </w:rPr>
                    <w:t>称</w:t>
                  </w:r>
                </w:p>
              </w:tc>
              <w:tc>
                <w:tcPr>
                  <w:tcW w:w="862"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leftChars="0" w:firstLine="0" w:firstLineChars="0"/>
                    <w:jc w:val="center"/>
                    <w:textAlignment w:val="auto"/>
                    <w:rPr>
                      <w:rFonts w:hint="default" w:ascii="Times New Roman" w:hAnsi="Times New Roman" w:eastAsia="宋体" w:cs="Times New Roman"/>
                      <w:b/>
                      <w:bCs/>
                      <w:color w:val="auto"/>
                      <w:kern w:val="0"/>
                      <w:sz w:val="21"/>
                      <w:szCs w:val="21"/>
                      <w:lang w:val="en-US" w:eastAsia="zh-CN"/>
                    </w:rPr>
                  </w:pPr>
                  <w:r>
                    <w:rPr>
                      <w:rFonts w:hint="default" w:ascii="Times New Roman" w:hAnsi="Times New Roman" w:cs="Times New Roman"/>
                      <w:b/>
                      <w:bCs/>
                      <w:color w:val="auto"/>
                      <w:spacing w:val="-9"/>
                      <w:sz w:val="21"/>
                      <w:szCs w:val="21"/>
                      <w:lang w:val="en-US" w:eastAsia="zh-CN"/>
                    </w:rPr>
                    <w:t>状态</w:t>
                  </w:r>
                  <w:r>
                    <w:rPr>
                      <w:rFonts w:hint="default" w:ascii="Times New Roman" w:hAnsi="Times New Roman" w:eastAsia="宋体" w:cs="Times New Roman"/>
                      <w:b/>
                      <w:bCs/>
                      <w:color w:val="auto"/>
                      <w:spacing w:val="-6"/>
                      <w:sz w:val="21"/>
                      <w:szCs w:val="21"/>
                    </w:rPr>
                    <w:t>、规格</w:t>
                  </w:r>
                </w:p>
              </w:tc>
              <w:tc>
                <w:tcPr>
                  <w:tcW w:w="799"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leftChars="0" w:firstLine="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pacing w:val="-2"/>
                      <w:sz w:val="21"/>
                      <w:szCs w:val="21"/>
                    </w:rPr>
                    <w:t>年用</w:t>
                  </w:r>
                  <w:r>
                    <w:rPr>
                      <w:rFonts w:hint="default" w:ascii="Times New Roman" w:hAnsi="Times New Roman" w:eastAsia="宋体" w:cs="Times New Roman"/>
                      <w:b/>
                      <w:bCs/>
                      <w:color w:val="auto"/>
                      <w:spacing w:val="-1"/>
                      <w:sz w:val="21"/>
                      <w:szCs w:val="21"/>
                    </w:rPr>
                    <w:t>量</w:t>
                  </w:r>
                </w:p>
              </w:tc>
              <w:tc>
                <w:tcPr>
                  <w:tcW w:w="984"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leftChars="0" w:firstLine="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pacing w:val="-2"/>
                      <w:sz w:val="21"/>
                      <w:szCs w:val="21"/>
                    </w:rPr>
                    <w:t>最大储</w:t>
                  </w:r>
                  <w:r>
                    <w:rPr>
                      <w:rFonts w:hint="default" w:ascii="Times New Roman" w:hAnsi="Times New Roman" w:eastAsia="宋体" w:cs="Times New Roman"/>
                      <w:b/>
                      <w:bCs/>
                      <w:color w:val="auto"/>
                      <w:spacing w:val="-1"/>
                      <w:sz w:val="21"/>
                      <w:szCs w:val="21"/>
                    </w:rPr>
                    <w:t>存量</w:t>
                  </w:r>
                </w:p>
              </w:tc>
              <w:tc>
                <w:tcPr>
                  <w:tcW w:w="984" w:type="pct"/>
                  <w:tcBorders>
                    <w:tl2br w:val="nil"/>
                    <w:tr2bl w:val="nil"/>
                  </w:tcBorders>
                  <w:noWrap w:val="0"/>
                  <w:vAlign w:val="center"/>
                </w:tcPr>
                <w:p>
                  <w:pPr>
                    <w:keepNext w:val="0"/>
                    <w:keepLines w:val="0"/>
                    <w:pageBreakBefore w:val="0"/>
                    <w:kinsoku/>
                    <w:wordWrap/>
                    <w:overflowPunct/>
                    <w:topLinePunct w:val="0"/>
                    <w:autoSpaceDN/>
                    <w:bidi w:val="0"/>
                    <w:adjustRightInd/>
                    <w:snapToGrid/>
                    <w:spacing w:line="240" w:lineRule="atLeast"/>
                    <w:ind w:left="0" w:leftChars="0" w:firstLine="0"/>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spacing w:val="-3"/>
                      <w:sz w:val="21"/>
                      <w:szCs w:val="21"/>
                    </w:rPr>
                    <w:t>单</w:t>
                  </w:r>
                  <w:r>
                    <w:rPr>
                      <w:rFonts w:hint="default" w:ascii="Times New Roman" w:hAnsi="Times New Roman" w:eastAsia="宋体" w:cs="Times New Roman"/>
                      <w:b/>
                      <w:bCs/>
                      <w:color w:val="auto"/>
                      <w:spacing w:val="-2"/>
                      <w:sz w:val="21"/>
                      <w:szCs w:val="21"/>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5" w:hRule="atLeast"/>
                <w:jc w:val="center"/>
              </w:trPr>
              <w:tc>
                <w:tcPr>
                  <w:tcW w:w="406" w:type="pct"/>
                  <w:tcBorders>
                    <w:tl2br w:val="nil"/>
                    <w:tr2bl w:val="nil"/>
                  </w:tcBorders>
                  <w:noWrap w:val="0"/>
                  <w:vAlign w:val="center"/>
                </w:tcPr>
                <w:p>
                  <w:pPr>
                    <w:widowControl/>
                    <w:autoSpaceDE w:val="0"/>
                    <w:spacing w:line="340" w:lineRule="exact"/>
                    <w:ind w:left="10" w:hanging="10" w:hangingChars="5"/>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1</w:t>
                  </w:r>
                </w:p>
              </w:tc>
              <w:tc>
                <w:tcPr>
                  <w:tcW w:w="403" w:type="pct"/>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rPr>
                    <w:t>原</w:t>
                  </w:r>
                  <w:r>
                    <w:rPr>
                      <w:rFonts w:hint="default" w:ascii="Times New Roman" w:hAnsi="Times New Roman" w:eastAsia="宋体" w:cs="Times New Roman"/>
                      <w:color w:val="auto"/>
                      <w:spacing w:val="-2"/>
                      <w:sz w:val="21"/>
                      <w:szCs w:val="21"/>
                    </w:rPr>
                    <w:t>辅材料</w:t>
                  </w:r>
                </w:p>
              </w:tc>
              <w:tc>
                <w:tcPr>
                  <w:tcW w:w="55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4"/>
                      <w:sz w:val="21"/>
                      <w:szCs w:val="21"/>
                    </w:rPr>
                    <w:t>页</w:t>
                  </w:r>
                  <w:r>
                    <w:rPr>
                      <w:rFonts w:hint="default" w:ascii="Times New Roman" w:hAnsi="Times New Roman" w:eastAsia="宋体" w:cs="Times New Roman"/>
                      <w:color w:val="auto"/>
                      <w:spacing w:val="-3"/>
                      <w:sz w:val="21"/>
                      <w:szCs w:val="21"/>
                    </w:rPr>
                    <w:t>岩</w:t>
                  </w:r>
                </w:p>
              </w:tc>
              <w:tc>
                <w:tcPr>
                  <w:tcW w:w="86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11"/>
                      <w:sz w:val="21"/>
                      <w:szCs w:val="21"/>
                    </w:rPr>
                    <w:t>粒</w:t>
                  </w:r>
                  <w:r>
                    <w:rPr>
                      <w:rFonts w:hint="default" w:ascii="Times New Roman" w:hAnsi="Times New Roman" w:eastAsia="宋体" w:cs="Times New Roman"/>
                      <w:color w:val="auto"/>
                      <w:spacing w:val="-6"/>
                      <w:sz w:val="21"/>
                      <w:szCs w:val="21"/>
                    </w:rPr>
                    <w:t>径5-20mm</w:t>
                  </w:r>
                </w:p>
              </w:tc>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5"/>
                      <w:sz w:val="21"/>
                      <w:szCs w:val="21"/>
                    </w:rPr>
                    <w:t>19000</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2"/>
                      <w:sz w:val="21"/>
                      <w:szCs w:val="21"/>
                    </w:rPr>
                    <w:t>4</w:t>
                  </w:r>
                  <w:r>
                    <w:rPr>
                      <w:rFonts w:hint="default" w:ascii="Times New Roman" w:hAnsi="Times New Roman" w:eastAsia="宋体" w:cs="Times New Roman"/>
                      <w:color w:val="auto"/>
                      <w:spacing w:val="-1"/>
                      <w:sz w:val="21"/>
                      <w:szCs w:val="21"/>
                    </w:rPr>
                    <w:t>00</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5" w:hRule="atLeast"/>
                <w:jc w:val="center"/>
              </w:trPr>
              <w:tc>
                <w:tcPr>
                  <w:tcW w:w="406" w:type="pct"/>
                  <w:tcBorders>
                    <w:tl2br w:val="nil"/>
                    <w:tr2bl w:val="nil"/>
                  </w:tcBorders>
                  <w:noWrap w:val="0"/>
                  <w:vAlign w:val="center"/>
                </w:tcPr>
                <w:p>
                  <w:pPr>
                    <w:widowControl/>
                    <w:autoSpaceDE w:val="0"/>
                    <w:spacing w:line="340" w:lineRule="exact"/>
                    <w:ind w:left="10" w:hanging="10" w:hangingChars="5"/>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2</w:t>
                  </w:r>
                </w:p>
              </w:tc>
              <w:tc>
                <w:tcPr>
                  <w:tcW w:w="403" w:type="pct"/>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4"/>
                      <w:sz w:val="21"/>
                      <w:szCs w:val="21"/>
                    </w:rPr>
                  </w:pPr>
                </w:p>
              </w:tc>
              <w:tc>
                <w:tcPr>
                  <w:tcW w:w="55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4"/>
                      <w:sz w:val="21"/>
                      <w:szCs w:val="21"/>
                      <w:lang w:val="en-US" w:eastAsia="zh-CN"/>
                    </w:rPr>
                  </w:pPr>
                  <w:r>
                    <w:rPr>
                      <w:rFonts w:hint="default" w:ascii="Times New Roman" w:hAnsi="Times New Roman" w:cs="Times New Roman"/>
                      <w:color w:val="auto"/>
                      <w:spacing w:val="-4"/>
                      <w:sz w:val="21"/>
                      <w:szCs w:val="21"/>
                      <w:lang w:val="en-US" w:eastAsia="zh-CN"/>
                    </w:rPr>
                    <w:t>水泥</w:t>
                  </w:r>
                </w:p>
              </w:tc>
              <w:tc>
                <w:tcPr>
                  <w:tcW w:w="86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11"/>
                      <w:sz w:val="21"/>
                      <w:szCs w:val="21"/>
                    </w:rPr>
                  </w:pPr>
                  <w:r>
                    <w:rPr>
                      <w:rFonts w:hint="default" w:ascii="Times New Roman" w:hAnsi="Times New Roman" w:eastAsia="宋体" w:cs="Times New Roman"/>
                      <w:color w:val="auto"/>
                      <w:spacing w:val="-11"/>
                      <w:sz w:val="21"/>
                      <w:szCs w:val="21"/>
                      <w:lang w:val="en-US" w:eastAsia="zh-CN"/>
                    </w:rPr>
                    <w:t>粉末状</w:t>
                  </w:r>
                </w:p>
              </w:tc>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5"/>
                      <w:sz w:val="21"/>
                      <w:szCs w:val="21"/>
                      <w:lang w:val="en-US" w:eastAsia="zh-CN"/>
                    </w:rPr>
                  </w:pPr>
                  <w:r>
                    <w:rPr>
                      <w:rFonts w:hint="default" w:ascii="Times New Roman" w:hAnsi="Times New Roman" w:cs="Times New Roman"/>
                      <w:color w:val="auto"/>
                      <w:spacing w:val="-5"/>
                      <w:sz w:val="21"/>
                      <w:szCs w:val="21"/>
                      <w:lang w:val="en-US" w:eastAsia="zh-CN"/>
                    </w:rPr>
                    <w:t>1000</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2"/>
                      <w:sz w:val="21"/>
                      <w:szCs w:val="21"/>
                      <w:lang w:val="en-US" w:eastAsia="zh-CN"/>
                    </w:rPr>
                  </w:pPr>
                  <w:r>
                    <w:rPr>
                      <w:rFonts w:hint="default" w:ascii="Times New Roman" w:hAnsi="Times New Roman" w:cs="Times New Roman"/>
                      <w:color w:val="auto"/>
                      <w:spacing w:val="-2"/>
                      <w:sz w:val="21"/>
                      <w:szCs w:val="21"/>
                      <w:lang w:val="en-US" w:eastAsia="zh-CN"/>
                    </w:rPr>
                    <w:t>100</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3" w:hRule="atLeast"/>
                <w:jc w:val="center"/>
              </w:trPr>
              <w:tc>
                <w:tcPr>
                  <w:tcW w:w="406" w:type="pct"/>
                  <w:tcBorders>
                    <w:tl2br w:val="nil"/>
                    <w:tr2bl w:val="nil"/>
                  </w:tcBorders>
                  <w:noWrap w:val="0"/>
                  <w:vAlign w:val="center"/>
                </w:tcPr>
                <w:p>
                  <w:pPr>
                    <w:widowControl/>
                    <w:autoSpaceDE w:val="0"/>
                    <w:spacing w:line="340" w:lineRule="exact"/>
                    <w:ind w:left="10" w:hanging="10" w:hangingChars="5"/>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3</w:t>
                  </w:r>
                </w:p>
              </w:tc>
              <w:tc>
                <w:tcPr>
                  <w:tcW w:w="403" w:type="pct"/>
                  <w:vMerge w:val="restart"/>
                  <w:tcBorders>
                    <w:tl2br w:val="nil"/>
                    <w:tr2bl w:val="nil"/>
                  </w:tcBorders>
                  <w:noWrap w:val="0"/>
                  <w:vAlign w:val="center"/>
                </w:tcPr>
                <w:p>
                  <w:pPr>
                    <w:autoSpaceDE w:val="0"/>
                    <w:adjustRightInd w:val="0"/>
                    <w:snapToGrid w:val="0"/>
                    <w:spacing w:line="360" w:lineRule="exact"/>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sz w:val="21"/>
                      <w:szCs w:val="21"/>
                      <w:lang w:val="en-US" w:eastAsia="zh-CN"/>
                    </w:rPr>
                    <w:t>能源</w:t>
                  </w:r>
                </w:p>
              </w:tc>
              <w:tc>
                <w:tcPr>
                  <w:tcW w:w="55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水</w:t>
                  </w:r>
                </w:p>
              </w:tc>
              <w:tc>
                <w:tcPr>
                  <w:tcW w:w="86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position w:val="1"/>
                      <w:sz w:val="21"/>
                      <w:szCs w:val="21"/>
                    </w:rPr>
                    <w:t>/</w:t>
                  </w:r>
                </w:p>
              </w:tc>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pacing w:val="-3"/>
                      <w:sz w:val="21"/>
                      <w:szCs w:val="21"/>
                    </w:rPr>
                    <w:t>3</w:t>
                  </w:r>
                  <w:r>
                    <w:rPr>
                      <w:rFonts w:hint="default" w:ascii="Times New Roman" w:hAnsi="Times New Roman" w:eastAsia="宋体" w:cs="Times New Roman"/>
                      <w:color w:val="auto"/>
                      <w:spacing w:val="-2"/>
                      <w:sz w:val="21"/>
                      <w:szCs w:val="21"/>
                    </w:rPr>
                    <w:t>312</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position w:val="1"/>
                      <w:sz w:val="21"/>
                      <w:szCs w:val="21"/>
                    </w:rPr>
                    <w:t>/</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1"/>
                      <w:position w:val="-3"/>
                      <w:sz w:val="21"/>
                      <w:szCs w:val="21"/>
                    </w:rPr>
                    <w:t>M</w:t>
                  </w:r>
                  <w:r>
                    <w:rPr>
                      <w:rFonts w:hint="default" w:ascii="Times New Roman" w:hAnsi="Times New Roman" w:cs="Times New Roman"/>
                      <w:color w:val="auto"/>
                      <w:spacing w:val="-1"/>
                      <w:position w:val="-3"/>
                      <w:sz w:val="21"/>
                      <w:szCs w:val="21"/>
                      <w:vertAlign w:val="superscript"/>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520" w:hRule="atLeast"/>
                <w:jc w:val="center"/>
              </w:trPr>
              <w:tc>
                <w:tcPr>
                  <w:tcW w:w="406" w:type="pct"/>
                  <w:tcBorders>
                    <w:tl2br w:val="nil"/>
                    <w:tr2bl w:val="nil"/>
                  </w:tcBorders>
                  <w:noWrap w:val="0"/>
                  <w:vAlign w:val="center"/>
                </w:tcPr>
                <w:p>
                  <w:pPr>
                    <w:widowControl/>
                    <w:autoSpaceDE w:val="0"/>
                    <w:spacing w:line="340" w:lineRule="exact"/>
                    <w:ind w:left="10" w:hanging="10" w:hangingChars="5"/>
                    <w:jc w:val="center"/>
                    <w:rPr>
                      <w:rFonts w:hint="default" w:ascii="Times New Roman" w:hAnsi="Times New Roman" w:eastAsia="宋体" w:cs="Times New Roman"/>
                      <w:color w:val="auto"/>
                      <w:kern w:val="0"/>
                      <w:sz w:val="21"/>
                      <w:szCs w:val="21"/>
                      <w:lang w:val="en-US" w:eastAsia="zh-CN"/>
                    </w:rPr>
                  </w:pPr>
                  <w:r>
                    <w:rPr>
                      <w:rFonts w:hint="eastAsia" w:cs="Times New Roman"/>
                      <w:color w:val="auto"/>
                      <w:kern w:val="0"/>
                      <w:sz w:val="21"/>
                      <w:szCs w:val="21"/>
                      <w:lang w:val="en-US" w:eastAsia="zh-CN"/>
                    </w:rPr>
                    <w:t>4</w:t>
                  </w:r>
                </w:p>
              </w:tc>
              <w:tc>
                <w:tcPr>
                  <w:tcW w:w="403" w:type="pct"/>
                  <w:vMerge w:val="continue"/>
                  <w:tcBorders>
                    <w:tl2br w:val="nil"/>
                    <w:tr2bl w:val="nil"/>
                  </w:tcBorders>
                  <w:noWrap w:val="0"/>
                  <w:vAlign w:val="center"/>
                </w:tcPr>
                <w:p>
                  <w:pPr>
                    <w:autoSpaceDE w:val="0"/>
                    <w:adjustRightInd w:val="0"/>
                    <w:snapToGrid w:val="0"/>
                    <w:spacing w:line="360" w:lineRule="exact"/>
                    <w:jc w:val="center"/>
                    <w:rPr>
                      <w:rFonts w:hint="default" w:ascii="Times New Roman" w:hAnsi="Times New Roman" w:eastAsia="宋体" w:cs="Times New Roman"/>
                      <w:color w:val="auto"/>
                      <w:kern w:val="0"/>
                      <w:sz w:val="21"/>
                      <w:szCs w:val="21"/>
                      <w:lang w:val="en-US" w:eastAsia="zh-CN"/>
                    </w:rPr>
                  </w:pPr>
                </w:p>
              </w:tc>
              <w:tc>
                <w:tcPr>
                  <w:tcW w:w="558"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电</w:t>
                  </w:r>
                </w:p>
              </w:tc>
              <w:tc>
                <w:tcPr>
                  <w:tcW w:w="862"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position w:val="1"/>
                      <w:sz w:val="21"/>
                      <w:szCs w:val="21"/>
                    </w:rPr>
                    <w:t>/</w:t>
                  </w:r>
                </w:p>
              </w:tc>
              <w:tc>
                <w:tcPr>
                  <w:tcW w:w="79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2"/>
                      <w:sz w:val="21"/>
                      <w:szCs w:val="21"/>
                    </w:rPr>
                    <w:t>2</w:t>
                  </w:r>
                  <w:r>
                    <w:rPr>
                      <w:rFonts w:hint="default" w:ascii="Times New Roman" w:hAnsi="Times New Roman" w:eastAsia="宋体" w:cs="Times New Roman"/>
                      <w:color w:val="auto"/>
                      <w:spacing w:val="-1"/>
                      <w:sz w:val="21"/>
                      <w:szCs w:val="21"/>
                    </w:rPr>
                    <w:t>00</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position w:val="1"/>
                      <w:sz w:val="21"/>
                      <w:szCs w:val="21"/>
                    </w:rPr>
                    <w:t>/</w:t>
                  </w:r>
                </w:p>
              </w:tc>
              <w:tc>
                <w:tcPr>
                  <w:tcW w:w="984"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pacing w:val="-13"/>
                      <w:sz w:val="21"/>
                      <w:szCs w:val="21"/>
                    </w:rPr>
                    <w:t>万kWh</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原辅材料理化性质：</w:t>
            </w:r>
          </w:p>
          <w:p>
            <w:pPr>
              <w:spacing w:line="360" w:lineRule="auto"/>
              <w:ind w:firstLine="480" w:firstLineChars="200"/>
              <w:rPr>
                <w:rFonts w:hint="default" w:ascii="Times New Roman" w:hAnsi="Times New Roman" w:eastAsia="宋体" w:cs="Times New Roman"/>
                <w:snapToGrid/>
                <w:color w:val="auto"/>
                <w:spacing w:val="0"/>
                <w:kern w:val="0"/>
                <w:sz w:val="24"/>
                <w:szCs w:val="24"/>
                <w:lang w:val="en-US" w:eastAsia="zh-CN" w:bidi="ar"/>
              </w:rPr>
            </w:pPr>
            <w:r>
              <w:rPr>
                <w:rFonts w:hint="default" w:ascii="Times New Roman" w:hAnsi="Times New Roman" w:eastAsia="宋体" w:cs="Times New Roman"/>
                <w:snapToGrid/>
                <w:color w:val="auto"/>
                <w:spacing w:val="0"/>
                <w:kern w:val="0"/>
                <w:sz w:val="24"/>
                <w:szCs w:val="24"/>
                <w:lang w:val="en-US" w:eastAsia="zh-CN" w:bidi="ar"/>
              </w:rPr>
              <w:t>（</w:t>
            </w:r>
            <w:r>
              <w:rPr>
                <w:rFonts w:hint="default" w:ascii="Times New Roman" w:hAnsi="Times New Roman" w:cs="Times New Roman"/>
                <w:snapToGrid/>
                <w:color w:val="auto"/>
                <w:spacing w:val="0"/>
                <w:kern w:val="0"/>
                <w:sz w:val="24"/>
                <w:szCs w:val="24"/>
                <w:lang w:val="en-US" w:eastAsia="zh-CN" w:bidi="ar"/>
              </w:rPr>
              <w:t>1</w:t>
            </w:r>
            <w:r>
              <w:rPr>
                <w:rFonts w:hint="default" w:ascii="Times New Roman" w:hAnsi="Times New Roman" w:eastAsia="宋体" w:cs="Times New Roman"/>
                <w:snapToGrid/>
                <w:color w:val="auto"/>
                <w:spacing w:val="0"/>
                <w:kern w:val="0"/>
                <w:sz w:val="24"/>
                <w:szCs w:val="24"/>
                <w:lang w:val="en-US" w:eastAsia="zh-CN" w:bidi="ar"/>
              </w:rPr>
              <w:t>）水泥:粉状水硬性无机胶凝材料，主要成分是硅酸盐，加水搅拌后成浆体，</w:t>
            </w:r>
            <w:r>
              <w:rPr>
                <w:rFonts w:hint="default" w:ascii="Times New Roman" w:hAnsi="Times New Roman" w:eastAsia="宋体" w:cs="Times New Roman"/>
                <w:snapToGrid/>
                <w:color w:val="auto"/>
                <w:spacing w:val="0"/>
                <w:kern w:val="0"/>
                <w:sz w:val="24"/>
                <w:szCs w:val="24"/>
                <w:lang w:val="en-US" w:eastAsia="zh-CN" w:bidi="ar"/>
              </w:rPr>
              <w:t>能在空气中硬化或者在水中更好的硬化，并能把砂、石等材料牢固地胶结在一起</w:t>
            </w:r>
            <w:r>
              <w:rPr>
                <w:rFonts w:hint="default" w:ascii="Times New Roman" w:hAnsi="Times New Roman" w:cs="Times New Roman"/>
                <w:snapToGrid/>
                <w:color w:val="auto"/>
                <w:spacing w:val="0"/>
                <w:kern w:val="0"/>
                <w:sz w:val="24"/>
                <w:szCs w:val="24"/>
                <w:lang w:val="en-US" w:eastAsia="zh-CN" w:bidi="ar"/>
              </w:rPr>
              <w:t>，密度大约3100kg/m</w:t>
            </w:r>
            <w:r>
              <w:rPr>
                <w:rFonts w:hint="default" w:ascii="Times New Roman" w:hAnsi="Times New Roman" w:cs="Times New Roman"/>
                <w:snapToGrid/>
                <w:color w:val="auto"/>
                <w:spacing w:val="0"/>
                <w:kern w:val="0"/>
                <w:sz w:val="24"/>
                <w:szCs w:val="24"/>
                <w:vertAlign w:val="superscript"/>
                <w:lang w:val="en-US" w:eastAsia="zh-CN" w:bidi="ar"/>
              </w:rPr>
              <w:t>3,</w:t>
            </w:r>
            <w:r>
              <w:rPr>
                <w:rFonts w:hint="default" w:ascii="Times New Roman" w:hAnsi="Times New Roman" w:eastAsia="宋体" w:cs="Times New Roman"/>
                <w:color w:val="auto"/>
                <w:sz w:val="24"/>
                <w:szCs w:val="24"/>
              </w:rPr>
              <w:t>硅酸盐水泥的主要化学成分：氧化钙CaO，二氧化硅SiO</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，三氧化二铁Fe</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O</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，三氧化二铝Al</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O</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w:t>
            </w:r>
          </w:p>
          <w:p>
            <w:pPr>
              <w:spacing w:line="360" w:lineRule="auto"/>
              <w:ind w:firstLine="480" w:firstLineChars="200"/>
              <w:rPr>
                <w:rFonts w:hint="default" w:ascii="Times New Roman" w:hAnsi="Times New Roman" w:cs="Times New Roman"/>
                <w:snapToGrid/>
                <w:color w:val="auto"/>
                <w:spacing w:val="0"/>
                <w:kern w:val="0"/>
                <w:sz w:val="24"/>
                <w:szCs w:val="24"/>
                <w:lang w:val="en-US" w:eastAsia="zh-CN" w:bidi="ar"/>
              </w:rPr>
            </w:pPr>
            <w:r>
              <w:rPr>
                <w:rFonts w:hint="default" w:ascii="Times New Roman" w:hAnsi="Times New Roman" w:eastAsia="宋体" w:cs="Times New Roman"/>
                <w:snapToGrid/>
                <w:color w:val="auto"/>
                <w:spacing w:val="0"/>
                <w:kern w:val="0"/>
                <w:sz w:val="24"/>
                <w:szCs w:val="24"/>
                <w:lang w:val="en-US" w:eastAsia="zh-CN" w:bidi="ar"/>
              </w:rPr>
              <w:t>（2）</w:t>
            </w:r>
            <w:r>
              <w:rPr>
                <w:rFonts w:hint="default" w:ascii="Times New Roman" w:hAnsi="Times New Roman" w:cs="Times New Roman"/>
                <w:snapToGrid/>
                <w:color w:val="auto"/>
                <w:spacing w:val="0"/>
                <w:kern w:val="0"/>
                <w:sz w:val="24"/>
                <w:szCs w:val="24"/>
                <w:lang w:val="en-US" w:eastAsia="zh-CN" w:bidi="ar"/>
              </w:rPr>
              <w:t>页岩:页岩由黏土脱水胶结而成的岩石。以黏土类矿物（高岭石、水云母等）为主，具有明显的薄层理构造。按成分不同，分炭质页岩、钙质页岩、砂质页岩、硅质页岩等。页岩的硬度一般为</w:t>
            </w:r>
            <w:r>
              <w:rPr>
                <w:rFonts w:hint="default" w:ascii="Times New Roman" w:hAnsi="Times New Roman" w:cs="Times New Roman"/>
                <w:snapToGrid/>
                <w:color w:val="auto"/>
                <w:spacing w:val="0"/>
                <w:kern w:val="0"/>
                <w:sz w:val="24"/>
                <w:szCs w:val="24"/>
                <w:lang w:val="en-US" w:eastAsia="zh-CN" w:bidi="ar"/>
              </w:rPr>
              <w:fldChar w:fldCharType="begin"/>
            </w:r>
            <w:r>
              <w:rPr>
                <w:rFonts w:hint="default" w:ascii="Times New Roman" w:hAnsi="Times New Roman" w:cs="Times New Roman"/>
                <w:snapToGrid/>
                <w:color w:val="auto"/>
                <w:spacing w:val="0"/>
                <w:kern w:val="0"/>
                <w:sz w:val="24"/>
                <w:szCs w:val="24"/>
                <w:lang w:val="en-US" w:eastAsia="zh-CN" w:bidi="ar"/>
              </w:rPr>
              <w:instrText xml:space="preserve"> HYPERLINK "https://baike.baidu.com/item/%E6%99%AE%E6%B0%8F%E7%A1%AC%E5%BA%A6" \t "https://baike.baidu.com/item/%E9%A1%B5%E5%B2%A9/_blank" </w:instrText>
            </w:r>
            <w:r>
              <w:rPr>
                <w:rFonts w:hint="default" w:ascii="Times New Roman" w:hAnsi="Times New Roman" w:cs="Times New Roman"/>
                <w:snapToGrid/>
                <w:color w:val="auto"/>
                <w:spacing w:val="0"/>
                <w:kern w:val="0"/>
                <w:sz w:val="24"/>
                <w:szCs w:val="24"/>
                <w:lang w:val="en-US" w:eastAsia="zh-CN" w:bidi="ar"/>
              </w:rPr>
              <w:fldChar w:fldCharType="separate"/>
            </w:r>
            <w:r>
              <w:rPr>
                <w:rFonts w:hint="default" w:ascii="Times New Roman" w:hAnsi="Times New Roman" w:cs="Times New Roman"/>
                <w:snapToGrid/>
                <w:color w:val="auto"/>
                <w:spacing w:val="0"/>
                <w:kern w:val="0"/>
                <w:sz w:val="24"/>
                <w:szCs w:val="24"/>
                <w:lang w:val="en-US" w:eastAsia="zh-CN" w:bidi="ar"/>
              </w:rPr>
              <w:t>普氏硬度</w:t>
            </w:r>
            <w:r>
              <w:rPr>
                <w:rFonts w:hint="default" w:ascii="Times New Roman" w:hAnsi="Times New Roman" w:cs="Times New Roman"/>
                <w:snapToGrid/>
                <w:color w:val="auto"/>
                <w:spacing w:val="0"/>
                <w:kern w:val="0"/>
                <w:sz w:val="24"/>
                <w:szCs w:val="24"/>
                <w:lang w:val="en-US" w:eastAsia="zh-CN" w:bidi="ar"/>
              </w:rPr>
              <w:fldChar w:fldCharType="end"/>
            </w:r>
            <w:r>
              <w:rPr>
                <w:rFonts w:hint="default" w:ascii="Times New Roman" w:hAnsi="Times New Roman" w:cs="Times New Roman"/>
                <w:snapToGrid/>
                <w:color w:val="auto"/>
                <w:spacing w:val="0"/>
                <w:kern w:val="0"/>
                <w:sz w:val="24"/>
                <w:szCs w:val="24"/>
                <w:lang w:val="en-US" w:eastAsia="zh-CN" w:bidi="ar"/>
              </w:rPr>
              <w:t>系数1.5~3，结构比较致密的，其普氏硬度系数可以达到4~5，有的硬质页岩的硬度更高。页岩的颗粒组成与它的自然颗粒级和成岩原因有关，颗粒组成变化的波动幅度较大，从而影响页岩的其他性能。不同的页岩，其化学成分指标也是不一样的，自然界存在的页岩，其化学成分含量变化也是比较大的。一般情况下，页岩的SiO2，含量在45%~80%之间波动，Al</w:t>
            </w:r>
            <w:r>
              <w:rPr>
                <w:rFonts w:hint="default" w:ascii="Times New Roman" w:hAnsi="Times New Roman" w:cs="Times New Roman"/>
                <w:snapToGrid/>
                <w:color w:val="auto"/>
                <w:spacing w:val="0"/>
                <w:kern w:val="0"/>
                <w:sz w:val="24"/>
                <w:szCs w:val="24"/>
                <w:vertAlign w:val="subscript"/>
                <w:lang w:val="en-US" w:eastAsia="zh-CN" w:bidi="ar"/>
              </w:rPr>
              <w:t>2</w:t>
            </w:r>
            <w:r>
              <w:rPr>
                <w:rFonts w:hint="default" w:ascii="Times New Roman" w:hAnsi="Times New Roman" w:cs="Times New Roman"/>
                <w:snapToGrid/>
                <w:color w:val="auto"/>
                <w:spacing w:val="0"/>
                <w:kern w:val="0"/>
                <w:sz w:val="24"/>
                <w:szCs w:val="24"/>
                <w:lang w:val="en-US" w:eastAsia="zh-CN" w:bidi="ar"/>
              </w:rPr>
              <w:t>O</w:t>
            </w:r>
            <w:r>
              <w:rPr>
                <w:rFonts w:hint="default" w:ascii="Times New Roman" w:hAnsi="Times New Roman" w:cs="Times New Roman"/>
                <w:snapToGrid/>
                <w:color w:val="auto"/>
                <w:spacing w:val="0"/>
                <w:kern w:val="0"/>
                <w:sz w:val="24"/>
                <w:szCs w:val="24"/>
                <w:vertAlign w:val="subscript"/>
                <w:lang w:val="en-US" w:eastAsia="zh-CN" w:bidi="ar"/>
              </w:rPr>
              <w:t>3</w:t>
            </w:r>
            <w:r>
              <w:rPr>
                <w:rFonts w:hint="default" w:ascii="Times New Roman" w:hAnsi="Times New Roman" w:cs="Times New Roman"/>
                <w:snapToGrid/>
                <w:color w:val="auto"/>
                <w:spacing w:val="0"/>
                <w:kern w:val="0"/>
                <w:sz w:val="24"/>
                <w:szCs w:val="24"/>
                <w:lang w:val="en-US" w:eastAsia="zh-CN" w:bidi="ar"/>
              </w:rPr>
              <w:t>量在12%-25%之间波动，Fe</w:t>
            </w:r>
            <w:r>
              <w:rPr>
                <w:rFonts w:hint="default" w:ascii="Times New Roman" w:hAnsi="Times New Roman" w:cs="Times New Roman"/>
                <w:snapToGrid/>
                <w:color w:val="auto"/>
                <w:spacing w:val="0"/>
                <w:kern w:val="0"/>
                <w:sz w:val="24"/>
                <w:szCs w:val="24"/>
                <w:vertAlign w:val="subscript"/>
                <w:lang w:val="en-US" w:eastAsia="zh-CN" w:bidi="ar"/>
              </w:rPr>
              <w:t>2</w:t>
            </w:r>
            <w:r>
              <w:rPr>
                <w:rFonts w:hint="default" w:ascii="Times New Roman" w:hAnsi="Times New Roman" w:cs="Times New Roman"/>
                <w:snapToGrid/>
                <w:color w:val="auto"/>
                <w:spacing w:val="0"/>
                <w:kern w:val="0"/>
                <w:sz w:val="24"/>
                <w:szCs w:val="24"/>
                <w:lang w:val="en-US" w:eastAsia="zh-CN" w:bidi="ar"/>
              </w:rPr>
              <w:t>O</w:t>
            </w:r>
            <w:r>
              <w:rPr>
                <w:rFonts w:hint="default" w:ascii="Times New Roman" w:hAnsi="Times New Roman" w:cs="Times New Roman"/>
                <w:snapToGrid/>
                <w:color w:val="auto"/>
                <w:spacing w:val="0"/>
                <w:kern w:val="0"/>
                <w:sz w:val="24"/>
                <w:szCs w:val="24"/>
                <w:vertAlign w:val="subscript"/>
                <w:lang w:val="en-US" w:eastAsia="zh-CN" w:bidi="ar"/>
              </w:rPr>
              <w:t>3</w:t>
            </w:r>
            <w:r>
              <w:rPr>
                <w:rFonts w:hint="default" w:ascii="Times New Roman" w:hAnsi="Times New Roman" w:cs="Times New Roman"/>
                <w:snapToGrid/>
                <w:color w:val="auto"/>
                <w:spacing w:val="0"/>
                <w:kern w:val="0"/>
                <w:sz w:val="24"/>
                <w:szCs w:val="24"/>
                <w:lang w:val="en-US" w:eastAsia="zh-CN" w:bidi="ar"/>
              </w:rPr>
              <w:t>含量在2%-10%之间波动，CaO含量在0.2%-12%之间波动，MgO含量在0.1%-5%之间波动。</w:t>
            </w:r>
            <w:r>
              <w:rPr>
                <w:rFonts w:hint="default" w:ascii="Times New Roman" w:hAnsi="Times New Roman" w:cs="Times New Roman"/>
                <w:snapToGrid/>
                <w:color w:val="auto"/>
                <w:spacing w:val="0"/>
                <w:kern w:val="0"/>
                <w:sz w:val="24"/>
                <w:szCs w:val="24"/>
                <w:lang w:val="en-US" w:eastAsia="zh-CN" w:bidi="ar"/>
              </w:rPr>
              <w:t>页岩的用途是用来稳定水木建筑物,而且页岩是由黏土脱水胶结而成的岩石;并且页岩灰渣可用来制造水泥熟料、陶瓷纤维、陶粒等建筑用材,也可炼制出各种合成燃料气体及化工原料。</w:t>
            </w:r>
          </w:p>
          <w:p>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7、</w:t>
            </w:r>
            <w:r>
              <w:rPr>
                <w:rFonts w:hint="default" w:ascii="Times New Roman" w:hAnsi="Times New Roman" w:cs="Times New Roman"/>
                <w:b/>
                <w:color w:val="auto"/>
                <w:sz w:val="24"/>
              </w:rPr>
              <w:t>总定员人数及工作制度</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jc w:val="left"/>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spacing w:val="-5"/>
                <w:kern w:val="0"/>
                <w:sz w:val="24"/>
                <w:szCs w:val="24"/>
              </w:rPr>
              <w:t>劳动定员：本项目劳动定员20人</w:t>
            </w:r>
            <w:r>
              <w:rPr>
                <w:rFonts w:hint="default" w:ascii="Times New Roman" w:hAnsi="Times New Roman" w:eastAsia="宋体" w:cs="Times New Roman"/>
                <w:snapToGrid w:val="0"/>
                <w:color w:val="auto"/>
                <w:spacing w:val="-2"/>
                <w:kern w:val="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8" w:firstLineChars="200"/>
              <w:jc w:val="left"/>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spacing w:val="-8"/>
                <w:kern w:val="0"/>
                <w:sz w:val="24"/>
                <w:szCs w:val="24"/>
              </w:rPr>
              <w:t>工作制度：</w:t>
            </w:r>
            <w:r>
              <w:rPr>
                <w:rFonts w:hint="default" w:ascii="Times New Roman" w:hAnsi="Times New Roman" w:eastAsia="宋体" w:cs="Times New Roman"/>
                <w:snapToGrid w:val="0"/>
                <w:color w:val="auto"/>
                <w:spacing w:val="-6"/>
                <w:kern w:val="0"/>
                <w:sz w:val="24"/>
                <w:szCs w:val="24"/>
              </w:rPr>
              <w:t>年</w:t>
            </w:r>
            <w:r>
              <w:rPr>
                <w:rFonts w:hint="default" w:ascii="Times New Roman" w:hAnsi="Times New Roman" w:eastAsia="宋体" w:cs="Times New Roman"/>
                <w:snapToGrid w:val="0"/>
                <w:color w:val="auto"/>
                <w:spacing w:val="-4"/>
                <w:kern w:val="0"/>
                <w:sz w:val="24"/>
                <w:szCs w:val="24"/>
              </w:rPr>
              <w:t>工作300天，实行一班制，工作时间为8小时。</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jc w:val="left"/>
              <w:textAlignment w:val="baseline"/>
              <w:rPr>
                <w:rFonts w:hint="default" w:ascii="Times New Roman" w:hAnsi="Times New Roman" w:eastAsia="宋体" w:cs="Times New Roman"/>
                <w:snapToGrid w:val="0"/>
                <w:color w:val="auto"/>
                <w:spacing w:val="-5"/>
                <w:kern w:val="0"/>
                <w:sz w:val="24"/>
                <w:szCs w:val="24"/>
              </w:rPr>
            </w:pPr>
            <w:r>
              <w:rPr>
                <w:rFonts w:hint="default" w:ascii="Times New Roman" w:hAnsi="Times New Roman" w:eastAsia="宋体" w:cs="Times New Roman"/>
                <w:snapToGrid w:val="0"/>
                <w:color w:val="auto"/>
                <w:spacing w:val="-5"/>
                <w:kern w:val="0"/>
                <w:sz w:val="24"/>
                <w:szCs w:val="24"/>
              </w:rPr>
              <w:t>本项目员工均为项目周边的居民或在项目周边租房生活，厂区内不设食宿。</w:t>
            </w:r>
          </w:p>
          <w:p>
            <w:pPr>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8、项目总</w:t>
            </w:r>
            <w:r>
              <w:rPr>
                <w:rFonts w:hint="default" w:ascii="Times New Roman" w:hAnsi="Times New Roman" w:cs="Times New Roman"/>
                <w:b/>
                <w:color w:val="auto"/>
                <w:sz w:val="24"/>
              </w:rPr>
              <w:t>平面布置</w:t>
            </w:r>
          </w:p>
          <w:p>
            <w:pPr>
              <w:spacing w:line="360" w:lineRule="auto"/>
              <w:ind w:firstLine="482"/>
              <w:rPr>
                <w:rFonts w:hint="default" w:ascii="Times New Roman" w:hAnsi="Times New Roman" w:eastAsia="宋体" w:cs="Times New Roman"/>
                <w:bCs/>
                <w:color w:val="auto"/>
                <w:szCs w:val="21"/>
                <w:lang w:val="en-US" w:eastAsia="zh-CN"/>
              </w:rPr>
            </w:pPr>
            <w:r>
              <w:rPr>
                <w:rFonts w:hint="default" w:ascii="Times New Roman" w:hAnsi="Times New Roman" w:cs="Times New Roman"/>
                <w:color w:val="auto"/>
                <w:sz w:val="24"/>
                <w:szCs w:val="24"/>
              </w:rPr>
              <w:t>厂区内包含生产车间、原料仓库、办公区等，生产车间主要用于生产，车间</w:t>
            </w:r>
            <w:r>
              <w:rPr>
                <w:rFonts w:hint="default" w:ascii="Times New Roman" w:hAnsi="Times New Roman" w:cs="Times New Roman"/>
                <w:color w:val="auto"/>
                <w:sz w:val="24"/>
                <w:szCs w:val="24"/>
              </w:rPr>
              <w:t>北</w:t>
            </w:r>
            <w:r>
              <w:rPr>
                <w:rFonts w:hint="eastAsia" w:cs="Times New Roman"/>
                <w:color w:val="auto"/>
                <w:sz w:val="24"/>
                <w:szCs w:val="24"/>
                <w:lang w:val="en-US" w:eastAsia="zh-CN"/>
              </w:rPr>
              <w:t>部</w:t>
            </w:r>
            <w:r>
              <w:rPr>
                <w:rFonts w:hint="default" w:ascii="Times New Roman" w:hAnsi="Times New Roman" w:cs="Times New Roman"/>
                <w:color w:val="auto"/>
                <w:sz w:val="24"/>
                <w:szCs w:val="24"/>
              </w:rPr>
              <w:t>和</w:t>
            </w:r>
            <w:r>
              <w:rPr>
                <w:rFonts w:hint="default" w:ascii="Times New Roman" w:hAnsi="Times New Roman" w:cs="Times New Roman"/>
                <w:color w:val="auto"/>
                <w:sz w:val="24"/>
                <w:szCs w:val="24"/>
              </w:rPr>
              <w:t>南</w:t>
            </w:r>
            <w:r>
              <w:rPr>
                <w:rFonts w:hint="eastAsia" w:cs="Times New Roman"/>
                <w:color w:val="auto"/>
                <w:sz w:val="24"/>
                <w:szCs w:val="24"/>
                <w:lang w:val="en-US" w:eastAsia="zh-CN"/>
              </w:rPr>
              <w:t>部</w:t>
            </w:r>
            <w:r>
              <w:rPr>
                <w:rFonts w:hint="default" w:ascii="Times New Roman" w:hAnsi="Times New Roman" w:cs="Times New Roman"/>
                <w:color w:val="auto"/>
                <w:sz w:val="24"/>
                <w:szCs w:val="24"/>
              </w:rPr>
              <w:t>为生产区域，主要包括破碎机、振动筛、搅拌主机、水储罐、</w:t>
            </w:r>
            <w:r>
              <w:rPr>
                <w:rFonts w:hint="default" w:ascii="Times New Roman" w:hAnsi="Times New Roman" w:cs="Times New Roman"/>
                <w:color w:val="auto"/>
                <w:sz w:val="24"/>
                <w:szCs w:val="24"/>
                <w:lang w:val="en-US" w:eastAsia="zh-CN"/>
              </w:rPr>
              <w:t>水泥桶</w:t>
            </w:r>
            <w:r>
              <w:rPr>
                <w:rFonts w:hint="default" w:ascii="Times New Roman" w:hAnsi="Times New Roman" w:cs="Times New Roman"/>
                <w:color w:val="auto"/>
                <w:sz w:val="24"/>
                <w:szCs w:val="24"/>
              </w:rPr>
              <w:t>仓等，中部区域主要为产品仓库</w:t>
            </w:r>
            <w:r>
              <w:rPr>
                <w:rFonts w:hint="eastAsia" w:cs="Times New Roman"/>
                <w:color w:val="auto"/>
                <w:sz w:val="24"/>
                <w:szCs w:val="24"/>
                <w:lang w:eastAsia="zh-CN"/>
              </w:rPr>
              <w:t>。</w:t>
            </w:r>
            <w:r>
              <w:rPr>
                <w:rFonts w:hint="eastAsia" w:cs="Times New Roman"/>
                <w:color w:val="auto"/>
                <w:sz w:val="24"/>
                <w:szCs w:val="24"/>
                <w:lang w:val="en-US" w:eastAsia="zh-CN"/>
              </w:rPr>
              <w:t>厂区</w:t>
            </w:r>
            <w:r>
              <w:rPr>
                <w:rFonts w:hint="default" w:ascii="Times New Roman" w:hAnsi="Times New Roman" w:cs="Times New Roman"/>
                <w:color w:val="auto"/>
                <w:sz w:val="24"/>
                <w:szCs w:val="24"/>
              </w:rPr>
              <w:t>原料仓库用于存储页岩，</w:t>
            </w:r>
            <w:r>
              <w:rPr>
                <w:rFonts w:hint="eastAsia" w:cs="Times New Roman"/>
                <w:color w:val="auto"/>
                <w:sz w:val="24"/>
                <w:szCs w:val="24"/>
                <w:lang w:val="en-US" w:eastAsia="zh-CN"/>
              </w:rPr>
              <w:t>厂区</w:t>
            </w:r>
            <w:r>
              <w:rPr>
                <w:rFonts w:hint="default" w:ascii="Times New Roman" w:hAnsi="Times New Roman" w:cs="Times New Roman"/>
                <w:color w:val="auto"/>
                <w:sz w:val="24"/>
                <w:szCs w:val="24"/>
              </w:rPr>
              <w:t>东南</w:t>
            </w:r>
            <w:r>
              <w:rPr>
                <w:rFonts w:hint="eastAsia" w:cs="Times New Roman"/>
                <w:color w:val="auto"/>
                <w:sz w:val="24"/>
                <w:szCs w:val="24"/>
                <w:lang w:val="en-US" w:eastAsia="zh-CN"/>
              </w:rPr>
              <w:t>部</w:t>
            </w:r>
            <w:r>
              <w:rPr>
                <w:rFonts w:hint="default" w:ascii="Times New Roman" w:hAnsi="Times New Roman" w:cs="Times New Roman"/>
                <w:color w:val="auto"/>
                <w:sz w:val="24"/>
                <w:szCs w:val="24"/>
              </w:rPr>
              <w:t>办公区主要用于办公人员办公。总平面布置以最佳的生产流程(物流、人流等)和生产工艺工程进行设计，整体布置上强调物流的合理，减少物料往返等无效搬运；减少库存，缩短物料的停滞和等待；总体布置按照用地集约、紧凑，功能分区合理，工艺流线顺畅，运输线路短捷原则。从项目平面布置可看出，其人流、车流、货运路线清晰，厂区平面布置有利于项目生产运行过程中各部门的生产协作，提高生产效率。总体来说，拟建项目的总平面布置较为合理。项目厂区平面布置见附图。</w:t>
            </w:r>
          </w:p>
        </w:tc>
      </w:tr>
    </w:tbl>
    <w:p>
      <w:pPr>
        <w:pStyle w:val="24"/>
        <w:adjustRightInd w:val="0"/>
        <w:snapToGrid w:val="0"/>
        <w:spacing w:before="0" w:beforeAutospacing="0" w:after="0" w:afterAutospacing="0"/>
        <w:jc w:val="center"/>
        <w:rPr>
          <w:rFonts w:hint="default" w:ascii="Times New Roman" w:hAnsi="Times New Roman" w:cs="Times New Roman"/>
          <w:color w:val="auto"/>
          <w:szCs w:val="24"/>
        </w:rPr>
      </w:pPr>
      <w:r>
        <w:rPr>
          <w:rFonts w:hint="default" w:ascii="Times New Roman" w:hAnsi="Times New Roman" w:cs="Times New Roman"/>
          <w:color w:val="auto"/>
          <w:szCs w:val="24"/>
        </w:rPr>
        <w:br w:type="page"/>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5"/>
        <w:gridCol w:w="84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1" w:hRule="atLeast"/>
          <w:jc w:val="center"/>
        </w:trPr>
        <w:tc>
          <w:tcPr>
            <w:tcW w:w="415" w:type="dxa"/>
            <w:noWrap w:val="0"/>
            <w:vAlign w:val="center"/>
          </w:tcPr>
          <w:p>
            <w:pPr>
              <w:pStyle w:val="24"/>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color w:val="auto"/>
                <w:szCs w:val="24"/>
              </w:rPr>
              <w:t>工艺流程和产排污环节</w:t>
            </w:r>
          </w:p>
        </w:tc>
        <w:tc>
          <w:tcPr>
            <w:tcW w:w="8409" w:type="dxa"/>
            <w:noWrap w:val="0"/>
            <w:vAlign w:val="top"/>
          </w:tcPr>
          <w:p>
            <w:pPr>
              <w:pStyle w:val="67"/>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b/>
                <w:bCs/>
                <w:color w:val="auto"/>
              </w:rPr>
            </w:pPr>
            <w:r>
              <w:rPr>
                <w:rFonts w:hint="default" w:ascii="Times New Roman" w:hAnsi="Times New Roman" w:eastAsia="宋体" w:cs="Times New Roman"/>
                <w:b/>
                <w:bCs/>
                <w:color w:val="auto"/>
                <w:lang w:val="en-US" w:eastAsia="zh-CN"/>
              </w:rPr>
              <w:t>一</w:t>
            </w:r>
            <w:r>
              <w:rPr>
                <w:rFonts w:hint="default" w:ascii="Times New Roman" w:hAnsi="Times New Roman" w:eastAsia="宋体" w:cs="Times New Roman"/>
                <w:b/>
                <w:bCs/>
                <w:color w:val="auto"/>
              </w:rPr>
              <w:t>、营运工程</w:t>
            </w:r>
            <w:r>
              <w:rPr>
                <w:rFonts w:hint="default" w:ascii="Times New Roman" w:hAnsi="Times New Roman" w:eastAsia="宋体" w:cs="Times New Roman"/>
                <w:b/>
                <w:bCs/>
                <w:color w:val="auto"/>
                <w:lang w:val="en-US" w:eastAsia="zh-CN"/>
              </w:rPr>
              <w:t>生产工艺流程及产污</w:t>
            </w:r>
            <w:r>
              <w:rPr>
                <w:rFonts w:hint="default" w:ascii="Times New Roman" w:hAnsi="Times New Roman" w:eastAsia="宋体" w:cs="Times New Roman"/>
                <w:b/>
                <w:bCs/>
                <w:color w:val="auto"/>
              </w:rPr>
              <w:t>分析</w:t>
            </w:r>
          </w:p>
          <w:p>
            <w:pPr>
              <w:pStyle w:val="67"/>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b/>
                <w:bCs/>
                <w:color w:val="auto"/>
                <w:lang w:val="en-US" w:eastAsia="zh-CN"/>
              </w:rPr>
            </w:pPr>
            <w:r>
              <w:rPr>
                <w:rFonts w:hint="default" w:ascii="Times New Roman" w:hAnsi="Times New Roman" w:eastAsia="宋体" w:cs="Times New Roman"/>
                <w:b/>
                <w:bCs/>
                <w:color w:val="auto"/>
                <w:lang w:val="en-US" w:eastAsia="zh-CN"/>
              </w:rPr>
              <w:t>1、生产工艺流程</w:t>
            </w:r>
          </w:p>
          <w:p>
            <w:pPr>
              <w:pStyle w:val="9"/>
              <w:keepNext w:val="0"/>
              <w:keepLines w:val="0"/>
              <w:pageBreakBefore w:val="0"/>
              <w:widowControl/>
              <w:kinsoku/>
              <w:wordWrap/>
              <w:overflowPunct/>
              <w:topLinePunct w:val="0"/>
              <w:autoSpaceDE/>
              <w:autoSpaceDN/>
              <w:bidi w:val="0"/>
              <w:adjustRightInd/>
              <w:snapToGrid w:val="0"/>
              <w:spacing w:before="0" w:after="0" w:line="360" w:lineRule="auto"/>
              <w:ind w:right="0" w:firstLine="482" w:firstLineChars="200"/>
              <w:jc w:val="center"/>
              <w:textAlignment w:val="auto"/>
              <w:rPr>
                <w:rFonts w:hint="default" w:ascii="Times New Roman" w:hAnsi="Times New Roman" w:cs="Times New Roman"/>
                <w:color w:val="auto"/>
                <w:lang w:val="en-US" w:eastAsia="zh-CN"/>
              </w:rPr>
            </w:pPr>
            <w:r>
              <w:rPr>
                <w:rFonts w:hint="default" w:ascii="Times New Roman" w:hAnsi="Times New Roman" w:cs="Times New Roman"/>
                <w:b/>
                <w:bCs/>
                <w:color w:val="auto"/>
                <w:sz w:val="24"/>
                <w:szCs w:val="24"/>
                <w:lang w:val="en-US" w:eastAsia="zh-CN"/>
              </w:rPr>
              <w:drawing>
                <wp:inline distT="0" distB="0" distL="114300" distR="114300">
                  <wp:extent cx="5192395" cy="3253105"/>
                  <wp:effectExtent l="0" t="0" r="8255" b="4445"/>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1"/>
                          </pic:cNvPicPr>
                        </pic:nvPicPr>
                        <pic:blipFill>
                          <a:blip r:embed="rId6"/>
                          <a:stretch>
                            <a:fillRect/>
                          </a:stretch>
                        </pic:blipFill>
                        <pic:spPr>
                          <a:xfrm>
                            <a:off x="0" y="0"/>
                            <a:ext cx="5192395" cy="3253105"/>
                          </a:xfrm>
                          <a:prstGeom prst="rect">
                            <a:avLst/>
                          </a:prstGeom>
                          <a:noFill/>
                          <a:ln>
                            <a:noFill/>
                          </a:ln>
                        </pic:spPr>
                      </pic:pic>
                    </a:graphicData>
                  </a:graphic>
                </wp:inline>
              </w:drawing>
            </w:r>
            <w:r>
              <w:rPr>
                <w:rFonts w:hint="default" w:ascii="Times New Roman" w:hAnsi="Times New Roman" w:cs="Times New Roman"/>
                <w:b/>
                <w:bCs/>
                <w:color w:val="auto"/>
                <w:sz w:val="24"/>
                <w:szCs w:val="24"/>
                <w:lang w:val="en-US" w:eastAsia="zh-CN"/>
              </w:rPr>
              <w:t>图2-1环保滤料生产工艺流程图</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原料储存：</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外购原材料页岩购买于当地材料公司，通过专用运输车辆运至厂内原料仓库，车辆封闭遮盖，水泥采用水泥搅拌车密闭运输，经汽车从厂区外分别运至车间内堆放储存，</w:t>
            </w:r>
            <w:r>
              <w:rPr>
                <w:rFonts w:hint="eastAsia" w:ascii="Times New Roman" w:hAnsi="Times New Roman" w:cs="Times New Roman"/>
                <w:color w:val="auto"/>
                <w:sz w:val="24"/>
                <w:szCs w:val="24"/>
                <w:lang w:val="en-US" w:eastAsia="zh-CN"/>
              </w:rPr>
              <w:t>车辆运输会产生运输道路扬尘G1，</w:t>
            </w:r>
            <w:r>
              <w:rPr>
                <w:rFonts w:hint="default" w:ascii="Times New Roman" w:hAnsi="Times New Roman" w:cs="Times New Roman"/>
                <w:color w:val="auto"/>
                <w:sz w:val="24"/>
                <w:szCs w:val="24"/>
                <w:lang w:val="en-US" w:eastAsia="zh-CN"/>
              </w:rPr>
              <w:t>水由市政管网接入。页岩堆放在厂区原料仓库</w:t>
            </w:r>
            <w:r>
              <w:rPr>
                <w:rFonts w:hint="eastAsia" w:ascii="Times New Roman" w:hAnsi="Times New Roman" w:cs="Times New Roman"/>
                <w:color w:val="auto"/>
                <w:sz w:val="24"/>
                <w:szCs w:val="24"/>
                <w:lang w:val="en-US" w:eastAsia="zh-CN"/>
              </w:rPr>
              <w:t>会产生堆场扬尘G2</w:t>
            </w:r>
            <w:r>
              <w:rPr>
                <w:rFonts w:hint="default" w:ascii="Times New Roman" w:hAnsi="Times New Roman" w:cs="Times New Roman"/>
                <w:color w:val="auto"/>
                <w:sz w:val="24"/>
                <w:szCs w:val="24"/>
                <w:lang w:val="en-US" w:eastAsia="zh-CN"/>
              </w:rPr>
              <w:t>，水泥仓位于生产车间南侧。生产工艺流程主要由破碎、筛分、进料、搅拌、计量等工序组成，所有工序均为物理过程。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0" w:firstLineChars="200"/>
              <w:jc w:val="left"/>
              <w:textAlignment w:val="baseline"/>
              <w:rPr>
                <w:rFonts w:hint="default" w:ascii="Times New Roman" w:hAnsi="Times New Roman" w:eastAsia="宋体" w:cs="Times New Roman"/>
                <w:color w:val="auto"/>
                <w:kern w:val="2"/>
                <w:sz w:val="24"/>
                <w:szCs w:val="24"/>
                <w:lang w:bidi="ar-SA"/>
              </w:rPr>
            </w:pPr>
            <w:r>
              <w:rPr>
                <w:rFonts w:hint="default" w:ascii="Times New Roman" w:hAnsi="Times New Roman" w:eastAsia="宋体" w:cs="Times New Roman"/>
                <w:color w:val="auto"/>
                <w:kern w:val="2"/>
                <w:sz w:val="24"/>
                <w:szCs w:val="24"/>
                <w:lang w:bidi="ar-SA"/>
              </w:rPr>
              <w:t>(1)破碎</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bidi="ar-SA"/>
              </w:rPr>
              <w:t>外购的页岩粒径较大，根据产品功能的要求，需对不符合粒径要求的大颗粒页岩</w:t>
            </w:r>
            <w:r>
              <w:rPr>
                <w:rFonts w:hint="default" w:ascii="Times New Roman" w:hAnsi="Times New Roman" w:cs="Times New Roman"/>
                <w:color w:val="auto"/>
                <w:kern w:val="2"/>
                <w:sz w:val="24"/>
                <w:szCs w:val="24"/>
                <w:lang w:val="en-US" w:eastAsia="zh-CN" w:bidi="ar-SA"/>
              </w:rPr>
              <w:t>进行两次</w:t>
            </w:r>
            <w:r>
              <w:rPr>
                <w:rFonts w:hint="default" w:ascii="Times New Roman" w:hAnsi="Times New Roman" w:eastAsia="宋体" w:cs="Times New Roman"/>
                <w:color w:val="auto"/>
                <w:kern w:val="2"/>
                <w:sz w:val="24"/>
                <w:szCs w:val="24"/>
                <w:lang w:bidi="ar-SA"/>
              </w:rPr>
              <w:t>破碎。铲车将不符合粒径要求的大颗粒页岩运至皮带输送机料口，进入破碎机，按需破碎成粒径为1~2cm、2~5cm不等的页岩。物料输送带采取全封闭式，故不考虑粉尘排放。破碎过程中会产生破碎粉尘G</w:t>
            </w:r>
            <w:r>
              <w:rPr>
                <w:rFonts w:hint="eastAsia" w:cs="Times New Roman"/>
                <w:color w:val="auto"/>
                <w:kern w:val="2"/>
                <w:sz w:val="24"/>
                <w:szCs w:val="24"/>
                <w:lang w:val="en-US" w:eastAsia="zh-CN" w:bidi="ar-SA"/>
              </w:rPr>
              <w:t>3</w:t>
            </w:r>
            <w:r>
              <w:rPr>
                <w:rFonts w:hint="default" w:ascii="Times New Roman" w:hAnsi="Times New Roman" w:eastAsia="宋体" w:cs="Times New Roman"/>
                <w:color w:val="auto"/>
                <w:kern w:val="2"/>
                <w:sz w:val="24"/>
                <w:szCs w:val="24"/>
                <w:lang w:bidi="ar-SA"/>
              </w:rPr>
              <w:t>、噪声N1，破碎机上方拟安装集气罩，</w:t>
            </w:r>
            <w:r>
              <w:rPr>
                <w:rFonts w:hint="default" w:ascii="Times New Roman" w:hAnsi="Times New Roman" w:eastAsia="宋体" w:cs="Times New Roman"/>
                <w:color w:val="auto"/>
                <w:kern w:val="2"/>
                <w:sz w:val="24"/>
                <w:szCs w:val="24"/>
                <w:lang w:bidi="ar-SA"/>
              </w:rPr>
              <w:t>将破碎粉尘收集至脉冲式布袋除尘器处理后，通过DA001排气筒排放。</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color w:val="auto"/>
                <w:spacing w:val="0"/>
                <w:kern w:val="2"/>
                <w:sz w:val="24"/>
                <w:szCs w:val="24"/>
                <w:lang w:bidi="ar-SA"/>
              </w:rPr>
            </w:pPr>
            <w:r>
              <w:rPr>
                <w:rFonts w:hint="default" w:ascii="Times New Roman" w:hAnsi="Times New Roman" w:eastAsia="宋体" w:cs="Times New Roman"/>
                <w:color w:val="auto"/>
                <w:spacing w:val="0"/>
                <w:kern w:val="2"/>
                <w:sz w:val="24"/>
                <w:szCs w:val="24"/>
                <w:lang w:bidi="ar-SA"/>
              </w:rPr>
              <w:t>(2)筛分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color w:val="auto"/>
                <w:spacing w:val="0"/>
                <w:kern w:val="2"/>
                <w:sz w:val="24"/>
                <w:szCs w:val="24"/>
                <w:lang w:bidi="ar-SA"/>
              </w:rPr>
            </w:pPr>
            <w:r>
              <w:rPr>
                <w:rFonts w:hint="default" w:ascii="Times New Roman" w:hAnsi="Times New Roman" w:eastAsia="宋体" w:cs="Times New Roman"/>
                <w:color w:val="auto"/>
                <w:spacing w:val="0"/>
                <w:kern w:val="2"/>
                <w:sz w:val="24"/>
                <w:szCs w:val="24"/>
                <w:lang w:bidi="ar-SA"/>
              </w:rPr>
              <w:t>破碎后的页岩通过配套的斗提机直接送入振动筛，振动筛利用振动电机激振作为振动源，使物料在筛网上被抛起，同时向前做直线运动，通过多层筛网产生数种规格的筛上物、筛下物。该过程会产生少量的筛分粉尘</w:t>
            </w:r>
            <w:r>
              <w:rPr>
                <w:rFonts w:hint="eastAsia" w:cs="Times New Roman"/>
                <w:color w:val="auto"/>
                <w:spacing w:val="0"/>
                <w:kern w:val="2"/>
                <w:sz w:val="24"/>
                <w:szCs w:val="24"/>
                <w:lang w:eastAsia="zh-CN" w:bidi="ar-SA"/>
              </w:rPr>
              <w:t>（</w:t>
            </w:r>
            <w:r>
              <w:rPr>
                <w:rFonts w:hint="eastAsia" w:cs="Times New Roman"/>
                <w:color w:val="auto"/>
                <w:spacing w:val="0"/>
                <w:kern w:val="2"/>
                <w:sz w:val="24"/>
                <w:szCs w:val="24"/>
                <w:lang w:val="en-US" w:eastAsia="zh-CN" w:bidi="ar-SA"/>
              </w:rPr>
              <w:t>与破碎同记G3</w:t>
            </w:r>
            <w:r>
              <w:rPr>
                <w:rFonts w:hint="default" w:ascii="Times New Roman" w:hAnsi="Times New Roman" w:eastAsia="宋体" w:cs="Times New Roman"/>
                <w:color w:val="auto"/>
                <w:spacing w:val="0"/>
                <w:kern w:val="2"/>
                <w:sz w:val="24"/>
                <w:szCs w:val="24"/>
                <w:lang w:bidi="ar-SA"/>
              </w:rPr>
              <w:t>、噪声N2。筛分机上方拟安装集气罩，</w:t>
            </w:r>
            <w:r>
              <w:rPr>
                <w:rFonts w:hint="default" w:ascii="Times New Roman" w:hAnsi="Times New Roman" w:eastAsia="宋体" w:cs="Times New Roman"/>
                <w:color w:val="auto"/>
                <w:spacing w:val="0"/>
                <w:kern w:val="2"/>
                <w:sz w:val="24"/>
                <w:szCs w:val="24"/>
                <w:lang w:bidi="ar-SA"/>
              </w:rPr>
              <w:t>将筛分粉尘收集至脉冲式布袋除尘器处理后，通过DA001排气筒排放。</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(3)页岩装料</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筛分后粒径符合要求的页岩通过铲车装卸到骨料仓，骨料仓位于生产车间内，四周封闭。大颗粒页岩粒径为1~5cm，不含粉尘杂质，页岩装入骨料仓过程会有少量装料粉尘G</w:t>
            </w:r>
            <w:r>
              <w:rPr>
                <w:rFonts w:hint="eastAsia" w:ascii="Times New Roman" w:hAnsi="Times New Roman" w:cs="Times New Roman"/>
                <w:color w:val="auto"/>
                <w:kern w:val="2"/>
                <w:sz w:val="24"/>
                <w:szCs w:val="24"/>
                <w:lang w:val="en-US" w:eastAsia="zh-CN" w:bidi="ar-SA"/>
              </w:rPr>
              <w:t>4</w:t>
            </w:r>
            <w:r>
              <w:rPr>
                <w:rFonts w:hint="default" w:ascii="Times New Roman" w:hAnsi="Times New Roman" w:eastAsia="宋体" w:cs="Times New Roman"/>
                <w:color w:val="auto"/>
                <w:kern w:val="2"/>
                <w:sz w:val="24"/>
                <w:szCs w:val="24"/>
                <w:lang w:val="en-US" w:eastAsia="zh-CN" w:bidi="ar-SA"/>
              </w:rPr>
              <w:t>产生，</w:t>
            </w:r>
            <w:r>
              <w:rPr>
                <w:rFonts w:hint="default" w:ascii="Times New Roman" w:hAnsi="Times New Roman" w:eastAsia="宋体" w:cs="Times New Roman"/>
                <w:color w:val="auto"/>
                <w:kern w:val="2"/>
                <w:sz w:val="24"/>
                <w:szCs w:val="24"/>
                <w:lang w:val="en-US" w:eastAsia="zh-CN" w:bidi="ar-SA"/>
              </w:rPr>
              <w:t>厂房内需安装水喷淋设施</w:t>
            </w:r>
            <w:r>
              <w:rPr>
                <w:rFonts w:hint="eastAsia" w:ascii="Times New Roman" w:hAnsi="Times New Roman" w:cs="Times New Roman"/>
                <w:color w:val="auto"/>
                <w:kern w:val="2"/>
                <w:sz w:val="24"/>
                <w:szCs w:val="24"/>
                <w:lang w:val="en-US" w:eastAsia="zh-CN" w:bidi="ar-SA"/>
              </w:rPr>
              <w:t>进行</w:t>
            </w:r>
            <w:r>
              <w:rPr>
                <w:rFonts w:hint="default" w:ascii="Times New Roman" w:hAnsi="Times New Roman" w:eastAsia="宋体" w:cs="Times New Roman"/>
                <w:color w:val="auto"/>
                <w:kern w:val="2"/>
                <w:sz w:val="24"/>
                <w:szCs w:val="24"/>
                <w:lang w:val="en-US" w:eastAsia="zh-CN" w:bidi="ar-SA"/>
              </w:rPr>
              <w:t>喷淋除尘。</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sz w:val="24"/>
                <w:szCs w:val="24"/>
              </w:rPr>
              <w:t>(</w:t>
            </w:r>
            <w:r>
              <w:rPr>
                <w:rFonts w:hint="default" w:ascii="Times New Roman" w:hAnsi="Times New Roman" w:eastAsia="Times New Roman" w:cs="Times New Roman"/>
                <w:snapToGrid w:val="0"/>
                <w:color w:val="auto"/>
                <w:spacing w:val="0"/>
                <w:kern w:val="0"/>
                <w:sz w:val="24"/>
                <w:szCs w:val="24"/>
              </w:rPr>
              <w:t>4</w:t>
            </w:r>
            <w:r>
              <w:rPr>
                <w:rFonts w:hint="default" w:ascii="Times New Roman" w:hAnsi="Times New Roman" w:eastAsia="宋体" w:cs="Times New Roman"/>
                <w:snapToGrid w:val="0"/>
                <w:color w:val="auto"/>
                <w:spacing w:val="0"/>
                <w:kern w:val="0"/>
                <w:sz w:val="24"/>
                <w:szCs w:val="24"/>
              </w:rPr>
              <w:t>)</w:t>
            </w:r>
            <w:r>
              <w:rPr>
                <w:rFonts w:hint="default" w:ascii="Times New Roman" w:hAnsi="Times New Roman" w:eastAsia="宋体" w:cs="Times New Roman"/>
                <w:snapToGrid w:val="0"/>
                <w:color w:val="auto"/>
                <w:spacing w:val="0"/>
                <w:kern w:val="0"/>
                <w:sz w:val="24"/>
                <w:szCs w:val="24"/>
                <w:lang w:val="en-US" w:eastAsia="zh-CN"/>
              </w:rPr>
              <w:t>水泥</w:t>
            </w:r>
            <w:r>
              <w:rPr>
                <w:rFonts w:hint="default" w:ascii="Times New Roman" w:hAnsi="Times New Roman" w:eastAsia="宋体" w:cs="Times New Roman"/>
                <w:snapToGrid w:val="0"/>
                <w:color w:val="auto"/>
                <w:spacing w:val="0"/>
                <w:kern w:val="0"/>
                <w:sz w:val="24"/>
                <w:szCs w:val="24"/>
              </w:rPr>
              <w:t>进料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sz w:val="24"/>
                <w:szCs w:val="24"/>
                <w:lang w:val="en-US" w:eastAsia="zh-CN"/>
              </w:rPr>
              <w:t>水泥</w:t>
            </w:r>
            <w:r>
              <w:rPr>
                <w:rFonts w:hint="default" w:ascii="Times New Roman" w:hAnsi="Times New Roman" w:eastAsia="宋体" w:cs="Times New Roman"/>
                <w:snapToGrid w:val="0"/>
                <w:color w:val="auto"/>
                <w:spacing w:val="0"/>
                <w:kern w:val="0"/>
                <w:sz w:val="24"/>
                <w:szCs w:val="24"/>
              </w:rPr>
              <w:t>采用</w:t>
            </w:r>
            <w:r>
              <w:rPr>
                <w:rFonts w:hint="default" w:ascii="Times New Roman" w:hAnsi="Times New Roman" w:eastAsia="宋体" w:cs="Times New Roman"/>
                <w:snapToGrid w:val="0"/>
                <w:color w:val="auto"/>
                <w:spacing w:val="0"/>
                <w:kern w:val="0"/>
                <w:sz w:val="24"/>
                <w:szCs w:val="24"/>
                <w:lang w:val="en-US" w:eastAsia="zh-CN"/>
              </w:rPr>
              <w:t>水泥搅拌</w:t>
            </w:r>
            <w:r>
              <w:rPr>
                <w:rFonts w:hint="default" w:ascii="Times New Roman" w:hAnsi="Times New Roman" w:eastAsia="宋体" w:cs="Times New Roman"/>
                <w:snapToGrid w:val="0"/>
                <w:color w:val="auto"/>
                <w:spacing w:val="0"/>
                <w:kern w:val="0"/>
                <w:sz w:val="24"/>
                <w:szCs w:val="24"/>
              </w:rPr>
              <w:t>车密闭运输，借助</w:t>
            </w:r>
            <w:r>
              <w:rPr>
                <w:rFonts w:hint="default" w:ascii="Times New Roman" w:hAnsi="Times New Roman" w:eastAsia="宋体" w:cs="Times New Roman"/>
                <w:snapToGrid w:val="0"/>
                <w:color w:val="auto"/>
                <w:spacing w:val="0"/>
                <w:kern w:val="0"/>
                <w:sz w:val="24"/>
                <w:szCs w:val="24"/>
                <w:lang w:val="en-US" w:eastAsia="zh-CN"/>
              </w:rPr>
              <w:t>水泥搅拌</w:t>
            </w:r>
            <w:r>
              <w:rPr>
                <w:rFonts w:hint="default" w:ascii="Times New Roman" w:hAnsi="Times New Roman" w:eastAsia="宋体" w:cs="Times New Roman"/>
                <w:snapToGrid w:val="0"/>
                <w:color w:val="auto"/>
                <w:spacing w:val="0"/>
                <w:kern w:val="0"/>
                <w:sz w:val="24"/>
                <w:szCs w:val="24"/>
              </w:rPr>
              <w:t>车上的气化装置，以压缩空气为动力，将原料罐车的罐体与料罐的管道相连，由蝶阀控制，利用罐内外压差排出送至料罐储存。项目设置粉</w:t>
            </w:r>
            <w:r>
              <w:rPr>
                <w:rFonts w:hint="default" w:ascii="Times New Roman" w:hAnsi="Times New Roman" w:cs="Times New Roman"/>
                <w:snapToGrid w:val="0"/>
                <w:color w:val="auto"/>
                <w:spacing w:val="0"/>
                <w:kern w:val="0"/>
                <w:sz w:val="24"/>
                <w:szCs w:val="24"/>
                <w:lang w:val="en-US" w:eastAsia="zh-CN"/>
              </w:rPr>
              <w:t>水泥桶</w:t>
            </w:r>
            <w:r>
              <w:rPr>
                <w:rFonts w:hint="default" w:ascii="Times New Roman" w:hAnsi="Times New Roman" w:eastAsia="宋体" w:cs="Times New Roman"/>
                <w:snapToGrid w:val="0"/>
                <w:color w:val="auto"/>
                <w:spacing w:val="0"/>
                <w:kern w:val="0"/>
                <w:sz w:val="24"/>
                <w:szCs w:val="24"/>
              </w:rPr>
              <w:t>仓</w:t>
            </w:r>
            <w:r>
              <w:rPr>
                <w:rFonts w:hint="default" w:ascii="Times New Roman" w:hAnsi="Times New Roman" w:eastAsia="宋体" w:cs="Times New Roman"/>
                <w:snapToGrid w:val="0"/>
                <w:color w:val="auto"/>
                <w:spacing w:val="0"/>
                <w:kern w:val="0"/>
                <w:sz w:val="24"/>
                <w:szCs w:val="24"/>
                <w:lang w:val="en-US" w:eastAsia="zh-CN"/>
              </w:rPr>
              <w:t>1</w:t>
            </w:r>
            <w:r>
              <w:rPr>
                <w:rFonts w:hint="default" w:ascii="Times New Roman" w:hAnsi="Times New Roman" w:eastAsia="宋体" w:cs="Times New Roman"/>
                <w:snapToGrid w:val="0"/>
                <w:color w:val="auto"/>
                <w:spacing w:val="0"/>
                <w:kern w:val="0"/>
                <w:sz w:val="24"/>
                <w:szCs w:val="24"/>
              </w:rPr>
              <w:t>个，粉料进料过程中会产生筒仓呼吸粉尘</w:t>
            </w:r>
            <w:r>
              <w:rPr>
                <w:rFonts w:hint="default" w:ascii="Times New Roman" w:hAnsi="Times New Roman" w:eastAsia="Times New Roman" w:cs="Times New Roman"/>
                <w:snapToGrid w:val="0"/>
                <w:color w:val="auto"/>
                <w:spacing w:val="0"/>
                <w:kern w:val="0"/>
                <w:sz w:val="24"/>
                <w:szCs w:val="24"/>
              </w:rPr>
              <w:t>G</w:t>
            </w:r>
            <w:r>
              <w:rPr>
                <w:rFonts w:hint="eastAsia" w:eastAsia="宋体" w:cs="Times New Roman"/>
                <w:snapToGrid w:val="0"/>
                <w:color w:val="auto"/>
                <w:spacing w:val="0"/>
                <w:kern w:val="0"/>
                <w:sz w:val="24"/>
                <w:szCs w:val="24"/>
                <w:lang w:val="en-US" w:eastAsia="zh-CN"/>
              </w:rPr>
              <w:t>5</w:t>
            </w:r>
            <w:r>
              <w:rPr>
                <w:rFonts w:hint="default" w:ascii="Times New Roman" w:hAnsi="Times New Roman" w:eastAsia="宋体" w:cs="Times New Roman"/>
                <w:snapToGrid w:val="0"/>
                <w:color w:val="auto"/>
                <w:spacing w:val="0"/>
                <w:kern w:val="0"/>
                <w:sz w:val="24"/>
                <w:szCs w:val="24"/>
              </w:rPr>
              <w:t>，</w:t>
            </w:r>
            <w:r>
              <w:rPr>
                <w:rFonts w:hint="default" w:ascii="Times New Roman" w:hAnsi="Times New Roman" w:eastAsia="宋体" w:cs="Times New Roman"/>
                <w:snapToGrid w:val="0"/>
                <w:color w:val="auto"/>
                <w:spacing w:val="0"/>
                <w:kern w:val="0"/>
                <w:sz w:val="24"/>
                <w:szCs w:val="24"/>
                <w:lang w:val="en-US" w:eastAsia="zh-CN"/>
              </w:rPr>
              <w:t>水泥筒</w:t>
            </w:r>
            <w:r>
              <w:rPr>
                <w:rFonts w:hint="default" w:ascii="Times New Roman" w:hAnsi="Times New Roman" w:eastAsia="宋体" w:cs="Times New Roman"/>
                <w:snapToGrid w:val="0"/>
                <w:color w:val="auto"/>
                <w:spacing w:val="0"/>
                <w:kern w:val="0"/>
                <w:sz w:val="24"/>
                <w:szCs w:val="24"/>
              </w:rPr>
              <w:t>仓顶设置脉冲式布袋除尘器，减少粉尘无组织排放量。</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sz w:val="24"/>
                <w:szCs w:val="24"/>
              </w:rPr>
              <w:t>(</w:t>
            </w:r>
            <w:r>
              <w:rPr>
                <w:rFonts w:hint="default" w:ascii="Times New Roman" w:hAnsi="Times New Roman" w:eastAsia="宋体" w:cs="Times New Roman"/>
                <w:snapToGrid w:val="0"/>
                <w:color w:val="auto"/>
                <w:spacing w:val="0"/>
                <w:kern w:val="0"/>
                <w:sz w:val="24"/>
                <w:szCs w:val="24"/>
                <w:lang w:val="en-US" w:eastAsia="zh-CN"/>
              </w:rPr>
              <w:t>5</w:t>
            </w:r>
            <w:r>
              <w:rPr>
                <w:rFonts w:hint="default" w:ascii="Times New Roman" w:hAnsi="Times New Roman" w:eastAsia="宋体" w:cs="Times New Roman"/>
                <w:snapToGrid w:val="0"/>
                <w:color w:val="auto"/>
                <w:spacing w:val="0"/>
                <w:kern w:val="0"/>
                <w:sz w:val="24"/>
                <w:szCs w:val="24"/>
              </w:rPr>
              <w:t>)水进料</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sz w:val="24"/>
                <w:szCs w:val="24"/>
              </w:rPr>
              <w:t>水储存在水储罐内，管道与智能中控系统连接，经计量后通过管道密闭进料至搅拌主机内。</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lang w:val="en-US" w:eastAsia="zh-CN"/>
              </w:rPr>
              <w:t>6</w:t>
            </w:r>
            <w:r>
              <w:rPr>
                <w:rFonts w:hint="default" w:ascii="Times New Roman" w:hAnsi="Times New Roman" w:eastAsia="宋体" w:cs="Times New Roman"/>
                <w:color w:val="auto"/>
                <w:sz w:val="24"/>
                <w:szCs w:val="24"/>
              </w:rPr>
              <w:t>)搅拌</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启动滤料生产线后，将所有原辅料按配比加入搅拌机中，单位立方的产品按一定比例配料，搅拌50~60秒后出仓，搅拌过程为</w:t>
            </w:r>
            <w:r>
              <w:rPr>
                <w:rFonts w:hint="default" w:ascii="Times New Roman" w:hAnsi="Times New Roman" w:eastAsia="宋体" w:cs="Times New Roman"/>
                <w:color w:val="auto"/>
                <w:sz w:val="24"/>
                <w:szCs w:val="24"/>
                <w:lang w:val="en-US" w:eastAsia="zh-CN"/>
              </w:rPr>
              <w:t>水</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水泥</w:t>
            </w:r>
            <w:r>
              <w:rPr>
                <w:rFonts w:hint="default" w:ascii="Times New Roman" w:hAnsi="Times New Roman" w:cs="Times New Roman"/>
                <w:color w:val="auto"/>
                <w:sz w:val="24"/>
                <w:szCs w:val="24"/>
                <w:lang w:val="en-US" w:eastAsia="zh-CN"/>
              </w:rPr>
              <w:t>、</w:t>
            </w:r>
            <w:r>
              <w:rPr>
                <w:rFonts w:hint="eastAsia" w:ascii="Times New Roman" w:hAnsi="Times New Roman" w:cs="Times New Roman"/>
                <w:color w:val="auto"/>
                <w:sz w:val="24"/>
                <w:szCs w:val="24"/>
                <w:lang w:val="en-US" w:eastAsia="zh-CN"/>
              </w:rPr>
              <w:t>包裹在</w:t>
            </w:r>
            <w:r>
              <w:rPr>
                <w:rFonts w:hint="default" w:ascii="Times New Roman" w:hAnsi="Times New Roman" w:eastAsia="宋体" w:cs="Times New Roman"/>
                <w:color w:val="auto"/>
                <w:sz w:val="24"/>
                <w:szCs w:val="24"/>
              </w:rPr>
              <w:t>页岩表面的过程。搅拌机为密闭作业，且搅拌物料具有一定的含水率，故不产生废气。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rPr>
            </w:pPr>
            <w:r>
              <w:rPr>
                <w:rFonts w:hint="eastAsia" w:cs="Times New Roman"/>
                <w:color w:val="auto"/>
                <w:kern w:val="2"/>
                <w:sz w:val="24"/>
                <w:szCs w:val="24"/>
                <w:lang w:val="en-US" w:eastAsia="zh-CN" w:bidi="ar-SA"/>
              </w:rPr>
              <w:t>本项目为抑制车间扬尘，对车间地面用水清洁会产生地面清洗废水W2。</w:t>
            </w:r>
            <w:r>
              <w:rPr>
                <w:rFonts w:hint="default" w:ascii="Times New Roman" w:hAnsi="Times New Roman" w:cs="Times New Roman"/>
                <w:color w:val="auto"/>
                <w:sz w:val="24"/>
                <w:lang w:val="en-US" w:eastAsia="zh-CN"/>
              </w:rPr>
              <w:t>破碎筛分工序中</w:t>
            </w:r>
            <w:r>
              <w:rPr>
                <w:rFonts w:hint="default" w:ascii="Times New Roman" w:hAnsi="Times New Roman" w:eastAsia="宋体" w:cs="Times New Roman"/>
                <w:color w:val="auto"/>
                <w:sz w:val="24"/>
                <w:lang w:val="en-US" w:eastAsia="zh-CN"/>
              </w:rPr>
              <w:t>转运通过皮带输送，对输送带</w:t>
            </w:r>
            <w:r>
              <w:rPr>
                <w:rFonts w:hint="default" w:ascii="Times New Roman" w:hAnsi="Times New Roman" w:eastAsia="宋体" w:cs="Times New Roman"/>
                <w:color w:val="auto"/>
                <w:sz w:val="24"/>
                <w:szCs w:val="24"/>
              </w:rPr>
              <w:t>采用</w:t>
            </w:r>
            <w:r>
              <w:rPr>
                <w:rFonts w:hint="eastAsia" w:cs="Times New Roman"/>
                <w:color w:val="auto"/>
                <w:sz w:val="24"/>
                <w:szCs w:val="24"/>
                <w:lang w:val="en-US" w:eastAsia="zh-CN"/>
              </w:rPr>
              <w:t>全</w:t>
            </w:r>
            <w:r>
              <w:rPr>
                <w:rFonts w:hint="default" w:ascii="Times New Roman" w:hAnsi="Times New Roman" w:eastAsia="宋体" w:cs="Times New Roman"/>
                <w:color w:val="auto"/>
                <w:sz w:val="24"/>
                <w:szCs w:val="24"/>
              </w:rPr>
              <w:t>密闭式廊道</w:t>
            </w:r>
            <w:r>
              <w:rPr>
                <w:rFonts w:hint="default" w:ascii="Times New Roman" w:hAnsi="Times New Roman" w:eastAsia="宋体" w:cs="Times New Roman"/>
                <w:color w:val="auto"/>
                <w:sz w:val="24"/>
                <w:lang w:val="en-US" w:eastAsia="zh-CN"/>
              </w:rPr>
              <w:t>处理</w:t>
            </w:r>
            <w:r>
              <w:rPr>
                <w:rFonts w:hint="default" w:ascii="Times New Roman" w:hAnsi="Times New Roman" w:cs="Times New Roman"/>
                <w:color w:val="auto"/>
                <w:sz w:val="24"/>
                <w:lang w:val="en-US" w:eastAsia="zh-CN"/>
              </w:rPr>
              <w:t>，故废气不再考虑。</w:t>
            </w: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eastAsia="宋体" w:cs="Times New Roman"/>
                <w:color w:val="auto"/>
                <w:spacing w:val="2"/>
                <w:sz w:val="24"/>
                <w:szCs w:val="24"/>
              </w:rPr>
            </w:pPr>
          </w:p>
          <w:p>
            <w:pPr>
              <w:pStyle w:val="8"/>
              <w:jc w:val="center"/>
              <w:rPr>
                <w:rFonts w:hint="default" w:ascii="Times New Roman" w:hAnsi="Times New Roman" w:cs="Times New Roman"/>
                <w:color w:val="auto"/>
              </w:rPr>
            </w:pPr>
            <w:r>
              <w:rPr>
                <w:rFonts w:hint="default" w:ascii="Times New Roman" w:hAnsi="Times New Roman" w:eastAsia="宋体" w:cs="Times New Roman"/>
                <w:color w:val="auto"/>
                <w:spacing w:val="2"/>
                <w:sz w:val="24"/>
                <w:szCs w:val="24"/>
              </w:rPr>
              <w:t>表</w:t>
            </w:r>
            <w:r>
              <w:rPr>
                <w:rFonts w:hint="default" w:ascii="Times New Roman" w:hAnsi="Times New Roman" w:eastAsia="Times New Roman" w:cs="Times New Roman"/>
                <w:b/>
                <w:bCs/>
                <w:color w:val="auto"/>
                <w:spacing w:val="2"/>
                <w:sz w:val="24"/>
                <w:szCs w:val="24"/>
              </w:rPr>
              <w:t>2-</w:t>
            </w:r>
            <w:r>
              <w:rPr>
                <w:rFonts w:hint="eastAsia" w:ascii="Times New Roman" w:hAnsi="Times New Roman" w:eastAsia="宋体" w:cs="Times New Roman"/>
                <w:b/>
                <w:bCs/>
                <w:color w:val="auto"/>
                <w:spacing w:val="2"/>
                <w:sz w:val="24"/>
                <w:szCs w:val="24"/>
                <w:lang w:val="en-US" w:eastAsia="zh-CN"/>
              </w:rPr>
              <w:t>7</w:t>
            </w:r>
            <w:r>
              <w:rPr>
                <w:rFonts w:hint="default" w:ascii="Times New Roman" w:hAnsi="Times New Roman" w:eastAsia="宋体" w:cs="Times New Roman"/>
                <w:color w:val="auto"/>
                <w:spacing w:val="2"/>
                <w:sz w:val="24"/>
                <w:szCs w:val="24"/>
              </w:rPr>
              <w:t>项目主要产污工序及污染物对</w:t>
            </w:r>
            <w:r>
              <w:rPr>
                <w:rFonts w:hint="default" w:ascii="Times New Roman" w:hAnsi="Times New Roman" w:eastAsia="宋体" w:cs="Times New Roman"/>
                <w:color w:val="auto"/>
                <w:sz w:val="24"/>
                <w:szCs w:val="24"/>
              </w:rPr>
              <w:t>照表</w:t>
            </w:r>
          </w:p>
          <w:tbl>
            <w:tblPr>
              <w:tblStyle w:val="28"/>
              <w:tblW w:w="819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48"/>
              <w:gridCol w:w="2135"/>
              <w:gridCol w:w="1961"/>
              <w:gridCol w:w="20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2048" w:type="dxa"/>
                  <w:tcBorders>
                    <w:tl2br w:val="nil"/>
                    <w:tr2bl w:val="nil"/>
                  </w:tcBorders>
                  <w:noWrap w:val="0"/>
                  <w:vAlign w:val="center"/>
                </w:tcPr>
                <w:p>
                  <w:pPr>
                    <w:adjustRightInd w:val="0"/>
                    <w:snapToGrid w:val="0"/>
                    <w:jc w:val="center"/>
                    <w:rPr>
                      <w:rFonts w:hint="default" w:ascii="Times New Roman" w:hAnsi="Times New Roman" w:cs="Times New Roman"/>
                      <w:color w:val="auto"/>
                      <w:vertAlign w:val="baseline"/>
                      <w:lang w:val="en-US" w:eastAsia="zh-CN"/>
                    </w:rPr>
                  </w:pPr>
                  <w:r>
                    <w:rPr>
                      <w:rFonts w:hint="default" w:ascii="Times New Roman" w:hAnsi="Times New Roman" w:cs="Times New Roman"/>
                      <w:b/>
                      <w:bCs/>
                      <w:color w:val="auto"/>
                      <w:szCs w:val="21"/>
                    </w:rPr>
                    <w:t>污染类别</w:t>
                  </w:r>
                </w:p>
              </w:tc>
              <w:tc>
                <w:tcPr>
                  <w:tcW w:w="2135" w:type="dxa"/>
                  <w:tcBorders>
                    <w:tl2br w:val="nil"/>
                    <w:tr2bl w:val="nil"/>
                  </w:tcBorders>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污染源</w:t>
                  </w:r>
                </w:p>
                <w:p>
                  <w:pPr>
                    <w:adjustRightInd w:val="0"/>
                    <w:snapToGrid w:val="0"/>
                    <w:jc w:val="center"/>
                    <w:rPr>
                      <w:rFonts w:hint="default" w:ascii="Times New Roman" w:hAnsi="Times New Roman" w:cs="Times New Roman"/>
                      <w:color w:val="auto"/>
                      <w:vertAlign w:val="baseline"/>
                      <w:lang w:val="en-US" w:eastAsia="zh-CN"/>
                    </w:rPr>
                  </w:pPr>
                  <w:r>
                    <w:rPr>
                      <w:rFonts w:hint="default" w:ascii="Times New Roman" w:hAnsi="Times New Roman" w:cs="Times New Roman"/>
                      <w:b/>
                      <w:bCs/>
                      <w:color w:val="auto"/>
                      <w:szCs w:val="21"/>
                    </w:rPr>
                    <w:t>编号</w:t>
                  </w:r>
                </w:p>
              </w:tc>
              <w:tc>
                <w:tcPr>
                  <w:tcW w:w="1961" w:type="dxa"/>
                  <w:tcBorders>
                    <w:tl2br w:val="nil"/>
                    <w:tr2bl w:val="nil"/>
                  </w:tcBorders>
                  <w:noWrap w:val="0"/>
                  <w:vAlign w:val="center"/>
                </w:tcPr>
                <w:p>
                  <w:pPr>
                    <w:adjustRightInd w:val="0"/>
                    <w:snapToGrid w:val="0"/>
                    <w:jc w:val="center"/>
                    <w:rPr>
                      <w:rFonts w:hint="default" w:ascii="Times New Roman" w:hAnsi="Times New Roman" w:cs="Times New Roman"/>
                      <w:color w:val="auto"/>
                      <w:vertAlign w:val="baseline"/>
                      <w:lang w:val="en-US" w:eastAsia="zh-CN"/>
                    </w:rPr>
                  </w:pPr>
                  <w:r>
                    <w:rPr>
                      <w:rFonts w:hint="default" w:ascii="Times New Roman" w:hAnsi="Times New Roman" w:cs="Times New Roman"/>
                      <w:b/>
                      <w:bCs/>
                      <w:color w:val="auto"/>
                      <w:szCs w:val="21"/>
                    </w:rPr>
                    <w:t>产生工序</w:t>
                  </w:r>
                </w:p>
              </w:tc>
              <w:tc>
                <w:tcPr>
                  <w:tcW w:w="2049" w:type="dxa"/>
                  <w:tcBorders>
                    <w:tl2br w:val="nil"/>
                    <w:tr2bl w:val="nil"/>
                  </w:tcBorders>
                  <w:noWrap w:val="0"/>
                  <w:vAlign w:val="center"/>
                </w:tcPr>
                <w:p>
                  <w:pPr>
                    <w:adjustRightInd w:val="0"/>
                    <w:snapToGrid w:val="0"/>
                    <w:jc w:val="center"/>
                    <w:rPr>
                      <w:rFonts w:hint="default" w:ascii="Times New Roman" w:hAnsi="Times New Roman" w:cs="Times New Roman"/>
                      <w:color w:val="auto"/>
                      <w:vertAlign w:val="baseline"/>
                      <w:lang w:val="en-US" w:eastAsia="zh-CN"/>
                    </w:rPr>
                  </w:pPr>
                  <w:r>
                    <w:rPr>
                      <w:rFonts w:hint="default" w:ascii="Times New Roman" w:hAnsi="Times New Roman" w:cs="Times New Roman"/>
                      <w:b/>
                      <w:bCs/>
                      <w:color w:val="auto"/>
                      <w:szCs w:val="21"/>
                    </w:rPr>
                    <w:t>主要污染因子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restart"/>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废气</w:t>
                  </w: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G1</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运输道路扬尘</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G2</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堆场扬尘</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G3</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破碎</w:t>
                  </w:r>
                  <w:r>
                    <w:rPr>
                      <w:rFonts w:hint="eastAsia" w:ascii="Times New Roman" w:hAnsi="Times New Roman" w:cs="Times New Roman"/>
                      <w:color w:val="auto"/>
                      <w:vertAlign w:val="baseline"/>
                      <w:lang w:val="en-US" w:eastAsia="zh-CN"/>
                    </w:rPr>
                    <w:t>、</w:t>
                  </w:r>
                  <w:r>
                    <w:rPr>
                      <w:rFonts w:hint="default" w:ascii="Times New Roman" w:hAnsi="Times New Roman" w:cs="Times New Roman"/>
                      <w:color w:val="auto"/>
                      <w:vertAlign w:val="baseline"/>
                      <w:lang w:val="en-US" w:eastAsia="zh-CN"/>
                    </w:rPr>
                    <w:t>筛分粉尘</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G4</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铲车装卸粉尘</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G5</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水泥进料</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G6</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装卸粉尘</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颗粒物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restart"/>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废水</w:t>
                  </w: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W1</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职工生活</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pH、COD、BOD</w:t>
                  </w:r>
                  <w:r>
                    <w:rPr>
                      <w:rFonts w:hint="default" w:ascii="Times New Roman" w:hAnsi="Times New Roman" w:cs="Times New Roman"/>
                      <w:color w:val="auto"/>
                      <w:vertAlign w:val="subscript"/>
                      <w:lang w:val="en-US" w:eastAsia="zh-CN"/>
                    </w:rPr>
                    <w:t>5</w:t>
                  </w:r>
                  <w:r>
                    <w:rPr>
                      <w:rFonts w:hint="default" w:ascii="Times New Roman" w:hAnsi="Times New Roman" w:cs="Times New Roman"/>
                      <w:color w:val="auto"/>
                      <w:vertAlign w:val="baseline"/>
                      <w:lang w:val="en-US" w:eastAsia="zh-CN"/>
                    </w:rPr>
                    <w:t>、SS、氨氮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W2</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地面清洗废水</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噪声</w:t>
                  </w: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设备噪声</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设备运行</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机械噪声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restart"/>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一般固废</w:t>
                  </w: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布袋收集的粉尘</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废气处理</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粉尘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生活垃圾</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职工生活</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生活垃圾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48" w:type="dxa"/>
                  <w:vMerge w:val="continue"/>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p>
              </w:tc>
              <w:tc>
                <w:tcPr>
                  <w:tcW w:w="2135"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沉淀池沉淀后的沉渣</w:t>
                  </w:r>
                </w:p>
              </w:tc>
              <w:tc>
                <w:tcPr>
                  <w:tcW w:w="1961"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沉淀池处理</w:t>
                  </w:r>
                </w:p>
              </w:tc>
              <w:tc>
                <w:tcPr>
                  <w:tcW w:w="2049" w:type="dxa"/>
                  <w:tcBorders>
                    <w:tl2br w:val="nil"/>
                    <w:tr2bl w:val="nil"/>
                  </w:tcBorders>
                  <w:noWrap w:val="0"/>
                  <w:vAlign w:val="center"/>
                </w:tcPr>
                <w:p>
                  <w:pPr>
                    <w:pStyle w:val="11"/>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沉淀池沉渣</w:t>
                  </w:r>
                </w:p>
              </w:tc>
            </w:tr>
          </w:tbl>
          <w:p>
            <w:pPr>
              <w:pStyle w:val="11"/>
              <w:rPr>
                <w:rFonts w:hint="default" w:ascii="Times New Roman" w:hAnsi="Times New Roman" w:cs="Times New Roman"/>
                <w:color w:val="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5" w:type="dxa"/>
            <w:noWrap w:val="0"/>
            <w:vAlign w:val="center"/>
          </w:tcPr>
          <w:p>
            <w:pPr>
              <w:pStyle w:val="24"/>
              <w:adjustRightInd w:val="0"/>
              <w:snapToGrid w:val="0"/>
              <w:spacing w:before="0" w:beforeAutospacing="0" w:after="0" w:afterAutospacing="0"/>
              <w:jc w:val="center"/>
              <w:rPr>
                <w:rFonts w:hint="default" w:ascii="Times New Roman" w:hAnsi="Times New Roman" w:cs="Times New Roman"/>
                <w:color w:val="auto"/>
                <w:sz w:val="21"/>
                <w:szCs w:val="21"/>
              </w:rPr>
            </w:pPr>
            <w:r>
              <w:rPr>
                <w:rFonts w:hint="default" w:ascii="Times New Roman" w:hAnsi="Times New Roman" w:cs="Times New Roman"/>
                <w:bCs/>
                <w:color w:val="auto"/>
                <w:kern w:val="2"/>
                <w:szCs w:val="24"/>
              </w:rPr>
              <w:t>与项目有关的原有环境污染问题</w:t>
            </w:r>
          </w:p>
        </w:tc>
        <w:tc>
          <w:tcPr>
            <w:tcW w:w="8409" w:type="dxa"/>
            <w:noWrap w:val="0"/>
            <w:vAlign w:val="top"/>
          </w:tcPr>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eastAsia="宋体" w:cs="Times New Roman"/>
                <w:color w:val="auto"/>
                <w:spacing w:val="0"/>
                <w:sz w:val="24"/>
                <w:szCs w:val="24"/>
              </w:rPr>
              <w:t>本项目位于芜湖市鸠江区清水街道清水创业园芜湖铮铮金属加工有限公司厂房，项目</w:t>
            </w:r>
            <w:r>
              <w:rPr>
                <w:rFonts w:hint="default" w:ascii="Times New Roman" w:hAnsi="Times New Roman" w:cs="Times New Roman"/>
                <w:color w:val="auto"/>
                <w:spacing w:val="0"/>
                <w:sz w:val="24"/>
                <w:szCs w:val="24"/>
                <w:lang w:val="en-US" w:eastAsia="zh-CN"/>
              </w:rPr>
              <w:t>西侧为</w:t>
            </w:r>
            <w:r>
              <w:rPr>
                <w:rFonts w:hint="default" w:ascii="Times New Roman" w:hAnsi="Times New Roman" w:eastAsia="宋体" w:cs="Times New Roman"/>
                <w:color w:val="auto"/>
                <w:spacing w:val="0"/>
                <w:sz w:val="24"/>
                <w:szCs w:val="24"/>
              </w:rPr>
              <w:t>芜湖宏春木业集团有限公司，</w:t>
            </w:r>
            <w:r>
              <w:rPr>
                <w:rFonts w:hint="default" w:ascii="Times New Roman" w:hAnsi="Times New Roman" w:cs="Times New Roman"/>
                <w:color w:val="auto"/>
                <w:spacing w:val="0"/>
                <w:sz w:val="24"/>
                <w:szCs w:val="24"/>
                <w:lang w:val="en-US" w:eastAsia="zh-CN"/>
              </w:rPr>
              <w:t>东</w:t>
            </w:r>
            <w:r>
              <w:rPr>
                <w:rFonts w:hint="default" w:ascii="Times New Roman" w:hAnsi="Times New Roman" w:eastAsia="宋体" w:cs="Times New Roman"/>
                <w:color w:val="auto"/>
                <w:spacing w:val="0"/>
                <w:sz w:val="24"/>
                <w:szCs w:val="24"/>
              </w:rPr>
              <w:t>侧为</w:t>
            </w:r>
            <w:r>
              <w:rPr>
                <w:rFonts w:hint="default" w:ascii="Times New Roman" w:hAnsi="Times New Roman" w:cs="Times New Roman"/>
                <w:color w:val="auto"/>
                <w:spacing w:val="0"/>
                <w:sz w:val="24"/>
                <w:szCs w:val="24"/>
                <w:lang w:val="en-US" w:eastAsia="zh-CN"/>
              </w:rPr>
              <w:t>宁芜高速，</w:t>
            </w:r>
            <w:r>
              <w:rPr>
                <w:rFonts w:hint="default" w:ascii="Times New Roman" w:hAnsi="Times New Roman" w:eastAsia="宋体" w:cs="Times New Roman"/>
                <w:color w:val="auto"/>
                <w:spacing w:val="0"/>
                <w:sz w:val="24"/>
                <w:szCs w:val="24"/>
              </w:rPr>
              <w:t>南侧为园区内部道路，隔路为芜湖同达家具有限公司，北侧为北京东路。用于周围均为工业用地，环境状况良好。本项目租赁厂房无原有污染状况，具体项目周边环境关系图见附图。</w:t>
            </w:r>
          </w:p>
        </w:tc>
      </w:tr>
    </w:tbl>
    <w:p>
      <w:pPr>
        <w:pStyle w:val="24"/>
        <w:jc w:val="center"/>
        <w:outlineLvl w:val="0"/>
        <w:rPr>
          <w:rFonts w:hint="default" w:ascii="Times New Roman" w:hAnsi="Times New Roman" w:eastAsia="黑体" w:cs="Times New Roman"/>
          <w:snapToGrid w:val="0"/>
          <w:color w:val="auto"/>
          <w:sz w:val="30"/>
          <w:szCs w:val="30"/>
        </w:rPr>
      </w:pPr>
    </w:p>
    <w:p>
      <w:pPr>
        <w:pStyle w:val="24"/>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区域</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质量</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rPr>
              <w:t>现状</w:t>
            </w:r>
          </w:p>
        </w:tc>
        <w:tc>
          <w:tcPr>
            <w:tcW w:w="819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建设项目所在地区域环境质量现状及主要环境问题（环境空气、地面水、地下水、声环境、生态环境等）：</w:t>
            </w:r>
          </w:p>
          <w:p>
            <w:pPr>
              <w:keepNext w:val="0"/>
              <w:keepLines w:val="0"/>
              <w:pageBreakBefore w:val="0"/>
              <w:widowControl w:val="0"/>
              <w:kinsoku/>
              <w:wordWrap/>
              <w:overflowPunct/>
              <w:topLinePunct w:val="0"/>
              <w:autoSpaceDE/>
              <w:autoSpaceDN/>
              <w:bidi w:val="0"/>
              <w:adjustRightInd/>
              <w:snapToGrid/>
              <w:spacing w:before="120" w:beforeLines="50" w:afterLines="0" w:line="360" w:lineRule="auto"/>
              <w:ind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1、区域大气环境质量现状</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2"/>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根据芜湖市生态环境局网站公示的</w:t>
            </w:r>
            <w:r>
              <w:rPr>
                <w:rFonts w:hint="default" w:ascii="Times New Roman" w:hAnsi="Times New Roman" w:cs="Times New Roman"/>
                <w:color w:val="auto"/>
                <w:sz w:val="24"/>
                <w:szCs w:val="24"/>
                <w:lang w:val="en-US" w:eastAsia="zh-CN"/>
              </w:rPr>
              <w:t>2020年度生态环境公报</w:t>
            </w:r>
            <w:r>
              <w:rPr>
                <w:rFonts w:hint="default" w:ascii="Times New Roman" w:hAnsi="Times New Roman" w:cs="Times New Roman"/>
                <w:color w:val="auto"/>
                <w:sz w:val="24"/>
                <w:szCs w:val="24"/>
              </w:rPr>
              <w:t>（http://sthjj.wuhu.gov.cn/hbyw/hjzl/hjzlgb/8284951.html）。全年环境空气优良天数为323天，优良率达88.3%，较2019年增加63天，空气质量优良天数比例为88.3%，同比提高16.5%，改善幅度位居全省第二位，；轻度污染37天，中度污染5天，重度污染1天，无严重污染天气，重度污染天数比2019年减少1天，比2015年减少6天。</w:t>
            </w:r>
          </w:p>
          <w:p>
            <w:pPr>
              <w:spacing w:beforeLines="0" w:afterLines="0"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2020年，</w:t>
            </w:r>
            <w:r>
              <w:rPr>
                <w:rFonts w:hint="default" w:ascii="Times New Roman" w:hAnsi="Times New Roman" w:cs="Times New Roman"/>
                <w:color w:val="auto"/>
                <w:sz w:val="24"/>
                <w:szCs w:val="24"/>
                <w:lang w:val="en-US" w:eastAsia="zh-CN"/>
              </w:rPr>
              <w:t>鸠江区</w:t>
            </w:r>
            <w:r>
              <w:rPr>
                <w:rFonts w:hint="default" w:ascii="Times New Roman" w:hAnsi="Times New Roman" w:cs="Times New Roman"/>
                <w:color w:val="auto"/>
                <w:sz w:val="24"/>
                <w:szCs w:val="24"/>
              </w:rPr>
              <w:t>设置1座空气质量监测站点。站点采用空气质量自动监测系统监测。以下为</w:t>
            </w:r>
            <w:r>
              <w:rPr>
                <w:rFonts w:hint="default" w:ascii="Times New Roman" w:hAnsi="Times New Roman" w:cs="Times New Roman"/>
                <w:color w:val="auto"/>
                <w:sz w:val="24"/>
                <w:szCs w:val="24"/>
                <w:lang w:val="en-US" w:eastAsia="zh-CN"/>
              </w:rPr>
              <w:t>鸠江区</w:t>
            </w:r>
            <w:r>
              <w:rPr>
                <w:rFonts w:hint="default" w:ascii="Times New Roman" w:hAnsi="Times New Roman" w:cs="Times New Roman"/>
                <w:color w:val="auto"/>
                <w:sz w:val="24"/>
                <w:szCs w:val="24"/>
              </w:rPr>
              <w:t>1座监测站首要污染物浓度一览表。</w:t>
            </w:r>
          </w:p>
          <w:p>
            <w:pPr>
              <w:spacing w:before="120" w:beforeLines="50" w:afterLines="0"/>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表3-1</w:t>
            </w:r>
            <w:r>
              <w:rPr>
                <w:rFonts w:hint="default" w:ascii="Times New Roman" w:hAnsi="Times New Roman" w:cs="Times New Roman"/>
                <w:b/>
                <w:color w:val="auto"/>
                <w:sz w:val="24"/>
                <w:szCs w:val="24"/>
                <w:lang w:val="en-US" w:eastAsia="zh-CN"/>
              </w:rPr>
              <w:t>鸠江区</w:t>
            </w:r>
            <w:r>
              <w:rPr>
                <w:rFonts w:hint="default" w:ascii="Times New Roman" w:hAnsi="Times New Roman" w:cs="Times New Roman"/>
                <w:b/>
                <w:color w:val="auto"/>
                <w:sz w:val="24"/>
                <w:szCs w:val="24"/>
              </w:rPr>
              <w:t>环境空气首要污染物平均浓度值汇总表</w:t>
            </w:r>
          </w:p>
          <w:tbl>
            <w:tblPr>
              <w:tblStyle w:val="2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640"/>
              <w:gridCol w:w="3119"/>
              <w:gridCol w:w="32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vMerge w:val="restart"/>
                  <w:tcBorders>
                    <w:tl2br w:val="nil"/>
                    <w:tr2bl w:val="nil"/>
                  </w:tcBorders>
                  <w:noWrap w:val="0"/>
                  <w:vAlign w:val="center"/>
                </w:tcPr>
                <w:p>
                  <w:pPr>
                    <w:spacing w:beforeLines="0" w:afterLines="0"/>
                    <w:jc w:val="right"/>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站点</w:t>
                  </w:r>
                </w:p>
                <w:p>
                  <w:pPr>
                    <w:spacing w:beforeLines="0" w:afterLines="0"/>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监测项</w:t>
                  </w:r>
                </w:p>
              </w:tc>
              <w:tc>
                <w:tcPr>
                  <w:tcW w:w="3970" w:type="pct"/>
                  <w:gridSpan w:val="2"/>
                  <w:tcBorders>
                    <w:tl2br w:val="nil"/>
                    <w:tr2bl w:val="nil"/>
                  </w:tcBorders>
                  <w:noWrap w:val="0"/>
                  <w:vAlign w:val="center"/>
                </w:tcPr>
                <w:p>
                  <w:pPr>
                    <w:spacing w:beforeLines="0" w:afterLine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2020年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vMerge w:val="continue"/>
                  <w:tcBorders>
                    <w:tl2br w:val="nil"/>
                    <w:tr2bl w:val="nil"/>
                  </w:tcBorders>
                  <w:noWrap w:val="0"/>
                  <w:vAlign w:val="center"/>
                </w:tcPr>
                <w:p>
                  <w:pPr>
                    <w:spacing w:beforeLines="0" w:afterLines="0"/>
                    <w:rPr>
                      <w:rFonts w:hint="default" w:ascii="Times New Roman" w:hAnsi="Times New Roman" w:cs="Times New Roman"/>
                      <w:b/>
                      <w:color w:val="auto"/>
                      <w:sz w:val="21"/>
                      <w:szCs w:val="21"/>
                    </w:rPr>
                  </w:pPr>
                </w:p>
              </w:tc>
              <w:tc>
                <w:tcPr>
                  <w:tcW w:w="1958" w:type="pct"/>
                  <w:tcBorders>
                    <w:tl2br w:val="nil"/>
                    <w:tr2bl w:val="nil"/>
                  </w:tcBorders>
                  <w:noWrap w:val="0"/>
                  <w:vAlign w:val="center"/>
                </w:tcPr>
                <w:p>
                  <w:pPr>
                    <w:spacing w:beforeLines="0" w:afterLines="0"/>
                    <w:ind w:left="-105" w:leftChars="-50" w:right="-105" w:rightChars="-50"/>
                    <w:jc w:val="center"/>
                    <w:rPr>
                      <w:rFonts w:hint="default"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lang w:val="en-US" w:eastAsia="zh-CN"/>
                    </w:rPr>
                    <w:t>济民医院</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SO</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年平均</w:t>
                  </w:r>
                </w:p>
              </w:tc>
              <w:tc>
                <w:tcPr>
                  <w:tcW w:w="1958"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8μg/m</w:t>
                  </w:r>
                  <w:r>
                    <w:rPr>
                      <w:rFonts w:hint="default" w:ascii="Times New Roman" w:hAnsi="Times New Roman" w:cs="Times New Roman"/>
                      <w:color w:val="auto"/>
                      <w:sz w:val="21"/>
                      <w:szCs w:val="21"/>
                      <w:vertAlign w:val="superscript"/>
                    </w:rPr>
                    <w:t>3</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60μg/m</w:t>
                  </w:r>
                  <w:r>
                    <w:rPr>
                      <w:rFonts w:hint="default" w:ascii="Times New Roman" w:hAnsi="Times New Roman" w:cs="Times New Roman"/>
                      <w:color w:val="auto"/>
                      <w:sz w:val="21"/>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NO</w:t>
                  </w:r>
                  <w:r>
                    <w:rPr>
                      <w:rFonts w:hint="default" w:ascii="Times New Roman" w:hAnsi="Times New Roman" w:cs="Times New Roman"/>
                      <w:color w:val="auto"/>
                      <w:sz w:val="21"/>
                      <w:szCs w:val="21"/>
                      <w:vertAlign w:val="subscript"/>
                    </w:rPr>
                    <w:t>2</w:t>
                  </w:r>
                  <w:r>
                    <w:rPr>
                      <w:rFonts w:hint="default" w:ascii="Times New Roman" w:hAnsi="Times New Roman" w:cs="Times New Roman"/>
                      <w:color w:val="auto"/>
                      <w:sz w:val="21"/>
                      <w:szCs w:val="21"/>
                    </w:rPr>
                    <w:t>年平均</w:t>
                  </w:r>
                </w:p>
              </w:tc>
              <w:tc>
                <w:tcPr>
                  <w:tcW w:w="1958" w:type="pct"/>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36μg/m</w:t>
                  </w:r>
                  <w:r>
                    <w:rPr>
                      <w:rFonts w:hint="default" w:ascii="Times New Roman" w:hAnsi="Times New Roman" w:cs="Times New Roman"/>
                      <w:color w:val="auto"/>
                      <w:sz w:val="21"/>
                      <w:szCs w:val="21"/>
                      <w:vertAlign w:val="superscript"/>
                      <w:lang w:val="en-US" w:eastAsia="zh-CN"/>
                    </w:rPr>
                    <w:t>3</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40μg/m</w:t>
                  </w:r>
                  <w:r>
                    <w:rPr>
                      <w:rFonts w:hint="default" w:ascii="Times New Roman" w:hAnsi="Times New Roman" w:cs="Times New Roman"/>
                      <w:color w:val="auto"/>
                      <w:sz w:val="21"/>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10</w:t>
                  </w:r>
                  <w:r>
                    <w:rPr>
                      <w:rFonts w:hint="default" w:ascii="Times New Roman" w:hAnsi="Times New Roman" w:cs="Times New Roman"/>
                      <w:color w:val="auto"/>
                      <w:sz w:val="21"/>
                      <w:szCs w:val="21"/>
                    </w:rPr>
                    <w:t>年平均</w:t>
                  </w:r>
                </w:p>
              </w:tc>
              <w:tc>
                <w:tcPr>
                  <w:tcW w:w="1958" w:type="pct"/>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49μg/m</w:t>
                  </w:r>
                  <w:r>
                    <w:rPr>
                      <w:rFonts w:hint="default" w:ascii="Times New Roman" w:hAnsi="Times New Roman" w:cs="Times New Roman"/>
                      <w:color w:val="auto"/>
                      <w:sz w:val="21"/>
                      <w:szCs w:val="21"/>
                      <w:vertAlign w:val="superscript"/>
                      <w:lang w:val="en-US" w:eastAsia="zh-CN"/>
                    </w:rPr>
                    <w:t>3</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70μg/m</w:t>
                  </w:r>
                  <w:r>
                    <w:rPr>
                      <w:rFonts w:hint="default" w:ascii="Times New Roman" w:hAnsi="Times New Roman" w:cs="Times New Roman"/>
                      <w:color w:val="auto"/>
                      <w:sz w:val="21"/>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PM</w:t>
                  </w:r>
                  <w:r>
                    <w:rPr>
                      <w:rFonts w:hint="default" w:ascii="Times New Roman" w:hAnsi="Times New Roman" w:cs="Times New Roman"/>
                      <w:color w:val="auto"/>
                      <w:sz w:val="21"/>
                      <w:szCs w:val="21"/>
                      <w:vertAlign w:val="subscript"/>
                    </w:rPr>
                    <w:t>2.5</w:t>
                  </w:r>
                  <w:r>
                    <w:rPr>
                      <w:rFonts w:hint="default" w:ascii="Times New Roman" w:hAnsi="Times New Roman" w:cs="Times New Roman"/>
                      <w:color w:val="auto"/>
                      <w:sz w:val="21"/>
                      <w:szCs w:val="21"/>
                    </w:rPr>
                    <w:t>年平均</w:t>
                  </w:r>
                </w:p>
              </w:tc>
              <w:tc>
                <w:tcPr>
                  <w:tcW w:w="1958"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35μg/m</w:t>
                  </w:r>
                  <w:r>
                    <w:rPr>
                      <w:rFonts w:hint="default" w:ascii="Times New Roman" w:hAnsi="Times New Roman" w:cs="Times New Roman"/>
                      <w:color w:val="auto"/>
                      <w:sz w:val="21"/>
                      <w:szCs w:val="21"/>
                      <w:vertAlign w:val="superscript"/>
                    </w:rPr>
                    <w:t>3</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35μg/m</w:t>
                  </w:r>
                  <w:r>
                    <w:rPr>
                      <w:rFonts w:hint="default" w:ascii="Times New Roman" w:hAnsi="Times New Roman" w:cs="Times New Roman"/>
                      <w:color w:val="auto"/>
                      <w:sz w:val="21"/>
                      <w:szCs w:val="21"/>
                      <w:vertAlign w:val="superscript"/>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CO年平均</w:t>
                  </w:r>
                </w:p>
              </w:tc>
              <w:tc>
                <w:tcPr>
                  <w:tcW w:w="1958"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w:t>
                  </w:r>
                  <w:r>
                    <w:rPr>
                      <w:rFonts w:hint="default" w:ascii="Times New Roman" w:hAnsi="Times New Roman" w:cs="Times New Roman"/>
                      <w:color w:val="auto"/>
                      <w:sz w:val="21"/>
                      <w:szCs w:val="21"/>
                      <w:lang w:val="en-US" w:eastAsia="zh-CN"/>
                    </w:rPr>
                    <w:t>mg/m</w:t>
                  </w:r>
                  <w:r>
                    <w:rPr>
                      <w:rFonts w:hint="default" w:ascii="Times New Roman" w:hAnsi="Times New Roman" w:cs="Times New Roman"/>
                      <w:color w:val="auto"/>
                      <w:sz w:val="21"/>
                      <w:szCs w:val="21"/>
                      <w:vertAlign w:val="superscript"/>
                      <w:lang w:val="en-US" w:eastAsia="zh-CN"/>
                    </w:rPr>
                    <w:t>3</w:t>
                  </w:r>
                </w:p>
              </w:tc>
              <w:tc>
                <w:tcPr>
                  <w:tcW w:w="2012" w:type="pct"/>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4mg/m3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6" w:hRule="atLeast"/>
                <w:jc w:val="center"/>
              </w:trPr>
              <w:tc>
                <w:tcPr>
                  <w:tcW w:w="1030" w:type="pct"/>
                  <w:tcBorders>
                    <w:tl2br w:val="nil"/>
                    <w:tr2bl w:val="nil"/>
                  </w:tcBorders>
                  <w:noWrap w:val="0"/>
                  <w:vAlign w:val="center"/>
                </w:tcPr>
                <w:p>
                  <w:pPr>
                    <w:spacing w:beforeLines="0" w:afterLines="0"/>
                    <w:ind w:left="-105" w:leftChars="-50" w:right="-105" w:rightChars="-5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O</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日最大8h平均</w:t>
                  </w:r>
                </w:p>
              </w:tc>
              <w:tc>
                <w:tcPr>
                  <w:tcW w:w="1958" w:type="pct"/>
                  <w:tcBorders>
                    <w:tl2br w:val="nil"/>
                    <w:tr2bl w:val="nil"/>
                  </w:tcBorders>
                  <w:noWrap w:val="0"/>
                  <w:vAlign w:val="center"/>
                </w:tcPr>
                <w:p>
                  <w:pPr>
                    <w:spacing w:beforeLines="0" w:afterLines="0"/>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148μg/m</w:t>
                  </w:r>
                  <w:r>
                    <w:rPr>
                      <w:rFonts w:hint="default" w:ascii="Times New Roman" w:hAnsi="Times New Roman" w:cs="Times New Roman"/>
                      <w:color w:val="auto"/>
                      <w:sz w:val="21"/>
                      <w:szCs w:val="21"/>
                      <w:vertAlign w:val="superscript"/>
                      <w:lang w:val="en-US" w:eastAsia="zh-CN"/>
                    </w:rPr>
                    <w:t>3</w:t>
                  </w:r>
                </w:p>
              </w:tc>
              <w:tc>
                <w:tcPr>
                  <w:tcW w:w="2012" w:type="pct"/>
                  <w:tcBorders>
                    <w:tl2br w:val="nil"/>
                    <w:tr2bl w:val="nil"/>
                  </w:tcBorders>
                  <w:noWrap w:val="0"/>
                  <w:vAlign w:val="center"/>
                </w:tcPr>
                <w:p>
                  <w:pPr>
                    <w:spacing w:beforeLines="0" w:afterLine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160μg/m</w:t>
                  </w:r>
                  <w:r>
                    <w:rPr>
                      <w:rFonts w:hint="default" w:ascii="Times New Roman" w:hAnsi="Times New Roman" w:cs="Times New Roman"/>
                      <w:color w:val="auto"/>
                      <w:sz w:val="21"/>
                      <w:szCs w:val="21"/>
                      <w:vertAlign w:val="superscript"/>
                    </w:rPr>
                    <w:t>3</w:t>
                  </w:r>
                </w:p>
              </w:tc>
            </w:tr>
          </w:tbl>
          <w:p>
            <w:pPr>
              <w:keepNext w:val="0"/>
              <w:keepLines w:val="0"/>
              <w:pageBreakBefore w:val="0"/>
              <w:kinsoku/>
              <w:wordWrap/>
              <w:overflowPunct/>
              <w:topLinePunct w:val="0"/>
              <w:autoSpaceDE/>
              <w:autoSpaceDN/>
              <w:bidi w:val="0"/>
              <w:adjustRightInd/>
              <w:spacing w:line="360" w:lineRule="auto"/>
              <w:ind w:right="0"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sz w:val="24"/>
                <w:szCs w:val="24"/>
              </w:rPr>
              <w:t>由上表分析可知：判定项目所在地</w:t>
            </w:r>
            <w:r>
              <w:rPr>
                <w:rFonts w:hint="default" w:ascii="Times New Roman" w:hAnsi="Times New Roman" w:cs="Times New Roman"/>
                <w:color w:val="auto"/>
                <w:sz w:val="24"/>
                <w:szCs w:val="24"/>
                <w:lang w:val="en-US" w:eastAsia="zh-CN"/>
              </w:rPr>
              <w:t>鸠江</w:t>
            </w:r>
            <w:r>
              <w:rPr>
                <w:rFonts w:hint="default" w:ascii="Times New Roman" w:hAnsi="Times New Roman" w:cs="Times New Roman"/>
                <w:color w:val="auto"/>
                <w:sz w:val="24"/>
                <w:szCs w:val="24"/>
              </w:rPr>
              <w:t>区环境空气为“达标区”，</w:t>
            </w:r>
            <w:r>
              <w:rPr>
                <w:rFonts w:hint="default" w:ascii="Times New Roman" w:hAnsi="Times New Roman" w:cs="Times New Roman"/>
                <w:color w:val="auto"/>
                <w:sz w:val="24"/>
                <w:szCs w:val="24"/>
                <w:highlight w:val="none"/>
                <w:lang w:val="en-US" w:eastAsia="zh-CN"/>
              </w:rPr>
              <w:t>环境空气执行《环境空气质量标准》（GB3095－2012）中二类区标准</w:t>
            </w:r>
            <w:r>
              <w:rPr>
                <w:rFonts w:hint="eastAsia" w:cs="Times New Roman"/>
                <w:color w:val="auto"/>
                <w:sz w:val="24"/>
                <w:szCs w:val="24"/>
                <w:highlight w:val="none"/>
                <w:lang w:val="en-US" w:eastAsia="zh-CN"/>
              </w:rPr>
              <w:t>。</w:t>
            </w:r>
          </w:p>
          <w:p>
            <w:pPr>
              <w:pStyle w:val="9"/>
              <w:keepNext w:val="0"/>
              <w:keepLines w:val="0"/>
              <w:pageBreakBefore w:val="0"/>
              <w:kinsoku/>
              <w:wordWrap/>
              <w:overflowPunct/>
              <w:topLinePunct w:val="0"/>
              <w:autoSpaceDE/>
              <w:autoSpaceDN/>
              <w:bidi w:val="0"/>
              <w:adjustRightInd/>
              <w:spacing w:before="0" w:after="0" w:line="360" w:lineRule="auto"/>
              <w:ind w:right="0"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2、地表水环境质量</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本次环评依据芜湖市生态环境局发布的《2020年芜湖市环境状况公报》进行区域达标性判断评价，对项目所在区域水环境质量现状进行分析。</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全市列入国家水质考核断面共有6个，长江东西梁山、漳河澛港桥、青山河查湾、青弋江宝塔根、裕溪河裕溪口、黄浒河荻港6个断面水质均值达到《地表水环境质量标准》（GB3838-2002）Ⅱ类标准，其中青弋江宝塔根、裕溪河裕溪口、黄浒河荻港3个国控断面优于国家考核要求。</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监测结果详见</w:t>
            </w:r>
            <w:r>
              <w:rPr>
                <w:rFonts w:hint="eastAsia" w:cs="Times New Roman"/>
                <w:bCs/>
                <w:color w:val="auto"/>
                <w:sz w:val="24"/>
                <w:lang w:val="en-US" w:eastAsia="zh-CN"/>
              </w:rPr>
              <w:t>下</w:t>
            </w:r>
            <w:r>
              <w:rPr>
                <w:rFonts w:hint="default" w:ascii="Times New Roman" w:hAnsi="Times New Roman" w:eastAsia="宋体" w:cs="Times New Roman"/>
                <w:bCs/>
                <w:color w:val="auto"/>
                <w:sz w:val="24"/>
              </w:rPr>
              <w:t>表：</w:t>
            </w:r>
          </w:p>
          <w:p>
            <w:pPr>
              <w:ind w:firstLine="482" w:firstLineChars="200"/>
              <w:jc w:val="center"/>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表3-</w:t>
            </w:r>
            <w:r>
              <w:rPr>
                <w:rFonts w:hint="eastAsia" w:cs="Times New Roman"/>
                <w:b/>
                <w:bCs/>
                <w:color w:val="auto"/>
                <w:sz w:val="24"/>
                <w:lang w:val="en-US" w:eastAsia="zh-CN"/>
              </w:rPr>
              <w:t>2</w:t>
            </w:r>
            <w:r>
              <w:rPr>
                <w:rFonts w:hint="default" w:ascii="Times New Roman" w:hAnsi="Times New Roman" w:eastAsia="宋体" w:cs="Times New Roman"/>
                <w:b/>
                <w:bCs/>
                <w:color w:val="auto"/>
                <w:sz w:val="24"/>
              </w:rPr>
              <w:t>芜湖市河流国控断面达标情况一览表</w:t>
            </w:r>
          </w:p>
          <w:tbl>
            <w:tblPr>
              <w:tblStyle w:val="27"/>
              <w:tblW w:w="5000"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469"/>
              <w:gridCol w:w="1227"/>
              <w:gridCol w:w="1056"/>
              <w:gridCol w:w="2342"/>
              <w:gridCol w:w="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73"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河流名称</w:t>
                  </w:r>
                </w:p>
              </w:tc>
              <w:tc>
                <w:tcPr>
                  <w:tcW w:w="1228"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断面名称</w:t>
                  </w:r>
                </w:p>
              </w:tc>
              <w:tc>
                <w:tcPr>
                  <w:tcW w:w="1057"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断面水质现状</w:t>
                  </w:r>
                </w:p>
              </w:tc>
              <w:tc>
                <w:tcPr>
                  <w:tcW w:w="2345"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执行标准</w:t>
                  </w:r>
                </w:p>
              </w:tc>
              <w:tc>
                <w:tcPr>
                  <w:tcW w:w="871"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73"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长江</w:t>
                  </w:r>
                </w:p>
              </w:tc>
              <w:tc>
                <w:tcPr>
                  <w:tcW w:w="1228"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东西梁山</w:t>
                  </w:r>
                </w:p>
              </w:tc>
              <w:tc>
                <w:tcPr>
                  <w:tcW w:w="1057"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Cs/>
                      <w:color w:val="auto"/>
                      <w:kern w:val="0"/>
                      <w:sz w:val="24"/>
                      <w:szCs w:val="20"/>
                      <w:lang w:val="en-US" w:eastAsia="zh-CN" w:bidi="ar-SA"/>
                    </w:rPr>
                    <w:t>Ⅱ类</w:t>
                  </w:r>
                </w:p>
              </w:tc>
              <w:tc>
                <w:tcPr>
                  <w:tcW w:w="2345"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Cs/>
                      <w:color w:val="auto"/>
                      <w:kern w:val="0"/>
                      <w:sz w:val="24"/>
                      <w:szCs w:val="20"/>
                      <w:lang w:val="en-US" w:eastAsia="zh-CN" w:bidi="ar-SA"/>
                    </w:rPr>
                    <w:t>III类</w:t>
                  </w:r>
                </w:p>
              </w:tc>
              <w:tc>
                <w:tcPr>
                  <w:tcW w:w="871"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trPr>
              <w:tc>
                <w:tcPr>
                  <w:tcW w:w="2473"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青弋江</w:t>
                  </w:r>
                </w:p>
              </w:tc>
              <w:tc>
                <w:tcPr>
                  <w:tcW w:w="1228"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宝塔根</w:t>
                  </w:r>
                </w:p>
              </w:tc>
              <w:tc>
                <w:tcPr>
                  <w:tcW w:w="1057"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Cs/>
                      <w:color w:val="auto"/>
                      <w:kern w:val="0"/>
                      <w:sz w:val="24"/>
                      <w:szCs w:val="20"/>
                      <w:lang w:val="en-US" w:eastAsia="zh-CN" w:bidi="ar-SA"/>
                    </w:rPr>
                    <w:t>Ⅱ类</w:t>
                  </w:r>
                </w:p>
              </w:tc>
              <w:tc>
                <w:tcPr>
                  <w:tcW w:w="2345"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Cs/>
                      <w:color w:val="auto"/>
                      <w:kern w:val="0"/>
                      <w:sz w:val="24"/>
                      <w:szCs w:val="20"/>
                      <w:lang w:val="en-US" w:eastAsia="zh-CN" w:bidi="ar-SA"/>
                    </w:rPr>
                    <w:t>III类</w:t>
                  </w:r>
                </w:p>
              </w:tc>
              <w:tc>
                <w:tcPr>
                  <w:tcW w:w="871" w:type="dxa"/>
                  <w:tcBorders>
                    <w:tl2br w:val="nil"/>
                    <w:tr2bl w:val="nil"/>
                  </w:tcBorders>
                  <w:noWrap w:val="0"/>
                  <w:vAlign w:val="center"/>
                </w:tcPr>
                <w:p>
                  <w:pPr>
                    <w:widowControl/>
                    <w:spacing w:before="0" w:beforeAutospacing="0" w:after="0" w:afterAutospacing="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达标</w:t>
                  </w:r>
                </w:p>
              </w:tc>
            </w:tr>
          </w:tbl>
          <w:p>
            <w:pPr>
              <w:widowControl/>
              <w:spacing w:line="360" w:lineRule="auto"/>
              <w:ind w:firstLine="456" w:firstLineChars="190"/>
              <w:jc w:val="left"/>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由上表可知，区域地表水环境</w:t>
            </w:r>
            <w:r>
              <w:rPr>
                <w:rFonts w:hint="default" w:ascii="Times New Roman" w:hAnsi="Times New Roman" w:eastAsia="宋体" w:cs="Times New Roman"/>
                <w:bCs/>
                <w:color w:val="auto"/>
                <w:sz w:val="24"/>
                <w:lang w:val="en-US" w:eastAsia="zh-CN"/>
              </w:rPr>
              <w:t>满足</w:t>
            </w:r>
            <w:r>
              <w:rPr>
                <w:rFonts w:hint="default" w:ascii="Times New Roman" w:hAnsi="Times New Roman" w:eastAsia="宋体" w:cs="Times New Roman"/>
                <w:bCs/>
                <w:color w:val="auto"/>
                <w:sz w:val="24"/>
              </w:rPr>
              <w:t>《地表水环境质量标准》（GB3838-2002）中Ⅲ类标准的要求。</w:t>
            </w:r>
          </w:p>
          <w:p>
            <w:pPr>
              <w:pStyle w:val="8"/>
              <w:rPr>
                <w:rFonts w:hint="default" w:ascii="Times New Roman" w:hAnsi="Times New Roman" w:cs="Times New Roman"/>
                <w:color w:val="auto"/>
              </w:rPr>
            </w:pPr>
          </w:p>
          <w:p>
            <w:pPr>
              <w:pStyle w:val="9"/>
              <w:spacing w:line="460" w:lineRule="exact"/>
              <w:ind w:right="233" w:firstLine="361" w:firstLineChars="150"/>
              <w:rPr>
                <w:rFonts w:hint="default" w:ascii="Times New Roman" w:hAnsi="Times New Roman" w:eastAsia="宋体" w:cs="Times New Roman"/>
                <w:color w:val="auto"/>
                <w:sz w:val="24"/>
                <w:szCs w:val="24"/>
                <w:lang w:eastAsia="zh-CN"/>
              </w:rPr>
            </w:pPr>
            <w:r>
              <w:rPr>
                <w:rFonts w:hint="default" w:ascii="Times New Roman" w:hAnsi="Times New Roman" w:cs="Times New Roman"/>
                <w:b/>
                <w:color w:val="auto"/>
                <w:sz w:val="24"/>
                <w:szCs w:val="24"/>
              </w:rPr>
              <w:t>3、声环境质量</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根据《建设项目环境影响报告表编制技术指南(污染影响类)(试行)》中“区域环境质量”的“3、声环境—厂界外周边50米范围内存在声环境保护目标的建设项目，应监测保护目标声环境质量现状并评价达标情况。各点位应监测昼夜间噪声，监测时间不少于1天。</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本项目厂界外周边50米范围内不存在声环境保护目标，故无需进行声现状监测。</w:t>
            </w:r>
          </w:p>
          <w:p>
            <w:pPr>
              <w:spacing w:line="360" w:lineRule="auto"/>
              <w:ind w:firstLine="480" w:firstLineChars="200"/>
              <w:rPr>
                <w:rFonts w:hint="default" w:ascii="Times New Roman" w:hAnsi="Times New Roman" w:eastAsia="宋体" w:cs="Times New Roman"/>
                <w:bCs/>
                <w:color w:val="auto"/>
                <w:sz w:val="24"/>
                <w:lang w:eastAsia="zh-CN"/>
              </w:rPr>
            </w:pPr>
            <w:r>
              <w:rPr>
                <w:rFonts w:hint="default" w:ascii="Times New Roman" w:hAnsi="Times New Roman" w:eastAsia="宋体" w:cs="Times New Roman"/>
                <w:bCs/>
                <w:color w:val="auto"/>
                <w:sz w:val="24"/>
              </w:rPr>
              <w:t>根据《芜湖市2020年环境状况公报》：2020年共设监测点10个，其中：1类标准适用区设监测点1个，2类标准适用区设监测点5个，3类标准适用区设监测点2个，4类标准适用区设监测点2个，各监测点每季度监测一次，全年监测四次，功能区噪声等效声级达标率97.5%。</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cs="Times New Roman"/>
                <w:b/>
                <w:color w:val="auto"/>
                <w:sz w:val="24"/>
                <w:lang w:val="en-US" w:eastAsia="zh-CN"/>
              </w:rPr>
              <w:t>3</w:t>
            </w:r>
            <w:r>
              <w:rPr>
                <w:rFonts w:hint="default" w:ascii="Times New Roman" w:hAnsi="Times New Roman" w:eastAsia="宋体" w:cs="Times New Roman"/>
                <w:b/>
                <w:color w:val="auto"/>
                <w:sz w:val="24"/>
              </w:rPr>
              <w:t>全市功能区声环境治理达标情况一览表</w:t>
            </w:r>
          </w:p>
          <w:tbl>
            <w:tblPr>
              <w:tblStyle w:val="2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Layout w:type="autofit"/>
              <w:tblCellMar>
                <w:top w:w="0" w:type="dxa"/>
                <w:left w:w="108" w:type="dxa"/>
                <w:bottom w:w="0" w:type="dxa"/>
                <w:right w:w="108" w:type="dxa"/>
              </w:tblCellMar>
            </w:tblPr>
            <w:tblGrid>
              <w:gridCol w:w="2032"/>
              <w:gridCol w:w="2797"/>
              <w:gridCol w:w="1316"/>
              <w:gridCol w:w="18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vMerge w:val="restart"/>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功能区</w:t>
                  </w:r>
                </w:p>
              </w:tc>
              <w:tc>
                <w:tcPr>
                  <w:tcW w:w="1756" w:type="pct"/>
                  <w:vMerge w:val="restart"/>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监测点位个数</w:t>
                  </w:r>
                </w:p>
              </w:tc>
              <w:tc>
                <w:tcPr>
                  <w:tcW w:w="1968" w:type="pct"/>
                  <w:gridSpan w:val="2"/>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功能区达标率（%）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vMerge w:val="continue"/>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p>
              </w:tc>
              <w:tc>
                <w:tcPr>
                  <w:tcW w:w="1756" w:type="pct"/>
                  <w:vMerge w:val="continue"/>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昼间</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0</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3类区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2</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4a类区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127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4b类区</w:t>
                  </w:r>
                </w:p>
              </w:tc>
              <w:tc>
                <w:tcPr>
                  <w:tcW w:w="175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w:t>
                  </w:r>
                </w:p>
              </w:tc>
              <w:tc>
                <w:tcPr>
                  <w:tcW w:w="826"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c>
                <w:tcPr>
                  <w:tcW w:w="1142" w:type="pct"/>
                  <w:tcBorders>
                    <w:tl2br w:val="nil"/>
                    <w:tr2bl w:val="nil"/>
                  </w:tcBorders>
                  <w:shd w:val="clear" w:color="auto" w:fill="FFFFFF"/>
                  <w:noWrap w:val="0"/>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100</w:t>
                  </w:r>
                </w:p>
              </w:tc>
            </w:tr>
          </w:tbl>
          <w:p>
            <w:pPr>
              <w:widowControl/>
              <w:spacing w:beforeLines="0" w:afterLines="0" w:line="480" w:lineRule="exact"/>
              <w:ind w:firstLine="472" w:firstLineChars="197"/>
              <w:jc w:val="left"/>
              <w:rPr>
                <w:rFonts w:hint="default" w:ascii="Times New Roman" w:hAnsi="Times New Roman" w:cs="Times New Roman"/>
                <w:color w:val="auto"/>
                <w:szCs w:val="21"/>
              </w:rPr>
            </w:pPr>
            <w:r>
              <w:rPr>
                <w:rFonts w:hint="default" w:ascii="Times New Roman" w:hAnsi="Times New Roman" w:eastAsia="宋体" w:cs="Times New Roman"/>
                <w:bCs/>
                <w:color w:val="auto"/>
                <w:sz w:val="24"/>
              </w:rPr>
              <w:t>由上表可知：城市区域内声环境质量较好。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环境</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保护</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目标</w:t>
            </w:r>
          </w:p>
        </w:tc>
        <w:tc>
          <w:tcPr>
            <w:tcW w:w="8190" w:type="dxa"/>
            <w:noWrap w:val="0"/>
            <w:vAlign w:val="center"/>
          </w:tcPr>
          <w:p>
            <w:pPr>
              <w:widowControl/>
              <w:tabs>
                <w:tab w:val="left" w:pos="227"/>
              </w:tabs>
              <w:kinsoku w:val="0"/>
              <w:autoSpaceDE w:val="0"/>
              <w:autoSpaceDN w:val="0"/>
              <w:adjustRightInd w:val="0"/>
              <w:snapToGrid w:val="0"/>
              <w:spacing w:before="75" w:line="401" w:lineRule="auto"/>
              <w:ind w:left="102" w:firstLine="481"/>
              <w:jc w:val="both"/>
              <w:textAlignment w:val="baseline"/>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snapToGrid w:val="0"/>
                <w:color w:val="auto"/>
                <w:spacing w:val="0"/>
                <w:kern w:val="0"/>
                <w:sz w:val="24"/>
                <w:szCs w:val="24"/>
              </w:rPr>
              <w:t>评价范围内无自然保护区、风景旅游点和文物古迹等需要特殊保护的环境敏感对象，总体上不因本项目的实施而改变区域环境现有功能。具体环境保护目标如下表所示。</w:t>
            </w:r>
          </w:p>
          <w:p>
            <w:pPr>
              <w:pStyle w:val="11"/>
              <w:jc w:val="center"/>
              <w:rPr>
                <w:rFonts w:hint="default" w:ascii="Times New Roman" w:hAnsi="Times New Roman" w:cs="Times New Roman"/>
                <w:color w:val="auto"/>
              </w:rPr>
            </w:pPr>
            <w:r>
              <w:rPr>
                <w:rFonts w:hint="default" w:ascii="Times New Roman" w:hAnsi="Times New Roman" w:eastAsia="宋体" w:cs="Times New Roman"/>
                <w:color w:val="auto"/>
                <w:spacing w:val="-4"/>
                <w:sz w:val="24"/>
                <w:szCs w:val="24"/>
              </w:rPr>
              <w:t>表</w:t>
            </w:r>
            <w:r>
              <w:rPr>
                <w:rFonts w:hint="default" w:ascii="Times New Roman" w:hAnsi="Times New Roman" w:eastAsia="Times New Roman" w:cs="Times New Roman"/>
                <w:b/>
                <w:bCs/>
                <w:color w:val="auto"/>
                <w:spacing w:val="-4"/>
                <w:sz w:val="24"/>
                <w:szCs w:val="24"/>
              </w:rPr>
              <w:t>3-</w:t>
            </w:r>
            <w:r>
              <w:rPr>
                <w:rFonts w:hint="eastAsia" w:ascii="Times New Roman" w:hAnsi="Times New Roman" w:eastAsia="宋体" w:cs="Times New Roman"/>
                <w:b/>
                <w:bCs/>
                <w:color w:val="auto"/>
                <w:spacing w:val="-4"/>
                <w:sz w:val="24"/>
                <w:szCs w:val="24"/>
                <w:lang w:val="en-US" w:eastAsia="zh-CN"/>
              </w:rPr>
              <w:t>4</w:t>
            </w:r>
            <w:r>
              <w:rPr>
                <w:rFonts w:hint="default" w:ascii="Times New Roman" w:hAnsi="Times New Roman" w:eastAsia="宋体" w:cs="Times New Roman"/>
                <w:color w:val="auto"/>
                <w:spacing w:val="-2"/>
                <w:sz w:val="24"/>
                <w:szCs w:val="24"/>
              </w:rPr>
              <w:t>项目主要环境保护目标一览表</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4"/>
              <w:gridCol w:w="911"/>
              <w:gridCol w:w="593"/>
              <w:gridCol w:w="368"/>
              <w:gridCol w:w="627"/>
              <w:gridCol w:w="833"/>
              <w:gridCol w:w="1052"/>
              <w:gridCol w:w="2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724" w:type="dxa"/>
                  <w:vMerge w:val="restart"/>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2"/>
                      <w:sz w:val="21"/>
                      <w:szCs w:val="21"/>
                    </w:rPr>
                    <w:t>环境要</w:t>
                  </w:r>
                  <w:r>
                    <w:rPr>
                      <w:rFonts w:hint="default" w:ascii="Times New Roman" w:hAnsi="Times New Roman" w:eastAsia="宋体" w:cs="Times New Roman"/>
                      <w:color w:val="auto"/>
                      <w:sz w:val="21"/>
                      <w:szCs w:val="21"/>
                    </w:rPr>
                    <w:t>素</w:t>
                  </w:r>
                </w:p>
              </w:tc>
              <w:tc>
                <w:tcPr>
                  <w:tcW w:w="911" w:type="dxa"/>
                  <w:vMerge w:val="restart"/>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2"/>
                      <w:sz w:val="21"/>
                      <w:szCs w:val="21"/>
                    </w:rPr>
                    <w:t>保护</w:t>
                  </w:r>
                  <w:r>
                    <w:rPr>
                      <w:rFonts w:hint="default" w:ascii="Times New Roman" w:hAnsi="Times New Roman" w:eastAsia="宋体" w:cs="Times New Roman"/>
                      <w:color w:val="auto"/>
                      <w:spacing w:val="-1"/>
                      <w:sz w:val="21"/>
                      <w:szCs w:val="21"/>
                    </w:rPr>
                    <w:t>对象</w:t>
                  </w:r>
                  <w:r>
                    <w:rPr>
                      <w:rFonts w:hint="default" w:ascii="Times New Roman" w:hAnsi="Times New Roman" w:eastAsia="宋体" w:cs="Times New Roman"/>
                      <w:color w:val="auto"/>
                      <w:spacing w:val="-3"/>
                      <w:sz w:val="21"/>
                      <w:szCs w:val="21"/>
                    </w:rPr>
                    <w:t>名</w:t>
                  </w:r>
                  <w:r>
                    <w:rPr>
                      <w:rFonts w:hint="default" w:ascii="Times New Roman" w:hAnsi="Times New Roman" w:eastAsia="宋体" w:cs="Times New Roman"/>
                      <w:color w:val="auto"/>
                      <w:spacing w:val="-2"/>
                      <w:sz w:val="21"/>
                      <w:szCs w:val="21"/>
                    </w:rPr>
                    <w:t>称</w:t>
                  </w:r>
                </w:p>
              </w:tc>
              <w:tc>
                <w:tcPr>
                  <w:tcW w:w="961"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2"/>
                      <w:sz w:val="21"/>
                      <w:szCs w:val="21"/>
                    </w:rPr>
                    <w:t>坐标</w:t>
                  </w:r>
                </w:p>
              </w:tc>
              <w:tc>
                <w:tcPr>
                  <w:tcW w:w="627" w:type="dxa"/>
                  <w:vMerge w:val="restar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2"/>
                      <w:sz w:val="21"/>
                      <w:szCs w:val="21"/>
                    </w:rPr>
                    <w:t>方位</w:t>
                  </w:r>
                </w:p>
              </w:tc>
              <w:tc>
                <w:tcPr>
                  <w:tcW w:w="833" w:type="dxa"/>
                  <w:vMerge w:val="restar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rightChars="0" w:firstLine="0" w:firstLineChars="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4"/>
                      <w:sz w:val="21"/>
                      <w:szCs w:val="21"/>
                    </w:rPr>
                    <w:t>距</w:t>
                  </w:r>
                  <w:r>
                    <w:rPr>
                      <w:rFonts w:hint="default" w:ascii="Times New Roman" w:hAnsi="Times New Roman" w:eastAsia="宋体" w:cs="Times New Roman"/>
                      <w:color w:val="auto"/>
                      <w:spacing w:val="-3"/>
                      <w:sz w:val="21"/>
                      <w:szCs w:val="21"/>
                    </w:rPr>
                    <w:t>离</w:t>
                  </w:r>
                  <w:r>
                    <w:rPr>
                      <w:rFonts w:hint="default" w:ascii="Times New Roman" w:hAnsi="Times New Roman" w:eastAsia="宋体" w:cs="Times New Roman"/>
                      <w:color w:val="auto"/>
                      <w:spacing w:val="-19"/>
                      <w:sz w:val="21"/>
                      <w:szCs w:val="21"/>
                    </w:rPr>
                    <w:t>(</w:t>
                  </w:r>
                  <w:r>
                    <w:rPr>
                      <w:rFonts w:hint="default" w:ascii="Times New Roman" w:hAnsi="Times New Roman" w:eastAsia="Times New Roman" w:cs="Times New Roman"/>
                      <w:b/>
                      <w:bCs/>
                      <w:color w:val="auto"/>
                      <w:spacing w:val="-15"/>
                      <w:sz w:val="21"/>
                      <w:szCs w:val="21"/>
                    </w:rPr>
                    <w:t>m</w:t>
                  </w:r>
                  <w:r>
                    <w:rPr>
                      <w:rFonts w:hint="default" w:ascii="Times New Roman" w:hAnsi="Times New Roman" w:eastAsia="宋体" w:cs="Times New Roman"/>
                      <w:color w:val="auto"/>
                      <w:spacing w:val="-15"/>
                      <w:sz w:val="21"/>
                      <w:szCs w:val="21"/>
                    </w:rPr>
                    <w:t>)</w:t>
                  </w:r>
                </w:p>
              </w:tc>
              <w:tc>
                <w:tcPr>
                  <w:tcW w:w="1052" w:type="dxa"/>
                  <w:vMerge w:val="restart"/>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2"/>
                      <w:sz w:val="21"/>
                      <w:szCs w:val="21"/>
                    </w:rPr>
                    <w:t>规模</w:t>
                  </w:r>
                </w:p>
              </w:tc>
              <w:tc>
                <w:tcPr>
                  <w:tcW w:w="2855" w:type="dxa"/>
                  <w:vMerge w:val="restart"/>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vertAlign w:val="baseline"/>
                    </w:rPr>
                  </w:pPr>
                  <w:r>
                    <w:rPr>
                      <w:rFonts w:hint="default" w:ascii="Times New Roman" w:hAnsi="Times New Roman" w:eastAsia="宋体" w:cs="Times New Roman"/>
                      <w:color w:val="auto"/>
                      <w:spacing w:val="-1"/>
                      <w:sz w:val="21"/>
                      <w:szCs w:val="21"/>
                    </w:rPr>
                    <w:t>环境功能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7" w:hRule="atLeast"/>
              </w:trPr>
              <w:tc>
                <w:tcPr>
                  <w:tcW w:w="724"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c>
                <w:tcPr>
                  <w:tcW w:w="911"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c>
                <w:tcPr>
                  <w:tcW w:w="5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rPr>
                  </w:pPr>
                  <w:r>
                    <w:rPr>
                      <w:rFonts w:hint="default" w:ascii="Times New Roman" w:hAnsi="Times New Roman" w:eastAsia="Times New Roman" w:cs="Times New Roman"/>
                      <w:b/>
                      <w:bCs/>
                      <w:color w:val="auto"/>
                      <w:sz w:val="21"/>
                      <w:szCs w:val="21"/>
                    </w:rPr>
                    <w:t>X</w:t>
                  </w:r>
                </w:p>
              </w:tc>
              <w:tc>
                <w:tcPr>
                  <w:tcW w:w="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rPr>
                  </w:pPr>
                  <w:r>
                    <w:rPr>
                      <w:rFonts w:hint="default" w:ascii="Times New Roman" w:hAnsi="Times New Roman" w:eastAsia="Times New Roman" w:cs="Times New Roman"/>
                      <w:b/>
                      <w:bCs/>
                      <w:color w:val="auto"/>
                      <w:sz w:val="21"/>
                      <w:szCs w:val="21"/>
                    </w:rPr>
                    <w:t>Y</w:t>
                  </w:r>
                </w:p>
              </w:tc>
              <w:tc>
                <w:tcPr>
                  <w:tcW w:w="627"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c>
                <w:tcPr>
                  <w:tcW w:w="833"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c>
                <w:tcPr>
                  <w:tcW w:w="1052"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c>
                <w:tcPr>
                  <w:tcW w:w="2855"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4"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环境空气</w:t>
                  </w:r>
                </w:p>
              </w:tc>
              <w:tc>
                <w:tcPr>
                  <w:tcW w:w="9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4"/>
                      <w:sz w:val="21"/>
                      <w:szCs w:val="21"/>
                    </w:rPr>
                    <w:t>军</w:t>
                  </w:r>
                  <w:r>
                    <w:rPr>
                      <w:rFonts w:hint="default" w:ascii="Times New Roman" w:hAnsi="Times New Roman" w:eastAsia="宋体" w:cs="Times New Roman"/>
                      <w:color w:val="auto"/>
                      <w:spacing w:val="-2"/>
                      <w:sz w:val="21"/>
                      <w:szCs w:val="21"/>
                    </w:rPr>
                    <w:t>滩村</w:t>
                  </w:r>
                </w:p>
              </w:tc>
              <w:tc>
                <w:tcPr>
                  <w:tcW w:w="5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2"/>
                      <w:sz w:val="21"/>
                      <w:szCs w:val="21"/>
                    </w:rPr>
                    <w:t>-420</w:t>
                  </w:r>
                </w:p>
              </w:tc>
              <w:tc>
                <w:tcPr>
                  <w:tcW w:w="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z w:val="21"/>
                      <w:szCs w:val="21"/>
                    </w:rPr>
                    <w:t>0</w:t>
                  </w:r>
                </w:p>
              </w:tc>
              <w:tc>
                <w:tcPr>
                  <w:tcW w:w="627"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z w:val="21"/>
                      <w:szCs w:val="21"/>
                    </w:rPr>
                    <w:t>西</w:t>
                  </w:r>
                </w:p>
              </w:tc>
              <w:tc>
                <w:tcPr>
                  <w:tcW w:w="833"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2"/>
                      <w:sz w:val="21"/>
                      <w:szCs w:val="21"/>
                    </w:rPr>
                    <w:t>4</w:t>
                  </w:r>
                  <w:r>
                    <w:rPr>
                      <w:rFonts w:hint="default" w:ascii="Times New Roman" w:hAnsi="Times New Roman" w:eastAsia="Times New Roman" w:cs="Times New Roman"/>
                      <w:color w:val="auto"/>
                      <w:spacing w:val="-1"/>
                      <w:sz w:val="21"/>
                      <w:szCs w:val="21"/>
                    </w:rPr>
                    <w:t>20</w:t>
                  </w:r>
                </w:p>
              </w:tc>
              <w:tc>
                <w:tcPr>
                  <w:tcW w:w="10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rightChars="0" w:firstLine="0" w:firstLineChars="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约</w:t>
                  </w:r>
                  <w:r>
                    <w:rPr>
                      <w:rFonts w:hint="default" w:ascii="Times New Roman" w:hAnsi="Times New Roman" w:eastAsia="Times New Roman" w:cs="Times New Roman"/>
                      <w:color w:val="auto"/>
                      <w:spacing w:val="-2"/>
                      <w:sz w:val="21"/>
                      <w:szCs w:val="21"/>
                    </w:rPr>
                    <w:t>3</w:t>
                  </w:r>
                  <w:r>
                    <w:rPr>
                      <w:rFonts w:hint="default" w:ascii="Times New Roman" w:hAnsi="Times New Roman" w:eastAsia="Times New Roman" w:cs="Times New Roman"/>
                      <w:color w:val="auto"/>
                      <w:spacing w:val="-1"/>
                      <w:sz w:val="21"/>
                      <w:szCs w:val="21"/>
                    </w:rPr>
                    <w:t>0</w:t>
                  </w:r>
                  <w:r>
                    <w:rPr>
                      <w:rFonts w:hint="default" w:ascii="Times New Roman" w:hAnsi="Times New Roman" w:eastAsia="宋体" w:cs="Times New Roman"/>
                      <w:color w:val="auto"/>
                      <w:spacing w:val="-1"/>
                      <w:sz w:val="21"/>
                      <w:szCs w:val="21"/>
                    </w:rPr>
                    <w:t>户</w:t>
                  </w:r>
                  <w:r>
                    <w:rPr>
                      <w:rFonts w:hint="default" w:ascii="Times New Roman" w:hAnsi="Times New Roman" w:eastAsia="Times New Roman" w:cs="Times New Roman"/>
                      <w:color w:val="auto"/>
                      <w:spacing w:val="-1"/>
                      <w:sz w:val="21"/>
                      <w:szCs w:val="21"/>
                    </w:rPr>
                    <w:t>/10</w:t>
                  </w:r>
                  <w:r>
                    <w:rPr>
                      <w:rFonts w:hint="default" w:ascii="Times New Roman" w:hAnsi="Times New Roman" w:eastAsia="宋体" w:cs="Times New Roman"/>
                      <w:color w:val="auto"/>
                      <w:spacing w:val="-1"/>
                      <w:sz w:val="21"/>
                      <w:szCs w:val="21"/>
                      <w:lang w:val="en-US" w:eastAsia="zh-CN"/>
                    </w:rPr>
                    <w:t>0</w:t>
                  </w:r>
                  <w:r>
                    <w:rPr>
                      <w:rFonts w:hint="default" w:ascii="Times New Roman" w:hAnsi="Times New Roman" w:eastAsia="宋体" w:cs="Times New Roman"/>
                      <w:color w:val="auto"/>
                      <w:sz w:val="21"/>
                      <w:szCs w:val="21"/>
                    </w:rPr>
                    <w:t>人</w:t>
                  </w:r>
                </w:p>
              </w:tc>
              <w:tc>
                <w:tcPr>
                  <w:tcW w:w="285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12"/>
                      <w:sz w:val="21"/>
                      <w:szCs w:val="21"/>
                    </w:rPr>
                    <w:t>《</w:t>
                  </w:r>
                  <w:r>
                    <w:rPr>
                      <w:rFonts w:hint="default" w:ascii="Times New Roman" w:hAnsi="Times New Roman" w:eastAsia="宋体" w:cs="Times New Roman"/>
                      <w:color w:val="auto"/>
                      <w:spacing w:val="7"/>
                      <w:sz w:val="21"/>
                      <w:szCs w:val="21"/>
                    </w:rPr>
                    <w:t>环境空气质量标</w:t>
                  </w:r>
                  <w:r>
                    <w:rPr>
                      <w:rFonts w:hint="default" w:ascii="Times New Roman" w:hAnsi="Times New Roman" w:eastAsia="宋体" w:cs="Times New Roman"/>
                      <w:color w:val="auto"/>
                      <w:spacing w:val="-4"/>
                      <w:sz w:val="21"/>
                      <w:szCs w:val="21"/>
                    </w:rPr>
                    <w:t>准》(</w:t>
                  </w:r>
                  <w:r>
                    <w:rPr>
                      <w:rFonts w:hint="default" w:ascii="Times New Roman" w:hAnsi="Times New Roman" w:eastAsia="Times New Roman" w:cs="Times New Roman"/>
                      <w:color w:val="auto"/>
                      <w:spacing w:val="-2"/>
                      <w:sz w:val="21"/>
                      <w:szCs w:val="21"/>
                    </w:rPr>
                    <w:t>GB</w:t>
                  </w:r>
                  <w:r>
                    <w:rPr>
                      <w:rFonts w:hint="default" w:ascii="Times New Roman" w:hAnsi="Times New Roman" w:eastAsia="Times New Roman" w:cs="Times New Roman"/>
                      <w:color w:val="auto"/>
                      <w:spacing w:val="-4"/>
                      <w:sz w:val="21"/>
                      <w:szCs w:val="21"/>
                    </w:rPr>
                    <w:t>3</w:t>
                  </w:r>
                  <w:r>
                    <w:rPr>
                      <w:rFonts w:hint="default" w:ascii="Times New Roman" w:hAnsi="Times New Roman" w:eastAsia="Times New Roman" w:cs="Times New Roman"/>
                      <w:color w:val="auto"/>
                      <w:spacing w:val="-2"/>
                      <w:sz w:val="21"/>
                      <w:szCs w:val="21"/>
                    </w:rPr>
                    <w:t>095-2012</w:t>
                  </w:r>
                  <w:r>
                    <w:rPr>
                      <w:rFonts w:hint="default" w:ascii="Times New Roman" w:hAnsi="Times New Roman" w:eastAsia="宋体" w:cs="Times New Roman"/>
                      <w:color w:val="auto"/>
                      <w:spacing w:val="-2"/>
                      <w:sz w:val="21"/>
                      <w:szCs w:val="21"/>
                    </w:rPr>
                    <w:t>)</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1"/>
                      <w:sz w:val="21"/>
                      <w:szCs w:val="21"/>
                    </w:rPr>
                    <w:t>及其修改单二类功</w:t>
                  </w:r>
                  <w:r>
                    <w:rPr>
                      <w:rFonts w:hint="default" w:ascii="Times New Roman" w:hAnsi="Times New Roman" w:eastAsia="宋体" w:cs="Times New Roman"/>
                      <w:color w:val="auto"/>
                      <w:spacing w:val="-5"/>
                      <w:sz w:val="21"/>
                      <w:szCs w:val="21"/>
                    </w:rPr>
                    <w:t>能</w:t>
                  </w:r>
                  <w:r>
                    <w:rPr>
                      <w:rFonts w:hint="default" w:ascii="Times New Roman" w:hAnsi="Times New Roman" w:eastAsia="宋体" w:cs="Times New Roman"/>
                      <w:color w:val="auto"/>
                      <w:spacing w:val="-4"/>
                      <w:sz w:val="21"/>
                      <w:szCs w:val="21"/>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24" w:type="dxa"/>
                  <w:vMerge w:val="restart"/>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地表水</w:t>
                  </w:r>
                </w:p>
              </w:tc>
              <w:tc>
                <w:tcPr>
                  <w:tcW w:w="9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pacing w:val="-3"/>
                      <w:sz w:val="21"/>
                      <w:szCs w:val="21"/>
                    </w:rPr>
                    <w:t>长</w:t>
                  </w:r>
                  <w:r>
                    <w:rPr>
                      <w:rFonts w:hint="default" w:ascii="Times New Roman" w:hAnsi="Times New Roman" w:eastAsia="宋体" w:cs="Times New Roman"/>
                      <w:color w:val="auto"/>
                      <w:spacing w:val="-2"/>
                      <w:sz w:val="21"/>
                      <w:szCs w:val="21"/>
                    </w:rPr>
                    <w:t>江</w:t>
                  </w:r>
                </w:p>
              </w:tc>
              <w:tc>
                <w:tcPr>
                  <w:tcW w:w="593"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368"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627"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4"/>
                      <w:sz w:val="21"/>
                      <w:szCs w:val="21"/>
                    </w:rPr>
                    <w:t>西</w:t>
                  </w:r>
                </w:p>
              </w:tc>
              <w:tc>
                <w:tcPr>
                  <w:tcW w:w="833"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2"/>
                      <w:position w:val="1"/>
                      <w:sz w:val="21"/>
                      <w:szCs w:val="21"/>
                    </w:rPr>
                    <w:t>9.</w:t>
                  </w:r>
                  <w:r>
                    <w:rPr>
                      <w:rFonts w:hint="default" w:ascii="Times New Roman" w:hAnsi="Times New Roman" w:eastAsia="Times New Roman" w:cs="Times New Roman"/>
                      <w:color w:val="auto"/>
                      <w:spacing w:val="-1"/>
                      <w:position w:val="1"/>
                      <w:sz w:val="21"/>
                      <w:szCs w:val="21"/>
                    </w:rPr>
                    <w:t>6km</w:t>
                  </w:r>
                </w:p>
              </w:tc>
              <w:tc>
                <w:tcPr>
                  <w:tcW w:w="10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4"/>
                      <w:sz w:val="21"/>
                      <w:szCs w:val="21"/>
                    </w:rPr>
                    <w:t>大</w:t>
                  </w:r>
                  <w:r>
                    <w:rPr>
                      <w:rFonts w:hint="default" w:ascii="Times New Roman" w:hAnsi="Times New Roman" w:eastAsia="宋体" w:cs="Times New Roman"/>
                      <w:color w:val="auto"/>
                      <w:spacing w:val="-2"/>
                      <w:sz w:val="21"/>
                      <w:szCs w:val="21"/>
                    </w:rPr>
                    <w:t>型</w:t>
                  </w:r>
                </w:p>
              </w:tc>
              <w:tc>
                <w:tcPr>
                  <w:tcW w:w="2855" w:type="dxa"/>
                  <w:vMerge w:val="restart"/>
                  <w:tcBorders>
                    <w:tl2br w:val="nil"/>
                    <w:tr2bl w:val="nil"/>
                  </w:tcBorders>
                  <w:noWrap w:val="0"/>
                  <w:vAlign w:val="center"/>
                </w:tcPr>
                <w:p>
                  <w:pPr>
                    <w:pStyle w:val="49"/>
                    <w:keepNext w:val="0"/>
                    <w:keepLines w:val="0"/>
                    <w:pageBreakBefore w:val="0"/>
                    <w:widowControl w:val="0"/>
                    <w:kinsoku/>
                    <w:wordWrap/>
                    <w:overflowPunct/>
                    <w:topLinePunct w:val="0"/>
                    <w:autoSpaceDE w:val="0"/>
                    <w:autoSpaceDN w:val="0"/>
                    <w:bidi w:val="0"/>
                    <w:adjustRightInd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《地表水环境质量标准》(GB3838-2002)</w:t>
                  </w:r>
                </w:p>
                <w:p>
                  <w:pPr>
                    <w:pStyle w:val="49"/>
                    <w:keepNext w:val="0"/>
                    <w:keepLines w:val="0"/>
                    <w:pageBreakBefore w:val="0"/>
                    <w:widowControl w:val="0"/>
                    <w:kinsoku/>
                    <w:wordWrap/>
                    <w:overflowPunct/>
                    <w:topLinePunct w:val="0"/>
                    <w:autoSpaceDE w:val="0"/>
                    <w:autoSpaceDN w:val="0"/>
                    <w:bidi w:val="0"/>
                    <w:adjustRightInd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Ⅲ类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0" w:hRule="atLeast"/>
              </w:trPr>
              <w:tc>
                <w:tcPr>
                  <w:tcW w:w="724"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rPr>
                  </w:pPr>
                </w:p>
              </w:tc>
              <w:tc>
                <w:tcPr>
                  <w:tcW w:w="9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2"/>
                      <w:sz w:val="21"/>
                      <w:szCs w:val="21"/>
                    </w:rPr>
                    <w:t>青弋江</w:t>
                  </w:r>
                </w:p>
              </w:tc>
              <w:tc>
                <w:tcPr>
                  <w:tcW w:w="593"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368"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627"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4"/>
                      <w:sz w:val="21"/>
                      <w:szCs w:val="21"/>
                    </w:rPr>
                    <w:t>西</w:t>
                  </w:r>
                  <w:r>
                    <w:rPr>
                      <w:rFonts w:hint="default" w:ascii="Times New Roman" w:hAnsi="Times New Roman" w:eastAsia="宋体" w:cs="Times New Roman"/>
                      <w:color w:val="auto"/>
                      <w:spacing w:val="-3"/>
                      <w:sz w:val="21"/>
                      <w:szCs w:val="21"/>
                    </w:rPr>
                    <w:t>南</w:t>
                  </w:r>
                </w:p>
              </w:tc>
              <w:tc>
                <w:tcPr>
                  <w:tcW w:w="833"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rPr>
                  </w:pPr>
                </w:p>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spacing w:val="-6"/>
                      <w:sz w:val="21"/>
                      <w:szCs w:val="21"/>
                    </w:rPr>
                    <w:t>1</w:t>
                  </w:r>
                  <w:r>
                    <w:rPr>
                      <w:rFonts w:hint="default" w:ascii="Times New Roman" w:hAnsi="Times New Roman" w:eastAsia="Times New Roman" w:cs="Times New Roman"/>
                      <w:color w:val="auto"/>
                      <w:spacing w:val="-4"/>
                      <w:sz w:val="21"/>
                      <w:szCs w:val="21"/>
                    </w:rPr>
                    <w:t>.5m</w:t>
                  </w:r>
                </w:p>
              </w:tc>
              <w:tc>
                <w:tcPr>
                  <w:tcW w:w="1052" w:type="dxa"/>
                  <w:tcBorders>
                    <w:tl2br w:val="nil"/>
                    <w:tr2bl w:val="nil"/>
                  </w:tcBorders>
                  <w:noWrap w:val="0"/>
                  <w:vAlign w:val="center"/>
                </w:tcPr>
                <w:p>
                  <w:pPr>
                    <w:keepNext w:val="0"/>
                    <w:keepLines w:val="0"/>
                    <w:pageBreakBefore w:val="0"/>
                    <w:widowControl w:val="0"/>
                    <w:kinsoku/>
                    <w:wordWrap/>
                    <w:overflowPunct/>
                    <w:topLinePunct w:val="0"/>
                    <w:bidi w:val="0"/>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7"/>
                      <w:sz w:val="21"/>
                      <w:szCs w:val="21"/>
                    </w:rPr>
                    <w:t>中型</w:t>
                  </w:r>
                </w:p>
              </w:tc>
              <w:tc>
                <w:tcPr>
                  <w:tcW w:w="2855" w:type="dxa"/>
                  <w:vMerge w:val="continue"/>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24"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环境噪声</w:t>
                  </w:r>
                </w:p>
              </w:tc>
              <w:tc>
                <w:tcPr>
                  <w:tcW w:w="91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宋体" w:cs="Times New Roman"/>
                      <w:color w:val="auto"/>
                      <w:spacing w:val="-3"/>
                      <w:sz w:val="21"/>
                      <w:szCs w:val="21"/>
                    </w:rPr>
                    <w:t>厂</w:t>
                  </w:r>
                  <w:r>
                    <w:rPr>
                      <w:rFonts w:hint="default" w:ascii="Times New Roman" w:hAnsi="Times New Roman" w:eastAsia="宋体" w:cs="Times New Roman"/>
                      <w:color w:val="auto"/>
                      <w:spacing w:val="-2"/>
                      <w:sz w:val="21"/>
                      <w:szCs w:val="21"/>
                    </w:rPr>
                    <w:t>界四周</w:t>
                  </w:r>
                </w:p>
              </w:tc>
              <w:tc>
                <w:tcPr>
                  <w:tcW w:w="5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eastAsia="Times New Roman" w:cs="Times New Roman"/>
                      <w:color w:val="auto"/>
                      <w:position w:val="1"/>
                      <w:sz w:val="21"/>
                      <w:szCs w:val="21"/>
                    </w:rPr>
                    <w:t>/</w:t>
                  </w:r>
                </w:p>
              </w:tc>
              <w:tc>
                <w:tcPr>
                  <w:tcW w:w="627"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w:t>
                  </w:r>
                </w:p>
              </w:tc>
              <w:tc>
                <w:tcPr>
                  <w:tcW w:w="833"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1m</w:t>
                  </w:r>
                </w:p>
              </w:tc>
              <w:tc>
                <w:tcPr>
                  <w:tcW w:w="1052"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w:t>
                  </w:r>
                </w:p>
              </w:tc>
              <w:tc>
                <w:tcPr>
                  <w:tcW w:w="2855" w:type="dxa"/>
                  <w:tcBorders>
                    <w:tl2br w:val="nil"/>
                    <w:tr2bl w:val="nil"/>
                  </w:tcBorders>
                  <w:noWrap w:val="0"/>
                  <w:vAlign w:val="center"/>
                </w:tcPr>
                <w:p>
                  <w:pPr>
                    <w:pStyle w:val="49"/>
                    <w:keepNext w:val="0"/>
                    <w:keepLines w:val="0"/>
                    <w:pageBreakBefore w:val="0"/>
                    <w:widowControl w:val="0"/>
                    <w:kinsoku/>
                    <w:wordWrap/>
                    <w:overflowPunct/>
                    <w:topLinePunct w:val="0"/>
                    <w:bidi w:val="0"/>
                    <w:snapToGrid/>
                    <w:spacing w:line="240" w:lineRule="atLeast"/>
                    <w:ind w:left="0" w:right="0" w:firstLine="0"/>
                    <w:jc w:val="center"/>
                    <w:textAlignment w:val="auto"/>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vertAlign w:val="baseline"/>
                    </w:rPr>
                    <w:t>《声环境质量标准》(GB3096-2008)3类标准</w:t>
                  </w:r>
                </w:p>
              </w:tc>
            </w:tr>
          </w:tbl>
          <w:p>
            <w:pPr>
              <w:jc w:val="center"/>
              <w:rPr>
                <w:rFonts w:hint="default" w:ascii="Times New Roman" w:hAnsi="Times New Roman" w:cs="Times New Roman"/>
                <w:color w:val="auto"/>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noWrap w:val="0"/>
            <w:tcMar>
              <w:left w:w="28" w:type="dxa"/>
              <w:right w:w="28" w:type="dxa"/>
            </w:tcMar>
            <w:vAlign w:val="center"/>
          </w:tcPr>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污染</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物排</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放控</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制标</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rPr>
              <w:t>准</w:t>
            </w:r>
          </w:p>
        </w:tc>
        <w:tc>
          <w:tcPr>
            <w:tcW w:w="8190" w:type="dxa"/>
            <w:noWrap w:val="0"/>
            <w:vAlign w:val="center"/>
          </w:tcPr>
          <w:p>
            <w:pPr>
              <w:keepNext w:val="0"/>
              <w:keepLines w:val="0"/>
              <w:pageBreakBefore w:val="0"/>
              <w:widowControl w:val="0"/>
              <w:kinsoku/>
              <w:wordWrap/>
              <w:overflowPunct/>
              <w:topLinePunct w:val="0"/>
              <w:autoSpaceDE/>
              <w:autoSpaceDN/>
              <w:bidi w:val="0"/>
              <w:spacing w:line="360" w:lineRule="auto"/>
              <w:ind w:firstLine="472" w:firstLineChars="196"/>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1、废气</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本项目主要废气包括运输道路扬尘、堆场扬尘、破碎筛分粉尘、</w:t>
            </w:r>
            <w:r>
              <w:rPr>
                <w:rFonts w:hint="default" w:ascii="Times New Roman" w:hAnsi="Times New Roman" w:cs="Times New Roman"/>
                <w:color w:val="auto"/>
                <w:sz w:val="24"/>
                <w:szCs w:val="24"/>
                <w:lang w:val="en-US" w:eastAsia="zh-CN"/>
              </w:rPr>
              <w:t>铲车</w:t>
            </w:r>
            <w:r>
              <w:rPr>
                <w:rFonts w:hint="default" w:ascii="Times New Roman" w:hAnsi="Times New Roman" w:cs="Times New Roman"/>
                <w:color w:val="auto"/>
                <w:sz w:val="24"/>
                <w:szCs w:val="24"/>
              </w:rPr>
              <w:t>装料粉尘、料仓呼吸粉尘。本</w:t>
            </w:r>
            <w:r>
              <w:rPr>
                <w:rFonts w:hint="default" w:ascii="Times New Roman" w:hAnsi="Times New Roman" w:cs="Times New Roman"/>
                <w:color w:val="auto"/>
                <w:sz w:val="24"/>
                <w:szCs w:val="24"/>
              </w:rPr>
              <w:t>项目</w:t>
            </w:r>
            <w:r>
              <w:rPr>
                <w:rFonts w:hint="eastAsia" w:cs="Times New Roman"/>
                <w:color w:val="auto"/>
                <w:sz w:val="24"/>
                <w:szCs w:val="24"/>
                <w:lang w:val="en-US" w:eastAsia="zh-CN"/>
              </w:rPr>
              <w:t>属于水泥制品，</w:t>
            </w:r>
            <w:r>
              <w:rPr>
                <w:rFonts w:hint="default" w:ascii="Times New Roman" w:hAnsi="Times New Roman" w:cs="Times New Roman"/>
                <w:color w:val="auto"/>
                <w:sz w:val="24"/>
                <w:szCs w:val="24"/>
              </w:rPr>
              <w:t>颗粒物有组织和无组织排放</w:t>
            </w:r>
            <w:r>
              <w:rPr>
                <w:rFonts w:ascii="宋体" w:hAnsi="宋体" w:eastAsia="宋体" w:cs="宋体"/>
                <w:color w:val="auto"/>
                <w:sz w:val="24"/>
                <w:szCs w:val="24"/>
              </w:rPr>
              <w:t>废气污染物排放参照执行安徽省地方标准《水泥工业大气污染物排放标准》（DB34/3576-2020）表</w:t>
            </w:r>
            <w:r>
              <w:rPr>
                <w:rFonts w:hint="eastAsia" w:ascii="宋体" w:hAnsi="宋体" w:cs="宋体"/>
                <w:color w:val="auto"/>
                <w:sz w:val="24"/>
                <w:szCs w:val="24"/>
                <w:lang w:val="en-US" w:eastAsia="zh-CN"/>
              </w:rPr>
              <w:t>1及表</w:t>
            </w:r>
            <w:r>
              <w:rPr>
                <w:rFonts w:ascii="宋体" w:hAnsi="宋体" w:eastAsia="宋体" w:cs="宋体"/>
                <w:color w:val="auto"/>
                <w:sz w:val="24"/>
                <w:szCs w:val="24"/>
              </w:rPr>
              <w:t>2“大气污染物特别排放限值”标准限值。</w:t>
            </w:r>
            <w:r>
              <w:rPr>
                <w:rFonts w:hint="default" w:ascii="Times New Roman" w:hAnsi="Times New Roman" w:cs="Times New Roman"/>
                <w:color w:val="auto"/>
                <w:sz w:val="24"/>
                <w:szCs w:val="24"/>
              </w:rPr>
              <w:t>具体标准值如下：</w:t>
            </w:r>
          </w:p>
          <w:p>
            <w:pPr>
              <w:spacing w:line="480" w:lineRule="exact"/>
              <w:jc w:val="center"/>
              <w:rPr>
                <w:rFonts w:hint="default" w:ascii="Times New Roman" w:hAnsi="Times New Roman" w:cs="Times New Roman"/>
                <w:b/>
                <w:bCs/>
                <w:color w:val="auto"/>
                <w:lang w:eastAsia="zh-CN"/>
              </w:rPr>
            </w:pPr>
            <w:r>
              <w:rPr>
                <w:rFonts w:hint="default" w:ascii="Times New Roman" w:hAnsi="Times New Roman" w:cs="Times New Roman"/>
                <w:b/>
                <w:bCs/>
                <w:color w:val="auto"/>
              </w:rPr>
              <w:t>表3-</w:t>
            </w:r>
            <w:r>
              <w:rPr>
                <w:rFonts w:hint="default" w:ascii="Times New Roman" w:hAnsi="Times New Roman" w:cs="Times New Roman"/>
                <w:b/>
                <w:bCs/>
                <w:color w:val="auto"/>
                <w:lang w:val="en-US" w:eastAsia="zh-CN"/>
              </w:rPr>
              <w:t>5</w:t>
            </w:r>
            <w:r>
              <w:rPr>
                <w:rFonts w:hint="default" w:ascii="Times New Roman" w:hAnsi="Times New Roman" w:cs="Times New Roman"/>
                <w:b/>
                <w:bCs/>
                <w:color w:val="auto"/>
              </w:rPr>
              <w:t>大气污染物综合排放标准</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59"/>
              <w:gridCol w:w="1468"/>
              <w:gridCol w:w="1890"/>
              <w:gridCol w:w="1468"/>
              <w:gridCol w:w="2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0" w:type="auto"/>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firstLine="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污染物</w:t>
                  </w:r>
                </w:p>
              </w:tc>
              <w:tc>
                <w:tcPr>
                  <w:tcW w:w="0" w:type="auto"/>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最高允许排放浓度(mg/m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w:t>
                  </w:r>
                </w:p>
              </w:tc>
              <w:tc>
                <w:tcPr>
                  <w:tcW w:w="0" w:type="auto"/>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b/>
                      <w:bCs/>
                      <w:color w:val="auto"/>
                      <w:lang w:val="en-US" w:eastAsia="zh-CN"/>
                    </w:rPr>
                  </w:pPr>
                  <w:r>
                    <w:rPr>
                      <w:rFonts w:hint="eastAsia" w:cs="Times New Roman"/>
                      <w:b/>
                      <w:bCs/>
                      <w:color w:val="auto"/>
                      <w:lang w:val="en-US" w:eastAsia="zh-CN"/>
                    </w:rPr>
                    <w:t>无组织排放浓度限值</w:t>
                  </w:r>
                </w:p>
              </w:tc>
              <w:tc>
                <w:tcPr>
                  <w:tcW w:w="0" w:type="auto"/>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rPr>
                    <w:t>标准来源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0" w:type="auto"/>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color w:val="auto"/>
                    </w:rPr>
                  </w:pPr>
                </w:p>
              </w:tc>
              <w:tc>
                <w:tcPr>
                  <w:tcW w:w="0" w:type="auto"/>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color w:val="auto"/>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cs="Times New Roman"/>
                      <w:b/>
                      <w:bCs/>
                      <w:color w:val="auto"/>
                      <w:lang w:val="en-US" w:eastAsia="zh-CN"/>
                    </w:rPr>
                  </w:pPr>
                  <w:r>
                    <w:rPr>
                      <w:rFonts w:hint="eastAsia" w:cs="Times New Roman"/>
                      <w:b/>
                      <w:bCs/>
                      <w:color w:val="auto"/>
                      <w:lang w:val="en-US" w:eastAsia="zh-CN"/>
                    </w:rPr>
                    <w:t>监控位置</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eastAsia" w:cs="Times New Roman"/>
                      <w:b/>
                      <w:bCs/>
                      <w:color w:val="auto"/>
                      <w:lang w:val="en-US" w:eastAsia="zh-CN"/>
                    </w:rPr>
                  </w:pPr>
                  <w:r>
                    <w:rPr>
                      <w:rFonts w:hint="default" w:ascii="Times New Roman" w:hAnsi="Times New Roman" w:cs="Times New Roman"/>
                      <w:b/>
                      <w:bCs/>
                      <w:color w:val="auto"/>
                    </w:rPr>
                    <w:t>最高允许排放浓度(mg/m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rPr>
                    <w:t>)</w:t>
                  </w:r>
                </w:p>
              </w:tc>
              <w:tc>
                <w:tcPr>
                  <w:tcW w:w="0" w:type="auto"/>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eastAsia" w:cs="Times New Roman"/>
                      <w:b/>
                      <w:bCs/>
                      <w:color w:val="auto"/>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eastAsia="宋体" w:cs="Times New Roman"/>
                      <w:color w:val="auto"/>
                      <w:lang w:val="en-US" w:eastAsia="zh-CN"/>
                    </w:rPr>
                  </w:pPr>
                  <w:r>
                    <w:rPr>
                      <w:rFonts w:hint="eastAsia" w:cs="Times New Roman"/>
                      <w:color w:val="auto"/>
                      <w:lang w:val="en-US" w:eastAsia="zh-CN"/>
                    </w:rPr>
                    <w:t>10</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lang w:val="en-US" w:eastAsia="zh-CN"/>
                    </w:rPr>
                  </w:pPr>
                  <w:r>
                    <w:rPr>
                      <w:rFonts w:ascii="宋体" w:hAnsi="宋体" w:eastAsia="宋体" w:cs="宋体"/>
                      <w:color w:val="auto"/>
                      <w:sz w:val="21"/>
                      <w:szCs w:val="21"/>
                    </w:rPr>
                    <w:t>厂界外20m处上风向设参照点，下风向设监控点</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0.5</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firstLine="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《大气污染物综合排放标准》(DB31/933-2015)</w:t>
                  </w:r>
                </w:p>
              </w:tc>
            </w:tr>
          </w:tbl>
          <w:p>
            <w:pPr>
              <w:spacing w:line="460" w:lineRule="exact"/>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2、废水</w:t>
            </w:r>
          </w:p>
          <w:p>
            <w:pPr>
              <w:adjustRightInd w:val="0"/>
              <w:spacing w:line="460" w:lineRule="exact"/>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项目废水为生活污水，生活污水经化粪池处理后接入</w:t>
            </w:r>
            <w:r>
              <w:rPr>
                <w:rFonts w:hint="default" w:ascii="Times New Roman" w:hAnsi="Times New Roman" w:cs="Times New Roman"/>
                <w:color w:val="auto"/>
                <w:sz w:val="24"/>
                <w:szCs w:val="24"/>
                <w:lang w:val="en-US" w:eastAsia="zh-CN"/>
              </w:rPr>
              <w:t>城东</w:t>
            </w:r>
            <w:r>
              <w:rPr>
                <w:rFonts w:hint="default" w:ascii="Times New Roman" w:hAnsi="Times New Roman" w:cs="Times New Roman"/>
                <w:color w:val="auto"/>
                <w:sz w:val="24"/>
                <w:szCs w:val="24"/>
              </w:rPr>
              <w:t>污水处理厂集中处理，废水排放执行《污水综合排放标准》（GB8978-1996）表4中的三级标准，其中氨氮参照执行《污水排入城镇下水道水质标准》（GB/T31962-2015）表1中B级标准限值。污水厂尾水排放执行《城镇污水处理厂污染物排放标准》（GB18918-2002）表1中一级A标准，具体标准值见下表。</w:t>
            </w:r>
          </w:p>
          <w:p>
            <w:pPr>
              <w:widowControl/>
              <w:adjustRightInd w:val="0"/>
              <w:spacing w:line="460" w:lineRule="exact"/>
              <w:ind w:firstLine="482" w:firstLineChars="20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表3-</w:t>
            </w:r>
            <w:r>
              <w:rPr>
                <w:rFonts w:hint="eastAsia" w:cs="Times New Roman"/>
                <w:b/>
                <w:bCs/>
                <w:color w:val="auto"/>
                <w:sz w:val="24"/>
                <w:szCs w:val="24"/>
                <w:lang w:val="en-US" w:eastAsia="zh-CN"/>
              </w:rPr>
              <w:t>6</w:t>
            </w:r>
            <w:r>
              <w:rPr>
                <w:rFonts w:hint="default" w:ascii="Times New Roman" w:hAnsi="Times New Roman" w:cs="Times New Roman"/>
                <w:b/>
                <w:bCs/>
                <w:color w:val="auto"/>
                <w:sz w:val="24"/>
                <w:szCs w:val="24"/>
              </w:rPr>
              <w:t>污水综合排放标准单位：mg/L，pH为无量纲</w:t>
            </w:r>
          </w:p>
          <w:tbl>
            <w:tblPr>
              <w:tblStyle w:val="27"/>
              <w:tblW w:w="5000" w:type="pct"/>
              <w:tblInd w:w="1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38"/>
              <w:gridCol w:w="1498"/>
              <w:gridCol w:w="1310"/>
              <w:gridCol w:w="39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777"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项目</w:t>
                  </w: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污染物</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标准值</w:t>
                  </w:r>
                </w:p>
              </w:tc>
              <w:tc>
                <w:tcPr>
                  <w:tcW w:w="2459"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执行标准来源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777" w:type="pct"/>
                  <w:vMerge w:val="restar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污水排放标准</w:t>
                  </w: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pH</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6～9</w:t>
                  </w:r>
                </w:p>
              </w:tc>
              <w:tc>
                <w:tcPr>
                  <w:tcW w:w="2459" w:type="pct"/>
                  <w:vMerge w:val="restar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《污水综合排放标准》（GB8978-1996）表4中的三级标准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COD</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500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300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SS</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400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9" w:hRule="atLeast"/>
              </w:trPr>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氨氮</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45</w:t>
                  </w:r>
                </w:p>
              </w:tc>
              <w:tc>
                <w:tcPr>
                  <w:tcW w:w="2459"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《污水排入城镇下水道水质标准》（GB/T31962-2015）表1中B级标准限值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 w:hRule="atLeast"/>
              </w:trPr>
              <w:tc>
                <w:tcPr>
                  <w:tcW w:w="777" w:type="pct"/>
                  <w:vMerge w:val="restar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污水厂尾水排放标准</w:t>
                  </w: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pH</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6～9</w:t>
                  </w:r>
                </w:p>
              </w:tc>
              <w:tc>
                <w:tcPr>
                  <w:tcW w:w="2459" w:type="pct"/>
                  <w:vMerge w:val="restar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《城镇污水处理厂污染物排放标准》（GB18918-2002）表1中一级A标准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COD</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50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10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SS</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10</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77"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c>
                <w:tcPr>
                  <w:tcW w:w="940"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氨氮</w:t>
                  </w:r>
                </w:p>
              </w:tc>
              <w:tc>
                <w:tcPr>
                  <w:tcW w:w="822" w:type="pct"/>
                  <w:tcBorders>
                    <w:tl2br w:val="nil"/>
                    <w:tr2bl w:val="nil"/>
                  </w:tcBorders>
                  <w:noWrap w:val="0"/>
                  <w:vAlign w:val="center"/>
                </w:tcPr>
                <w:p>
                  <w:pPr>
                    <w:adjustRightInd w:val="0"/>
                    <w:jc w:val="center"/>
                    <w:rPr>
                      <w:rFonts w:hint="default" w:ascii="Times New Roman" w:hAnsi="Times New Roman" w:cs="Times New Roman"/>
                      <w:color w:val="auto"/>
                    </w:rPr>
                  </w:pPr>
                  <w:r>
                    <w:rPr>
                      <w:rFonts w:hint="default" w:ascii="Times New Roman" w:hAnsi="Times New Roman" w:cs="Times New Roman"/>
                      <w:color w:val="auto"/>
                    </w:rPr>
                    <w:t>5（8）*</w:t>
                  </w:r>
                </w:p>
              </w:tc>
              <w:tc>
                <w:tcPr>
                  <w:tcW w:w="2459" w:type="pct"/>
                  <w:vMerge w:val="continue"/>
                  <w:tcBorders>
                    <w:tl2br w:val="nil"/>
                    <w:tr2bl w:val="nil"/>
                  </w:tcBorders>
                  <w:noWrap w:val="0"/>
                  <w:vAlign w:val="center"/>
                </w:tcPr>
                <w:p>
                  <w:pPr>
                    <w:widowControl/>
                    <w:jc w:val="left"/>
                    <w:rPr>
                      <w:rFonts w:hint="default" w:ascii="Times New Roman" w:hAnsi="Times New Roman" w:cs="Times New Roman"/>
                      <w:color w:val="auto"/>
                    </w:rPr>
                  </w:pPr>
                </w:p>
              </w:tc>
            </w:tr>
          </w:tbl>
          <w:p>
            <w:pPr>
              <w:widowControl/>
              <w:adjustRightInd w:val="0"/>
              <w:snapToGrid w:val="0"/>
              <w:ind w:firstLine="420" w:firstLineChars="200"/>
              <w:rPr>
                <w:rFonts w:hint="default" w:ascii="Times New Roman" w:hAnsi="Times New Roman" w:cs="Times New Roman"/>
                <w:color w:val="auto"/>
              </w:rPr>
            </w:pPr>
            <w:r>
              <w:rPr>
                <w:rFonts w:hint="default" w:ascii="Times New Roman" w:hAnsi="Times New Roman" w:cs="Times New Roman"/>
                <w:color w:val="auto"/>
              </w:rPr>
              <w:t>*注：括号外数值水温&gt;12℃时的控制指标，括号内数值为水温≤12℃时的控制指标。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3、噪声</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本项目厂界环境噪声执行《工业企业厂界环境噪声排放标准》（GB12348-2008）3类标准，具体限值详见下表。</w:t>
            </w:r>
          </w:p>
          <w:p>
            <w:pPr>
              <w:spacing w:line="440" w:lineRule="exact"/>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表3-</w:t>
            </w:r>
            <w:r>
              <w:rPr>
                <w:rFonts w:hint="eastAsia" w:cs="Times New Roman"/>
                <w:b/>
                <w:bCs/>
                <w:color w:val="auto"/>
                <w:sz w:val="24"/>
                <w:szCs w:val="24"/>
                <w:lang w:val="en-US" w:eastAsia="zh-CN"/>
              </w:rPr>
              <w:t>7</w:t>
            </w:r>
            <w:r>
              <w:rPr>
                <w:rFonts w:hint="default" w:ascii="Times New Roman" w:hAnsi="Times New Roman" w:cs="Times New Roman"/>
                <w:b/>
                <w:bCs/>
                <w:color w:val="auto"/>
                <w:sz w:val="24"/>
                <w:szCs w:val="24"/>
              </w:rPr>
              <w:t>工业企业厂界环境噪声排放标准单位：dB（A）</w:t>
            </w:r>
          </w:p>
          <w:tbl>
            <w:tblPr>
              <w:tblStyle w:val="2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728"/>
              <w:gridCol w:w="1984"/>
              <w:gridCol w:w="32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13" w:type="pct"/>
                  <w:tcBorders>
                    <w:tl2br w:val="nil"/>
                    <w:tr2bl w:val="nil"/>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声环境功能区类别</w:t>
                  </w:r>
                </w:p>
              </w:tc>
              <w:tc>
                <w:tcPr>
                  <w:tcW w:w="1245" w:type="pct"/>
                  <w:tcBorders>
                    <w:tl2br w:val="nil"/>
                    <w:tr2bl w:val="nil"/>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昼间</w:t>
                  </w:r>
                </w:p>
              </w:tc>
              <w:tc>
                <w:tcPr>
                  <w:tcW w:w="2041" w:type="pct"/>
                  <w:tcBorders>
                    <w:tl2br w:val="nil"/>
                    <w:tr2bl w:val="nil"/>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夜间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713" w:type="pct"/>
                  <w:tcBorders>
                    <w:tl2br w:val="nil"/>
                    <w:tr2bl w:val="nil"/>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3类</w:t>
                  </w:r>
                </w:p>
              </w:tc>
              <w:tc>
                <w:tcPr>
                  <w:tcW w:w="1245" w:type="pct"/>
                  <w:tcBorders>
                    <w:tl2br w:val="nil"/>
                    <w:tr2bl w:val="nil"/>
                  </w:tcBorders>
                  <w:noWrap w:val="0"/>
                  <w:vAlign w:val="center"/>
                </w:tcPr>
                <w:p>
                  <w:pPr>
                    <w:spacing w:line="320" w:lineRule="exact"/>
                    <w:jc w:val="center"/>
                    <w:rPr>
                      <w:rFonts w:hint="default" w:ascii="Times New Roman" w:hAnsi="Times New Roman" w:cs="Times New Roman"/>
                      <w:color w:val="auto"/>
                      <w:lang w:eastAsia="zh-CN"/>
                    </w:rPr>
                  </w:pPr>
                  <w:r>
                    <w:rPr>
                      <w:rFonts w:hint="default" w:ascii="Times New Roman" w:hAnsi="Times New Roman" w:cs="Times New Roman"/>
                      <w:color w:val="auto"/>
                    </w:rPr>
                    <w:t>65</w:t>
                  </w:r>
                </w:p>
              </w:tc>
              <w:tc>
                <w:tcPr>
                  <w:tcW w:w="2041" w:type="pct"/>
                  <w:tcBorders>
                    <w:tl2br w:val="nil"/>
                    <w:tr2bl w:val="nil"/>
                  </w:tcBorders>
                  <w:noWrap w:val="0"/>
                  <w:vAlign w:val="center"/>
                </w:tcPr>
                <w:p>
                  <w:pPr>
                    <w:spacing w:line="320" w:lineRule="exact"/>
                    <w:jc w:val="center"/>
                    <w:rPr>
                      <w:rFonts w:hint="default" w:ascii="Times New Roman" w:hAnsi="Times New Roman" w:cs="Times New Roman"/>
                      <w:color w:val="auto"/>
                    </w:rPr>
                  </w:pPr>
                  <w:r>
                    <w:rPr>
                      <w:rFonts w:hint="default" w:ascii="Times New Roman" w:hAnsi="Times New Roman" w:cs="Times New Roman"/>
                      <w:color w:val="auto"/>
                    </w:rPr>
                    <w:t>55</w:t>
                  </w:r>
                </w:p>
              </w:tc>
            </w:tr>
          </w:tbl>
          <w:p>
            <w:pPr>
              <w:keepNext w:val="0"/>
              <w:keepLines w:val="0"/>
              <w:pageBreakBefore w:val="0"/>
              <w:widowControl w:val="0"/>
              <w:kinsoku/>
              <w:wordWrap/>
              <w:overflowPunct/>
              <w:topLinePunct w:val="0"/>
              <w:autoSpaceDE/>
              <w:autoSpaceDN/>
              <w:bidi w:val="0"/>
              <w:adjustRightInd/>
              <w:snapToGrid/>
              <w:spacing w:line="360" w:lineRule="auto"/>
              <w:ind w:firstLine="472" w:firstLineChars="196"/>
              <w:jc w:val="left"/>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4、固体废物</w:t>
            </w:r>
          </w:p>
          <w:p>
            <w:pPr>
              <w:spacing w:line="360" w:lineRule="auto"/>
              <w:ind w:firstLine="480" w:firstLineChars="200"/>
              <w:rPr>
                <w:rFonts w:hint="default" w:ascii="Times New Roman" w:hAnsi="Times New Roman" w:cs="Times New Roman"/>
                <w:color w:val="auto"/>
              </w:rPr>
            </w:pPr>
            <w:r>
              <w:rPr>
                <w:rFonts w:hint="default" w:ascii="Times New Roman" w:hAnsi="Times New Roman" w:cs="Times New Roman"/>
                <w:color w:val="auto"/>
                <w:sz w:val="24"/>
                <w:szCs w:val="24"/>
                <w:lang w:val="en-US" w:eastAsia="zh-CN"/>
              </w:rPr>
              <w:t>一般固废执行《一般工业固体废物贮存和填埋污染控制标准》（GB18599-2020）。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noWrap w:val="0"/>
            <w:vAlign w:val="center"/>
          </w:tcPr>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总量</w:t>
            </w:r>
          </w:p>
          <w:p>
            <w:pPr>
              <w:adjustRightInd w:val="0"/>
              <w:snapToGrid w:val="0"/>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控制</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rPr>
              <w:t>指标</w:t>
            </w:r>
          </w:p>
        </w:tc>
        <w:tc>
          <w:tcPr>
            <w:tcW w:w="8190" w:type="dxa"/>
            <w:noWrap w:val="0"/>
            <w:vAlign w:val="center"/>
          </w:tcPr>
          <w:p>
            <w:pPr>
              <w:autoSpaceDE w:val="0"/>
              <w:autoSpaceDN w:val="0"/>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根据《国务院关于印发&lt;“十三五”节能减排综合性工作方案&gt;的通知》（国发[2013]37号），目前国家对化学需氧量COD、氨氮NH</w:t>
            </w:r>
            <w:r>
              <w:rPr>
                <w:rFonts w:hint="default" w:ascii="Times New Roman" w:hAnsi="Times New Roman" w:cs="Times New Roman"/>
                <w:color w:val="auto"/>
                <w:kern w:val="0"/>
                <w:sz w:val="24"/>
                <w:vertAlign w:val="subscript"/>
              </w:rPr>
              <w:t>3</w:t>
            </w:r>
            <w:r>
              <w:rPr>
                <w:rFonts w:hint="default" w:ascii="Times New Roman" w:hAnsi="Times New Roman" w:cs="Times New Roman"/>
                <w:color w:val="auto"/>
                <w:kern w:val="0"/>
                <w:sz w:val="24"/>
              </w:rPr>
              <w:t>-N、二氧化硫SO</w:t>
            </w:r>
            <w:r>
              <w:rPr>
                <w:rFonts w:hint="default" w:ascii="Times New Roman" w:hAnsi="Times New Roman" w:cs="Times New Roman"/>
                <w:color w:val="auto"/>
                <w:kern w:val="0"/>
                <w:sz w:val="24"/>
                <w:vertAlign w:val="subscript"/>
              </w:rPr>
              <w:t>2</w:t>
            </w:r>
            <w:r>
              <w:rPr>
                <w:rFonts w:hint="default" w:ascii="Times New Roman" w:hAnsi="Times New Roman" w:cs="Times New Roman"/>
                <w:color w:val="auto"/>
                <w:kern w:val="0"/>
                <w:sz w:val="24"/>
              </w:rPr>
              <w:t>、氮氧化物NOx、烟粉尘、VOCs等六种主要污染物纳入排放总量控制计划管理。</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1、总量控制因子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大气污染物总量控制因子：烟/粉尘、VOC</w:t>
            </w:r>
            <w:r>
              <w:rPr>
                <w:rFonts w:hint="default" w:ascii="Times New Roman" w:hAnsi="Times New Roman" w:eastAsia="宋体" w:cs="Times New Roman"/>
                <w:color w:val="auto"/>
                <w:sz w:val="24"/>
                <w:vertAlign w:val="subscript"/>
              </w:rPr>
              <w:t>s</w:t>
            </w:r>
          </w:p>
          <w:p>
            <w:pPr>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rPr>
              <w:t>水污染物总量控制因子：COD、NH</w:t>
            </w:r>
            <w:r>
              <w:rPr>
                <w:rFonts w:hint="default" w:ascii="Times New Roman" w:hAnsi="Times New Roman" w:eastAsia="宋体" w:cs="Times New Roman"/>
                <w:color w:val="auto"/>
                <w:sz w:val="24"/>
                <w:vertAlign w:val="subscript"/>
              </w:rPr>
              <w:t>3</w:t>
            </w:r>
            <w:r>
              <w:rPr>
                <w:rFonts w:hint="default" w:ascii="Times New Roman" w:hAnsi="Times New Roman" w:eastAsia="宋体" w:cs="Times New Roman"/>
                <w:color w:val="auto"/>
                <w:sz w:val="24"/>
              </w:rPr>
              <w:t>-N</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2、总量控制指标</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表3-</w:t>
            </w:r>
            <w:r>
              <w:rPr>
                <w:rFonts w:hint="eastAsia" w:cs="Times New Roman"/>
                <w:b/>
                <w:color w:val="auto"/>
                <w:sz w:val="24"/>
                <w:lang w:val="en-US" w:eastAsia="zh-CN"/>
              </w:rPr>
              <w:t>8</w:t>
            </w:r>
            <w:r>
              <w:rPr>
                <w:rFonts w:hint="default" w:ascii="Times New Roman" w:hAnsi="Times New Roman" w:eastAsia="宋体" w:cs="Times New Roman"/>
                <w:b/>
                <w:color w:val="auto"/>
                <w:sz w:val="24"/>
              </w:rPr>
              <w:t>拟建项目各种污染物排放总量控制指标表t/a</w:t>
            </w:r>
          </w:p>
          <w:tbl>
            <w:tblPr>
              <w:tblStyle w:val="27"/>
              <w:tblW w:w="771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40" w:type="dxa"/>
                <w:bottom w:w="0" w:type="dxa"/>
                <w:right w:w="40" w:type="dxa"/>
              </w:tblCellMar>
            </w:tblPr>
            <w:tblGrid>
              <w:gridCol w:w="890"/>
              <w:gridCol w:w="1118"/>
              <w:gridCol w:w="1245"/>
              <w:gridCol w:w="2072"/>
              <w:gridCol w:w="23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0" w:type="dxa"/>
                  <w:bottom w:w="0" w:type="dxa"/>
                  <w:right w:w="40" w:type="dxa"/>
                </w:tblCellMar>
              </w:tblPrEx>
              <w:trPr>
                <w:cantSplit/>
                <w:trHeight w:val="564" w:hRule="atLeast"/>
                <w:jc w:val="center"/>
              </w:trPr>
              <w:tc>
                <w:tcPr>
                  <w:tcW w:w="890" w:type="dxa"/>
                  <w:tcBorders>
                    <w:tl2br w:val="nil"/>
                    <w:tr2bl w:val="nil"/>
                  </w:tcBorders>
                  <w:noWrap w:val="0"/>
                  <w:vAlign w:val="center"/>
                </w:tcPr>
                <w:p>
                  <w:pPr>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1118" w:type="dxa"/>
                  <w:tcBorders>
                    <w:tl2br w:val="nil"/>
                    <w:tr2bl w:val="nil"/>
                  </w:tcBorders>
                  <w:noWrap w:val="0"/>
                  <w:vAlign w:val="center"/>
                </w:tcPr>
                <w:p>
                  <w:pPr>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污染物名称</w:t>
                  </w:r>
                </w:p>
              </w:tc>
              <w:tc>
                <w:tcPr>
                  <w:tcW w:w="1245" w:type="dxa"/>
                  <w:tcBorders>
                    <w:tl2br w:val="nil"/>
                    <w:tr2bl w:val="nil"/>
                  </w:tcBorders>
                  <w:noWrap w:val="0"/>
                  <w:vAlign w:val="center"/>
                </w:tcPr>
                <w:p>
                  <w:pPr>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有组织/接管量</w:t>
                  </w:r>
                </w:p>
              </w:tc>
              <w:tc>
                <w:tcPr>
                  <w:tcW w:w="2072" w:type="dxa"/>
                  <w:tcBorders>
                    <w:tl2br w:val="nil"/>
                    <w:tr2bl w:val="nil"/>
                  </w:tcBorders>
                  <w:noWrap w:val="0"/>
                  <w:vAlign w:val="center"/>
                </w:tcPr>
                <w:p>
                  <w:pPr>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无组织/外环境排放量</w:t>
                  </w:r>
                </w:p>
              </w:tc>
              <w:tc>
                <w:tcPr>
                  <w:tcW w:w="2393" w:type="dxa"/>
                  <w:tcBorders>
                    <w:tl2br w:val="nil"/>
                    <w:tr2bl w:val="nil"/>
                  </w:tcBorders>
                  <w:noWrap w:val="0"/>
                  <w:vAlign w:val="center"/>
                </w:tcPr>
                <w:p>
                  <w:pPr>
                    <w:adjustRightInd w:val="0"/>
                    <w:jc w:val="center"/>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0" w:type="dxa"/>
                  <w:bottom w:w="0" w:type="dxa"/>
                  <w:right w:w="40" w:type="dxa"/>
                </w:tblCellMar>
              </w:tblPrEx>
              <w:trPr>
                <w:cantSplit/>
                <w:trHeight w:val="277" w:hRule="atLeast"/>
                <w:jc w:val="center"/>
              </w:trPr>
              <w:tc>
                <w:tcPr>
                  <w:tcW w:w="890" w:type="dxa"/>
                  <w:tcBorders>
                    <w:tl2br w:val="nil"/>
                    <w:tr2bl w:val="nil"/>
                  </w:tcBorders>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废气</w:t>
                  </w:r>
                </w:p>
              </w:tc>
              <w:tc>
                <w:tcPr>
                  <w:tcW w:w="1118" w:type="dxa"/>
                  <w:tcBorders>
                    <w:tl2br w:val="nil"/>
                    <w:tr2bl w:val="nil"/>
                  </w:tcBorders>
                  <w:noWrap w:val="0"/>
                  <w:vAlign w:val="center"/>
                </w:tcPr>
                <w:p>
                  <w:pPr>
                    <w:adjustRightIn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颗粒物</w:t>
                  </w:r>
                </w:p>
              </w:tc>
              <w:tc>
                <w:tcPr>
                  <w:tcW w:w="1245" w:type="dxa"/>
                  <w:tcBorders>
                    <w:tl2br w:val="nil"/>
                    <w:tr2bl w:val="nil"/>
                  </w:tcBorders>
                  <w:noWrap w:val="0"/>
                  <w:vAlign w:val="center"/>
                </w:tcPr>
                <w:p>
                  <w:pPr>
                    <w:ind w:left="-105" w:leftChars="-50" w:right="-105" w:rightChars="-5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0.45t/a</w:t>
                  </w:r>
                </w:p>
              </w:tc>
              <w:tc>
                <w:tcPr>
                  <w:tcW w:w="2072" w:type="dxa"/>
                  <w:tcBorders>
                    <w:tl2br w:val="nil"/>
                    <w:tr2bl w:val="nil"/>
                  </w:tcBorders>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w:t>
                  </w:r>
                  <w:r>
                    <w:rPr>
                      <w:rFonts w:hint="eastAsia" w:cs="Times New Roman"/>
                      <w:color w:val="auto"/>
                      <w:szCs w:val="21"/>
                      <w:lang w:val="en-US" w:eastAsia="zh-CN"/>
                    </w:rPr>
                    <w:t>1345</w:t>
                  </w:r>
                  <w:r>
                    <w:rPr>
                      <w:rFonts w:hint="default" w:ascii="Times New Roman" w:hAnsi="Times New Roman" w:cs="Times New Roman"/>
                      <w:color w:val="auto"/>
                      <w:szCs w:val="21"/>
                      <w:lang w:val="en-US" w:eastAsia="zh-CN"/>
                    </w:rPr>
                    <w:t>t/a</w:t>
                  </w:r>
                </w:p>
              </w:tc>
              <w:tc>
                <w:tcPr>
                  <w:tcW w:w="2393" w:type="dxa"/>
                  <w:tcBorders>
                    <w:tl2br w:val="nil"/>
                    <w:tr2bl w:val="nil"/>
                  </w:tcBorders>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0" w:type="dxa"/>
                  <w:bottom w:w="0" w:type="dxa"/>
                  <w:right w:w="40" w:type="dxa"/>
                </w:tblCellMar>
              </w:tblPrEx>
              <w:trPr>
                <w:cantSplit/>
                <w:trHeight w:val="248" w:hRule="atLeast"/>
                <w:jc w:val="center"/>
              </w:trPr>
              <w:tc>
                <w:tcPr>
                  <w:tcW w:w="890" w:type="dxa"/>
                  <w:vMerge w:val="restart"/>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r>
                    <w:rPr>
                      <w:rFonts w:hint="default" w:ascii="Times New Roman" w:hAnsi="Times New Roman" w:cs="Times New Roman"/>
                      <w:color w:val="auto"/>
                      <w:szCs w:val="21"/>
                    </w:rPr>
                    <w:t>废水</w:t>
                  </w:r>
                </w:p>
              </w:tc>
              <w:tc>
                <w:tcPr>
                  <w:tcW w:w="1118" w:type="dxa"/>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r>
                    <w:rPr>
                      <w:rFonts w:hint="default" w:ascii="Times New Roman" w:hAnsi="Times New Roman" w:cs="Times New Roman"/>
                      <w:color w:val="auto"/>
                      <w:szCs w:val="21"/>
                    </w:rPr>
                    <w:t>COD</w:t>
                  </w:r>
                </w:p>
              </w:tc>
              <w:tc>
                <w:tcPr>
                  <w:tcW w:w="1245" w:type="dxa"/>
                  <w:tcBorders>
                    <w:tl2br w:val="nil"/>
                    <w:tr2bl w:val="nil"/>
                  </w:tcBorders>
                  <w:noWrap w:val="0"/>
                  <w:vAlign w:val="center"/>
                </w:tcPr>
                <w:p>
                  <w:pPr>
                    <w:ind w:left="-42" w:leftChars="-20" w:right="-42" w:rightChars="-2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0.0714t/a</w:t>
                  </w:r>
                </w:p>
              </w:tc>
              <w:tc>
                <w:tcPr>
                  <w:tcW w:w="2072" w:type="dxa"/>
                  <w:tcBorders>
                    <w:tl2br w:val="nil"/>
                    <w:tr2bl w:val="nil"/>
                  </w:tcBorders>
                  <w:noWrap w:val="0"/>
                  <w:vAlign w:val="center"/>
                </w:tcPr>
                <w:p>
                  <w:pPr>
                    <w:ind w:left="-42" w:leftChars="-20" w:right="-42" w:rightChars="-2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0.012t/a</w:t>
                  </w:r>
                </w:p>
              </w:tc>
              <w:tc>
                <w:tcPr>
                  <w:tcW w:w="2393" w:type="dxa"/>
                  <w:vMerge w:val="restart"/>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r>
                    <w:rPr>
                      <w:rFonts w:hint="default" w:ascii="Times New Roman" w:hAnsi="Times New Roman" w:cs="Times New Roman"/>
                      <w:color w:val="auto"/>
                      <w:szCs w:val="21"/>
                    </w:rPr>
                    <w:t>废水污染物总量已纳入</w:t>
                  </w:r>
                  <w:r>
                    <w:rPr>
                      <w:rFonts w:hint="default" w:ascii="Times New Roman" w:hAnsi="Times New Roman" w:cs="Times New Roman"/>
                      <w:color w:val="auto"/>
                      <w:szCs w:val="21"/>
                      <w:lang w:val="en-US" w:eastAsia="zh-CN"/>
                    </w:rPr>
                    <w:t>城东</w:t>
                  </w:r>
                  <w:r>
                    <w:rPr>
                      <w:rFonts w:hint="default" w:ascii="Times New Roman" w:hAnsi="Times New Roman" w:cs="Times New Roman"/>
                      <w:color w:val="auto"/>
                      <w:szCs w:val="21"/>
                    </w:rPr>
                    <w:t>污水处理厂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40" w:type="dxa"/>
                  <w:bottom w:w="0" w:type="dxa"/>
                  <w:right w:w="40" w:type="dxa"/>
                </w:tblCellMar>
              </w:tblPrEx>
              <w:trPr>
                <w:cantSplit/>
                <w:trHeight w:val="307" w:hRule="atLeast"/>
                <w:jc w:val="center"/>
              </w:trPr>
              <w:tc>
                <w:tcPr>
                  <w:tcW w:w="890" w:type="dxa"/>
                  <w:vMerge w:val="continue"/>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p>
              </w:tc>
              <w:tc>
                <w:tcPr>
                  <w:tcW w:w="1118" w:type="dxa"/>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r>
                    <w:rPr>
                      <w:rFonts w:hint="default" w:ascii="Times New Roman" w:hAnsi="Times New Roman" w:cs="Times New Roman"/>
                      <w:color w:val="auto"/>
                      <w:szCs w:val="21"/>
                    </w:rPr>
                    <w:t>氨氮</w:t>
                  </w:r>
                </w:p>
              </w:tc>
              <w:tc>
                <w:tcPr>
                  <w:tcW w:w="1245" w:type="dxa"/>
                  <w:tcBorders>
                    <w:tl2br w:val="nil"/>
                    <w:tr2bl w:val="nil"/>
                  </w:tcBorders>
                  <w:noWrap w:val="0"/>
                  <w:vAlign w:val="center"/>
                </w:tcPr>
                <w:p>
                  <w:pPr>
                    <w:ind w:left="-42" w:leftChars="-20" w:right="-42" w:rightChars="-2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0.007t/a</w:t>
                  </w:r>
                </w:p>
              </w:tc>
              <w:tc>
                <w:tcPr>
                  <w:tcW w:w="2072" w:type="dxa"/>
                  <w:tcBorders>
                    <w:tl2br w:val="nil"/>
                    <w:tr2bl w:val="nil"/>
                  </w:tcBorders>
                  <w:noWrap w:val="0"/>
                  <w:vAlign w:val="center"/>
                </w:tcPr>
                <w:p>
                  <w:pPr>
                    <w:ind w:left="-42" w:leftChars="-20" w:right="-42" w:rightChars="-2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0.0012t/a</w:t>
                  </w:r>
                </w:p>
              </w:tc>
              <w:tc>
                <w:tcPr>
                  <w:tcW w:w="2393" w:type="dxa"/>
                  <w:vMerge w:val="continue"/>
                  <w:tcBorders>
                    <w:tl2br w:val="nil"/>
                    <w:tr2bl w:val="nil"/>
                  </w:tcBorders>
                  <w:noWrap w:val="0"/>
                  <w:vAlign w:val="center"/>
                </w:tcPr>
                <w:p>
                  <w:pPr>
                    <w:ind w:left="-42" w:leftChars="-20" w:right="-42" w:rightChars="-20"/>
                    <w:jc w:val="center"/>
                    <w:rPr>
                      <w:rFonts w:hint="default" w:ascii="Times New Roman" w:hAnsi="Times New Roman" w:cs="Times New Roman"/>
                      <w:color w:val="auto"/>
                      <w:szCs w:val="21"/>
                    </w:rPr>
                  </w:pPr>
                </w:p>
              </w:tc>
            </w:tr>
          </w:tbl>
          <w:p>
            <w:pPr>
              <w:adjustRightInd w:val="0"/>
              <w:spacing w:line="360" w:lineRule="auto"/>
              <w:ind w:firstLine="420" w:firstLineChars="200"/>
              <w:rPr>
                <w:rFonts w:hint="default" w:ascii="Times New Roman" w:hAnsi="Times New Roman" w:cs="Times New Roman"/>
                <w:color w:val="auto"/>
                <w:kern w:val="0"/>
                <w:szCs w:val="21"/>
              </w:rPr>
            </w:pPr>
          </w:p>
        </w:tc>
      </w:tr>
    </w:tbl>
    <w:p>
      <w:pPr>
        <w:pStyle w:val="24"/>
        <w:jc w:val="center"/>
        <w:outlineLvl w:val="0"/>
        <w:rPr>
          <w:rFonts w:hint="default" w:ascii="Times New Roman" w:hAnsi="Times New Roman" w:eastAsia="黑体" w:cs="Times New Roman"/>
          <w:b w:val="0"/>
          <w:bCs w:val="0"/>
          <w:snapToGrid w:val="0"/>
          <w:color w:val="auto"/>
          <w:sz w:val="30"/>
          <w:szCs w:val="30"/>
        </w:rPr>
      </w:pPr>
      <w:r>
        <w:rPr>
          <w:rFonts w:hint="default" w:ascii="Times New Roman" w:hAnsi="Times New Roman" w:cs="Times New Roman"/>
          <w:snapToGrid w:val="0"/>
          <w:color w:val="auto"/>
          <w:sz w:val="36"/>
          <w:szCs w:val="36"/>
        </w:rPr>
        <w:br w:type="page"/>
      </w:r>
      <w:r>
        <w:rPr>
          <w:rFonts w:hint="default" w:ascii="Times New Roman" w:hAnsi="Times New Roman" w:eastAsia="黑体" w:cs="Times New Roman"/>
          <w:b w:val="0"/>
          <w:bCs w:val="0"/>
          <w:snapToGrid w:val="0"/>
          <w:color w:val="auto"/>
          <w:sz w:val="30"/>
          <w:szCs w:val="30"/>
        </w:rPr>
        <w:t>四、主要环境影响和保护措施</w:t>
      </w:r>
    </w:p>
    <w:tbl>
      <w:tblPr>
        <w:tblStyle w:val="27"/>
        <w:tblW w:w="863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81"/>
        <w:gridCol w:w="416"/>
        <w:gridCol w:w="8221"/>
        <w:gridCol w:w="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gridAfter w:val="1"/>
          <w:wAfter w:w="65" w:type="dxa"/>
          <w:trHeight w:val="12423" w:hRule="atLeast"/>
          <w:jc w:val="center"/>
        </w:trPr>
        <w:tc>
          <w:tcPr>
            <w:tcW w:w="726" w:type="dxa"/>
            <w:gridSpan w:val="2"/>
            <w:noWrap w:val="0"/>
            <w:tcMar>
              <w:left w:w="28" w:type="dxa"/>
              <w:right w:w="28" w:type="dxa"/>
            </w:tcMar>
            <w:vAlign w:val="center"/>
          </w:tcPr>
          <w:p>
            <w:pPr>
              <w:widowControl w:val="0"/>
              <w:spacing w:line="360" w:lineRule="auto"/>
              <w:ind w:firstLine="0" w:firstLineChars="0"/>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color w:val="auto"/>
                <w:kern w:val="0"/>
                <w:sz w:val="24"/>
                <w:szCs w:val="20"/>
                <w:lang w:val="en-US" w:eastAsia="zh-CN" w:bidi="ar-SA"/>
              </w:rPr>
              <w:t>施工</w:t>
            </w:r>
          </w:p>
          <w:p>
            <w:pPr>
              <w:widowControl w:val="0"/>
              <w:spacing w:line="360" w:lineRule="auto"/>
              <w:ind w:firstLine="0" w:firstLineChars="0"/>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color w:val="auto"/>
                <w:kern w:val="0"/>
                <w:sz w:val="24"/>
                <w:szCs w:val="20"/>
                <w:lang w:val="en-US" w:eastAsia="zh-CN" w:bidi="ar-SA"/>
              </w:rPr>
              <w:t>期环</w:t>
            </w:r>
          </w:p>
          <w:p>
            <w:pPr>
              <w:widowControl w:val="0"/>
              <w:spacing w:line="360" w:lineRule="auto"/>
              <w:ind w:firstLine="0" w:firstLineChars="0"/>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color w:val="auto"/>
                <w:kern w:val="0"/>
                <w:sz w:val="24"/>
                <w:szCs w:val="20"/>
                <w:lang w:val="en-US" w:eastAsia="zh-CN" w:bidi="ar-SA"/>
              </w:rPr>
              <w:t>境保</w:t>
            </w:r>
          </w:p>
          <w:p>
            <w:pPr>
              <w:widowControl w:val="0"/>
              <w:spacing w:line="360" w:lineRule="auto"/>
              <w:ind w:firstLine="0" w:firstLineChars="0"/>
              <w:jc w:val="center"/>
              <w:rPr>
                <w:rFonts w:hint="default" w:ascii="Times New Roman" w:hAnsi="Times New Roman" w:eastAsia="宋体" w:cs="Times New Roman"/>
                <w:color w:val="auto"/>
                <w:kern w:val="0"/>
                <w:sz w:val="24"/>
                <w:szCs w:val="20"/>
                <w:lang w:val="en-US" w:eastAsia="zh-CN" w:bidi="ar-SA"/>
              </w:rPr>
            </w:pPr>
            <w:r>
              <w:rPr>
                <w:rFonts w:hint="default" w:ascii="Times New Roman" w:hAnsi="Times New Roman" w:eastAsia="宋体" w:cs="Times New Roman"/>
                <w:color w:val="auto"/>
                <w:kern w:val="0"/>
                <w:sz w:val="24"/>
                <w:szCs w:val="20"/>
                <w:lang w:val="en-US" w:eastAsia="zh-CN" w:bidi="ar-SA"/>
              </w:rPr>
              <w:t>护措</w:t>
            </w:r>
          </w:p>
          <w:p>
            <w:pPr>
              <w:widowControl w:val="0"/>
              <w:spacing w:line="360" w:lineRule="auto"/>
              <w:ind w:firstLine="0" w:firstLineChars="0"/>
              <w:jc w:val="center"/>
              <w:rPr>
                <w:rFonts w:hint="default" w:ascii="Times New Roman" w:hAnsi="Times New Roman" w:eastAsia="宋体" w:cs="Times New Roman"/>
                <w:bCs/>
                <w:color w:val="auto"/>
                <w:kern w:val="2"/>
                <w:sz w:val="24"/>
                <w:szCs w:val="21"/>
                <w:lang w:val="en-US" w:eastAsia="zh-CN" w:bidi="ar-SA"/>
              </w:rPr>
            </w:pPr>
            <w:r>
              <w:rPr>
                <w:rFonts w:hint="default" w:ascii="Times New Roman" w:hAnsi="Times New Roman" w:eastAsia="宋体" w:cs="Times New Roman"/>
                <w:color w:val="auto"/>
                <w:kern w:val="0"/>
                <w:sz w:val="24"/>
                <w:szCs w:val="20"/>
                <w:lang w:val="en-US" w:eastAsia="zh-CN" w:bidi="ar-SA"/>
              </w:rPr>
              <w:t>施</w:t>
            </w:r>
          </w:p>
        </w:tc>
        <w:tc>
          <w:tcPr>
            <w:tcW w:w="7848" w:type="dxa"/>
            <w:noWrap w:val="0"/>
            <w:vAlign w:val="center"/>
          </w:tcPr>
          <w:p>
            <w:pPr>
              <w:adjustRightInd w:val="0"/>
              <w:spacing w:line="360" w:lineRule="auto"/>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lang w:val="en-US" w:eastAsia="zh-CN"/>
              </w:rPr>
              <w:t>本项目位于芜湖市鸠江区清水街道清水创业园芜湖铮铮金属加工有限公司厂房，租赁厂房已建成</w:t>
            </w:r>
            <w:r>
              <w:rPr>
                <w:rFonts w:hint="default" w:ascii="Times New Roman" w:hAnsi="Times New Roman" w:cs="Times New Roman"/>
                <w:color w:val="auto"/>
                <w:kern w:val="0"/>
                <w:sz w:val="24"/>
                <w:lang w:val="en-US" w:eastAsia="zh-CN"/>
              </w:rPr>
              <w:t>，</w:t>
            </w:r>
            <w:r>
              <w:rPr>
                <w:rFonts w:hint="default" w:ascii="Times New Roman" w:hAnsi="Times New Roman" w:eastAsia="宋体" w:cs="Times New Roman"/>
                <w:color w:val="auto"/>
                <w:kern w:val="0"/>
                <w:sz w:val="24"/>
                <w:lang w:val="en-US" w:eastAsia="zh-CN"/>
              </w:rPr>
              <w:t>项目施工</w:t>
            </w:r>
            <w:r>
              <w:rPr>
                <w:rFonts w:hint="default" w:ascii="Times New Roman" w:hAnsi="Times New Roman" w:eastAsia="宋体" w:cs="Times New Roman"/>
                <w:color w:val="auto"/>
                <w:kern w:val="0"/>
                <w:sz w:val="24"/>
              </w:rPr>
              <w:t>主要为生产设备的安装调试、环保设施设备的落实等</w:t>
            </w:r>
            <w:r>
              <w:rPr>
                <w:rFonts w:hint="default" w:ascii="Times New Roman" w:hAnsi="Times New Roman" w:eastAsia="宋体" w:cs="Times New Roman"/>
                <w:color w:val="auto"/>
                <w:kern w:val="0"/>
                <w:sz w:val="24"/>
                <w:lang w:val="zh-CN"/>
              </w:rPr>
              <w:t>。</w:t>
            </w:r>
            <w:r>
              <w:rPr>
                <w:rFonts w:hint="default" w:ascii="Times New Roman" w:hAnsi="Times New Roman" w:eastAsia="宋体" w:cs="Times New Roman"/>
                <w:color w:val="auto"/>
                <w:kern w:val="0"/>
                <w:sz w:val="24"/>
                <w:lang w:val="en-US" w:eastAsia="zh-CN"/>
              </w:rPr>
              <w:t>在</w:t>
            </w:r>
            <w:r>
              <w:rPr>
                <w:rFonts w:hint="default" w:ascii="Times New Roman" w:hAnsi="Times New Roman" w:eastAsia="宋体" w:cs="Times New Roman"/>
                <w:color w:val="auto"/>
                <w:kern w:val="0"/>
                <w:sz w:val="24"/>
                <w:lang w:val="zh-CN"/>
              </w:rPr>
              <w:t>设备安装时期施工人员产生的少量生活污水和生活垃圾等，生活污水</w:t>
            </w:r>
            <w:r>
              <w:rPr>
                <w:rFonts w:hint="default" w:ascii="Times New Roman" w:hAnsi="Times New Roman" w:eastAsia="宋体" w:cs="Times New Roman"/>
                <w:color w:val="auto"/>
                <w:kern w:val="0"/>
                <w:sz w:val="24"/>
                <w:lang w:val="en-US" w:eastAsia="zh-CN"/>
              </w:rPr>
              <w:t>经化粪池处理，生活垃圾由环卫部门清运，</w:t>
            </w:r>
            <w:r>
              <w:rPr>
                <w:rFonts w:hint="default" w:ascii="Times New Roman" w:hAnsi="Times New Roman" w:eastAsia="宋体" w:cs="Times New Roman"/>
                <w:color w:val="auto"/>
                <w:kern w:val="0"/>
                <w:sz w:val="24"/>
                <w:lang w:val="zh-CN"/>
              </w:rPr>
              <w:t>故本次评价对施工期环境影响不做分析。</w:t>
            </w:r>
          </w:p>
          <w:p>
            <w:pPr>
              <w:spacing w:line="360" w:lineRule="auto"/>
              <w:ind w:firstLine="420" w:firstLineChars="200"/>
              <w:rPr>
                <w:rFonts w:hint="default" w:ascii="Times New Roman" w:hAnsi="Times New Roman" w:cs="Times New Roman"/>
                <w:color w:val="auto"/>
              </w:rPr>
            </w:pPr>
          </w:p>
          <w:p>
            <w:pPr>
              <w:spacing w:line="360" w:lineRule="auto"/>
              <w:ind w:firstLine="420" w:firstLineChars="200"/>
              <w:rPr>
                <w:rFonts w:hint="default" w:ascii="Times New Roman" w:hAnsi="Times New Roman" w:cs="Times New Roman"/>
                <w:color w:val="auto"/>
              </w:rPr>
            </w:pPr>
          </w:p>
          <w:p>
            <w:pPr>
              <w:spacing w:line="360" w:lineRule="auto"/>
              <w:ind w:firstLine="420" w:firstLineChars="200"/>
              <w:rPr>
                <w:rFonts w:hint="default" w:ascii="Times New Roman" w:hAnsi="Times New Roman" w:cs="Times New Roman"/>
                <w:color w:val="auto"/>
              </w:rPr>
            </w:pPr>
          </w:p>
          <w:p>
            <w:pPr>
              <w:spacing w:line="360" w:lineRule="auto"/>
              <w:ind w:firstLine="420" w:firstLineChars="200"/>
              <w:rPr>
                <w:rFonts w:hint="default" w:ascii="Times New Roman" w:hAnsi="Times New Roman" w:cs="Times New Roman"/>
                <w:color w:val="auto"/>
              </w:rPr>
            </w:pPr>
          </w:p>
          <w:p>
            <w:pPr>
              <w:spacing w:line="360" w:lineRule="auto"/>
              <w:ind w:firstLine="420" w:firstLineChars="200"/>
              <w:rPr>
                <w:rFonts w:hint="default" w:ascii="Times New Roman" w:hAnsi="Times New Roman" w:cs="Times New Roman"/>
                <w:color w:val="auto"/>
              </w:rPr>
            </w:pPr>
          </w:p>
          <w:p>
            <w:pPr>
              <w:spacing w:line="360" w:lineRule="auto"/>
              <w:ind w:firstLine="420" w:firstLineChars="200"/>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pStyle w:val="8"/>
              <w:rPr>
                <w:rFonts w:hint="default" w:ascii="Times New Roman" w:hAnsi="Times New Roman" w:cs="Times New Roman"/>
                <w:color w:val="auto"/>
              </w:rPr>
            </w:pPr>
          </w:p>
          <w:p>
            <w:pPr>
              <w:rPr>
                <w:rFonts w:hint="default" w:ascii="Times New Roman" w:hAnsi="Times New Roman" w:cs="Times New Roman"/>
                <w:color w:val="auto"/>
              </w:rPr>
            </w:pPr>
          </w:p>
          <w:p>
            <w:pPr>
              <w:pStyle w:val="9"/>
              <w:rPr>
                <w:rFonts w:hint="default" w:ascii="Times New Roman" w:hAnsi="Times New Roman" w:cs="Times New Roman"/>
                <w:color w:val="auto"/>
              </w:rPr>
            </w:pPr>
          </w:p>
          <w:p>
            <w:pPr>
              <w:rPr>
                <w:rFonts w:hint="default" w:ascii="Times New Roman" w:hAnsi="Times New Roman" w:cs="Times New Roman"/>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825" w:hRule="atLeast"/>
          <w:jc w:val="center"/>
        </w:trPr>
        <w:tc>
          <w:tcPr>
            <w:tcW w:w="284" w:type="dxa"/>
            <w:noWrap w:val="0"/>
            <w:tcMar>
              <w:left w:w="28" w:type="dxa"/>
              <w:right w:w="28" w:type="dxa"/>
            </w:tcMar>
            <w:vAlign w:val="center"/>
          </w:tcPr>
          <w:p>
            <w:pPr>
              <w:adjustRightInd w:val="0"/>
              <w:snapToGrid w:val="0"/>
              <w:jc w:val="center"/>
              <w:rPr>
                <w:rFonts w:hint="default" w:ascii="Times New Roman" w:hAnsi="Times New Roman" w:cs="Times New Roman"/>
                <w:bCs/>
                <w:color w:val="auto"/>
                <w:sz w:val="24"/>
              </w:rPr>
            </w:pPr>
            <w:r>
              <w:rPr>
                <w:rFonts w:hint="default" w:ascii="Times New Roman" w:hAnsi="Times New Roman" w:cs="Times New Roman"/>
                <w:bCs/>
                <w:color w:val="auto"/>
                <w:sz w:val="24"/>
              </w:rPr>
              <w:t>运营</w:t>
            </w:r>
          </w:p>
          <w:p>
            <w:pPr>
              <w:adjustRightInd w:val="0"/>
              <w:snapToGrid w:val="0"/>
              <w:jc w:val="center"/>
              <w:rPr>
                <w:rFonts w:hint="default" w:ascii="Times New Roman" w:hAnsi="Times New Roman" w:cs="Times New Roman"/>
                <w:bCs/>
                <w:color w:val="auto"/>
                <w:sz w:val="24"/>
              </w:rPr>
            </w:pPr>
            <w:r>
              <w:rPr>
                <w:rFonts w:hint="default" w:ascii="Times New Roman" w:hAnsi="Times New Roman" w:cs="Times New Roman"/>
                <w:bCs/>
                <w:color w:val="auto"/>
                <w:sz w:val="24"/>
              </w:rPr>
              <w:t>期环</w:t>
            </w:r>
          </w:p>
          <w:p>
            <w:pPr>
              <w:adjustRightInd w:val="0"/>
              <w:snapToGrid w:val="0"/>
              <w:jc w:val="center"/>
              <w:rPr>
                <w:rFonts w:hint="default" w:ascii="Times New Roman" w:hAnsi="Times New Roman" w:cs="Times New Roman"/>
                <w:bCs/>
                <w:color w:val="auto"/>
                <w:sz w:val="24"/>
              </w:rPr>
            </w:pPr>
            <w:r>
              <w:rPr>
                <w:rFonts w:hint="default" w:ascii="Times New Roman" w:hAnsi="Times New Roman" w:cs="Times New Roman"/>
                <w:bCs/>
                <w:color w:val="auto"/>
                <w:sz w:val="24"/>
              </w:rPr>
              <w:t>境影</w:t>
            </w:r>
          </w:p>
          <w:p>
            <w:pPr>
              <w:adjustRightInd w:val="0"/>
              <w:snapToGrid w:val="0"/>
              <w:jc w:val="center"/>
              <w:rPr>
                <w:rFonts w:hint="default" w:ascii="Times New Roman" w:hAnsi="Times New Roman" w:cs="Times New Roman"/>
                <w:bCs/>
                <w:color w:val="auto"/>
                <w:sz w:val="24"/>
              </w:rPr>
            </w:pPr>
            <w:r>
              <w:rPr>
                <w:rFonts w:hint="default" w:ascii="Times New Roman" w:hAnsi="Times New Roman" w:cs="Times New Roman"/>
                <w:bCs/>
                <w:color w:val="auto"/>
                <w:sz w:val="24"/>
              </w:rPr>
              <w:t>响和</w:t>
            </w:r>
          </w:p>
          <w:p>
            <w:pPr>
              <w:adjustRightInd w:val="0"/>
              <w:snapToGrid w:val="0"/>
              <w:jc w:val="center"/>
              <w:rPr>
                <w:rFonts w:hint="default" w:ascii="Times New Roman" w:hAnsi="Times New Roman" w:cs="Times New Roman"/>
                <w:bCs/>
                <w:color w:val="auto"/>
                <w:sz w:val="24"/>
              </w:rPr>
            </w:pPr>
            <w:r>
              <w:rPr>
                <w:rFonts w:hint="default" w:ascii="Times New Roman" w:hAnsi="Times New Roman" w:cs="Times New Roman"/>
                <w:bCs/>
                <w:color w:val="auto"/>
                <w:sz w:val="24"/>
              </w:rPr>
              <w:t>保护</w:t>
            </w:r>
          </w:p>
          <w:p>
            <w:pPr>
              <w:adjustRightInd w:val="0"/>
              <w:snapToGrid w:val="0"/>
              <w:jc w:val="center"/>
              <w:rPr>
                <w:rFonts w:hint="default" w:ascii="Times New Roman" w:hAnsi="Times New Roman" w:cs="Times New Roman"/>
                <w:bCs/>
                <w:color w:val="auto"/>
                <w:szCs w:val="21"/>
              </w:rPr>
            </w:pPr>
            <w:r>
              <w:rPr>
                <w:rFonts w:hint="default" w:ascii="Times New Roman" w:hAnsi="Times New Roman" w:cs="Times New Roman"/>
                <w:bCs/>
                <w:color w:val="auto"/>
                <w:sz w:val="24"/>
              </w:rPr>
              <w:t>措施</w:t>
            </w:r>
          </w:p>
        </w:tc>
        <w:tc>
          <w:tcPr>
            <w:tcW w:w="8355" w:type="dxa"/>
            <w:gridSpan w:val="3"/>
            <w:noWrap w:val="0"/>
            <w:vAlign w:val="center"/>
          </w:tcPr>
          <w:p>
            <w:pPr>
              <w:pStyle w:val="69"/>
              <w:numPr>
                <w:ilvl w:val="0"/>
                <w:numId w:val="0"/>
              </w:numPr>
              <w:spacing w:line="360" w:lineRule="auto"/>
              <w:ind w:leftChars="0"/>
              <w:rPr>
                <w:rFonts w:hint="default" w:ascii="Times New Roman" w:hAnsi="Times New Roman" w:cs="Times New Roman"/>
                <w:b/>
                <w:bCs/>
                <w:color w:val="auto"/>
                <w:sz w:val="24"/>
              </w:rPr>
            </w:pPr>
            <w:r>
              <w:rPr>
                <w:rFonts w:hint="default" w:ascii="Times New Roman" w:hAnsi="Times New Roman" w:cs="Times New Roman"/>
                <w:b/>
                <w:bCs/>
                <w:color w:val="auto"/>
                <w:sz w:val="24"/>
                <w:lang w:val="en-US" w:eastAsia="zh-CN"/>
              </w:rPr>
              <w:t>一、</w:t>
            </w:r>
            <w:r>
              <w:rPr>
                <w:rFonts w:hint="default" w:ascii="Times New Roman" w:hAnsi="Times New Roman" w:cs="Times New Roman"/>
                <w:b/>
                <w:bCs/>
                <w:color w:val="auto"/>
                <w:sz w:val="24"/>
              </w:rPr>
              <w:t>废气环境影响和保护措施</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1、废气污染源分析</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本项目产生的废气主要为运输道路扬尘、堆场扬尘、破碎筛分粉尘、</w:t>
            </w:r>
            <w:r>
              <w:rPr>
                <w:rFonts w:hint="default" w:ascii="Times New Roman" w:hAnsi="Times New Roman" w:cs="Times New Roman"/>
                <w:color w:val="auto"/>
                <w:spacing w:val="0"/>
                <w:kern w:val="0"/>
                <w:sz w:val="24"/>
                <w:szCs w:val="20"/>
                <w:lang w:val="en-US" w:eastAsia="zh-CN" w:bidi="ar-SA"/>
              </w:rPr>
              <w:t>铲车</w:t>
            </w:r>
            <w:r>
              <w:rPr>
                <w:rFonts w:hint="default" w:ascii="Times New Roman" w:hAnsi="Times New Roman" w:eastAsia="宋体" w:cs="Times New Roman"/>
                <w:color w:val="auto"/>
                <w:spacing w:val="0"/>
                <w:kern w:val="0"/>
                <w:sz w:val="24"/>
                <w:szCs w:val="20"/>
                <w:lang w:val="en-US" w:eastAsia="zh-CN" w:bidi="ar-SA"/>
              </w:rPr>
              <w:t>装料粉尘、料仓呼吸粉尘</w:t>
            </w:r>
            <w:r>
              <w:rPr>
                <w:rFonts w:hint="default" w:ascii="Times New Roman" w:hAnsi="Times New Roman" w:cs="Times New Roman"/>
                <w:color w:val="auto"/>
                <w:spacing w:val="0"/>
                <w:kern w:val="0"/>
                <w:sz w:val="24"/>
                <w:szCs w:val="20"/>
                <w:lang w:val="en-US" w:eastAsia="zh-CN" w:bidi="ar-SA"/>
              </w:rPr>
              <w:t>、</w:t>
            </w:r>
            <w:r>
              <w:rPr>
                <w:rFonts w:hint="default" w:ascii="Times New Roman" w:hAnsi="Times New Roman" w:cs="Times New Roman"/>
                <w:color w:val="auto"/>
                <w:sz w:val="24"/>
                <w:szCs w:val="24"/>
                <w:lang w:val="en-US" w:eastAsia="zh-CN"/>
              </w:rPr>
              <w:t>装卸粉尘</w:t>
            </w:r>
            <w:r>
              <w:rPr>
                <w:rFonts w:hint="default" w:ascii="Times New Roman" w:hAnsi="Times New Roman" w:eastAsia="宋体" w:cs="Times New Roman"/>
                <w:color w:val="auto"/>
                <w:spacing w:val="0"/>
                <w:kern w:val="0"/>
                <w:sz w:val="24"/>
                <w:szCs w:val="20"/>
                <w:lang w:val="en-US" w:eastAsia="zh-CN" w:bidi="ar-SA"/>
              </w:rPr>
              <w:t>。</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pacing w:val="0"/>
                <w:sz w:val="24"/>
                <w:lang w:val="en-US" w:eastAsia="zh-CN"/>
              </w:rPr>
            </w:pPr>
            <w:r>
              <w:rPr>
                <w:rFonts w:hint="default" w:ascii="Times New Roman" w:hAnsi="Times New Roman" w:cs="Times New Roman"/>
                <w:color w:val="auto"/>
                <w:spacing w:val="0"/>
                <w:sz w:val="24"/>
                <w:lang w:val="en-US" w:eastAsia="zh-CN"/>
              </w:rPr>
              <w:t>(1)道路运输扬尘G1</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项目外购原材料均采用汽车运输。汽车运输时扬尘对道路两侧一定范围内会造成污染。扬尘量的大小与车流量、道路状况、气候条件、汽车行驶速度等均有关系。根据汽车道路扬尘扩散规律，在大气干燥和地面风速低于4m/s条件下，汽车行驶时引起的路面扬尘量与汽车速度成正比，与汽车质量成正比，与道路表面扬尘量成正比，其汽车扬尘量预测经验公式为：</w:t>
            </w:r>
          </w:p>
          <w:p>
            <w:pPr>
              <w:widowControl/>
              <w:kinsoku w:val="0"/>
              <w:autoSpaceDE w:val="0"/>
              <w:autoSpaceDN w:val="0"/>
              <w:adjustRightInd w:val="0"/>
              <w:snapToGrid w:val="0"/>
              <w:spacing w:line="315" w:lineRule="exact"/>
              <w:ind w:left="579"/>
              <w:jc w:val="left"/>
              <w:textAlignment w:val="baseline"/>
              <w:rPr>
                <w:rFonts w:hint="default" w:ascii="Times New Roman" w:hAnsi="Times New Roman" w:eastAsia="Times New Roman" w:cs="Times New Roman"/>
                <w:snapToGrid w:val="0"/>
                <w:color w:val="auto"/>
                <w:spacing w:val="0"/>
                <w:kern w:val="0"/>
                <w:sz w:val="15"/>
                <w:szCs w:val="15"/>
              </w:rPr>
            </w:pPr>
            <w:r>
              <w:rPr>
                <w:rFonts w:hint="default" w:ascii="Times New Roman" w:hAnsi="Times New Roman" w:eastAsia="Times New Roman" w:cs="Times New Roman"/>
                <w:snapToGrid w:val="0"/>
                <w:color w:val="auto"/>
                <w:spacing w:val="0"/>
                <w:kern w:val="0"/>
                <w:position w:val="3"/>
                <w:sz w:val="24"/>
                <w:szCs w:val="24"/>
              </w:rPr>
              <w:t>Q=0.123(V/5)·(W/6.8)</w:t>
            </w:r>
            <w:r>
              <w:rPr>
                <w:rFonts w:hint="default" w:ascii="Times New Roman" w:hAnsi="Times New Roman" w:eastAsia="Times New Roman" w:cs="Times New Roman"/>
                <w:snapToGrid w:val="0"/>
                <w:color w:val="auto"/>
                <w:spacing w:val="0"/>
                <w:kern w:val="0"/>
                <w:position w:val="11"/>
                <w:sz w:val="15"/>
                <w:szCs w:val="15"/>
              </w:rPr>
              <w:t>0.85</w:t>
            </w:r>
            <w:r>
              <w:rPr>
                <w:rFonts w:hint="default" w:ascii="Times New Roman" w:hAnsi="Times New Roman" w:eastAsia="Times New Roman" w:cs="Times New Roman"/>
                <w:snapToGrid w:val="0"/>
                <w:color w:val="auto"/>
                <w:spacing w:val="0"/>
                <w:kern w:val="0"/>
                <w:position w:val="3"/>
                <w:sz w:val="24"/>
                <w:szCs w:val="24"/>
              </w:rPr>
              <w:t>·(P/0.5)</w:t>
            </w:r>
            <w:r>
              <w:rPr>
                <w:rFonts w:hint="default" w:ascii="Times New Roman" w:hAnsi="Times New Roman" w:eastAsia="Times New Roman" w:cs="Times New Roman"/>
                <w:snapToGrid w:val="0"/>
                <w:color w:val="auto"/>
                <w:spacing w:val="0"/>
                <w:kern w:val="0"/>
                <w:position w:val="11"/>
                <w:sz w:val="15"/>
                <w:szCs w:val="15"/>
              </w:rPr>
              <w:t>0.75</w:t>
            </w:r>
          </w:p>
          <w:p>
            <w:pPr>
              <w:widowControl/>
              <w:kinsoku w:val="0"/>
              <w:autoSpaceDE w:val="0"/>
              <w:autoSpaceDN w:val="0"/>
              <w:adjustRightInd w:val="0"/>
              <w:snapToGrid w:val="0"/>
              <w:spacing w:before="185" w:line="315" w:lineRule="exact"/>
              <w:ind w:left="585"/>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position w:val="2"/>
                <w:sz w:val="24"/>
                <w:szCs w:val="24"/>
              </w:rPr>
              <w:t>式中：</w:t>
            </w:r>
            <w:r>
              <w:rPr>
                <w:rFonts w:hint="default" w:ascii="Times New Roman" w:hAnsi="Times New Roman" w:eastAsia="Times New Roman" w:cs="Times New Roman"/>
                <w:snapToGrid w:val="0"/>
                <w:color w:val="auto"/>
                <w:spacing w:val="0"/>
                <w:kern w:val="0"/>
                <w:position w:val="2"/>
                <w:sz w:val="24"/>
                <w:szCs w:val="24"/>
              </w:rPr>
              <w:t>Q——</w:t>
            </w:r>
            <w:r>
              <w:rPr>
                <w:rFonts w:hint="default" w:ascii="Times New Roman" w:hAnsi="Times New Roman" w:eastAsia="宋体" w:cs="Times New Roman"/>
                <w:snapToGrid w:val="0"/>
                <w:color w:val="auto"/>
                <w:spacing w:val="0"/>
                <w:kern w:val="0"/>
                <w:position w:val="2"/>
                <w:sz w:val="24"/>
                <w:szCs w:val="24"/>
              </w:rPr>
              <w:t>汽车行驶时的扬尘，</w:t>
            </w:r>
            <w:r>
              <w:rPr>
                <w:rFonts w:hint="default" w:ascii="Times New Roman" w:hAnsi="Times New Roman" w:eastAsia="Times New Roman" w:cs="Times New Roman"/>
                <w:snapToGrid w:val="0"/>
                <w:color w:val="auto"/>
                <w:spacing w:val="0"/>
                <w:kern w:val="0"/>
                <w:position w:val="2"/>
                <w:sz w:val="24"/>
                <w:szCs w:val="24"/>
              </w:rPr>
              <w:t>kg/km·</w:t>
            </w:r>
            <w:r>
              <w:rPr>
                <w:rFonts w:hint="default" w:ascii="Times New Roman" w:hAnsi="Times New Roman" w:eastAsia="宋体" w:cs="Times New Roman"/>
                <w:snapToGrid w:val="0"/>
                <w:color w:val="auto"/>
                <w:spacing w:val="0"/>
                <w:kern w:val="0"/>
                <w:position w:val="2"/>
                <w:sz w:val="24"/>
                <w:szCs w:val="24"/>
              </w:rPr>
              <w:t>辆；</w:t>
            </w:r>
          </w:p>
          <w:p>
            <w:pPr>
              <w:widowControl/>
              <w:kinsoku w:val="0"/>
              <w:autoSpaceDE w:val="0"/>
              <w:autoSpaceDN w:val="0"/>
              <w:adjustRightInd w:val="0"/>
              <w:snapToGrid w:val="0"/>
              <w:spacing w:before="185" w:line="315" w:lineRule="exact"/>
              <w:ind w:left="573"/>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Times New Roman" w:cs="Times New Roman"/>
                <w:snapToGrid w:val="0"/>
                <w:color w:val="auto"/>
                <w:spacing w:val="0"/>
                <w:kern w:val="0"/>
                <w:position w:val="1"/>
                <w:sz w:val="24"/>
                <w:szCs w:val="24"/>
              </w:rPr>
              <w:t>V——</w:t>
            </w:r>
            <w:r>
              <w:rPr>
                <w:rFonts w:hint="default" w:ascii="Times New Roman" w:hAnsi="Times New Roman" w:eastAsia="宋体" w:cs="Times New Roman"/>
                <w:snapToGrid w:val="0"/>
                <w:color w:val="auto"/>
                <w:spacing w:val="0"/>
                <w:kern w:val="0"/>
                <w:position w:val="1"/>
                <w:sz w:val="24"/>
                <w:szCs w:val="24"/>
              </w:rPr>
              <w:t>汽车速度，</w:t>
            </w:r>
            <w:r>
              <w:rPr>
                <w:rFonts w:hint="default" w:ascii="Times New Roman" w:hAnsi="Times New Roman" w:eastAsia="Times New Roman" w:cs="Times New Roman"/>
                <w:snapToGrid w:val="0"/>
                <w:color w:val="auto"/>
                <w:spacing w:val="0"/>
                <w:kern w:val="0"/>
                <w:position w:val="1"/>
                <w:sz w:val="24"/>
                <w:szCs w:val="24"/>
              </w:rPr>
              <w:t>km/h</w:t>
            </w:r>
            <w:r>
              <w:rPr>
                <w:rFonts w:hint="default" w:ascii="Times New Roman" w:hAnsi="Times New Roman" w:eastAsia="宋体" w:cs="Times New Roman"/>
                <w:snapToGrid w:val="0"/>
                <w:color w:val="auto"/>
                <w:spacing w:val="0"/>
                <w:kern w:val="0"/>
                <w:position w:val="1"/>
                <w:sz w:val="24"/>
                <w:szCs w:val="24"/>
              </w:rPr>
              <w:t>；</w:t>
            </w:r>
          </w:p>
          <w:p>
            <w:pPr>
              <w:widowControl/>
              <w:kinsoku w:val="0"/>
              <w:autoSpaceDE w:val="0"/>
              <w:autoSpaceDN w:val="0"/>
              <w:adjustRightInd w:val="0"/>
              <w:snapToGrid w:val="0"/>
              <w:spacing w:before="183" w:line="316" w:lineRule="exact"/>
              <w:ind w:left="574"/>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Times New Roman" w:cs="Times New Roman"/>
                <w:snapToGrid w:val="0"/>
                <w:color w:val="auto"/>
                <w:spacing w:val="0"/>
                <w:kern w:val="0"/>
                <w:position w:val="1"/>
                <w:sz w:val="24"/>
                <w:szCs w:val="24"/>
              </w:rPr>
              <w:t>W——</w:t>
            </w:r>
            <w:r>
              <w:rPr>
                <w:rFonts w:hint="default" w:ascii="Times New Roman" w:hAnsi="Times New Roman" w:eastAsia="宋体" w:cs="Times New Roman"/>
                <w:snapToGrid w:val="0"/>
                <w:color w:val="auto"/>
                <w:spacing w:val="0"/>
                <w:kern w:val="0"/>
                <w:position w:val="1"/>
                <w:sz w:val="24"/>
                <w:szCs w:val="24"/>
              </w:rPr>
              <w:t>汽车载重量，</w:t>
            </w:r>
            <w:r>
              <w:rPr>
                <w:rFonts w:hint="default" w:ascii="Times New Roman" w:hAnsi="Times New Roman" w:eastAsia="Times New Roman" w:cs="Times New Roman"/>
                <w:snapToGrid w:val="0"/>
                <w:color w:val="auto"/>
                <w:spacing w:val="0"/>
                <w:kern w:val="0"/>
                <w:position w:val="1"/>
                <w:sz w:val="24"/>
                <w:szCs w:val="24"/>
              </w:rPr>
              <w:t>t</w:t>
            </w:r>
            <w:r>
              <w:rPr>
                <w:rFonts w:hint="default" w:ascii="Times New Roman" w:hAnsi="Times New Roman" w:eastAsia="宋体" w:cs="Times New Roman"/>
                <w:snapToGrid w:val="0"/>
                <w:color w:val="auto"/>
                <w:spacing w:val="0"/>
                <w:kern w:val="0"/>
                <w:position w:val="1"/>
                <w:sz w:val="24"/>
                <w:szCs w:val="24"/>
              </w:rPr>
              <w:t>；</w:t>
            </w:r>
          </w:p>
          <w:p>
            <w:pPr>
              <w:widowControl/>
              <w:kinsoku w:val="0"/>
              <w:autoSpaceDE w:val="0"/>
              <w:autoSpaceDN w:val="0"/>
              <w:adjustRightInd w:val="0"/>
              <w:snapToGrid w:val="0"/>
              <w:spacing w:before="183" w:line="393" w:lineRule="auto"/>
              <w:ind w:left="142" w:right="104" w:firstLine="433"/>
              <w:jc w:val="left"/>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Times New Roman" w:cs="Times New Roman"/>
                <w:snapToGrid w:val="0"/>
                <w:color w:val="auto"/>
                <w:spacing w:val="0"/>
                <w:kern w:val="0"/>
                <w:sz w:val="24"/>
                <w:szCs w:val="24"/>
              </w:rPr>
              <w:t>P——</w:t>
            </w:r>
            <w:r>
              <w:rPr>
                <w:rFonts w:hint="default" w:ascii="Times New Roman" w:hAnsi="Times New Roman" w:eastAsia="宋体" w:cs="Times New Roman"/>
                <w:snapToGrid w:val="0"/>
                <w:color w:val="auto"/>
                <w:spacing w:val="0"/>
                <w:kern w:val="0"/>
                <w:sz w:val="24"/>
                <w:szCs w:val="24"/>
              </w:rPr>
              <w:t>道路表面粉尘量，</w:t>
            </w:r>
            <w:r>
              <w:rPr>
                <w:rFonts w:hint="default" w:ascii="Times New Roman" w:hAnsi="Times New Roman" w:eastAsia="Times New Roman" w:cs="Times New Roman"/>
                <w:snapToGrid w:val="0"/>
                <w:color w:val="auto"/>
                <w:spacing w:val="0"/>
                <w:kern w:val="0"/>
                <w:sz w:val="24"/>
                <w:szCs w:val="24"/>
              </w:rPr>
              <w:t>kg/m</w:t>
            </w:r>
            <w:r>
              <w:rPr>
                <w:rFonts w:hint="default" w:ascii="Times New Roman" w:hAnsi="Times New Roman" w:eastAsia="Times New Roman" w:cs="Times New Roman"/>
                <w:snapToGrid w:val="0"/>
                <w:color w:val="auto"/>
                <w:spacing w:val="0"/>
                <w:kern w:val="0"/>
                <w:position w:val="8"/>
                <w:sz w:val="15"/>
                <w:szCs w:val="15"/>
              </w:rPr>
              <w:t>2</w:t>
            </w:r>
            <w:r>
              <w:rPr>
                <w:rFonts w:hint="default" w:ascii="Times New Roman" w:hAnsi="Times New Roman" w:eastAsia="宋体" w:cs="Times New Roman"/>
                <w:snapToGrid w:val="0"/>
                <w:color w:val="auto"/>
                <w:spacing w:val="0"/>
                <w:kern w:val="0"/>
                <w:sz w:val="24"/>
                <w:szCs w:val="24"/>
              </w:rPr>
              <w:t>，厂内运输道路硬化，建设单位对运输道路每日清扫，路表粉尘量取</w:t>
            </w:r>
            <w:r>
              <w:rPr>
                <w:rFonts w:hint="default" w:ascii="Times New Roman" w:hAnsi="Times New Roman" w:eastAsia="Times New Roman" w:cs="Times New Roman"/>
                <w:snapToGrid w:val="0"/>
                <w:color w:val="auto"/>
                <w:spacing w:val="0"/>
                <w:kern w:val="0"/>
                <w:sz w:val="24"/>
                <w:szCs w:val="24"/>
              </w:rPr>
              <w:t>0.1</w:t>
            </w:r>
            <w:r>
              <w:rPr>
                <w:rFonts w:hint="default" w:ascii="Times New Roman" w:hAnsi="Times New Roman" w:eastAsia="宋体" w:cs="Times New Roman"/>
                <w:snapToGrid w:val="0"/>
                <w:color w:val="auto"/>
                <w:spacing w:val="0"/>
                <w:kern w:val="0"/>
                <w:sz w:val="24"/>
                <w:szCs w:val="24"/>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1"/>
              <w:jc w:val="left"/>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本项目原料运输车辆进厂行驶距离按</w:t>
            </w:r>
            <w:r>
              <w:rPr>
                <w:rFonts w:hint="default" w:ascii="Times New Roman" w:hAnsi="Times New Roman" w:eastAsia="Times New Roman" w:cs="Times New Roman"/>
                <w:snapToGrid w:val="0"/>
                <w:color w:val="auto"/>
                <w:spacing w:val="0"/>
                <w:kern w:val="0"/>
                <w:position w:val="0"/>
                <w:sz w:val="24"/>
                <w:szCs w:val="24"/>
              </w:rPr>
              <w:t>200m</w:t>
            </w:r>
            <w:r>
              <w:rPr>
                <w:rFonts w:hint="default" w:ascii="Times New Roman" w:hAnsi="Times New Roman" w:eastAsia="宋体" w:cs="Times New Roman"/>
                <w:snapToGrid w:val="0"/>
                <w:color w:val="auto"/>
                <w:spacing w:val="0"/>
                <w:kern w:val="0"/>
                <w:position w:val="0"/>
                <w:sz w:val="24"/>
                <w:szCs w:val="24"/>
              </w:rPr>
              <w:t>计，产品出厂驶出距离也按</w:t>
            </w:r>
            <w:r>
              <w:rPr>
                <w:rFonts w:hint="default" w:ascii="Times New Roman" w:hAnsi="Times New Roman" w:eastAsia="Times New Roman" w:cs="Times New Roman"/>
                <w:snapToGrid w:val="0"/>
                <w:color w:val="auto"/>
                <w:spacing w:val="0"/>
                <w:kern w:val="0"/>
                <w:position w:val="0"/>
                <w:sz w:val="24"/>
                <w:szCs w:val="24"/>
              </w:rPr>
              <w:t>200m</w:t>
            </w:r>
            <w:r>
              <w:rPr>
                <w:rFonts w:hint="default" w:ascii="Times New Roman" w:hAnsi="Times New Roman" w:eastAsia="宋体" w:cs="Times New Roman"/>
                <w:snapToGrid w:val="0"/>
                <w:color w:val="auto"/>
                <w:spacing w:val="0"/>
                <w:kern w:val="0"/>
                <w:position w:val="0"/>
                <w:sz w:val="24"/>
                <w:szCs w:val="24"/>
              </w:rPr>
              <w:t>计。</w:t>
            </w:r>
            <w:r>
              <w:rPr>
                <w:rFonts w:hint="default" w:ascii="Times New Roman" w:hAnsi="Times New Roman" w:cs="Times New Roman"/>
                <w:snapToGrid w:val="0"/>
                <w:color w:val="auto"/>
                <w:spacing w:val="0"/>
                <w:kern w:val="0"/>
                <w:position w:val="0"/>
                <w:sz w:val="24"/>
                <w:szCs w:val="24"/>
                <w:lang w:val="en-US" w:eastAsia="zh-CN"/>
              </w:rPr>
              <w:t>产品产量</w:t>
            </w:r>
            <w:r>
              <w:rPr>
                <w:rFonts w:hint="default" w:ascii="Times New Roman" w:hAnsi="Times New Roman" w:eastAsia="宋体" w:cs="Times New Roman"/>
                <w:snapToGrid w:val="0"/>
                <w:color w:val="auto"/>
                <w:spacing w:val="0"/>
                <w:kern w:val="0"/>
                <w:position w:val="0"/>
                <w:sz w:val="24"/>
                <w:szCs w:val="24"/>
              </w:rPr>
              <w:t>按</w:t>
            </w:r>
            <w:r>
              <w:rPr>
                <w:rFonts w:hint="default" w:ascii="Times New Roman" w:hAnsi="Times New Roman" w:cs="Times New Roman"/>
                <w:snapToGrid w:val="0"/>
                <w:color w:val="auto"/>
                <w:spacing w:val="0"/>
                <w:kern w:val="0"/>
                <w:position w:val="0"/>
                <w:sz w:val="24"/>
                <w:szCs w:val="24"/>
                <w:lang w:val="en-US" w:eastAsia="zh-CN"/>
              </w:rPr>
              <w:t>原料总量23362吨计，则每日产量约77吨，</w:t>
            </w:r>
            <w:r>
              <w:rPr>
                <w:rFonts w:hint="default" w:ascii="Times New Roman" w:hAnsi="Times New Roman" w:eastAsia="宋体" w:cs="Times New Roman"/>
                <w:snapToGrid w:val="0"/>
                <w:color w:val="auto"/>
                <w:spacing w:val="0"/>
                <w:kern w:val="0"/>
                <w:position w:val="0"/>
                <w:sz w:val="24"/>
                <w:szCs w:val="24"/>
              </w:rPr>
              <w:t>单车一次运输量最大为</w:t>
            </w:r>
            <w:r>
              <w:rPr>
                <w:rFonts w:hint="default" w:ascii="Times New Roman" w:hAnsi="Times New Roman" w:eastAsia="Times New Roman" w:cs="Times New Roman"/>
                <w:snapToGrid w:val="0"/>
                <w:color w:val="auto"/>
                <w:spacing w:val="0"/>
                <w:kern w:val="0"/>
                <w:position w:val="0"/>
                <w:sz w:val="24"/>
                <w:szCs w:val="24"/>
              </w:rPr>
              <w:t>40t</w:t>
            </w:r>
            <w:r>
              <w:rPr>
                <w:rFonts w:hint="default" w:ascii="Times New Roman" w:hAnsi="Times New Roman" w:eastAsia="宋体" w:cs="Times New Roman"/>
                <w:snapToGrid w:val="0"/>
                <w:color w:val="auto"/>
                <w:spacing w:val="0"/>
                <w:kern w:val="0"/>
                <w:position w:val="0"/>
                <w:sz w:val="24"/>
                <w:szCs w:val="24"/>
              </w:rPr>
              <w:t>计，</w:t>
            </w:r>
            <w:r>
              <w:rPr>
                <w:rFonts w:hint="default" w:ascii="Times New Roman" w:hAnsi="Times New Roman" w:cs="Times New Roman"/>
                <w:snapToGrid w:val="0"/>
                <w:color w:val="auto"/>
                <w:spacing w:val="0"/>
                <w:kern w:val="0"/>
                <w:position w:val="0"/>
                <w:sz w:val="24"/>
                <w:szCs w:val="24"/>
                <w:lang w:val="en-US" w:eastAsia="zh-CN"/>
              </w:rPr>
              <w:t>本环评按</w:t>
            </w:r>
            <w:r>
              <w:rPr>
                <w:rFonts w:hint="default" w:ascii="Times New Roman" w:hAnsi="Times New Roman" w:eastAsia="宋体" w:cs="Times New Roman"/>
                <w:snapToGrid w:val="0"/>
                <w:color w:val="auto"/>
                <w:spacing w:val="0"/>
                <w:kern w:val="0"/>
                <w:position w:val="0"/>
                <w:sz w:val="24"/>
                <w:szCs w:val="24"/>
              </w:rPr>
              <w:t>平均每天发空车、重载各</w:t>
            </w:r>
            <w:r>
              <w:rPr>
                <w:rFonts w:hint="default" w:ascii="Times New Roman" w:hAnsi="Times New Roman" w:eastAsia="Times New Roman" w:cs="Times New Roman"/>
                <w:snapToGrid w:val="0"/>
                <w:color w:val="auto"/>
                <w:spacing w:val="0"/>
                <w:kern w:val="0"/>
                <w:position w:val="0"/>
                <w:sz w:val="24"/>
                <w:szCs w:val="24"/>
              </w:rPr>
              <w:t>2</w:t>
            </w:r>
            <w:r>
              <w:rPr>
                <w:rFonts w:hint="default" w:ascii="Times New Roman" w:hAnsi="Times New Roman" w:eastAsia="宋体" w:cs="Times New Roman"/>
                <w:snapToGrid w:val="0"/>
                <w:color w:val="auto"/>
                <w:spacing w:val="0"/>
                <w:kern w:val="0"/>
                <w:position w:val="0"/>
                <w:sz w:val="24"/>
                <w:szCs w:val="24"/>
              </w:rPr>
              <w:t>辆·次，按空车重约</w:t>
            </w:r>
            <w:r>
              <w:rPr>
                <w:rFonts w:hint="default" w:ascii="Times New Roman" w:hAnsi="Times New Roman" w:eastAsia="Times New Roman" w:cs="Times New Roman"/>
                <w:snapToGrid w:val="0"/>
                <w:color w:val="auto"/>
                <w:spacing w:val="0"/>
                <w:kern w:val="0"/>
                <w:position w:val="0"/>
                <w:sz w:val="24"/>
                <w:szCs w:val="24"/>
              </w:rPr>
              <w:t>10t</w:t>
            </w:r>
            <w:r>
              <w:rPr>
                <w:rFonts w:hint="default" w:ascii="Times New Roman" w:hAnsi="Times New Roman" w:eastAsia="宋体" w:cs="Times New Roman"/>
                <w:snapToGrid w:val="0"/>
                <w:color w:val="auto"/>
                <w:spacing w:val="0"/>
                <w:kern w:val="0"/>
                <w:position w:val="0"/>
                <w:sz w:val="24"/>
                <w:szCs w:val="24"/>
              </w:rPr>
              <w:t>计，重车载重约</w:t>
            </w:r>
            <w:r>
              <w:rPr>
                <w:rFonts w:hint="default" w:ascii="Times New Roman" w:hAnsi="Times New Roman" w:eastAsia="Times New Roman" w:cs="Times New Roman"/>
                <w:snapToGrid w:val="0"/>
                <w:color w:val="auto"/>
                <w:spacing w:val="0"/>
                <w:kern w:val="0"/>
                <w:position w:val="0"/>
                <w:sz w:val="24"/>
                <w:szCs w:val="24"/>
              </w:rPr>
              <w:t>50t</w:t>
            </w:r>
            <w:r>
              <w:rPr>
                <w:rFonts w:hint="default" w:ascii="Times New Roman" w:hAnsi="Times New Roman" w:eastAsia="宋体" w:cs="Times New Roman"/>
                <w:snapToGrid w:val="0"/>
                <w:color w:val="auto"/>
                <w:spacing w:val="0"/>
                <w:kern w:val="0"/>
                <w:position w:val="0"/>
                <w:sz w:val="24"/>
                <w:szCs w:val="24"/>
              </w:rPr>
              <w:t>，厂区内速度为</w:t>
            </w:r>
            <w:r>
              <w:rPr>
                <w:rFonts w:hint="default" w:ascii="Times New Roman" w:hAnsi="Times New Roman" w:eastAsia="Times New Roman" w:cs="Times New Roman"/>
                <w:snapToGrid w:val="0"/>
                <w:color w:val="auto"/>
                <w:spacing w:val="0"/>
                <w:kern w:val="0"/>
                <w:position w:val="0"/>
                <w:sz w:val="24"/>
                <w:szCs w:val="24"/>
              </w:rPr>
              <w:t>10km/h</w:t>
            </w:r>
            <w:r>
              <w:rPr>
                <w:rFonts w:hint="default" w:ascii="Times New Roman" w:hAnsi="Times New Roman" w:eastAsia="宋体" w:cs="Times New Roman"/>
                <w:snapToGrid w:val="0"/>
                <w:color w:val="auto"/>
                <w:spacing w:val="0"/>
                <w:kern w:val="0"/>
                <w:position w:val="0"/>
                <w:sz w:val="24"/>
                <w:szCs w:val="24"/>
              </w:rPr>
              <w:t>，厂内道路表面粉尘量以</w:t>
            </w:r>
            <w:r>
              <w:rPr>
                <w:rFonts w:hint="default" w:ascii="Times New Roman" w:hAnsi="Times New Roman" w:eastAsia="Times New Roman" w:cs="Times New Roman"/>
                <w:snapToGrid w:val="0"/>
                <w:color w:val="auto"/>
                <w:spacing w:val="0"/>
                <w:kern w:val="0"/>
                <w:position w:val="0"/>
                <w:sz w:val="24"/>
                <w:szCs w:val="24"/>
              </w:rPr>
              <w:t>0.1kg/m</w:t>
            </w:r>
            <w:r>
              <w:rPr>
                <w:rFonts w:hint="default" w:ascii="Times New Roman" w:hAnsi="Times New Roman" w:eastAsia="宋体" w:cs="Times New Roman"/>
                <w:snapToGrid w:val="0"/>
                <w:color w:val="auto"/>
                <w:spacing w:val="0"/>
                <w:kern w:val="0"/>
                <w:position w:val="0"/>
                <w:sz w:val="24"/>
                <w:szCs w:val="24"/>
                <w:vertAlign w:val="superscript"/>
                <w:lang w:val="en-US" w:eastAsia="zh-CN"/>
              </w:rPr>
              <w:t>2</w:t>
            </w:r>
            <w:r>
              <w:rPr>
                <w:rFonts w:hint="default" w:ascii="Times New Roman" w:hAnsi="Times New Roman" w:eastAsia="宋体" w:cs="Times New Roman"/>
                <w:snapToGrid w:val="0"/>
                <w:color w:val="auto"/>
                <w:spacing w:val="0"/>
                <w:kern w:val="0"/>
                <w:position w:val="0"/>
                <w:sz w:val="24"/>
                <w:szCs w:val="24"/>
              </w:rPr>
              <w:t>计，根据上式，项目厂内运输扬尘产生量计算结果见</w:t>
            </w:r>
            <w:r>
              <w:rPr>
                <w:rFonts w:hint="default" w:ascii="Times New Roman" w:hAnsi="Times New Roman" w:cs="Times New Roman"/>
                <w:snapToGrid w:val="0"/>
                <w:color w:val="auto"/>
                <w:spacing w:val="0"/>
                <w:kern w:val="0"/>
                <w:position w:val="0"/>
                <w:sz w:val="24"/>
                <w:szCs w:val="24"/>
                <w:lang w:val="en-US" w:eastAsia="zh-CN"/>
              </w:rPr>
              <w:t>下</w:t>
            </w:r>
            <w:r>
              <w:rPr>
                <w:rFonts w:hint="default" w:ascii="Times New Roman" w:hAnsi="Times New Roman" w:eastAsia="宋体" w:cs="Times New Roman"/>
                <w:snapToGrid w:val="0"/>
                <w:color w:val="auto"/>
                <w:spacing w:val="0"/>
                <w:kern w:val="0"/>
                <w:position w:val="0"/>
                <w:sz w:val="24"/>
                <w:szCs w:val="24"/>
              </w:rPr>
              <w:t>表。</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表4-</w:t>
            </w:r>
            <w:r>
              <w:rPr>
                <w:rFonts w:hint="eastAsia" w:ascii="Times New Roman" w:hAnsi="Times New Roman" w:cs="Times New Roman"/>
                <w:b/>
                <w:bCs/>
                <w:color w:val="auto"/>
                <w:sz w:val="24"/>
                <w:szCs w:val="24"/>
                <w:lang w:val="en-US" w:eastAsia="zh-CN"/>
              </w:rPr>
              <w:t>1</w:t>
            </w:r>
            <w:r>
              <w:rPr>
                <w:rFonts w:hint="default" w:ascii="Times New Roman" w:hAnsi="Times New Roman" w:eastAsia="宋体" w:cs="Times New Roman"/>
                <w:b/>
                <w:bCs/>
                <w:color w:val="auto"/>
                <w:sz w:val="24"/>
                <w:szCs w:val="24"/>
                <w:lang w:val="en-US" w:eastAsia="zh-CN"/>
              </w:rPr>
              <w:t>厂内运输扬尘产生量计算结果</w:t>
            </w:r>
          </w:p>
          <w:tbl>
            <w:tblPr>
              <w:tblStyle w:val="28"/>
              <w:tblpPr w:leftFromText="180" w:rightFromText="180" w:vertAnchor="text" w:horzAnchor="page" w:tblpX="152" w:tblpY="46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46"/>
              <w:gridCol w:w="1852"/>
              <w:gridCol w:w="858"/>
              <w:gridCol w:w="996"/>
              <w:gridCol w:w="2568"/>
              <w:gridCol w:w="12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项目</w:t>
                  </w:r>
                </w:p>
              </w:tc>
              <w:tc>
                <w:tcPr>
                  <w:tcW w:w="1854"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发车规模</w:t>
                  </w:r>
                </w:p>
              </w:tc>
              <w:tc>
                <w:tcPr>
                  <w:tcW w:w="851"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行驶速度</w:t>
                  </w:r>
                </w:p>
              </w:tc>
              <w:tc>
                <w:tcPr>
                  <w:tcW w:w="997"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行驶距离</w:t>
                  </w:r>
                </w:p>
              </w:tc>
              <w:tc>
                <w:tcPr>
                  <w:tcW w:w="2570"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车辆行驶扬尘量(kg/km·辆)</w:t>
                  </w:r>
                </w:p>
              </w:tc>
              <w:tc>
                <w:tcPr>
                  <w:tcW w:w="1253" w:type="dxa"/>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0" w:firstLineChars="0"/>
                    <w:jc w:val="center"/>
                    <w:textAlignment w:val="auto"/>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扬尘产生量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原料进厂</w:t>
                  </w:r>
                </w:p>
              </w:tc>
              <w:tc>
                <w:tcPr>
                  <w:tcW w:w="18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空、载重车各</w:t>
                  </w:r>
                  <w:r>
                    <w:rPr>
                      <w:rFonts w:hint="default" w:ascii="Times New Roman" w:hAnsi="Times New Roman" w:eastAsia="Times New Roman" w:cs="Times New Roman"/>
                      <w:color w:val="auto"/>
                      <w:spacing w:val="0"/>
                      <w:position w:val="0"/>
                      <w:sz w:val="21"/>
                      <w:szCs w:val="21"/>
                    </w:rPr>
                    <w:t>2</w:t>
                  </w:r>
                  <w:r>
                    <w:rPr>
                      <w:rFonts w:hint="default" w:ascii="Times New Roman" w:hAnsi="Times New Roman" w:eastAsia="宋体" w:cs="Times New Roman"/>
                      <w:color w:val="auto"/>
                      <w:spacing w:val="0"/>
                      <w:position w:val="0"/>
                      <w:sz w:val="21"/>
                      <w:szCs w:val="21"/>
                    </w:rPr>
                    <w:t>辆</w:t>
                  </w:r>
                </w:p>
              </w:tc>
              <w:tc>
                <w:tcPr>
                  <w:tcW w:w="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10km/h</w:t>
                  </w:r>
                </w:p>
              </w:tc>
              <w:tc>
                <w:tcPr>
                  <w:tcW w:w="9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200m</w:t>
                  </w:r>
                </w:p>
              </w:tc>
              <w:tc>
                <w:tcPr>
                  <w:tcW w:w="2570"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rightChars="0" w:firstLine="0" w:firstLineChars="0"/>
                    <w:jc w:val="center"/>
                    <w:textAlignment w:val="auto"/>
                    <w:rPr>
                      <w:rFonts w:hint="default" w:ascii="Times New Roman" w:hAnsi="Times New Roman" w:eastAsia="Times New Roman" w:cs="Times New Roman"/>
                      <w:color w:val="auto"/>
                      <w:spacing w:val="0"/>
                      <w:position w:val="0"/>
                      <w:sz w:val="21"/>
                      <w:szCs w:val="21"/>
                    </w:rPr>
                  </w:pPr>
                  <w:r>
                    <w:rPr>
                      <w:rFonts w:hint="default" w:ascii="Times New Roman" w:hAnsi="Times New Roman" w:eastAsia="宋体" w:cs="Times New Roman"/>
                      <w:color w:val="auto"/>
                      <w:spacing w:val="0"/>
                      <w:position w:val="0"/>
                      <w:sz w:val="21"/>
                      <w:szCs w:val="21"/>
                    </w:rPr>
                    <w:t>空车</w:t>
                  </w:r>
                  <w:r>
                    <w:rPr>
                      <w:rFonts w:hint="default" w:ascii="Times New Roman" w:hAnsi="Times New Roman" w:eastAsia="Times New Roman" w:cs="Times New Roman"/>
                      <w:color w:val="auto"/>
                      <w:spacing w:val="0"/>
                      <w:position w:val="0"/>
                      <w:sz w:val="21"/>
                      <w:szCs w:val="21"/>
                    </w:rPr>
                    <w:t>0.051</w:t>
                  </w:r>
                </w:p>
                <w:p>
                  <w:pPr>
                    <w:keepNext w:val="0"/>
                    <w:keepLines w:val="0"/>
                    <w:pageBreakBefore w:val="0"/>
                    <w:widowControl w:val="0"/>
                    <w:kinsoku/>
                    <w:wordWrap/>
                    <w:overflowPunct/>
                    <w:topLinePunct w:val="0"/>
                    <w:autoSpaceDE/>
                    <w:autoSpaceDN/>
                    <w:bidi w:val="0"/>
                    <w:adjustRightInd/>
                    <w:snapToGrid/>
                    <w:spacing w:line="360" w:lineRule="auto"/>
                    <w:ind w:left="0" w:right="0" w:rightChars="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载重车</w:t>
                  </w:r>
                  <w:r>
                    <w:rPr>
                      <w:rFonts w:hint="default" w:ascii="Times New Roman" w:hAnsi="Times New Roman" w:eastAsia="Times New Roman" w:cs="Times New Roman"/>
                      <w:color w:val="auto"/>
                      <w:spacing w:val="0"/>
                      <w:position w:val="0"/>
                      <w:sz w:val="21"/>
                      <w:szCs w:val="21"/>
                    </w:rPr>
                    <w:t>0.166</w:t>
                  </w:r>
                </w:p>
              </w:tc>
              <w:tc>
                <w:tcPr>
                  <w:tcW w:w="12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0.0868kg/d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产品出厂</w:t>
                  </w:r>
                </w:p>
              </w:tc>
              <w:tc>
                <w:tcPr>
                  <w:tcW w:w="18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空、载重车各</w:t>
                  </w:r>
                  <w:r>
                    <w:rPr>
                      <w:rFonts w:hint="default" w:ascii="Times New Roman" w:hAnsi="Times New Roman" w:eastAsia="Times New Roman" w:cs="Times New Roman"/>
                      <w:color w:val="auto"/>
                      <w:spacing w:val="0"/>
                      <w:position w:val="0"/>
                      <w:sz w:val="21"/>
                      <w:szCs w:val="21"/>
                    </w:rPr>
                    <w:t>2</w:t>
                  </w:r>
                  <w:r>
                    <w:rPr>
                      <w:rFonts w:hint="default" w:ascii="Times New Roman" w:hAnsi="Times New Roman" w:eastAsia="宋体" w:cs="Times New Roman"/>
                      <w:color w:val="auto"/>
                      <w:spacing w:val="0"/>
                      <w:position w:val="0"/>
                      <w:sz w:val="21"/>
                      <w:szCs w:val="21"/>
                    </w:rPr>
                    <w:t>辆</w:t>
                  </w:r>
                </w:p>
              </w:tc>
              <w:tc>
                <w:tcPr>
                  <w:tcW w:w="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10km/h</w:t>
                  </w:r>
                </w:p>
              </w:tc>
              <w:tc>
                <w:tcPr>
                  <w:tcW w:w="9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200m</w:t>
                  </w:r>
                </w:p>
              </w:tc>
              <w:tc>
                <w:tcPr>
                  <w:tcW w:w="2570"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p>
              </w:tc>
              <w:tc>
                <w:tcPr>
                  <w:tcW w:w="12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0.0868kg/d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4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宋体" w:cs="Times New Roman"/>
                      <w:color w:val="auto"/>
                      <w:spacing w:val="0"/>
                      <w:position w:val="0"/>
                      <w:sz w:val="21"/>
                      <w:szCs w:val="21"/>
                    </w:rPr>
                    <w:t>合计</w:t>
                  </w:r>
                </w:p>
              </w:tc>
              <w:tc>
                <w:tcPr>
                  <w:tcW w:w="18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w:t>
                  </w:r>
                </w:p>
              </w:tc>
              <w:tc>
                <w:tcPr>
                  <w:tcW w:w="8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w:t>
                  </w:r>
                </w:p>
              </w:tc>
              <w:tc>
                <w:tcPr>
                  <w:tcW w:w="9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w:t>
                  </w:r>
                </w:p>
              </w:tc>
              <w:tc>
                <w:tcPr>
                  <w:tcW w:w="25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w:t>
                  </w:r>
                </w:p>
              </w:tc>
              <w:tc>
                <w:tcPr>
                  <w:tcW w:w="125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imes New Roman" w:hAnsi="Times New Roman" w:eastAsia="宋体" w:cs="Times New Roman"/>
                      <w:color w:val="auto"/>
                      <w:spacing w:val="0"/>
                      <w:position w:val="0"/>
                      <w:sz w:val="24"/>
                      <w:szCs w:val="24"/>
                      <w:vertAlign w:val="baseline"/>
                      <w:lang w:val="en-US" w:eastAsia="zh-CN"/>
                    </w:rPr>
                  </w:pPr>
                  <w:r>
                    <w:rPr>
                      <w:rFonts w:hint="default" w:ascii="Times New Roman" w:hAnsi="Times New Roman" w:eastAsia="Times New Roman" w:cs="Times New Roman"/>
                      <w:color w:val="auto"/>
                      <w:spacing w:val="0"/>
                      <w:position w:val="0"/>
                      <w:sz w:val="21"/>
                      <w:szCs w:val="21"/>
                    </w:rPr>
                    <w:t>0.1736kg/d</w:t>
                  </w:r>
                </w:p>
              </w:tc>
            </w:tr>
          </w:tbl>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车辆工作天数按300天计，运输时间按</w:t>
            </w:r>
            <w:r>
              <w:rPr>
                <w:rFonts w:hint="default" w:ascii="Times New Roman" w:hAnsi="Times New Roman" w:cs="Times New Roman"/>
                <w:snapToGrid w:val="0"/>
                <w:color w:val="auto"/>
                <w:spacing w:val="0"/>
                <w:kern w:val="0"/>
                <w:position w:val="0"/>
                <w:sz w:val="24"/>
                <w:szCs w:val="24"/>
                <w:lang w:val="en-US" w:eastAsia="zh-CN"/>
              </w:rPr>
              <w:t>0.16</w:t>
            </w:r>
            <w:r>
              <w:rPr>
                <w:rFonts w:hint="default" w:ascii="Times New Roman" w:hAnsi="Times New Roman" w:eastAsia="宋体" w:cs="Times New Roman"/>
                <w:snapToGrid w:val="0"/>
                <w:color w:val="auto"/>
                <w:spacing w:val="0"/>
                <w:kern w:val="0"/>
                <w:position w:val="0"/>
                <w:sz w:val="24"/>
                <w:szCs w:val="24"/>
              </w:rPr>
              <w:t>h/d计，则本项目汽车动力起尘量为</w:t>
            </w:r>
            <w:r>
              <w:rPr>
                <w:rFonts w:hint="default" w:ascii="Times New Roman" w:hAnsi="Times New Roman" w:cs="Times New Roman"/>
                <w:snapToGrid w:val="0"/>
                <w:color w:val="auto"/>
                <w:spacing w:val="0"/>
                <w:kern w:val="0"/>
                <w:position w:val="0"/>
                <w:sz w:val="24"/>
                <w:szCs w:val="24"/>
                <w:lang w:val="en-US" w:eastAsia="zh-CN"/>
              </w:rPr>
              <w:t>1.085</w:t>
            </w:r>
            <w:r>
              <w:rPr>
                <w:rFonts w:hint="default" w:ascii="Times New Roman" w:hAnsi="Times New Roman" w:eastAsia="宋体" w:cs="Times New Roman"/>
                <w:snapToGrid w:val="0"/>
                <w:color w:val="auto"/>
                <w:spacing w:val="0"/>
                <w:kern w:val="0"/>
                <w:position w:val="0"/>
                <w:sz w:val="24"/>
                <w:szCs w:val="24"/>
              </w:rPr>
              <w:t>kg/h、0.0521t/a。</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1"/>
              <w:jc w:val="left"/>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为了最大限度减少原材料及成品运输对外环境带来的不利影响，评价要求采取以下措施：厂区内地面进行硬化处理，定期打扫，车辆在运输途中及厂内慢行，运输车辆要封闭遮盖，</w:t>
            </w:r>
            <w:r>
              <w:rPr>
                <w:rFonts w:hint="default" w:ascii="Times New Roman" w:hAnsi="Times New Roman" w:cs="Times New Roman"/>
                <w:snapToGrid w:val="0"/>
                <w:color w:val="auto"/>
                <w:spacing w:val="0"/>
                <w:kern w:val="0"/>
                <w:position w:val="0"/>
                <w:sz w:val="24"/>
                <w:szCs w:val="24"/>
                <w:lang w:val="en-US" w:eastAsia="zh-CN"/>
              </w:rPr>
              <w:t>水泥用水泥搅拌车密闭</w:t>
            </w:r>
            <w:r>
              <w:rPr>
                <w:rFonts w:hint="default" w:ascii="Times New Roman" w:hAnsi="Times New Roman" w:eastAsia="宋体" w:cs="Times New Roman"/>
                <w:snapToGrid w:val="0"/>
                <w:color w:val="auto"/>
                <w:spacing w:val="0"/>
                <w:kern w:val="0"/>
                <w:position w:val="0"/>
                <w:sz w:val="24"/>
                <w:szCs w:val="24"/>
              </w:rPr>
              <w:t>运输，厂内设置水喷淋设施，采取以上措施后，可使粉尘降低80%左右，即汽车运输扬尘排放量约为0.</w:t>
            </w:r>
            <w:r>
              <w:rPr>
                <w:rFonts w:hint="default" w:ascii="Times New Roman" w:hAnsi="Times New Roman" w:cs="Times New Roman"/>
                <w:snapToGrid w:val="0"/>
                <w:color w:val="auto"/>
                <w:spacing w:val="0"/>
                <w:kern w:val="0"/>
                <w:position w:val="0"/>
                <w:sz w:val="24"/>
                <w:szCs w:val="24"/>
                <w:lang w:val="en-US" w:eastAsia="zh-CN"/>
              </w:rPr>
              <w:t>217</w:t>
            </w:r>
            <w:r>
              <w:rPr>
                <w:rFonts w:hint="default" w:ascii="Times New Roman" w:hAnsi="Times New Roman" w:eastAsia="宋体" w:cs="Times New Roman"/>
                <w:snapToGrid w:val="0"/>
                <w:color w:val="auto"/>
                <w:spacing w:val="0"/>
                <w:kern w:val="0"/>
                <w:position w:val="0"/>
                <w:sz w:val="24"/>
                <w:szCs w:val="24"/>
              </w:rPr>
              <w:t>kg/h，0.0104t/a，大大降低了运输粉尘对外环境的影响。</w:t>
            </w:r>
          </w:p>
          <w:p>
            <w:pPr>
              <w:pStyle w:val="2"/>
              <w:jc w:val="center"/>
              <w:rPr>
                <w:rFonts w:hint="default" w:ascii="Times New Roman" w:hAnsi="Times New Roman" w:eastAsia="宋体" w:cs="Times New Roman"/>
                <w:b/>
                <w:bCs/>
                <w:color w:val="auto"/>
                <w:spacing w:val="0"/>
                <w:kern w:val="2"/>
                <w:sz w:val="24"/>
                <w:szCs w:val="24"/>
                <w:lang w:val="en-US" w:eastAsia="zh-CN" w:bidi="ar-SA"/>
              </w:rPr>
            </w:pPr>
            <w:r>
              <w:rPr>
                <w:rFonts w:hint="default" w:ascii="Times New Roman" w:hAnsi="Times New Roman" w:eastAsia="宋体" w:cs="Times New Roman"/>
                <w:b/>
                <w:bCs/>
                <w:color w:val="auto"/>
                <w:spacing w:val="0"/>
                <w:kern w:val="2"/>
                <w:sz w:val="24"/>
                <w:szCs w:val="24"/>
                <w:lang w:val="en-US" w:eastAsia="zh-CN" w:bidi="ar-SA"/>
              </w:rPr>
              <w:t>表4-</w:t>
            </w:r>
            <w:r>
              <w:rPr>
                <w:rFonts w:hint="eastAsia" w:ascii="Times New Roman" w:hAnsi="Times New Roman" w:cs="Times New Roman"/>
                <w:b/>
                <w:bCs/>
                <w:color w:val="auto"/>
                <w:spacing w:val="0"/>
                <w:kern w:val="2"/>
                <w:sz w:val="24"/>
                <w:szCs w:val="24"/>
                <w:lang w:val="en-US" w:eastAsia="zh-CN" w:bidi="ar-SA"/>
              </w:rPr>
              <w:t>2</w:t>
            </w:r>
            <w:r>
              <w:rPr>
                <w:rFonts w:hint="default" w:ascii="Times New Roman" w:hAnsi="Times New Roman" w:eastAsia="宋体" w:cs="Times New Roman"/>
                <w:b/>
                <w:bCs/>
                <w:color w:val="auto"/>
                <w:spacing w:val="0"/>
                <w:kern w:val="2"/>
                <w:sz w:val="24"/>
                <w:szCs w:val="24"/>
                <w:lang w:val="en-US" w:eastAsia="zh-CN" w:bidi="ar-SA"/>
              </w:rPr>
              <w:t>运输道路排放源强（无组织）</w:t>
            </w:r>
          </w:p>
          <w:tbl>
            <w:tblPr>
              <w:tblStyle w:val="2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1"/>
              <w:gridCol w:w="1411"/>
              <w:gridCol w:w="1411"/>
              <w:gridCol w:w="1411"/>
              <w:gridCol w:w="1412"/>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污染源</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污染因子</w:t>
                  </w:r>
                </w:p>
              </w:tc>
              <w:tc>
                <w:tcPr>
                  <w:tcW w:w="1666"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产生情况</w:t>
                  </w:r>
                </w:p>
              </w:tc>
              <w:tc>
                <w:tcPr>
                  <w:tcW w:w="1667"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产生量</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highlight w:val="none"/>
                      <w:vertAlign w:val="baseline"/>
                      <w:lang w:val="en-US" w:eastAsia="zh-CN" w:bidi="ar-SA"/>
                    </w:rPr>
                    <w:t>道路运输扬尘</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颗粒物</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1.085</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0.0521</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w:t>
                  </w:r>
                  <w:r>
                    <w:rPr>
                      <w:rFonts w:hint="default" w:ascii="Times New Roman" w:hAnsi="Times New Roman" w:cs="Times New Roman"/>
                      <w:b w:val="0"/>
                      <w:bCs w:val="0"/>
                      <w:color w:val="auto"/>
                      <w:kern w:val="0"/>
                      <w:sz w:val="21"/>
                      <w:szCs w:val="21"/>
                      <w:vertAlign w:val="baseline"/>
                      <w:lang w:val="en-US" w:eastAsia="zh-CN" w:bidi="ar-SA"/>
                    </w:rPr>
                    <w:t>217</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0.0</w:t>
                  </w:r>
                  <w:r>
                    <w:rPr>
                      <w:rFonts w:hint="default" w:ascii="Times New Roman" w:hAnsi="Times New Roman" w:cs="Times New Roman"/>
                      <w:b w:val="0"/>
                      <w:bCs w:val="0"/>
                      <w:color w:val="auto"/>
                      <w:kern w:val="0"/>
                      <w:sz w:val="21"/>
                      <w:szCs w:val="21"/>
                      <w:vertAlign w:val="baseline"/>
                      <w:lang w:val="en-US" w:eastAsia="zh-CN" w:bidi="ar-SA"/>
                    </w:rPr>
                    <w:t>104</w:t>
                  </w:r>
                </w:p>
              </w:tc>
            </w:tr>
          </w:tbl>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hint="default" w:ascii="Times New Roman" w:hAnsi="Times New Roman" w:eastAsia="宋体" w:cs="Times New Roman"/>
                <w:color w:val="auto"/>
                <w:spacing w:val="0"/>
                <w:kern w:val="0"/>
                <w:sz w:val="24"/>
                <w:szCs w:val="20"/>
                <w:lang w:val="en-US" w:eastAsia="zh-CN" w:bidi="ar-SA"/>
              </w:rPr>
            </w:pP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w:t>
            </w:r>
            <w:r>
              <w:rPr>
                <w:rFonts w:hint="default" w:ascii="Times New Roman" w:hAnsi="Times New Roman" w:cs="Times New Roman"/>
                <w:color w:val="auto"/>
                <w:spacing w:val="0"/>
                <w:kern w:val="0"/>
                <w:sz w:val="24"/>
                <w:szCs w:val="20"/>
                <w:lang w:val="en-US" w:eastAsia="zh-CN" w:bidi="ar-SA"/>
              </w:rPr>
              <w:t>2</w:t>
            </w:r>
            <w:r>
              <w:rPr>
                <w:rFonts w:hint="default" w:ascii="Times New Roman" w:hAnsi="Times New Roman" w:eastAsia="宋体" w:cs="Times New Roman"/>
                <w:color w:val="auto"/>
                <w:spacing w:val="0"/>
                <w:kern w:val="0"/>
                <w:sz w:val="24"/>
                <w:szCs w:val="20"/>
                <w:lang w:val="en-US" w:eastAsia="zh-CN" w:bidi="ar-SA"/>
              </w:rPr>
              <w:t>)堆场扬尘</w:t>
            </w:r>
            <w:r>
              <w:rPr>
                <w:rFonts w:hint="default" w:ascii="Times New Roman" w:hAnsi="Times New Roman" w:cs="Times New Roman"/>
                <w:color w:val="auto"/>
                <w:spacing w:val="0"/>
                <w:kern w:val="0"/>
                <w:sz w:val="24"/>
                <w:szCs w:val="20"/>
                <w:lang w:val="en-US" w:eastAsia="zh-CN" w:bidi="ar-SA"/>
              </w:rPr>
              <w:t>G2</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本项目外购页岩堆放在厂区西侧原料仓库内，不露天堆存。本次评价以最不利条件进行预测，采用西安冶金建筑学院推荐的起尘量计算公式核算堆料扬尘产生量。公式如下：</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center"/>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Q</w:t>
            </w:r>
            <w:r>
              <w:rPr>
                <w:rFonts w:hint="default" w:ascii="Times New Roman" w:hAnsi="Times New Roman" w:cs="Times New Roman"/>
                <w:color w:val="auto"/>
                <w:spacing w:val="0"/>
                <w:kern w:val="0"/>
                <w:sz w:val="24"/>
                <w:szCs w:val="20"/>
                <w:lang w:val="en-US" w:eastAsia="zh-CN" w:bidi="ar-SA"/>
              </w:rPr>
              <w:t>＝</w:t>
            </w:r>
            <w:r>
              <w:rPr>
                <w:rFonts w:hint="default" w:ascii="Times New Roman" w:hAnsi="Times New Roman" w:eastAsia="宋体" w:cs="Times New Roman"/>
                <w:color w:val="auto"/>
                <w:spacing w:val="0"/>
                <w:kern w:val="0"/>
                <w:sz w:val="24"/>
                <w:szCs w:val="20"/>
                <w:lang w:val="en-US" w:eastAsia="zh-CN" w:bidi="ar-SA"/>
              </w:rPr>
              <w:t>4.23</w:t>
            </w:r>
            <w:r>
              <w:rPr>
                <w:rFonts w:hint="default" w:ascii="Times New Roman" w:hAnsi="Times New Roman" w:cs="Times New Roman"/>
                <w:color w:val="auto"/>
                <w:spacing w:val="0"/>
                <w:kern w:val="0"/>
                <w:sz w:val="24"/>
                <w:szCs w:val="20"/>
                <w:lang w:val="en-US" w:eastAsia="zh-CN" w:bidi="ar-SA"/>
              </w:rPr>
              <w:t>×</w:t>
            </w:r>
            <w:r>
              <w:rPr>
                <w:rFonts w:hint="default" w:ascii="Times New Roman" w:hAnsi="Times New Roman" w:eastAsia="宋体" w:cs="Times New Roman"/>
                <w:color w:val="auto"/>
                <w:spacing w:val="0"/>
                <w:kern w:val="0"/>
                <w:sz w:val="24"/>
                <w:szCs w:val="20"/>
                <w:lang w:val="en-US" w:eastAsia="zh-CN" w:bidi="ar-SA"/>
              </w:rPr>
              <w:t>10</w:t>
            </w:r>
            <w:r>
              <w:rPr>
                <w:rFonts w:hint="default" w:ascii="Times New Roman" w:hAnsi="Times New Roman" w:eastAsia="宋体" w:cs="Times New Roman"/>
                <w:color w:val="auto"/>
                <w:spacing w:val="0"/>
                <w:kern w:val="0"/>
                <w:sz w:val="24"/>
                <w:szCs w:val="20"/>
                <w:vertAlign w:val="superscript"/>
                <w:lang w:val="en-US" w:eastAsia="zh-CN" w:bidi="ar-SA"/>
              </w:rPr>
              <w:t>-4</w:t>
            </w:r>
            <w:r>
              <w:rPr>
                <w:rFonts w:hint="default" w:ascii="Times New Roman" w:hAnsi="Times New Roman" w:cs="Times New Roman"/>
                <w:color w:val="auto"/>
                <w:spacing w:val="0"/>
                <w:kern w:val="0"/>
                <w:sz w:val="24"/>
                <w:szCs w:val="20"/>
                <w:lang w:val="en-US" w:eastAsia="zh-CN" w:bidi="ar-SA"/>
              </w:rPr>
              <w:t>×</w:t>
            </w:r>
            <w:r>
              <w:rPr>
                <w:rFonts w:hint="default" w:ascii="Times New Roman" w:hAnsi="Times New Roman" w:eastAsia="宋体" w:cs="Times New Roman"/>
                <w:color w:val="auto"/>
                <w:spacing w:val="0"/>
                <w:kern w:val="0"/>
                <w:sz w:val="24"/>
                <w:szCs w:val="20"/>
                <w:lang w:val="en-US" w:eastAsia="zh-CN" w:bidi="ar-SA"/>
              </w:rPr>
              <w:t>U</w:t>
            </w:r>
            <w:r>
              <w:rPr>
                <w:rFonts w:hint="default" w:ascii="Times New Roman" w:hAnsi="Times New Roman" w:eastAsia="宋体" w:cs="Times New Roman"/>
                <w:color w:val="auto"/>
                <w:spacing w:val="0"/>
                <w:kern w:val="0"/>
                <w:sz w:val="24"/>
                <w:szCs w:val="20"/>
                <w:vertAlign w:val="superscript"/>
                <w:lang w:val="en-US" w:eastAsia="zh-CN" w:bidi="ar-SA"/>
              </w:rPr>
              <w:t>4.9</w:t>
            </w:r>
            <w:r>
              <w:rPr>
                <w:rFonts w:hint="default" w:ascii="Times New Roman" w:hAnsi="Times New Roman" w:eastAsia="宋体" w:cs="Times New Roman"/>
                <w:color w:val="auto"/>
                <w:spacing w:val="0"/>
                <w:kern w:val="0"/>
                <w:sz w:val="24"/>
                <w:szCs w:val="20"/>
                <w:lang w:val="en-US" w:eastAsia="zh-CN" w:bidi="ar-SA"/>
              </w:rPr>
              <w:t>×Ap</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center"/>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式中：Q——起尘量，mg/s；</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center"/>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Ap——仓库的起尘面积，m</w:t>
            </w:r>
            <w:r>
              <w:rPr>
                <w:rFonts w:hint="default" w:ascii="Times New Roman" w:hAnsi="Times New Roman" w:eastAsia="宋体" w:cs="Times New Roman"/>
                <w:color w:val="auto"/>
                <w:spacing w:val="0"/>
                <w:kern w:val="0"/>
                <w:sz w:val="24"/>
                <w:szCs w:val="20"/>
                <w:vertAlign w:val="superscript"/>
                <w:lang w:val="en-US" w:eastAsia="zh-CN" w:bidi="ar-SA"/>
              </w:rPr>
              <w:t>2</w:t>
            </w:r>
            <w:r>
              <w:rPr>
                <w:rFonts w:hint="default" w:ascii="Times New Roman" w:hAnsi="Times New Roman" w:eastAsia="宋体" w:cs="Times New Roman"/>
                <w:color w:val="auto"/>
                <w:spacing w:val="0"/>
                <w:kern w:val="0"/>
                <w:sz w:val="24"/>
                <w:szCs w:val="20"/>
                <w:lang w:val="en-US" w:eastAsia="zh-CN" w:bidi="ar-SA"/>
              </w:rPr>
              <w:t>；</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center"/>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U——仓库的平均风速，m/s。</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Fonts w:hint="default" w:ascii="Times New Roman" w:hAnsi="Times New Roman" w:eastAsia="宋体" w:cs="Times New Roman"/>
                <w:color w:val="auto"/>
                <w:spacing w:val="0"/>
                <w:kern w:val="0"/>
                <w:sz w:val="24"/>
                <w:szCs w:val="20"/>
                <w:lang w:val="en-US" w:eastAsia="zh-CN" w:bidi="ar-SA"/>
              </w:rPr>
            </w:pPr>
            <w:r>
              <w:rPr>
                <w:rFonts w:hint="default" w:ascii="Times New Roman" w:hAnsi="Times New Roman" w:eastAsia="宋体" w:cs="Times New Roman"/>
                <w:color w:val="auto"/>
                <w:spacing w:val="0"/>
                <w:kern w:val="0"/>
                <w:sz w:val="24"/>
                <w:szCs w:val="20"/>
                <w:lang w:val="en-US" w:eastAsia="zh-CN" w:bidi="ar-SA"/>
              </w:rPr>
              <w:t>堆料起尘面积按照原料仓库可堆存原料的最大面积计为最大可堆料面积，约400m</w:t>
            </w:r>
            <w:r>
              <w:rPr>
                <w:rFonts w:hint="default" w:ascii="Times New Roman" w:hAnsi="Times New Roman" w:eastAsia="宋体" w:cs="Times New Roman"/>
                <w:color w:val="auto"/>
                <w:spacing w:val="0"/>
                <w:kern w:val="0"/>
                <w:sz w:val="24"/>
                <w:szCs w:val="20"/>
                <w:vertAlign w:val="superscript"/>
                <w:lang w:val="en-US" w:eastAsia="zh-CN" w:bidi="ar-SA"/>
              </w:rPr>
              <w:t>2</w:t>
            </w:r>
            <w:r>
              <w:rPr>
                <w:rFonts w:hint="default" w:ascii="Times New Roman" w:hAnsi="Times New Roman" w:eastAsia="宋体" w:cs="Times New Roman"/>
                <w:color w:val="auto"/>
                <w:spacing w:val="0"/>
                <w:kern w:val="0"/>
                <w:sz w:val="24"/>
                <w:szCs w:val="20"/>
                <w:lang w:val="en-US" w:eastAsia="zh-CN" w:bidi="ar-SA"/>
              </w:rPr>
              <w:t>；平均风速按照当地常年平均风速计，则U=1.6m/s。由此算得，本项目堆料扬尘产生量Q1=1.69mg/s，即0.0532t/a。通过采取三面封闭厂房和水喷淋措施</w:t>
            </w:r>
            <w:r>
              <w:rPr>
                <w:rFonts w:hint="default" w:ascii="Times New Roman" w:hAnsi="Times New Roman" w:cs="Times New Roman"/>
                <w:color w:val="auto"/>
                <w:spacing w:val="0"/>
                <w:kern w:val="0"/>
                <w:sz w:val="24"/>
                <w:szCs w:val="20"/>
                <w:lang w:val="en-US" w:eastAsia="zh-CN" w:bidi="ar-SA"/>
              </w:rPr>
              <w:t>应</w:t>
            </w:r>
            <w:r>
              <w:rPr>
                <w:rFonts w:hint="default" w:ascii="Times New Roman" w:hAnsi="Times New Roman" w:eastAsia="宋体" w:cs="Times New Roman"/>
                <w:color w:val="auto"/>
                <w:spacing w:val="0"/>
                <w:kern w:val="0"/>
                <w:sz w:val="24"/>
                <w:szCs w:val="20"/>
                <w:lang w:val="en-US" w:eastAsia="zh-CN" w:bidi="ar-SA"/>
              </w:rPr>
              <w:t>对粉尘，</w:t>
            </w:r>
            <w:r>
              <w:rPr>
                <w:rFonts w:hint="default" w:ascii="Times New Roman" w:hAnsi="Times New Roman" w:cs="Times New Roman"/>
                <w:color w:val="auto"/>
                <w:spacing w:val="0"/>
                <w:kern w:val="0"/>
                <w:sz w:val="24"/>
                <w:szCs w:val="20"/>
                <w:lang w:val="en-US" w:eastAsia="zh-CN" w:bidi="ar-SA"/>
              </w:rPr>
              <w:t>抑尘效率约80%，原料仓库内80%自然沉降，本项目无组织</w:t>
            </w:r>
            <w:r>
              <w:rPr>
                <w:rFonts w:hint="default" w:ascii="Times New Roman" w:hAnsi="Times New Roman" w:eastAsia="宋体" w:cs="Times New Roman"/>
                <w:color w:val="auto"/>
                <w:spacing w:val="0"/>
                <w:kern w:val="0"/>
                <w:sz w:val="24"/>
                <w:szCs w:val="20"/>
                <w:lang w:val="en-US" w:eastAsia="zh-CN" w:bidi="ar-SA"/>
              </w:rPr>
              <w:t>粉尘的综合</w:t>
            </w:r>
            <w:r>
              <w:rPr>
                <w:rFonts w:hint="default" w:ascii="Times New Roman" w:hAnsi="Times New Roman" w:cs="Times New Roman"/>
                <w:color w:val="auto"/>
                <w:spacing w:val="0"/>
                <w:kern w:val="0"/>
                <w:sz w:val="24"/>
                <w:szCs w:val="20"/>
                <w:lang w:val="en-US" w:eastAsia="zh-CN" w:bidi="ar-SA"/>
              </w:rPr>
              <w:t>排放量</w:t>
            </w:r>
            <w:r>
              <w:rPr>
                <w:rFonts w:hint="default" w:ascii="Times New Roman" w:hAnsi="Times New Roman" w:eastAsia="宋体" w:cs="Times New Roman"/>
                <w:color w:val="auto"/>
                <w:spacing w:val="0"/>
                <w:kern w:val="0"/>
                <w:sz w:val="24"/>
                <w:szCs w:val="20"/>
                <w:lang w:val="en-US" w:eastAsia="zh-CN" w:bidi="ar-SA"/>
              </w:rPr>
              <w:t>为</w:t>
            </w:r>
            <w:r>
              <w:rPr>
                <w:rFonts w:hint="default" w:ascii="Times New Roman" w:hAnsi="Times New Roman" w:cs="Times New Roman"/>
                <w:color w:val="auto"/>
                <w:spacing w:val="0"/>
                <w:kern w:val="0"/>
                <w:sz w:val="24"/>
                <w:szCs w:val="20"/>
                <w:lang w:val="en-US" w:eastAsia="zh-CN" w:bidi="ar-SA"/>
              </w:rPr>
              <w:t>4</w:t>
            </w:r>
            <w:r>
              <w:rPr>
                <w:rFonts w:hint="default" w:ascii="Times New Roman" w:hAnsi="Times New Roman" w:eastAsia="宋体" w:cs="Times New Roman"/>
                <w:color w:val="auto"/>
                <w:spacing w:val="0"/>
                <w:kern w:val="0"/>
                <w:sz w:val="24"/>
                <w:szCs w:val="20"/>
                <w:lang w:val="en-US" w:eastAsia="zh-CN" w:bidi="ar-SA"/>
              </w:rPr>
              <w:t>%，则无组织排放量为0.00</w:t>
            </w:r>
            <w:r>
              <w:rPr>
                <w:rFonts w:hint="default" w:ascii="Times New Roman" w:hAnsi="Times New Roman" w:cs="Times New Roman"/>
                <w:color w:val="auto"/>
                <w:spacing w:val="0"/>
                <w:kern w:val="0"/>
                <w:sz w:val="24"/>
                <w:szCs w:val="20"/>
                <w:lang w:val="en-US" w:eastAsia="zh-CN" w:bidi="ar-SA"/>
              </w:rPr>
              <w:t>21</w:t>
            </w:r>
            <w:r>
              <w:rPr>
                <w:rFonts w:hint="default" w:ascii="Times New Roman" w:hAnsi="Times New Roman" w:eastAsia="宋体" w:cs="Times New Roman"/>
                <w:color w:val="auto"/>
                <w:spacing w:val="0"/>
                <w:kern w:val="0"/>
                <w:sz w:val="24"/>
                <w:szCs w:val="20"/>
                <w:lang w:val="en-US" w:eastAsia="zh-CN" w:bidi="ar-SA"/>
              </w:rPr>
              <w:t>t/a。</w:t>
            </w:r>
          </w:p>
          <w:p>
            <w:pPr>
              <w:spacing w:line="360" w:lineRule="auto"/>
              <w:ind w:firstLine="482" w:firstLineChars="200"/>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表4-</w:t>
            </w:r>
            <w:r>
              <w:rPr>
                <w:rFonts w:hint="eastAsia"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lang w:val="en-US" w:eastAsia="zh-CN"/>
              </w:rPr>
              <w:t>堆场粉尘排放源强（无组织）</w:t>
            </w:r>
          </w:p>
          <w:tbl>
            <w:tblPr>
              <w:tblStyle w:val="28"/>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1"/>
              <w:gridCol w:w="1411"/>
              <w:gridCol w:w="1411"/>
              <w:gridCol w:w="1411"/>
              <w:gridCol w:w="1412"/>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restar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污染源</w:t>
                  </w:r>
                </w:p>
              </w:tc>
              <w:tc>
                <w:tcPr>
                  <w:tcW w:w="833" w:type="pct"/>
                  <w:vMerge w:val="restar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污染因子</w:t>
                  </w:r>
                </w:p>
              </w:tc>
              <w:tc>
                <w:tcPr>
                  <w:tcW w:w="1666" w:type="pct"/>
                  <w:gridSpan w:val="2"/>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产生情况</w:t>
                  </w:r>
                </w:p>
              </w:tc>
              <w:tc>
                <w:tcPr>
                  <w:tcW w:w="1667" w:type="pct"/>
                  <w:gridSpan w:val="2"/>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排放情况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continue"/>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p>
              </w:tc>
              <w:tc>
                <w:tcPr>
                  <w:tcW w:w="833" w:type="pct"/>
                  <w:vMerge w:val="continue"/>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产生速率</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产生量</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排放速率</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restar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堆料粉尘</w:t>
                  </w:r>
                </w:p>
              </w:tc>
              <w:tc>
                <w:tcPr>
                  <w:tcW w:w="833" w:type="pct"/>
                  <w:vMerge w:val="restar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颗粒物</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kg/h</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t/a</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kg/h</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3" w:type="pct"/>
                  <w:vMerge w:val="continue"/>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p>
              </w:tc>
              <w:tc>
                <w:tcPr>
                  <w:tcW w:w="833" w:type="pct"/>
                  <w:vMerge w:val="continue"/>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0.01773</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0.0532</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0.0008</w:t>
                  </w:r>
                </w:p>
              </w:tc>
              <w:tc>
                <w:tcPr>
                  <w:tcW w:w="833" w:type="pct"/>
                  <w:tcBorders>
                    <w:tl2br w:val="nil"/>
                    <w:tr2bl w:val="nil"/>
                  </w:tcBorders>
                  <w:noWrap w:val="0"/>
                  <w:vAlign w:val="center"/>
                </w:tcPr>
                <w:p>
                  <w:pPr>
                    <w:pStyle w:val="24"/>
                    <w:spacing w:before="0" w:beforeAutospacing="0" w:after="0" w:afterAutospacing="0" w:line="360" w:lineRule="auto"/>
                    <w:jc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0.0021</w:t>
                  </w:r>
                </w:p>
              </w:tc>
            </w:tr>
          </w:tbl>
          <w:p>
            <w:pPr>
              <w:keepNext w:val="0"/>
              <w:keepLines w:val="0"/>
              <w:pageBreakBefore w:val="0"/>
              <w:wordWrap/>
              <w:overflowPunct/>
              <w:topLinePunct w:val="0"/>
              <w:bidi w:val="0"/>
              <w:spacing w:line="360" w:lineRule="auto"/>
              <w:ind w:left="0" w:firstLine="480" w:firstLineChars="200"/>
              <w:jc w:val="both"/>
              <w:rPr>
                <w:rFonts w:hint="default" w:ascii="Times New Roman" w:hAnsi="Times New Roman" w:eastAsia="宋体" w:cs="Times New Roman"/>
                <w:b w:val="0"/>
                <w:bCs w:val="0"/>
                <w:color w:val="auto"/>
                <w:sz w:val="24"/>
                <w:lang w:val="en-US" w:eastAsia="zh-CN"/>
              </w:rPr>
            </w:pPr>
            <w:r>
              <w:rPr>
                <w:rFonts w:hint="default" w:ascii="Times New Roman" w:hAnsi="Times New Roman" w:cs="Times New Roman"/>
                <w:b w:val="0"/>
                <w:bCs w:val="0"/>
                <w:color w:val="auto"/>
                <w:sz w:val="24"/>
              </w:rPr>
              <w:t>(</w:t>
            </w:r>
            <w:r>
              <w:rPr>
                <w:rFonts w:hint="default" w:ascii="Times New Roman" w:hAnsi="Times New Roman" w:cs="Times New Roman"/>
                <w:b w:val="0"/>
                <w:bCs w:val="0"/>
                <w:color w:val="auto"/>
                <w:sz w:val="24"/>
                <w:lang w:val="en-US" w:eastAsia="zh-CN"/>
              </w:rPr>
              <w:t>3</w:t>
            </w:r>
            <w:r>
              <w:rPr>
                <w:rFonts w:hint="default" w:ascii="Times New Roman" w:hAnsi="Times New Roman" w:cs="Times New Roman"/>
                <w:b w:val="0"/>
                <w:bCs w:val="0"/>
                <w:color w:val="auto"/>
                <w:sz w:val="24"/>
              </w:rPr>
              <w:t>)破碎粉尘</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rPr>
              <w:t>筛分粉尘</w:t>
            </w:r>
            <w:r>
              <w:rPr>
                <w:rFonts w:hint="default" w:ascii="Times New Roman" w:hAnsi="Times New Roman" w:cs="Times New Roman"/>
                <w:b w:val="0"/>
                <w:bCs w:val="0"/>
                <w:color w:val="auto"/>
                <w:sz w:val="24"/>
                <w:lang w:val="en-US" w:eastAsia="zh-CN"/>
              </w:rPr>
              <w:t>G3</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jc w:val="both"/>
              <w:textAlignment w:val="baseline"/>
              <w:rPr>
                <w:rFonts w:hint="default" w:ascii="Times New Roman" w:hAnsi="Times New Roman" w:eastAsia="宋体" w:cs="Times New Roman"/>
                <w:snapToGrid w:val="0"/>
                <w:color w:val="auto"/>
                <w:spacing w:val="-1"/>
                <w:kern w:val="0"/>
                <w:sz w:val="24"/>
                <w:szCs w:val="24"/>
              </w:rPr>
            </w:pPr>
            <w:r>
              <w:rPr>
                <w:rFonts w:hint="default" w:ascii="Times New Roman" w:hAnsi="Times New Roman" w:eastAsia="宋体" w:cs="Times New Roman"/>
                <w:snapToGrid w:val="0"/>
                <w:color w:val="auto"/>
                <w:spacing w:val="2"/>
                <w:kern w:val="0"/>
                <w:sz w:val="24"/>
                <w:szCs w:val="24"/>
              </w:rPr>
              <w:t>本项目需对不符合粒径要求的大颗粒页岩进行进一步破碎</w:t>
            </w:r>
            <w:r>
              <w:rPr>
                <w:rFonts w:hint="default" w:ascii="Times New Roman" w:hAnsi="Times New Roman" w:eastAsia="宋体" w:cs="Times New Roman"/>
                <w:snapToGrid w:val="0"/>
                <w:color w:val="auto"/>
                <w:spacing w:val="2"/>
                <w:kern w:val="0"/>
                <w:sz w:val="24"/>
                <w:szCs w:val="24"/>
                <w:lang w:eastAsia="zh-CN"/>
              </w:rPr>
              <w:t>，</w:t>
            </w:r>
            <w:r>
              <w:rPr>
                <w:rFonts w:hint="default" w:ascii="Times New Roman" w:hAnsi="Times New Roman" w:eastAsia="宋体" w:cs="Times New Roman"/>
                <w:snapToGrid w:val="0"/>
                <w:color w:val="auto"/>
                <w:spacing w:val="2"/>
                <w:kern w:val="0"/>
                <w:sz w:val="24"/>
                <w:szCs w:val="24"/>
              </w:rPr>
              <w:t>破碎后的页岩通过配套的斗提机直接送入振动筛，</w:t>
            </w:r>
            <w:r>
              <w:rPr>
                <w:rFonts w:hint="default" w:ascii="Times New Roman" w:hAnsi="Times New Roman" w:eastAsia="宋体" w:cs="Times New Roman"/>
                <w:snapToGrid w:val="0"/>
                <w:color w:val="auto"/>
                <w:kern w:val="0"/>
                <w:sz w:val="24"/>
                <w:szCs w:val="24"/>
              </w:rPr>
              <w:t>筛分粉尘经振动筛上方集气罩收集至脉冲式布袋除尘器处</w:t>
            </w:r>
            <w:r>
              <w:rPr>
                <w:rFonts w:hint="default" w:ascii="Times New Roman" w:hAnsi="Times New Roman" w:eastAsia="宋体" w:cs="Times New Roman"/>
                <w:snapToGrid w:val="0"/>
                <w:color w:val="auto"/>
                <w:spacing w:val="-10"/>
                <w:kern w:val="0"/>
                <w:sz w:val="24"/>
                <w:szCs w:val="24"/>
              </w:rPr>
              <w:t>理</w:t>
            </w:r>
            <w:r>
              <w:rPr>
                <w:rFonts w:hint="default" w:ascii="Times New Roman" w:hAnsi="Times New Roman" w:eastAsia="宋体" w:cs="Times New Roman"/>
                <w:snapToGrid w:val="0"/>
                <w:color w:val="auto"/>
                <w:spacing w:val="-9"/>
                <w:kern w:val="0"/>
                <w:sz w:val="24"/>
                <w:szCs w:val="24"/>
              </w:rPr>
              <w:t>，</w:t>
            </w:r>
            <w:r>
              <w:rPr>
                <w:rFonts w:hint="default" w:ascii="Times New Roman" w:hAnsi="Times New Roman" w:eastAsia="宋体" w:cs="Times New Roman"/>
                <w:snapToGrid w:val="0"/>
                <w:color w:val="auto"/>
                <w:spacing w:val="-5"/>
                <w:kern w:val="0"/>
                <w:sz w:val="24"/>
                <w:szCs w:val="24"/>
              </w:rPr>
              <w:t>最终通过</w:t>
            </w:r>
            <w:r>
              <w:rPr>
                <w:rFonts w:hint="default" w:ascii="Times New Roman" w:hAnsi="Times New Roman" w:eastAsia="Times New Roman" w:cs="Times New Roman"/>
                <w:snapToGrid w:val="0"/>
                <w:color w:val="auto"/>
                <w:spacing w:val="-5"/>
                <w:kern w:val="0"/>
                <w:sz w:val="24"/>
                <w:szCs w:val="24"/>
              </w:rPr>
              <w:t>15m</w:t>
            </w:r>
            <w:r>
              <w:rPr>
                <w:rFonts w:hint="default" w:ascii="Times New Roman" w:hAnsi="Times New Roman" w:eastAsia="宋体" w:cs="Times New Roman"/>
                <w:snapToGrid w:val="0"/>
                <w:color w:val="auto"/>
                <w:spacing w:val="-5"/>
                <w:kern w:val="0"/>
                <w:sz w:val="24"/>
                <w:szCs w:val="24"/>
              </w:rPr>
              <w:t>高排气筒排放。</w:t>
            </w:r>
            <w:r>
              <w:rPr>
                <w:rFonts w:hint="default" w:ascii="Times New Roman" w:hAnsi="Times New Roman" w:cs="Times New Roman"/>
                <w:snapToGrid w:val="0"/>
                <w:color w:val="auto"/>
                <w:spacing w:val="0"/>
                <w:kern w:val="0"/>
                <w:position w:val="0"/>
                <w:sz w:val="24"/>
                <w:szCs w:val="24"/>
                <w:lang w:val="en-US" w:eastAsia="zh-CN" w:bidi="ar-SA"/>
              </w:rPr>
              <w:t>本评价参照《逸散性工业粉尘控制系数》中“表18-1粒料加工厂逸散尘的排放因子”中各尘源的排放因子，二级破碎及筛选粉尘排放因子取0.75kg/t（破碎料）。</w:t>
            </w:r>
          </w:p>
          <w:p>
            <w:pPr>
              <w:spacing w:line="360" w:lineRule="auto"/>
              <w:ind w:firstLine="476" w:firstLineChars="200"/>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spacing w:val="-1"/>
                <w:kern w:val="0"/>
                <w:sz w:val="24"/>
                <w:szCs w:val="24"/>
              </w:rPr>
              <w:t>本</w:t>
            </w:r>
            <w:r>
              <w:rPr>
                <w:rFonts w:hint="default" w:ascii="Times New Roman" w:hAnsi="Times New Roman" w:eastAsia="宋体" w:cs="Times New Roman"/>
                <w:snapToGrid w:val="0"/>
                <w:color w:val="auto"/>
                <w:kern w:val="0"/>
                <w:sz w:val="24"/>
                <w:szCs w:val="24"/>
              </w:rPr>
              <w:t>项目加工量约为</w:t>
            </w:r>
            <w:r>
              <w:rPr>
                <w:rFonts w:hint="default" w:ascii="Times New Roman" w:hAnsi="Times New Roman" w:eastAsia="Times New Roman" w:cs="Times New Roman"/>
                <w:snapToGrid w:val="0"/>
                <w:color w:val="auto"/>
                <w:kern w:val="0"/>
                <w:sz w:val="24"/>
                <w:szCs w:val="24"/>
              </w:rPr>
              <w:t>15000t/a</w:t>
            </w:r>
            <w:r>
              <w:rPr>
                <w:rFonts w:hint="default" w:ascii="Times New Roman" w:hAnsi="Times New Roman" w:eastAsia="宋体" w:cs="Times New Roman"/>
                <w:snapToGrid w:val="0"/>
                <w:color w:val="auto"/>
                <w:kern w:val="0"/>
                <w:sz w:val="24"/>
                <w:szCs w:val="24"/>
              </w:rPr>
              <w:t>，故筛分</w:t>
            </w:r>
            <w:r>
              <w:rPr>
                <w:rFonts w:hint="default" w:ascii="Times New Roman" w:hAnsi="Times New Roman" w:cs="Times New Roman"/>
                <w:snapToGrid w:val="0"/>
                <w:color w:val="auto"/>
                <w:kern w:val="0"/>
                <w:sz w:val="24"/>
                <w:szCs w:val="24"/>
                <w:lang w:val="en-US" w:eastAsia="zh-CN"/>
              </w:rPr>
              <w:t>及破碎</w:t>
            </w:r>
            <w:r>
              <w:rPr>
                <w:rFonts w:hint="default" w:ascii="Times New Roman" w:hAnsi="Times New Roman" w:eastAsia="宋体" w:cs="Times New Roman"/>
                <w:snapToGrid w:val="0"/>
                <w:color w:val="auto"/>
                <w:kern w:val="0"/>
                <w:sz w:val="24"/>
                <w:szCs w:val="24"/>
              </w:rPr>
              <w:t>粉</w:t>
            </w:r>
            <w:r>
              <w:rPr>
                <w:rFonts w:hint="default" w:ascii="Times New Roman" w:hAnsi="Times New Roman" w:eastAsia="宋体" w:cs="Times New Roman"/>
                <w:snapToGrid w:val="0"/>
                <w:color w:val="auto"/>
                <w:spacing w:val="-1"/>
                <w:kern w:val="0"/>
                <w:sz w:val="24"/>
                <w:szCs w:val="24"/>
              </w:rPr>
              <w:t>尘产生量约为</w:t>
            </w:r>
            <w:r>
              <w:rPr>
                <w:rFonts w:hint="default" w:ascii="Times New Roman" w:hAnsi="Times New Roman" w:eastAsia="宋体" w:cs="Times New Roman"/>
                <w:snapToGrid w:val="0"/>
                <w:color w:val="auto"/>
                <w:spacing w:val="-1"/>
                <w:kern w:val="0"/>
                <w:sz w:val="24"/>
                <w:szCs w:val="24"/>
                <w:lang w:val="en-US" w:eastAsia="zh-CN"/>
              </w:rPr>
              <w:t>11.25</w:t>
            </w:r>
            <w:r>
              <w:rPr>
                <w:rFonts w:hint="default" w:ascii="Times New Roman" w:hAnsi="Times New Roman" w:eastAsia="Times New Roman" w:cs="Times New Roman"/>
                <w:snapToGrid w:val="0"/>
                <w:color w:val="auto"/>
                <w:kern w:val="0"/>
                <w:sz w:val="24"/>
                <w:szCs w:val="24"/>
              </w:rPr>
              <w:t>t</w:t>
            </w:r>
            <w:r>
              <w:rPr>
                <w:rFonts w:hint="default" w:ascii="Times New Roman" w:hAnsi="Times New Roman" w:eastAsia="Times New Roman" w:cs="Times New Roman"/>
                <w:snapToGrid w:val="0"/>
                <w:color w:val="auto"/>
                <w:spacing w:val="-1"/>
                <w:kern w:val="0"/>
                <w:sz w:val="24"/>
                <w:szCs w:val="24"/>
              </w:rPr>
              <w:t>/</w:t>
            </w:r>
            <w:r>
              <w:rPr>
                <w:rFonts w:hint="default" w:ascii="Times New Roman" w:hAnsi="Times New Roman" w:eastAsia="Times New Roman" w:cs="Times New Roman"/>
                <w:snapToGrid w:val="0"/>
                <w:color w:val="auto"/>
                <w:kern w:val="0"/>
                <w:sz w:val="24"/>
                <w:szCs w:val="24"/>
              </w:rPr>
              <w:t>a</w:t>
            </w:r>
            <w:r>
              <w:rPr>
                <w:rFonts w:hint="default" w:ascii="Times New Roman" w:hAnsi="Times New Roman" w:eastAsia="宋体" w:cs="Times New Roman"/>
                <w:snapToGrid w:val="0"/>
                <w:color w:val="auto"/>
                <w:kern w:val="0"/>
                <w:sz w:val="24"/>
                <w:szCs w:val="24"/>
              </w:rPr>
              <w:t>。</w:t>
            </w:r>
          </w:p>
          <w:p>
            <w:pPr>
              <w:tabs>
                <w:tab w:val="left" w:pos="2520"/>
              </w:tabs>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在</w:t>
            </w:r>
            <w:r>
              <w:rPr>
                <w:rFonts w:hint="default" w:ascii="Times New Roman" w:hAnsi="Times New Roman" w:cs="Times New Roman"/>
                <w:color w:val="auto"/>
                <w:sz w:val="24"/>
                <w:szCs w:val="24"/>
                <w:lang w:val="en-US" w:eastAsia="zh-CN"/>
              </w:rPr>
              <w:t>破碎机、振动筛</w:t>
            </w:r>
            <w:r>
              <w:rPr>
                <w:rFonts w:hint="default" w:ascii="Times New Roman" w:hAnsi="Times New Roman" w:cs="Times New Roman"/>
                <w:color w:val="auto"/>
                <w:sz w:val="24"/>
                <w:szCs w:val="24"/>
              </w:rPr>
              <w:t>上方设置集气罩（收集效率80%）</w:t>
            </w:r>
            <w:r>
              <w:rPr>
                <w:rFonts w:hint="default" w:ascii="Times New Roman" w:hAnsi="Times New Roman" w:eastAsia="宋体" w:cs="Times New Roman"/>
                <w:color w:val="auto"/>
                <w:sz w:val="24"/>
                <w:szCs w:val="24"/>
                <w:lang w:val="en-US" w:eastAsia="zh-CN"/>
              </w:rPr>
              <w:t>(尺寸</w:t>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m×</w:t>
            </w:r>
            <w:r>
              <w:rPr>
                <w:rFonts w:hint="default" w:ascii="Times New Roman" w:hAnsi="Times New Roman" w:cs="Times New Roman"/>
                <w:color w:val="auto"/>
                <w:sz w:val="24"/>
                <w:szCs w:val="24"/>
                <w:lang w:val="en-US" w:eastAsia="zh-CN"/>
              </w:rPr>
              <w:t>1</w:t>
            </w:r>
            <w:r>
              <w:rPr>
                <w:rFonts w:hint="default" w:ascii="Times New Roman" w:hAnsi="Times New Roman" w:eastAsia="宋体" w:cs="Times New Roman"/>
                <w:color w:val="auto"/>
                <w:sz w:val="24"/>
                <w:szCs w:val="24"/>
                <w:lang w:val="en-US" w:eastAsia="zh-CN"/>
              </w:rPr>
              <w:t>m）</w:t>
            </w:r>
            <w:r>
              <w:rPr>
                <w:rFonts w:hint="default" w:ascii="Times New Roman" w:hAnsi="Times New Roman" w:cs="Times New Roman"/>
                <w:color w:val="auto"/>
                <w:sz w:val="24"/>
                <w:szCs w:val="24"/>
              </w:rPr>
              <w:t>，</w:t>
            </w:r>
            <w:r>
              <w:rPr>
                <w:rFonts w:hint="default" w:ascii="Times New Roman" w:hAnsi="Times New Roman" w:eastAsia="宋体" w:cs="Times New Roman"/>
                <w:color w:val="auto"/>
                <w:sz w:val="24"/>
                <w:szCs w:val="24"/>
                <w:lang w:val="en-US" w:eastAsia="zh-CN"/>
              </w:rPr>
              <w:t>项目营运期间布置</w:t>
            </w:r>
            <w:r>
              <w:rPr>
                <w:rFonts w:hint="default" w:ascii="Times New Roman" w:hAnsi="Times New Roman"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台</w:t>
            </w:r>
            <w:r>
              <w:rPr>
                <w:rFonts w:hint="default" w:ascii="Times New Roman" w:hAnsi="Times New Roman" w:cs="Times New Roman"/>
                <w:color w:val="auto"/>
                <w:sz w:val="24"/>
                <w:szCs w:val="24"/>
                <w:lang w:val="en-US" w:eastAsia="zh-CN"/>
              </w:rPr>
              <w:t>破碎机、1台振动筛</w:t>
            </w:r>
            <w:r>
              <w:rPr>
                <w:rFonts w:hint="default" w:ascii="Times New Roman" w:hAnsi="Times New Roman" w:eastAsia="宋体" w:cs="Times New Roman"/>
                <w:color w:val="auto"/>
                <w:sz w:val="24"/>
                <w:szCs w:val="24"/>
                <w:lang w:val="en-US" w:eastAsia="zh-CN"/>
              </w:rPr>
              <w:t>，单个集气罩集气风量计算公式：</w:t>
            </w:r>
          </w:p>
          <w:p>
            <w:pPr>
              <w:tabs>
                <w:tab w:val="left" w:pos="2520"/>
              </w:tabs>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Q=K（a＋b）×h×V</w:t>
            </w:r>
            <w:r>
              <w:rPr>
                <w:rFonts w:hint="default" w:ascii="Times New Roman" w:hAnsi="Times New Roman" w:eastAsia="宋体" w:cs="Times New Roman"/>
                <w:color w:val="auto"/>
                <w:sz w:val="24"/>
                <w:szCs w:val="24"/>
                <w:vertAlign w:val="subscript"/>
                <w:lang w:val="en-US" w:eastAsia="zh-CN"/>
              </w:rPr>
              <w:t>0</w:t>
            </w:r>
            <w:r>
              <w:rPr>
                <w:rFonts w:hint="default" w:ascii="Times New Roman" w:hAnsi="Times New Roman" w:eastAsia="宋体" w:cs="Times New Roman"/>
                <w:color w:val="auto"/>
                <w:sz w:val="24"/>
                <w:szCs w:val="24"/>
                <w:lang w:val="en-US" w:eastAsia="zh-CN"/>
              </w:rPr>
              <w:t>×3600</w:t>
            </w:r>
          </w:p>
          <w:p>
            <w:pPr>
              <w:pStyle w:val="26"/>
              <w:keepNext w:val="0"/>
              <w:keepLines w:val="0"/>
              <w:pageBreakBefore w:val="0"/>
              <w:widowControl/>
              <w:kinsoku/>
              <w:wordWrap/>
              <w:overflowPunct/>
              <w:topLinePunct w:val="0"/>
              <w:autoSpaceDE/>
              <w:autoSpaceDN/>
              <w:bidi w:val="0"/>
              <w:adjustRightInd/>
              <w:snapToGrid/>
              <w:spacing w:after="0" w:line="360" w:lineRule="auto"/>
              <w:ind w:left="0" w:leftChars="0"/>
              <w:jc w:val="both"/>
              <w:textAlignment w:val="auto"/>
              <w:rPr>
                <w:rFonts w:hint="default" w:ascii="Times New Roman" w:hAnsi="Times New Roman" w:cs="Times New Roman"/>
                <w:color w:val="auto"/>
                <w:sz w:val="24"/>
                <w:szCs w:val="24"/>
                <w:lang w:eastAsia="zh-CN"/>
              </w:rPr>
            </w:pPr>
            <w:r>
              <w:rPr>
                <w:rFonts w:hint="default" w:ascii="Times New Roman" w:hAnsi="Times New Roman" w:eastAsia="宋体" w:cs="Times New Roman"/>
                <w:color w:val="auto"/>
                <w:sz w:val="24"/>
                <w:szCs w:val="24"/>
                <w:lang w:val="en-US" w:eastAsia="zh-CN"/>
              </w:rPr>
              <w:t>式中：Q：为集气罩集气风量，单位为m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/h；K为安全系数1.4；（a+b）为集气罩周长，单位为m；h为罩口至污染源的距离，单位为m，本项目取0.</w:t>
            </w:r>
            <w:r>
              <w:rPr>
                <w:rFonts w:hint="default" w:ascii="Times New Roman" w:hAnsi="Times New Roman"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m；V</w:t>
            </w:r>
            <w:r>
              <w:rPr>
                <w:rFonts w:hint="default" w:ascii="Times New Roman" w:hAnsi="Times New Roman" w:eastAsia="宋体" w:cs="Times New Roman"/>
                <w:color w:val="auto"/>
                <w:sz w:val="24"/>
                <w:szCs w:val="24"/>
                <w:vertAlign w:val="subscript"/>
                <w:lang w:val="en-US" w:eastAsia="zh-CN"/>
              </w:rPr>
              <w:t>0</w:t>
            </w:r>
            <w:r>
              <w:rPr>
                <w:rFonts w:hint="default" w:ascii="Times New Roman" w:hAnsi="Times New Roman" w:eastAsia="宋体" w:cs="Times New Roman"/>
                <w:color w:val="auto"/>
                <w:sz w:val="24"/>
                <w:szCs w:val="24"/>
                <w:lang w:val="en-US" w:eastAsia="zh-CN"/>
              </w:rPr>
              <w:t>污染源气体流速，一般在0.5m/s~1.5m/s，本次评价取均值1.0m/s（根据《局部排放设置控制风速检测与评估技术规范》（AQ/T4274-2016）中有毒气体外部排风罩控制风速1.0m/s）。则</w:t>
            </w:r>
            <w:r>
              <w:rPr>
                <w:rFonts w:hint="default" w:ascii="Times New Roman" w:hAnsi="Times New Roman" w:cs="Times New Roman"/>
                <w:color w:val="auto"/>
                <w:sz w:val="24"/>
                <w:szCs w:val="24"/>
                <w:lang w:val="en-US" w:eastAsia="zh-CN"/>
              </w:rPr>
              <w:t>单个</w:t>
            </w:r>
            <w:r>
              <w:rPr>
                <w:rFonts w:hint="default" w:ascii="Times New Roman" w:hAnsi="Times New Roman" w:eastAsia="宋体" w:cs="Times New Roman"/>
                <w:color w:val="auto"/>
                <w:sz w:val="24"/>
                <w:szCs w:val="24"/>
                <w:lang w:val="en-US" w:eastAsia="zh-CN"/>
              </w:rPr>
              <w:t>集气罩集气风量</w:t>
            </w:r>
            <w:r>
              <w:rPr>
                <w:rFonts w:hint="default" w:ascii="Times New Roman" w:hAnsi="Times New Roman" w:cs="Times New Roman"/>
                <w:color w:val="auto"/>
                <w:sz w:val="24"/>
                <w:szCs w:val="24"/>
                <w:lang w:val="en-US" w:eastAsia="zh-CN"/>
              </w:rPr>
              <w:t>6048</w:t>
            </w:r>
            <w:r>
              <w:rPr>
                <w:rFonts w:hint="default" w:ascii="Times New Roman" w:hAnsi="Times New Roman" w:eastAsia="宋体" w:cs="Times New Roman"/>
                <w:color w:val="auto"/>
                <w:sz w:val="24"/>
                <w:szCs w:val="24"/>
                <w:lang w:val="en-US" w:eastAsia="zh-CN"/>
              </w:rPr>
              <w:t>m</w:t>
            </w:r>
            <w:r>
              <w:rPr>
                <w:rFonts w:hint="default" w:ascii="Times New Roman" w:hAnsi="Times New Roman" w:eastAsia="宋体" w:cs="Times New Roman"/>
                <w:color w:val="auto"/>
                <w:sz w:val="24"/>
                <w:szCs w:val="24"/>
                <w:vertAlign w:val="superscript"/>
                <w:lang w:val="en-US" w:eastAsia="zh-CN"/>
              </w:rPr>
              <w:t>3</w:t>
            </w:r>
            <w:r>
              <w:rPr>
                <w:rFonts w:hint="default" w:ascii="Times New Roman" w:hAnsi="Times New Roman" w:eastAsia="宋体" w:cs="Times New Roman"/>
                <w:color w:val="auto"/>
                <w:sz w:val="24"/>
                <w:szCs w:val="24"/>
                <w:lang w:val="en-US" w:eastAsia="zh-CN"/>
              </w:rPr>
              <w:t>/h，本项目设置破碎机2个、筛分振动筛1个</w:t>
            </w:r>
            <w:r>
              <w:rPr>
                <w:rFonts w:hint="default" w:ascii="Times New Roman" w:hAnsi="Times New Roman" w:cs="Times New Roman"/>
                <w:color w:val="auto"/>
                <w:sz w:val="24"/>
                <w:szCs w:val="24"/>
                <w:lang w:val="en-US" w:eastAsia="zh-CN"/>
              </w:rPr>
              <w:t>共3个</w:t>
            </w:r>
            <w:r>
              <w:rPr>
                <w:rFonts w:hint="default" w:ascii="Times New Roman" w:hAnsi="Times New Roman" w:eastAsia="宋体" w:cs="Times New Roman"/>
                <w:color w:val="auto"/>
                <w:sz w:val="24"/>
                <w:szCs w:val="24"/>
                <w:lang w:val="en-US" w:eastAsia="zh-CN"/>
              </w:rPr>
              <w:t>集气罩</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考虑风量损失</w:t>
            </w:r>
            <w:r>
              <w:rPr>
                <w:rFonts w:hint="default" w:ascii="Times New Roman" w:hAnsi="Times New Roman" w:cs="Times New Roman"/>
                <w:color w:val="auto"/>
                <w:sz w:val="24"/>
                <w:szCs w:val="24"/>
              </w:rPr>
              <w:t>风机风量</w:t>
            </w:r>
            <w:r>
              <w:rPr>
                <w:rFonts w:hint="default" w:ascii="Times New Roman" w:hAnsi="Times New Roman" w:cs="Times New Roman"/>
                <w:color w:val="auto"/>
                <w:sz w:val="24"/>
                <w:szCs w:val="24"/>
                <w:lang w:val="en-US" w:eastAsia="zh-CN"/>
              </w:rPr>
              <w:t>设计为20000</w:t>
            </w:r>
            <w:r>
              <w:rPr>
                <w:rFonts w:hint="default" w:ascii="Times New Roman" w:hAnsi="Times New Roman" w:cs="Times New Roman"/>
                <w:color w:val="auto"/>
                <w:sz w:val="24"/>
                <w:szCs w:val="24"/>
                <w:lang w:val="en-GB"/>
              </w:rPr>
              <w:t>m</w:t>
            </w:r>
            <w:r>
              <w:rPr>
                <w:rFonts w:hint="default" w:ascii="Times New Roman" w:hAnsi="Times New Roman" w:cs="Times New Roman"/>
                <w:color w:val="auto"/>
                <w:sz w:val="24"/>
                <w:szCs w:val="24"/>
                <w:vertAlign w:val="superscript"/>
                <w:lang w:val="en-GB"/>
              </w:rPr>
              <w:t>3</w:t>
            </w:r>
            <w:r>
              <w:rPr>
                <w:rFonts w:hint="default" w:ascii="Times New Roman" w:hAnsi="Times New Roman" w:cs="Times New Roman"/>
                <w:color w:val="auto"/>
                <w:sz w:val="24"/>
                <w:szCs w:val="24"/>
                <w:lang w:val="en-GB"/>
              </w:rPr>
              <w:t>/h，</w:t>
            </w:r>
            <w:r>
              <w:rPr>
                <w:rFonts w:hint="default" w:ascii="Times New Roman" w:hAnsi="Times New Roman" w:cs="Times New Roman"/>
                <w:color w:val="auto"/>
                <w:sz w:val="24"/>
                <w:szCs w:val="24"/>
              </w:rPr>
              <w:t>收集后的破碎粉尘通过布袋除尘器处理（处理效率95%），再通过15m高排气筒（DA00</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）排放</w:t>
            </w:r>
            <w:r>
              <w:rPr>
                <w:rFonts w:hint="default" w:ascii="Times New Roman" w:hAnsi="Times New Roman"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szCs w:val="24"/>
                <w:vertAlign w:val="baseline"/>
                <w:lang w:val="en-US" w:eastAsia="zh-CN" w:bidi="ar-SA"/>
              </w:rPr>
            </w:pPr>
            <w:r>
              <w:rPr>
                <w:rFonts w:hint="default" w:ascii="Times New Roman" w:hAnsi="Times New Roman" w:eastAsia="宋体" w:cs="Times New Roman"/>
                <w:color w:val="auto"/>
                <w:kern w:val="0"/>
                <w:sz w:val="24"/>
                <w:szCs w:val="24"/>
                <w:lang w:val="en-US" w:eastAsia="zh-CN" w:bidi="ar-SA"/>
              </w:rPr>
              <w:t>破碎及筛分每天工作8小时</w:t>
            </w:r>
            <w:r>
              <w:rPr>
                <w:rFonts w:hint="default" w:ascii="Times New Roman" w:hAnsi="Times New Roman" w:cs="Times New Roman"/>
                <w:color w:val="auto"/>
                <w:kern w:val="0"/>
                <w:sz w:val="24"/>
                <w:szCs w:val="24"/>
                <w:lang w:val="en-US" w:eastAsia="zh-CN" w:bidi="ar-SA"/>
              </w:rPr>
              <w:t>，则有组织排放量为0.45t/a，排放速率为0.1875kg/h，排放浓度为9.375mg/m</w:t>
            </w:r>
            <w:r>
              <w:rPr>
                <w:rFonts w:hint="default" w:ascii="Times New Roman" w:hAnsi="Times New Roman" w:cs="Times New Roman"/>
                <w:color w:val="auto"/>
                <w:kern w:val="0"/>
                <w:sz w:val="24"/>
                <w:szCs w:val="24"/>
                <w:vertAlign w:val="superscript"/>
                <w:lang w:val="en-US" w:eastAsia="zh-CN" w:bidi="ar-SA"/>
              </w:rPr>
              <w:t>3</w:t>
            </w:r>
            <w:r>
              <w:rPr>
                <w:rFonts w:hint="default" w:ascii="Times New Roman" w:hAnsi="Times New Roman" w:cs="Times New Roman"/>
                <w:color w:val="auto"/>
                <w:kern w:val="0"/>
                <w:sz w:val="24"/>
                <w:szCs w:val="24"/>
                <w:vertAlign w:val="baseline"/>
                <w:lang w:val="en-US" w:eastAsia="zh-CN" w:bidi="ar-SA"/>
              </w:rPr>
              <w:t>,未收集的无组织经喷淋处理，</w:t>
            </w:r>
            <w:r>
              <w:rPr>
                <w:rFonts w:hint="default" w:ascii="Times New Roman" w:hAnsi="Times New Roman" w:cs="Times New Roman"/>
                <w:color w:val="auto"/>
                <w:spacing w:val="0"/>
                <w:kern w:val="0"/>
                <w:sz w:val="24"/>
                <w:szCs w:val="20"/>
                <w:lang w:val="en-US" w:eastAsia="zh-CN" w:bidi="ar-SA"/>
              </w:rPr>
              <w:t>抑尘效率约80%厂房内80%自然沉降，无组织综合</w:t>
            </w:r>
            <w:r>
              <w:rPr>
                <w:rFonts w:hint="default" w:ascii="Times New Roman" w:hAnsi="Times New Roman" w:cs="Times New Roman"/>
                <w:color w:val="auto"/>
                <w:kern w:val="0"/>
                <w:sz w:val="24"/>
                <w:szCs w:val="24"/>
                <w:vertAlign w:val="baseline"/>
                <w:lang w:val="en-US" w:eastAsia="zh-CN" w:bidi="ar-SA"/>
              </w:rPr>
              <w:t>排放量4%，排放量为0.45t/a，排放速率为0.1875kg/h。</w:t>
            </w:r>
          </w:p>
          <w:p>
            <w:pPr>
              <w:pStyle w:val="2"/>
              <w:jc w:val="center"/>
              <w:rPr>
                <w:rFonts w:hint="default" w:ascii="Times New Roman" w:hAnsi="Times New Roman" w:eastAsia="宋体" w:cs="Times New Roman"/>
                <w:b/>
                <w:bCs/>
                <w:color w:val="auto"/>
                <w:spacing w:val="0"/>
                <w:kern w:val="2"/>
                <w:sz w:val="24"/>
                <w:szCs w:val="24"/>
                <w:lang w:val="en-US" w:eastAsia="zh-CN" w:bidi="ar-SA"/>
              </w:rPr>
            </w:pPr>
          </w:p>
          <w:p>
            <w:pPr>
              <w:pStyle w:val="2"/>
              <w:jc w:val="center"/>
              <w:rPr>
                <w:rFonts w:hint="default" w:ascii="Times New Roman" w:hAnsi="Times New Roman" w:eastAsia="宋体" w:cs="Times New Roman"/>
                <w:b/>
                <w:bCs/>
                <w:color w:val="auto"/>
                <w:spacing w:val="0"/>
                <w:kern w:val="2"/>
                <w:sz w:val="24"/>
                <w:szCs w:val="24"/>
                <w:lang w:val="en-US" w:eastAsia="zh-CN" w:bidi="ar-SA"/>
              </w:rPr>
            </w:pPr>
          </w:p>
          <w:p>
            <w:pPr>
              <w:pStyle w:val="2"/>
              <w:jc w:val="center"/>
              <w:rPr>
                <w:rFonts w:hint="default" w:ascii="Times New Roman" w:hAnsi="Times New Roman" w:eastAsia="宋体" w:cs="Times New Roman"/>
                <w:b/>
                <w:bCs/>
                <w:color w:val="auto"/>
                <w:spacing w:val="0"/>
                <w:kern w:val="2"/>
                <w:sz w:val="24"/>
                <w:szCs w:val="24"/>
                <w:lang w:val="en-US" w:eastAsia="zh-CN" w:bidi="ar-SA"/>
              </w:rPr>
            </w:pPr>
          </w:p>
          <w:p>
            <w:pPr>
              <w:pStyle w:val="2"/>
              <w:jc w:val="center"/>
              <w:rPr>
                <w:rFonts w:hint="default" w:ascii="Times New Roman" w:hAnsi="Times New Roman" w:eastAsia="宋体" w:cs="Times New Roman"/>
                <w:b/>
                <w:bCs/>
                <w:color w:val="auto"/>
                <w:spacing w:val="0"/>
                <w:kern w:val="2"/>
                <w:sz w:val="24"/>
                <w:szCs w:val="24"/>
                <w:lang w:val="en-US" w:eastAsia="zh-CN" w:bidi="ar-SA"/>
              </w:rPr>
            </w:pPr>
            <w:r>
              <w:rPr>
                <w:rFonts w:hint="default" w:ascii="Times New Roman" w:hAnsi="Times New Roman" w:eastAsia="宋体" w:cs="Times New Roman"/>
                <w:b/>
                <w:bCs/>
                <w:color w:val="auto"/>
                <w:spacing w:val="0"/>
                <w:kern w:val="2"/>
                <w:sz w:val="24"/>
                <w:szCs w:val="24"/>
                <w:lang w:val="en-US" w:eastAsia="zh-CN" w:bidi="ar-SA"/>
              </w:rPr>
              <w:t>表4-</w:t>
            </w:r>
            <w:r>
              <w:rPr>
                <w:rFonts w:hint="default" w:ascii="Times New Roman" w:hAnsi="Times New Roman" w:cs="Times New Roman"/>
                <w:b/>
                <w:bCs/>
                <w:color w:val="auto"/>
                <w:spacing w:val="0"/>
                <w:kern w:val="2"/>
                <w:sz w:val="24"/>
                <w:szCs w:val="24"/>
                <w:lang w:val="en-US" w:eastAsia="zh-CN" w:bidi="ar-SA"/>
              </w:rPr>
              <w:t>4</w:t>
            </w:r>
            <w:r>
              <w:rPr>
                <w:rFonts w:hint="default" w:ascii="Times New Roman" w:hAnsi="Times New Roman" w:eastAsia="宋体" w:cs="Times New Roman"/>
                <w:b/>
                <w:bCs/>
                <w:color w:val="auto"/>
                <w:spacing w:val="0"/>
                <w:kern w:val="2"/>
                <w:sz w:val="24"/>
                <w:szCs w:val="24"/>
                <w:lang w:val="en-US" w:eastAsia="zh-CN" w:bidi="ar-SA"/>
              </w:rPr>
              <w:t>破碎、筛分粉尘排放源强</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70"/>
              <w:gridCol w:w="763"/>
              <w:gridCol w:w="763"/>
              <w:gridCol w:w="935"/>
              <w:gridCol w:w="724"/>
              <w:gridCol w:w="935"/>
              <w:gridCol w:w="724"/>
              <w:gridCol w:w="963"/>
              <w:gridCol w:w="841"/>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72" w:type="dxa"/>
                  <w:vMerge w:val="restart"/>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污染源</w:t>
                  </w:r>
                </w:p>
              </w:tc>
              <w:tc>
                <w:tcPr>
                  <w:tcW w:w="765" w:type="dxa"/>
                  <w:vMerge w:val="restart"/>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污染因子</w:t>
                  </w:r>
                </w:p>
              </w:tc>
              <w:tc>
                <w:tcPr>
                  <w:tcW w:w="765" w:type="dxa"/>
                  <w:vMerge w:val="restart"/>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排放形式</w:t>
                  </w:r>
                </w:p>
              </w:tc>
              <w:tc>
                <w:tcPr>
                  <w:tcW w:w="1661" w:type="dxa"/>
                  <w:gridSpan w:val="2"/>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产生情况</w:t>
                  </w:r>
                </w:p>
              </w:tc>
              <w:tc>
                <w:tcPr>
                  <w:tcW w:w="2625" w:type="dxa"/>
                  <w:gridSpan w:val="3"/>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排放情况</w:t>
                  </w:r>
                </w:p>
                <w:p>
                  <w:pPr>
                    <w:jc w:val="center"/>
                    <w:rPr>
                      <w:rFonts w:hint="default" w:ascii="Times New Roman" w:hAnsi="Times New Roman" w:cs="Times New Roman"/>
                      <w:b/>
                      <w:bCs/>
                      <w:color w:val="auto"/>
                      <w:lang w:val="en-US" w:eastAsia="zh-CN"/>
                    </w:rPr>
                  </w:pPr>
                </w:p>
              </w:tc>
              <w:tc>
                <w:tcPr>
                  <w:tcW w:w="1695" w:type="dxa"/>
                  <w:gridSpan w:val="2"/>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972" w:type="dxa"/>
                  <w:vMerge w:val="continue"/>
                  <w:tcBorders>
                    <w:tl2br w:val="nil"/>
                    <w:tr2bl w:val="nil"/>
                  </w:tcBorders>
                  <w:noWrap w:val="0"/>
                  <w:vAlign w:val="center"/>
                </w:tcPr>
                <w:p>
                  <w:pPr>
                    <w:jc w:val="center"/>
                    <w:rPr>
                      <w:rFonts w:hint="default" w:ascii="Times New Roman" w:hAnsi="Times New Roman" w:cs="Times New Roman"/>
                      <w:b/>
                      <w:bCs/>
                      <w:color w:val="auto"/>
                      <w:lang w:val="en-US" w:eastAsia="zh-CN"/>
                    </w:rPr>
                  </w:pPr>
                </w:p>
              </w:tc>
              <w:tc>
                <w:tcPr>
                  <w:tcW w:w="765" w:type="dxa"/>
                  <w:vMerge w:val="continue"/>
                  <w:tcBorders>
                    <w:tl2br w:val="nil"/>
                    <w:tr2bl w:val="nil"/>
                  </w:tcBorders>
                  <w:noWrap w:val="0"/>
                  <w:vAlign w:val="center"/>
                </w:tcPr>
                <w:p>
                  <w:pPr>
                    <w:jc w:val="center"/>
                    <w:rPr>
                      <w:rFonts w:hint="default" w:ascii="Times New Roman" w:hAnsi="Times New Roman" w:cs="Times New Roman"/>
                      <w:b/>
                      <w:bCs/>
                      <w:color w:val="auto"/>
                      <w:lang w:val="en-US" w:eastAsia="zh-CN"/>
                    </w:rPr>
                  </w:pPr>
                </w:p>
              </w:tc>
              <w:tc>
                <w:tcPr>
                  <w:tcW w:w="765" w:type="dxa"/>
                  <w:vMerge w:val="continue"/>
                  <w:tcBorders>
                    <w:tl2br w:val="nil"/>
                    <w:tr2bl w:val="nil"/>
                  </w:tcBorders>
                  <w:noWrap w:val="0"/>
                  <w:vAlign w:val="center"/>
                </w:tcPr>
                <w:p>
                  <w:pPr>
                    <w:jc w:val="center"/>
                    <w:rPr>
                      <w:rFonts w:hint="default" w:ascii="Times New Roman" w:hAnsi="Times New Roman" w:cs="Times New Roman"/>
                      <w:b/>
                      <w:bCs/>
                      <w:color w:val="auto"/>
                      <w:lang w:val="en-US" w:eastAsia="zh-CN"/>
                    </w:rPr>
                  </w:pPr>
                </w:p>
              </w:tc>
              <w:tc>
                <w:tcPr>
                  <w:tcW w:w="936"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产生速率</w:t>
                  </w:r>
                </w:p>
              </w:tc>
              <w:tc>
                <w:tcPr>
                  <w:tcW w:w="725"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产生量</w:t>
                  </w:r>
                </w:p>
              </w:tc>
              <w:tc>
                <w:tcPr>
                  <w:tcW w:w="936"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排放速率</w:t>
                  </w:r>
                </w:p>
              </w:tc>
              <w:tc>
                <w:tcPr>
                  <w:tcW w:w="725"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排放量</w:t>
                  </w:r>
                </w:p>
              </w:tc>
              <w:tc>
                <w:tcPr>
                  <w:tcW w:w="964"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排放浓度</w:t>
                  </w:r>
                </w:p>
              </w:tc>
              <w:tc>
                <w:tcPr>
                  <w:tcW w:w="841"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排放速率</w:t>
                  </w:r>
                </w:p>
              </w:tc>
              <w:tc>
                <w:tcPr>
                  <w:tcW w:w="854"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浓度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7" w:hRule="atLeast"/>
                <w:jc w:val="center"/>
              </w:trPr>
              <w:tc>
                <w:tcPr>
                  <w:tcW w:w="972" w:type="dxa"/>
                  <w:vMerge w:val="continue"/>
                  <w:tcBorders>
                    <w:tl2br w:val="nil"/>
                    <w:tr2bl w:val="nil"/>
                  </w:tcBorders>
                  <w:noWrap w:val="0"/>
                  <w:vAlign w:val="center"/>
                </w:tcPr>
                <w:p>
                  <w:pPr>
                    <w:jc w:val="center"/>
                    <w:rPr>
                      <w:rFonts w:hint="default" w:ascii="Times New Roman" w:hAnsi="Times New Roman" w:cs="Times New Roman"/>
                      <w:color w:val="auto"/>
                    </w:rPr>
                  </w:pPr>
                </w:p>
              </w:tc>
              <w:tc>
                <w:tcPr>
                  <w:tcW w:w="765" w:type="dxa"/>
                  <w:vMerge w:val="continue"/>
                  <w:tcBorders>
                    <w:tl2br w:val="nil"/>
                    <w:tr2bl w:val="nil"/>
                  </w:tcBorders>
                  <w:noWrap w:val="0"/>
                  <w:vAlign w:val="center"/>
                </w:tcPr>
                <w:p>
                  <w:pPr>
                    <w:jc w:val="center"/>
                    <w:rPr>
                      <w:rFonts w:hint="default" w:ascii="Times New Roman" w:hAnsi="Times New Roman" w:cs="Times New Roman"/>
                      <w:color w:val="auto"/>
                    </w:rPr>
                  </w:pPr>
                </w:p>
              </w:tc>
              <w:tc>
                <w:tcPr>
                  <w:tcW w:w="765" w:type="dxa"/>
                  <w:vMerge w:val="continue"/>
                  <w:tcBorders>
                    <w:tl2br w:val="nil"/>
                    <w:tr2bl w:val="nil"/>
                  </w:tcBorders>
                  <w:noWrap w:val="0"/>
                  <w:vAlign w:val="center"/>
                </w:tcPr>
                <w:p>
                  <w:pPr>
                    <w:jc w:val="center"/>
                    <w:rPr>
                      <w:rFonts w:hint="default" w:ascii="Times New Roman" w:hAnsi="Times New Roman" w:cs="Times New Roman"/>
                      <w:color w:val="auto"/>
                    </w:rPr>
                  </w:pPr>
                </w:p>
              </w:tc>
              <w:tc>
                <w:tcPr>
                  <w:tcW w:w="936"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kg/h</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t/a</w:t>
                  </w:r>
                </w:p>
              </w:tc>
              <w:tc>
                <w:tcPr>
                  <w:tcW w:w="936" w:type="dxa"/>
                  <w:tcBorders>
                    <w:tl2br w:val="nil"/>
                    <w:tr2bl w:val="nil"/>
                  </w:tcBorders>
                  <w:noWrap w:val="0"/>
                  <w:vAlign w:val="center"/>
                </w:tcPr>
                <w:p>
                  <w:pPr>
                    <w:jc w:val="center"/>
                    <w:rPr>
                      <w:rFonts w:hint="default" w:ascii="Times New Roman" w:hAnsi="Times New Roman" w:cs="Times New Roman"/>
                      <w:b/>
                      <w:bCs/>
                      <w:color w:val="auto"/>
                      <w:lang w:val="en-US" w:eastAsia="zh-CN"/>
                    </w:rPr>
                  </w:pPr>
                  <w:r>
                    <w:rPr>
                      <w:rFonts w:hint="default" w:ascii="Times New Roman" w:hAnsi="Times New Roman" w:cs="Times New Roman"/>
                      <w:color w:val="auto"/>
                      <w:lang w:val="en-US" w:eastAsia="zh-CN"/>
                    </w:rPr>
                    <w:t>kg/h</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t/a</w:t>
                  </w:r>
                </w:p>
              </w:tc>
              <w:tc>
                <w:tcPr>
                  <w:tcW w:w="964" w:type="dxa"/>
                  <w:tcBorders>
                    <w:tl2br w:val="nil"/>
                    <w:tr2bl w:val="nil"/>
                  </w:tcBorders>
                  <w:noWrap w:val="0"/>
                  <w:vAlign w:val="center"/>
                </w:tcPr>
                <w:p>
                  <w:pPr>
                    <w:jc w:val="center"/>
                    <w:rPr>
                      <w:rFonts w:hint="default" w:ascii="Times New Roman" w:hAnsi="Times New Roman" w:cs="Times New Roman"/>
                      <w:color w:val="auto"/>
                      <w:vertAlign w:val="superscript"/>
                      <w:lang w:val="en-US" w:eastAsia="zh-CN"/>
                    </w:rPr>
                  </w:pPr>
                  <w:r>
                    <w:rPr>
                      <w:rFonts w:hint="default" w:ascii="Times New Roman" w:hAnsi="Times New Roman" w:cs="Times New Roman"/>
                      <w:color w:val="auto"/>
                      <w:kern w:val="0"/>
                      <w:sz w:val="24"/>
                      <w:szCs w:val="24"/>
                      <w:lang w:val="en-US" w:eastAsia="zh-CN" w:bidi="ar-SA"/>
                    </w:rPr>
                    <w:t>mg/m</w:t>
                  </w:r>
                  <w:r>
                    <w:rPr>
                      <w:rFonts w:hint="default" w:ascii="Times New Roman" w:hAnsi="Times New Roman" w:cs="Times New Roman"/>
                      <w:color w:val="auto"/>
                      <w:kern w:val="0"/>
                      <w:sz w:val="24"/>
                      <w:szCs w:val="24"/>
                      <w:vertAlign w:val="superscript"/>
                      <w:lang w:val="en-US" w:eastAsia="zh-CN" w:bidi="ar-SA"/>
                    </w:rPr>
                    <w:t>3</w:t>
                  </w:r>
                </w:p>
              </w:tc>
              <w:tc>
                <w:tcPr>
                  <w:tcW w:w="841"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kg/h</w:t>
                  </w:r>
                </w:p>
              </w:tc>
              <w:tc>
                <w:tcPr>
                  <w:tcW w:w="854"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kern w:val="0"/>
                      <w:sz w:val="24"/>
                      <w:szCs w:val="24"/>
                      <w:lang w:val="en-US" w:eastAsia="zh-CN" w:bidi="ar-SA"/>
                    </w:rPr>
                    <w:t>mg/m</w:t>
                  </w:r>
                  <w:r>
                    <w:rPr>
                      <w:rFonts w:hint="default" w:ascii="Times New Roman" w:hAnsi="Times New Roman" w:cs="Times New Roman"/>
                      <w:color w:val="auto"/>
                      <w:kern w:val="0"/>
                      <w:sz w:val="24"/>
                      <w:szCs w:val="24"/>
                      <w:vertAlign w:val="superscript"/>
                      <w:lang w:val="en-US" w:eastAsia="zh-CN" w:bidi="ar-SA"/>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972"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破碎、筛分</w:t>
                  </w:r>
                </w:p>
              </w:tc>
              <w:tc>
                <w:tcPr>
                  <w:tcW w:w="76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颗粒物</w:t>
                  </w:r>
                </w:p>
              </w:tc>
              <w:tc>
                <w:tcPr>
                  <w:tcW w:w="76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有组织</w:t>
                  </w:r>
                </w:p>
              </w:tc>
              <w:tc>
                <w:tcPr>
                  <w:tcW w:w="936"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0.9375</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936"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0.1875</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0.45</w:t>
                  </w:r>
                </w:p>
              </w:tc>
              <w:tc>
                <w:tcPr>
                  <w:tcW w:w="964"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9.375</w:t>
                  </w:r>
                </w:p>
              </w:tc>
              <w:tc>
                <w:tcPr>
                  <w:tcW w:w="841"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854"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4" w:hRule="atLeast"/>
                <w:jc w:val="center"/>
              </w:trPr>
              <w:tc>
                <w:tcPr>
                  <w:tcW w:w="972"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破碎、筛分</w:t>
                  </w:r>
                </w:p>
              </w:tc>
              <w:tc>
                <w:tcPr>
                  <w:tcW w:w="76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颗粒物</w:t>
                  </w:r>
                </w:p>
              </w:tc>
              <w:tc>
                <w:tcPr>
                  <w:tcW w:w="76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无组织</w:t>
                  </w:r>
                </w:p>
              </w:tc>
              <w:tc>
                <w:tcPr>
                  <w:tcW w:w="936"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3.75</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2.25</w:t>
                  </w:r>
                </w:p>
              </w:tc>
              <w:tc>
                <w:tcPr>
                  <w:tcW w:w="936"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0.0375</w:t>
                  </w:r>
                </w:p>
              </w:tc>
              <w:tc>
                <w:tcPr>
                  <w:tcW w:w="725"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0.09</w:t>
                  </w:r>
                </w:p>
              </w:tc>
              <w:tc>
                <w:tcPr>
                  <w:tcW w:w="964"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841"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0.5</w:t>
                  </w:r>
                </w:p>
              </w:tc>
              <w:tc>
                <w:tcPr>
                  <w:tcW w:w="854" w:type="dxa"/>
                  <w:tcBorders>
                    <w:tl2br w:val="nil"/>
                    <w:tr2bl w:val="nil"/>
                  </w:tcBorders>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lang w:eastAsia="zh-CN"/>
              </w:rPr>
              <w:t>)铲车装卸粉尘</w:t>
            </w:r>
            <w:r>
              <w:rPr>
                <w:rFonts w:hint="default" w:ascii="Times New Roman" w:hAnsi="Times New Roman" w:cs="Times New Roman"/>
                <w:color w:val="auto"/>
                <w:sz w:val="24"/>
                <w:szCs w:val="24"/>
                <w:lang w:val="en-US" w:eastAsia="zh-CN"/>
              </w:rPr>
              <w:t>G4</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ascii="Times New Roman" w:hAnsi="Times New Roman" w:eastAsia="宋体" w:cs="Times New Roman"/>
                <w:snapToGrid w:val="0"/>
                <w:color w:val="auto"/>
                <w:spacing w:val="0"/>
                <w:kern w:val="0"/>
                <w:sz w:val="24"/>
                <w:szCs w:val="24"/>
              </w:rPr>
            </w:pPr>
            <w:r>
              <w:rPr>
                <w:rFonts w:hint="default" w:ascii="Times New Roman" w:hAnsi="Times New Roman" w:eastAsia="宋体" w:cs="Times New Roman"/>
                <w:snapToGrid w:val="0"/>
                <w:color w:val="auto"/>
                <w:spacing w:val="0"/>
                <w:kern w:val="0"/>
                <w:sz w:val="24"/>
                <w:szCs w:val="24"/>
              </w:rPr>
              <w:t>筛分后的页岩通过铲车装卸到料仓等过程中，由于有约</w:t>
            </w:r>
            <w:r>
              <w:rPr>
                <w:rFonts w:hint="default" w:ascii="Times New Roman" w:hAnsi="Times New Roman" w:eastAsia="Times New Roman" w:cs="Times New Roman"/>
                <w:snapToGrid w:val="0"/>
                <w:color w:val="auto"/>
                <w:spacing w:val="0"/>
                <w:kern w:val="0"/>
                <w:sz w:val="24"/>
                <w:szCs w:val="24"/>
              </w:rPr>
              <w:t>1m</w:t>
            </w:r>
            <w:r>
              <w:rPr>
                <w:rFonts w:hint="default" w:ascii="Times New Roman" w:hAnsi="Times New Roman" w:eastAsia="宋体" w:cs="Times New Roman"/>
                <w:snapToGrid w:val="0"/>
                <w:color w:val="auto"/>
                <w:spacing w:val="0"/>
                <w:kern w:val="0"/>
                <w:sz w:val="24"/>
                <w:szCs w:val="24"/>
              </w:rPr>
              <w:t>左右的落差而将产生粉尘。参考《逸散性工业粉尘控制技术》中物料装卸运输章节，页岩均通过铲车在厂内运输，粒料粉尘无控制的排放因子为</w:t>
            </w:r>
            <w:r>
              <w:rPr>
                <w:rFonts w:hint="default" w:ascii="Times New Roman" w:hAnsi="Times New Roman" w:eastAsia="Times New Roman" w:cs="Times New Roman"/>
                <w:snapToGrid w:val="0"/>
                <w:color w:val="auto"/>
                <w:spacing w:val="0"/>
                <w:kern w:val="0"/>
                <w:sz w:val="24"/>
                <w:szCs w:val="24"/>
              </w:rPr>
              <w:t>0.01kg/t</w:t>
            </w:r>
            <w:r>
              <w:rPr>
                <w:rFonts w:hint="default" w:ascii="Times New Roman" w:hAnsi="Times New Roman" w:eastAsia="宋体" w:cs="Times New Roman"/>
                <w:snapToGrid w:val="0"/>
                <w:color w:val="auto"/>
                <w:spacing w:val="0"/>
                <w:kern w:val="0"/>
                <w:sz w:val="24"/>
                <w:szCs w:val="24"/>
              </w:rPr>
              <w:t>(卸料)。项目年装卸页岩约</w:t>
            </w:r>
            <w:r>
              <w:rPr>
                <w:rFonts w:hint="default" w:ascii="Times New Roman" w:hAnsi="Times New Roman" w:eastAsia="Times New Roman" w:cs="Times New Roman"/>
                <w:snapToGrid w:val="0"/>
                <w:color w:val="auto"/>
                <w:spacing w:val="0"/>
                <w:kern w:val="0"/>
                <w:sz w:val="24"/>
                <w:szCs w:val="24"/>
              </w:rPr>
              <w:t>15000</w:t>
            </w:r>
            <w:r>
              <w:rPr>
                <w:rFonts w:hint="default" w:ascii="Times New Roman" w:hAnsi="Times New Roman" w:eastAsia="宋体" w:cs="Times New Roman"/>
                <w:snapToGrid w:val="0"/>
                <w:color w:val="auto"/>
                <w:spacing w:val="0"/>
                <w:kern w:val="0"/>
                <w:sz w:val="24"/>
                <w:szCs w:val="24"/>
              </w:rPr>
              <w:t>吨，产生的粉尘量为</w:t>
            </w:r>
            <w:r>
              <w:rPr>
                <w:rFonts w:hint="default" w:ascii="Times New Roman" w:hAnsi="Times New Roman" w:eastAsia="Times New Roman" w:cs="Times New Roman"/>
                <w:snapToGrid w:val="0"/>
                <w:color w:val="auto"/>
                <w:spacing w:val="0"/>
                <w:kern w:val="0"/>
                <w:sz w:val="24"/>
                <w:szCs w:val="24"/>
              </w:rPr>
              <w:t>0.15t/a</w:t>
            </w:r>
            <w:r>
              <w:rPr>
                <w:rFonts w:hint="default" w:ascii="Times New Roman" w:hAnsi="Times New Roman" w:eastAsia="宋体" w:cs="Times New Roman"/>
                <w:snapToGrid w:val="0"/>
                <w:color w:val="auto"/>
                <w:spacing w:val="0"/>
                <w:kern w:val="0"/>
                <w:sz w:val="24"/>
                <w:szCs w:val="24"/>
              </w:rPr>
              <w:t>，卸料时间以</w:t>
            </w:r>
            <w:r>
              <w:rPr>
                <w:rFonts w:hint="default" w:ascii="Times New Roman" w:hAnsi="Times New Roman" w:eastAsia="Times New Roman" w:cs="Times New Roman"/>
                <w:snapToGrid w:val="0"/>
                <w:color w:val="auto"/>
                <w:spacing w:val="0"/>
                <w:kern w:val="0"/>
                <w:sz w:val="24"/>
                <w:szCs w:val="24"/>
              </w:rPr>
              <w:t>900h/a</w:t>
            </w:r>
            <w:r>
              <w:rPr>
                <w:rFonts w:hint="default" w:ascii="Times New Roman" w:hAnsi="Times New Roman" w:eastAsia="宋体" w:cs="Times New Roman"/>
                <w:snapToGrid w:val="0"/>
                <w:color w:val="auto"/>
                <w:spacing w:val="0"/>
                <w:kern w:val="0"/>
                <w:sz w:val="24"/>
                <w:szCs w:val="24"/>
              </w:rPr>
              <w:t>计。通过采取</w:t>
            </w:r>
            <w:r>
              <w:rPr>
                <w:rFonts w:hint="default" w:ascii="Times New Roman" w:hAnsi="Times New Roman" w:cs="Times New Roman"/>
                <w:snapToGrid w:val="0"/>
                <w:color w:val="auto"/>
                <w:spacing w:val="0"/>
                <w:kern w:val="0"/>
                <w:sz w:val="24"/>
                <w:szCs w:val="24"/>
                <w:lang w:val="en-US" w:eastAsia="zh-CN"/>
              </w:rPr>
              <w:t>三面</w:t>
            </w:r>
            <w:r>
              <w:rPr>
                <w:rFonts w:hint="default" w:ascii="Times New Roman" w:hAnsi="Times New Roman" w:eastAsia="宋体" w:cs="Times New Roman"/>
                <w:snapToGrid w:val="0"/>
                <w:color w:val="auto"/>
                <w:spacing w:val="0"/>
                <w:kern w:val="0"/>
                <w:sz w:val="24"/>
                <w:szCs w:val="24"/>
              </w:rPr>
              <w:t>密闭厂房和水喷淋措施对粉尘后，</w:t>
            </w:r>
            <w:r>
              <w:rPr>
                <w:rFonts w:hint="default" w:ascii="Times New Roman" w:hAnsi="Times New Roman" w:cs="Times New Roman"/>
                <w:color w:val="auto"/>
                <w:spacing w:val="0"/>
                <w:kern w:val="0"/>
                <w:sz w:val="24"/>
                <w:szCs w:val="20"/>
                <w:lang w:val="en-US" w:eastAsia="zh-CN" w:bidi="ar-SA"/>
              </w:rPr>
              <w:t>抑尘效率约80%，厂房内80%自然沉降，无组织综合</w:t>
            </w:r>
            <w:r>
              <w:rPr>
                <w:rFonts w:hint="default" w:ascii="Times New Roman" w:hAnsi="Times New Roman" w:cs="Times New Roman"/>
                <w:color w:val="auto"/>
                <w:kern w:val="0"/>
                <w:sz w:val="24"/>
                <w:szCs w:val="24"/>
                <w:vertAlign w:val="baseline"/>
                <w:lang w:val="en-US" w:eastAsia="zh-CN" w:bidi="ar-SA"/>
              </w:rPr>
              <w:t>排放量按4%计</w:t>
            </w:r>
            <w:r>
              <w:rPr>
                <w:rFonts w:hint="default" w:ascii="Times New Roman" w:hAnsi="Times New Roman" w:eastAsia="宋体" w:cs="Times New Roman"/>
                <w:snapToGrid w:val="0"/>
                <w:color w:val="auto"/>
                <w:spacing w:val="0"/>
                <w:kern w:val="0"/>
                <w:sz w:val="24"/>
                <w:szCs w:val="24"/>
              </w:rPr>
              <w:t>，则无组织排放量为</w:t>
            </w:r>
            <w:r>
              <w:rPr>
                <w:rFonts w:hint="default" w:ascii="Times New Roman" w:hAnsi="Times New Roman" w:eastAsia="宋体" w:cs="Times New Roman"/>
                <w:snapToGrid w:val="0"/>
                <w:color w:val="auto"/>
                <w:spacing w:val="0"/>
                <w:kern w:val="0"/>
                <w:sz w:val="24"/>
                <w:szCs w:val="24"/>
                <w:lang w:val="en-US" w:eastAsia="zh-CN"/>
              </w:rPr>
              <w:t>0.006</w:t>
            </w:r>
            <w:r>
              <w:rPr>
                <w:rFonts w:hint="default" w:ascii="Times New Roman" w:hAnsi="Times New Roman" w:eastAsia="Times New Roman" w:cs="Times New Roman"/>
                <w:snapToGrid w:val="0"/>
                <w:color w:val="auto"/>
                <w:spacing w:val="0"/>
                <w:kern w:val="0"/>
                <w:sz w:val="24"/>
                <w:szCs w:val="24"/>
              </w:rPr>
              <w:t>t/a</w:t>
            </w:r>
            <w:r>
              <w:rPr>
                <w:rFonts w:hint="default" w:ascii="Times New Roman" w:hAnsi="Times New Roman" w:eastAsia="宋体" w:cs="Times New Roman"/>
                <w:snapToGrid w:val="0"/>
                <w:color w:val="auto"/>
                <w:spacing w:val="0"/>
                <w:kern w:val="0"/>
                <w:sz w:val="24"/>
                <w:szCs w:val="24"/>
                <w:lang w:eastAsia="zh-CN"/>
              </w:rPr>
              <w:t>，</w:t>
            </w:r>
            <w:r>
              <w:rPr>
                <w:rFonts w:hint="default" w:ascii="Times New Roman" w:hAnsi="Times New Roman" w:eastAsia="宋体" w:cs="Times New Roman"/>
                <w:snapToGrid w:val="0"/>
                <w:color w:val="auto"/>
                <w:spacing w:val="0"/>
                <w:kern w:val="0"/>
                <w:sz w:val="24"/>
                <w:szCs w:val="24"/>
                <w:lang w:val="en-US" w:eastAsia="zh-CN"/>
              </w:rPr>
              <w:t>排放速率为0.00</w:t>
            </w:r>
            <w:r>
              <w:rPr>
                <w:rFonts w:hint="default" w:ascii="Times New Roman" w:hAnsi="Times New Roman" w:cs="Times New Roman"/>
                <w:snapToGrid w:val="0"/>
                <w:color w:val="auto"/>
                <w:spacing w:val="0"/>
                <w:kern w:val="0"/>
                <w:sz w:val="24"/>
                <w:szCs w:val="24"/>
                <w:lang w:val="en-US" w:eastAsia="zh-CN"/>
              </w:rPr>
              <w:t>25</w:t>
            </w:r>
            <w:r>
              <w:rPr>
                <w:rFonts w:hint="default" w:ascii="Times New Roman" w:hAnsi="Times New Roman" w:eastAsia="宋体" w:cs="Times New Roman"/>
                <w:snapToGrid w:val="0"/>
                <w:color w:val="auto"/>
                <w:spacing w:val="0"/>
                <w:kern w:val="0"/>
                <w:sz w:val="24"/>
                <w:szCs w:val="24"/>
                <w:lang w:val="en-US" w:eastAsia="zh-CN"/>
              </w:rPr>
              <w:t>kg/h</w:t>
            </w:r>
            <w:r>
              <w:rPr>
                <w:rFonts w:hint="default" w:ascii="Times New Roman" w:hAnsi="Times New Roman" w:eastAsia="宋体" w:cs="Times New Roman"/>
                <w:snapToGrid w:val="0"/>
                <w:color w:val="auto"/>
                <w:spacing w:val="0"/>
                <w:kern w:val="0"/>
                <w:sz w:val="24"/>
                <w:szCs w:val="24"/>
              </w:rPr>
              <w:t>。</w:t>
            </w:r>
          </w:p>
          <w:p>
            <w:pPr>
              <w:pStyle w:val="2"/>
              <w:jc w:val="center"/>
              <w:rPr>
                <w:rFonts w:hint="default" w:ascii="Times New Roman" w:hAnsi="Times New Roman" w:eastAsia="宋体" w:cs="Times New Roman"/>
                <w:b/>
                <w:bCs/>
                <w:color w:val="auto"/>
                <w:spacing w:val="0"/>
                <w:kern w:val="2"/>
                <w:sz w:val="24"/>
                <w:szCs w:val="24"/>
                <w:lang w:val="en-US" w:eastAsia="zh-CN" w:bidi="ar-SA"/>
              </w:rPr>
            </w:pPr>
            <w:r>
              <w:rPr>
                <w:rFonts w:hint="default" w:ascii="Times New Roman" w:hAnsi="Times New Roman" w:eastAsia="宋体" w:cs="Times New Roman"/>
                <w:b/>
                <w:bCs/>
                <w:color w:val="auto"/>
                <w:spacing w:val="0"/>
                <w:kern w:val="2"/>
                <w:sz w:val="24"/>
                <w:szCs w:val="24"/>
                <w:lang w:val="en-US" w:eastAsia="zh-CN" w:bidi="ar-SA"/>
              </w:rPr>
              <w:t>表4-</w:t>
            </w:r>
            <w:r>
              <w:rPr>
                <w:rFonts w:hint="default" w:ascii="Times New Roman" w:hAnsi="Times New Roman" w:cs="Times New Roman"/>
                <w:b/>
                <w:bCs/>
                <w:color w:val="auto"/>
                <w:spacing w:val="0"/>
                <w:kern w:val="2"/>
                <w:sz w:val="24"/>
                <w:szCs w:val="24"/>
                <w:lang w:val="en-US" w:eastAsia="zh-CN" w:bidi="ar-SA"/>
              </w:rPr>
              <w:t>5铲车装卸粉尘</w:t>
            </w:r>
            <w:r>
              <w:rPr>
                <w:rFonts w:hint="default" w:ascii="Times New Roman" w:hAnsi="Times New Roman" w:eastAsia="宋体" w:cs="Times New Roman"/>
                <w:b/>
                <w:bCs/>
                <w:color w:val="auto"/>
                <w:spacing w:val="0"/>
                <w:kern w:val="2"/>
                <w:sz w:val="24"/>
                <w:szCs w:val="24"/>
                <w:lang w:val="en-US" w:eastAsia="zh-CN" w:bidi="ar-SA"/>
              </w:rPr>
              <w:t>排放源强（无组织）</w:t>
            </w:r>
          </w:p>
          <w:tbl>
            <w:tblPr>
              <w:tblStyle w:val="2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1"/>
              <w:gridCol w:w="1411"/>
              <w:gridCol w:w="1411"/>
              <w:gridCol w:w="1411"/>
              <w:gridCol w:w="1412"/>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污染源</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污染因子</w:t>
                  </w:r>
                </w:p>
              </w:tc>
              <w:tc>
                <w:tcPr>
                  <w:tcW w:w="1666"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产生情况</w:t>
                  </w:r>
                </w:p>
              </w:tc>
              <w:tc>
                <w:tcPr>
                  <w:tcW w:w="1667"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产生量</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排放速率</w:t>
                  </w:r>
                </w:p>
              </w:tc>
              <w:tc>
                <w:tcPr>
                  <w:tcW w:w="834"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color w:val="auto"/>
                      <w:sz w:val="24"/>
                      <w:szCs w:val="24"/>
                      <w:lang w:eastAsia="zh-CN"/>
                    </w:rPr>
                    <w:t>铲车装卸</w:t>
                  </w:r>
                  <w:r>
                    <w:rPr>
                      <w:rFonts w:hint="default" w:ascii="Times New Roman" w:hAnsi="Times New Roman" w:eastAsia="宋体" w:cs="Times New Roman"/>
                      <w:b w:val="0"/>
                      <w:bCs w:val="0"/>
                      <w:color w:val="auto"/>
                      <w:kern w:val="0"/>
                      <w:sz w:val="21"/>
                      <w:szCs w:val="21"/>
                      <w:vertAlign w:val="baseline"/>
                      <w:lang w:val="en-US" w:eastAsia="zh-CN" w:bidi="ar-SA"/>
                    </w:rPr>
                    <w:t>粉尘</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颗粒物</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4"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0.166</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0.15</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0.0</w:t>
                  </w:r>
                  <w:r>
                    <w:rPr>
                      <w:rFonts w:hint="default" w:ascii="Times New Roman" w:hAnsi="Times New Roman" w:cs="Times New Roman"/>
                      <w:b w:val="0"/>
                      <w:bCs w:val="0"/>
                      <w:color w:val="auto"/>
                      <w:kern w:val="0"/>
                      <w:sz w:val="21"/>
                      <w:szCs w:val="21"/>
                      <w:vertAlign w:val="baseline"/>
                      <w:lang w:val="en-US" w:eastAsia="zh-CN" w:bidi="ar-SA"/>
                    </w:rPr>
                    <w:t>025</w:t>
                  </w:r>
                </w:p>
              </w:tc>
              <w:tc>
                <w:tcPr>
                  <w:tcW w:w="834"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0.0</w:t>
                  </w:r>
                  <w:r>
                    <w:rPr>
                      <w:rFonts w:hint="default" w:ascii="Times New Roman" w:hAnsi="Times New Roman" w:cs="Times New Roman"/>
                      <w:b w:val="0"/>
                      <w:bCs w:val="0"/>
                      <w:color w:val="auto"/>
                      <w:kern w:val="0"/>
                      <w:sz w:val="21"/>
                      <w:szCs w:val="21"/>
                      <w:vertAlign w:val="baseline"/>
                      <w:lang w:val="en-US" w:eastAsia="zh-CN" w:bidi="ar-SA"/>
                    </w:rPr>
                    <w:t>06</w:t>
                  </w:r>
                </w:p>
              </w:tc>
            </w:tr>
          </w:tbl>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480" w:firstLineChars="200"/>
              <w:jc w:val="both"/>
              <w:textAlignment w:val="baseline"/>
              <w:rPr>
                <w:rFonts w:hint="default" w:ascii="Times New Roman" w:hAnsi="Times New Roman" w:eastAsia="宋体" w:cs="Times New Roman"/>
                <w:snapToGrid w:val="0"/>
                <w:color w:val="auto"/>
                <w:spacing w:val="0"/>
                <w:kern w:val="0"/>
                <w:sz w:val="24"/>
                <w:szCs w:val="24"/>
                <w:lang w:val="en-US" w:eastAsia="zh-CN"/>
              </w:rPr>
            </w:pPr>
            <w:r>
              <w:rPr>
                <w:rFonts w:hint="default" w:ascii="Times New Roman" w:hAnsi="Times New Roman" w:eastAsia="宋体" w:cs="Times New Roman"/>
                <w:snapToGrid w:val="0"/>
                <w:color w:val="auto"/>
                <w:spacing w:val="0"/>
                <w:kern w:val="0"/>
                <w:sz w:val="24"/>
                <w:szCs w:val="24"/>
              </w:rPr>
              <w:t>(</w:t>
            </w:r>
            <w:r>
              <w:rPr>
                <w:rFonts w:hint="default" w:ascii="Times New Roman" w:hAnsi="Times New Roman" w:eastAsia="宋体" w:cs="Times New Roman"/>
                <w:snapToGrid w:val="0"/>
                <w:color w:val="auto"/>
                <w:spacing w:val="0"/>
                <w:kern w:val="0"/>
                <w:sz w:val="24"/>
                <w:szCs w:val="24"/>
                <w:lang w:val="en-US" w:eastAsia="zh-CN"/>
              </w:rPr>
              <w:t>5</w:t>
            </w:r>
            <w:r>
              <w:rPr>
                <w:rFonts w:hint="default" w:ascii="Times New Roman" w:hAnsi="Times New Roman" w:eastAsia="宋体" w:cs="Times New Roman"/>
                <w:snapToGrid w:val="0"/>
                <w:color w:val="auto"/>
                <w:spacing w:val="0"/>
                <w:kern w:val="0"/>
                <w:sz w:val="24"/>
                <w:szCs w:val="24"/>
              </w:rPr>
              <w:t>)料仓呼吸粉尘</w:t>
            </w:r>
            <w:r>
              <w:rPr>
                <w:rFonts w:hint="default" w:ascii="Times New Roman" w:hAnsi="Times New Roman" w:cs="Times New Roman"/>
                <w:snapToGrid w:val="0"/>
                <w:color w:val="auto"/>
                <w:spacing w:val="0"/>
                <w:kern w:val="0"/>
                <w:sz w:val="24"/>
                <w:szCs w:val="24"/>
                <w:lang w:val="en-US" w:eastAsia="zh-CN"/>
              </w:rPr>
              <w:t>G5</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val="0"/>
                <w:color w:val="auto"/>
                <w:spacing w:val="0"/>
                <w:kern w:val="0"/>
                <w:sz w:val="24"/>
                <w:szCs w:val="24"/>
                <w:lang w:bidi="ar-SA"/>
              </w:rPr>
            </w:pPr>
            <w:r>
              <w:rPr>
                <w:rFonts w:hint="default" w:ascii="Times New Roman" w:hAnsi="Times New Roman" w:eastAsia="宋体" w:cs="Times New Roman"/>
                <w:snapToGrid w:val="0"/>
                <w:color w:val="auto"/>
                <w:spacing w:val="0"/>
                <w:kern w:val="0"/>
                <w:sz w:val="24"/>
                <w:szCs w:val="24"/>
                <w:lang w:bidi="ar-SA"/>
              </w:rPr>
              <w:t>本项目共设置1台</w:t>
            </w:r>
            <w:r>
              <w:rPr>
                <w:rFonts w:hint="default" w:ascii="Times New Roman" w:hAnsi="Times New Roman" w:eastAsia="宋体" w:cs="Times New Roman"/>
                <w:snapToGrid w:val="0"/>
                <w:color w:val="auto"/>
                <w:spacing w:val="0"/>
                <w:kern w:val="0"/>
                <w:sz w:val="24"/>
                <w:szCs w:val="24"/>
                <w:lang w:val="en-US" w:eastAsia="zh-CN" w:bidi="ar-SA"/>
              </w:rPr>
              <w:t>水泥筒</w:t>
            </w:r>
            <w:r>
              <w:rPr>
                <w:rFonts w:hint="default" w:ascii="Times New Roman" w:hAnsi="Times New Roman" w:eastAsia="宋体" w:cs="Times New Roman"/>
                <w:snapToGrid w:val="0"/>
                <w:color w:val="auto"/>
                <w:spacing w:val="0"/>
                <w:kern w:val="0"/>
                <w:sz w:val="24"/>
                <w:szCs w:val="24"/>
                <w:lang w:bidi="ar-SA"/>
              </w:rPr>
              <w:t>仓，</w:t>
            </w:r>
            <w:r>
              <w:rPr>
                <w:rFonts w:hint="default" w:ascii="Times New Roman" w:hAnsi="Times New Roman" w:eastAsia="宋体" w:cs="Times New Roman"/>
                <w:snapToGrid w:val="0"/>
                <w:color w:val="auto"/>
                <w:spacing w:val="0"/>
                <w:kern w:val="0"/>
                <w:sz w:val="24"/>
                <w:szCs w:val="24"/>
                <w:lang w:val="en-US" w:eastAsia="zh-CN" w:bidi="ar-SA"/>
              </w:rPr>
              <w:t>水泥</w:t>
            </w:r>
            <w:r>
              <w:rPr>
                <w:rFonts w:hint="default" w:ascii="Times New Roman" w:hAnsi="Times New Roman" w:eastAsia="宋体" w:cs="Times New Roman"/>
                <w:snapToGrid w:val="0"/>
                <w:color w:val="auto"/>
                <w:spacing w:val="0"/>
                <w:kern w:val="0"/>
                <w:sz w:val="24"/>
                <w:szCs w:val="24"/>
                <w:lang w:bidi="ar-SA"/>
              </w:rPr>
              <w:t>通过运输车与管道封闭直连，以压缩空气吹入形式进入料仓，然后采取密闭螺旋输送机进行计量给料。空压机向料仓打料时仓顶呼吸口会产生粉尘。料仓顶部自带滤筒式除尘器，对料仓呼吸粉尘进行处理，处理效率以98%计，料仓呼吸粉尘经处理后无组织排放。</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napToGrid w:val="0"/>
                <w:color w:val="auto"/>
                <w:spacing w:val="0"/>
                <w:kern w:val="0"/>
                <w:sz w:val="24"/>
                <w:szCs w:val="24"/>
                <w:lang w:val="en-US" w:eastAsia="zh-CN" w:bidi="ar-SA"/>
              </w:rPr>
            </w:pPr>
            <w:r>
              <w:rPr>
                <w:rFonts w:hint="default" w:ascii="Times New Roman" w:hAnsi="Times New Roman" w:eastAsia="宋体" w:cs="Times New Roman"/>
                <w:snapToGrid w:val="0"/>
                <w:color w:val="auto"/>
                <w:spacing w:val="0"/>
                <w:kern w:val="0"/>
                <w:sz w:val="24"/>
                <w:szCs w:val="24"/>
                <w:lang w:bidi="ar-SA"/>
              </w:rPr>
              <w:t>参考《逸散性工业粉尘控制技术》中“第二十二章、混凝土分批搅拌厂”中表22-1,逸散尘排放因子取0.12kg/t物料，项目年用水泥量为</w:t>
            </w:r>
            <w:r>
              <w:rPr>
                <w:rFonts w:hint="default" w:ascii="Times New Roman" w:hAnsi="Times New Roman" w:cs="Times New Roman"/>
                <w:snapToGrid w:val="0"/>
                <w:color w:val="auto"/>
                <w:spacing w:val="0"/>
                <w:kern w:val="0"/>
                <w:sz w:val="24"/>
                <w:szCs w:val="24"/>
                <w:lang w:val="en-US" w:eastAsia="zh-CN" w:bidi="ar-SA"/>
              </w:rPr>
              <w:t>1</w:t>
            </w:r>
            <w:r>
              <w:rPr>
                <w:rFonts w:hint="default" w:ascii="Times New Roman" w:hAnsi="Times New Roman" w:eastAsia="宋体" w:cs="Times New Roman"/>
                <w:snapToGrid w:val="0"/>
                <w:color w:val="auto"/>
                <w:spacing w:val="0"/>
                <w:kern w:val="0"/>
                <w:sz w:val="24"/>
                <w:szCs w:val="24"/>
                <w:lang w:bidi="ar-SA"/>
              </w:rPr>
              <w:t>000t,</w:t>
            </w:r>
            <w:r>
              <w:rPr>
                <w:rFonts w:hint="default" w:ascii="Times New Roman" w:hAnsi="Times New Roman" w:cs="Times New Roman"/>
                <w:snapToGrid w:val="0"/>
                <w:color w:val="auto"/>
                <w:spacing w:val="0"/>
                <w:kern w:val="0"/>
                <w:sz w:val="24"/>
                <w:szCs w:val="24"/>
                <w:lang w:val="en-US" w:eastAsia="zh-CN" w:bidi="ar-SA"/>
              </w:rPr>
              <w:t>水泥筒</w:t>
            </w:r>
            <w:r>
              <w:rPr>
                <w:rFonts w:hint="default" w:ascii="Times New Roman" w:hAnsi="Times New Roman" w:eastAsia="宋体" w:cs="Times New Roman"/>
                <w:snapToGrid w:val="0"/>
                <w:color w:val="auto"/>
                <w:spacing w:val="0"/>
                <w:kern w:val="0"/>
                <w:sz w:val="24"/>
                <w:szCs w:val="24"/>
                <w:lang w:bidi="ar-SA"/>
              </w:rPr>
              <w:t>仓通过空气压缩泵将原料打入料仓时间以100h/a计。料仓顶部自带滤筒式除尘器，对料仓呼吸粉尘进行处理，</w:t>
            </w:r>
            <w:r>
              <w:rPr>
                <w:rFonts w:hint="default" w:ascii="Times New Roman" w:hAnsi="Times New Roman" w:cs="Times New Roman"/>
                <w:snapToGrid w:val="0"/>
                <w:color w:val="auto"/>
                <w:spacing w:val="0"/>
                <w:kern w:val="0"/>
                <w:sz w:val="24"/>
                <w:szCs w:val="24"/>
                <w:lang w:val="en-US" w:eastAsia="zh-CN" w:bidi="ar-SA"/>
              </w:rPr>
              <w:t>收集效率100%,</w:t>
            </w:r>
            <w:r>
              <w:rPr>
                <w:rFonts w:hint="default" w:ascii="Times New Roman" w:hAnsi="Times New Roman" w:eastAsia="宋体" w:cs="Times New Roman"/>
                <w:snapToGrid w:val="0"/>
                <w:color w:val="auto"/>
                <w:spacing w:val="0"/>
                <w:kern w:val="0"/>
                <w:sz w:val="24"/>
                <w:szCs w:val="24"/>
                <w:lang w:bidi="ar-SA"/>
              </w:rPr>
              <w:t>处理效率以98%计</w:t>
            </w:r>
            <w:r>
              <w:rPr>
                <w:rFonts w:hint="default" w:ascii="Times New Roman" w:hAnsi="Times New Roman" w:cs="Times New Roman"/>
                <w:snapToGrid w:val="0"/>
                <w:color w:val="auto"/>
                <w:spacing w:val="0"/>
                <w:kern w:val="0"/>
                <w:sz w:val="24"/>
                <w:szCs w:val="24"/>
                <w:lang w:eastAsia="zh-CN" w:bidi="ar-SA"/>
              </w:rPr>
              <w:t>，</w:t>
            </w:r>
            <w:r>
              <w:rPr>
                <w:rFonts w:hint="default" w:ascii="Times New Roman" w:hAnsi="Times New Roman" w:cs="Times New Roman"/>
                <w:snapToGrid w:val="0"/>
                <w:color w:val="auto"/>
                <w:spacing w:val="0"/>
                <w:kern w:val="0"/>
                <w:sz w:val="24"/>
                <w:szCs w:val="24"/>
                <w:lang w:val="en-US" w:eastAsia="zh-CN" w:bidi="ar-SA"/>
              </w:rPr>
              <w:t>风机风量2000m</w:t>
            </w:r>
            <w:r>
              <w:rPr>
                <w:rFonts w:hint="default" w:ascii="Times New Roman" w:hAnsi="Times New Roman" w:cs="Times New Roman"/>
                <w:snapToGrid w:val="0"/>
                <w:color w:val="auto"/>
                <w:spacing w:val="0"/>
                <w:kern w:val="0"/>
                <w:sz w:val="24"/>
                <w:szCs w:val="24"/>
                <w:vertAlign w:val="superscript"/>
                <w:lang w:val="en-US" w:eastAsia="zh-CN" w:bidi="ar-SA"/>
              </w:rPr>
              <w:t>3</w:t>
            </w:r>
            <w:r>
              <w:rPr>
                <w:rFonts w:hint="default" w:ascii="Times New Roman" w:hAnsi="Times New Roman" w:cs="Times New Roman"/>
                <w:snapToGrid w:val="0"/>
                <w:color w:val="auto"/>
                <w:spacing w:val="0"/>
                <w:kern w:val="0"/>
                <w:sz w:val="24"/>
                <w:szCs w:val="24"/>
                <w:vertAlign w:val="baseline"/>
                <w:lang w:val="en-US" w:eastAsia="zh-CN" w:bidi="ar-SA"/>
              </w:rPr>
              <w:t>/h</w:t>
            </w:r>
            <w:r>
              <w:rPr>
                <w:rFonts w:hint="default" w:ascii="Times New Roman" w:hAnsi="Times New Roman" w:eastAsia="宋体" w:cs="Times New Roman"/>
                <w:snapToGrid w:val="0"/>
                <w:color w:val="auto"/>
                <w:spacing w:val="0"/>
                <w:kern w:val="0"/>
                <w:sz w:val="24"/>
                <w:szCs w:val="24"/>
                <w:lang w:bidi="ar-SA"/>
              </w:rPr>
              <w:t>。故料仓呼吸粉尘</w:t>
            </w:r>
            <w:r>
              <w:rPr>
                <w:rFonts w:hint="default" w:ascii="Times New Roman" w:hAnsi="Times New Roman" w:cs="Times New Roman"/>
                <w:snapToGrid w:val="0"/>
                <w:color w:val="auto"/>
                <w:spacing w:val="0"/>
                <w:kern w:val="0"/>
                <w:sz w:val="24"/>
                <w:szCs w:val="24"/>
                <w:lang w:val="en-US" w:eastAsia="zh-CN" w:bidi="ar-SA"/>
              </w:rPr>
              <w:t>产生量</w:t>
            </w:r>
            <w:r>
              <w:rPr>
                <w:rFonts w:hint="default" w:ascii="Times New Roman" w:hAnsi="Times New Roman" w:eastAsia="宋体" w:cs="Times New Roman"/>
                <w:snapToGrid w:val="0"/>
                <w:color w:val="auto"/>
                <w:spacing w:val="0"/>
                <w:kern w:val="0"/>
                <w:sz w:val="24"/>
                <w:szCs w:val="24"/>
                <w:lang w:bidi="ar-SA"/>
              </w:rPr>
              <w:t>约为0.</w:t>
            </w:r>
            <w:r>
              <w:rPr>
                <w:rFonts w:hint="default" w:ascii="Times New Roman" w:hAnsi="Times New Roman" w:cs="Times New Roman"/>
                <w:snapToGrid w:val="0"/>
                <w:color w:val="auto"/>
                <w:spacing w:val="0"/>
                <w:kern w:val="0"/>
                <w:sz w:val="24"/>
                <w:szCs w:val="24"/>
                <w:lang w:val="en-US" w:eastAsia="zh-CN" w:bidi="ar-SA"/>
              </w:rPr>
              <w:t>12</w:t>
            </w:r>
            <w:r>
              <w:rPr>
                <w:rFonts w:hint="default" w:ascii="Times New Roman" w:hAnsi="Times New Roman" w:eastAsia="宋体" w:cs="Times New Roman"/>
                <w:snapToGrid w:val="0"/>
                <w:color w:val="auto"/>
                <w:spacing w:val="0"/>
                <w:kern w:val="0"/>
                <w:sz w:val="24"/>
                <w:szCs w:val="24"/>
                <w:lang w:bidi="ar-SA"/>
              </w:rPr>
              <w:t>t/a</w:t>
            </w:r>
            <w:r>
              <w:rPr>
                <w:rFonts w:hint="default" w:ascii="Times New Roman" w:hAnsi="Times New Roman" w:cs="Times New Roman"/>
                <w:snapToGrid w:val="0"/>
                <w:color w:val="auto"/>
                <w:spacing w:val="0"/>
                <w:kern w:val="0"/>
                <w:sz w:val="24"/>
                <w:szCs w:val="24"/>
                <w:lang w:eastAsia="zh-CN" w:bidi="ar-SA"/>
              </w:rPr>
              <w:t>，</w:t>
            </w:r>
            <w:r>
              <w:rPr>
                <w:rFonts w:hint="default" w:ascii="Times New Roman" w:hAnsi="Times New Roman" w:cs="Times New Roman"/>
                <w:snapToGrid w:val="0"/>
                <w:color w:val="auto"/>
                <w:spacing w:val="0"/>
                <w:kern w:val="0"/>
                <w:sz w:val="24"/>
                <w:szCs w:val="24"/>
                <w:lang w:val="en-US" w:eastAsia="zh-CN" w:bidi="ar-SA"/>
              </w:rPr>
              <w:t>排放量为0.0024t/a。</w:t>
            </w:r>
          </w:p>
          <w:p>
            <w:pPr>
              <w:pStyle w:val="2"/>
              <w:jc w:val="center"/>
              <w:rPr>
                <w:rFonts w:hint="default" w:ascii="Times New Roman" w:hAnsi="Times New Roman" w:eastAsia="宋体" w:cs="Times New Roman"/>
                <w:b/>
                <w:bCs/>
                <w:color w:val="auto"/>
                <w:spacing w:val="0"/>
                <w:kern w:val="2"/>
                <w:sz w:val="24"/>
                <w:szCs w:val="24"/>
                <w:lang w:val="en-US" w:eastAsia="zh-CN" w:bidi="ar-SA"/>
              </w:rPr>
            </w:pPr>
            <w:r>
              <w:rPr>
                <w:rFonts w:hint="default" w:ascii="Times New Roman" w:hAnsi="Times New Roman" w:eastAsia="宋体" w:cs="Times New Roman"/>
                <w:b/>
                <w:bCs/>
                <w:color w:val="auto"/>
                <w:spacing w:val="0"/>
                <w:kern w:val="2"/>
                <w:sz w:val="24"/>
                <w:szCs w:val="24"/>
                <w:lang w:val="en-US" w:eastAsia="zh-CN" w:bidi="ar-SA"/>
              </w:rPr>
              <w:t>表4-</w:t>
            </w:r>
            <w:r>
              <w:rPr>
                <w:rFonts w:hint="default" w:ascii="Times New Roman" w:hAnsi="Times New Roman" w:cs="Times New Roman"/>
                <w:b/>
                <w:bCs/>
                <w:color w:val="auto"/>
                <w:spacing w:val="0"/>
                <w:kern w:val="2"/>
                <w:sz w:val="24"/>
                <w:szCs w:val="24"/>
                <w:lang w:val="en-US" w:eastAsia="zh-CN" w:bidi="ar-SA"/>
              </w:rPr>
              <w:t>6</w:t>
            </w:r>
            <w:r>
              <w:rPr>
                <w:rFonts w:hint="default" w:ascii="Times New Roman" w:hAnsi="Times New Roman" w:eastAsia="宋体" w:cs="Times New Roman"/>
                <w:b/>
                <w:bCs/>
                <w:color w:val="auto"/>
                <w:spacing w:val="0"/>
                <w:kern w:val="2"/>
                <w:sz w:val="24"/>
                <w:szCs w:val="24"/>
                <w:lang w:val="en-US" w:eastAsia="zh-CN" w:bidi="ar-SA"/>
              </w:rPr>
              <w:t>料仓呼吸粉尘排放源强（无组织）</w:t>
            </w:r>
          </w:p>
          <w:tbl>
            <w:tblPr>
              <w:tblStyle w:val="2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1"/>
              <w:gridCol w:w="1411"/>
              <w:gridCol w:w="1411"/>
              <w:gridCol w:w="1411"/>
              <w:gridCol w:w="1412"/>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污染源</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污染因子</w:t>
                  </w:r>
                </w:p>
              </w:tc>
              <w:tc>
                <w:tcPr>
                  <w:tcW w:w="1666"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产生情况</w:t>
                  </w:r>
                </w:p>
              </w:tc>
              <w:tc>
                <w:tcPr>
                  <w:tcW w:w="1667"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产生量</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装料粉尘</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颗粒物</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1.2</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0.12</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0.001</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0.0024</w:t>
                  </w:r>
                </w:p>
              </w:tc>
            </w:tr>
          </w:tbl>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（6）装卸粉尘</w:t>
            </w:r>
            <w:r>
              <w:rPr>
                <w:rFonts w:hint="default" w:ascii="Times New Roman" w:hAnsi="Times New Roman" w:cs="Times New Roman"/>
                <w:snapToGrid w:val="0"/>
                <w:color w:val="auto"/>
                <w:spacing w:val="0"/>
                <w:kern w:val="0"/>
                <w:sz w:val="24"/>
                <w:szCs w:val="24"/>
                <w:lang w:val="en-US" w:eastAsia="zh-CN"/>
              </w:rPr>
              <w:t>G6</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在原料运输进场倾倒原料及产品装运卡车均产生少量粉尘，本评价参照《逸散性工业粉尘控制系数》中“表18-1粒料加工厂逸散尘的排放因子”中各尘源的排放因子，卸料及装料排放因子均为0.02kg/t，本项目年卸页岩19000，高性能环保滤料年产量约20000吨，则装卸粉尘产生量为0.78t/a，装卸过程在三面封闭车间内，结合喷淋洒水，</w:t>
            </w:r>
            <w:r>
              <w:rPr>
                <w:rFonts w:hint="default" w:ascii="Times New Roman" w:hAnsi="Times New Roman" w:cs="Times New Roman"/>
                <w:color w:val="auto"/>
                <w:spacing w:val="0"/>
                <w:kern w:val="0"/>
                <w:sz w:val="24"/>
                <w:szCs w:val="20"/>
                <w:lang w:val="en-US" w:eastAsia="zh-CN" w:bidi="ar-SA"/>
              </w:rPr>
              <w:t>抑尘效率约80%，厂房内80%自然沉降，无组织综合</w:t>
            </w:r>
            <w:r>
              <w:rPr>
                <w:rFonts w:hint="default" w:ascii="Times New Roman" w:hAnsi="Times New Roman" w:cs="Times New Roman"/>
                <w:color w:val="auto"/>
                <w:kern w:val="0"/>
                <w:sz w:val="24"/>
                <w:szCs w:val="24"/>
                <w:vertAlign w:val="baseline"/>
                <w:lang w:val="en-US" w:eastAsia="zh-CN" w:bidi="ar-SA"/>
              </w:rPr>
              <w:t>排放量按4%计</w:t>
            </w:r>
            <w:r>
              <w:rPr>
                <w:rFonts w:hint="default" w:ascii="Times New Roman" w:hAnsi="Times New Roman" w:cs="Times New Roman"/>
                <w:color w:val="auto"/>
                <w:sz w:val="24"/>
                <w:szCs w:val="24"/>
                <w:lang w:val="en-US" w:eastAsia="zh-CN"/>
              </w:rPr>
              <w:t>，则装卸料粉尘排放量为0.0312t/a。</w:t>
            </w:r>
          </w:p>
          <w:p>
            <w:pPr>
              <w:pStyle w:val="2"/>
              <w:jc w:val="center"/>
              <w:rPr>
                <w:rFonts w:hint="default" w:ascii="Times New Roman" w:hAnsi="Times New Roman" w:eastAsia="宋体" w:cs="Times New Roman"/>
                <w:b/>
                <w:bCs/>
                <w:color w:val="auto"/>
                <w:spacing w:val="0"/>
                <w:kern w:val="2"/>
                <w:sz w:val="24"/>
                <w:szCs w:val="24"/>
                <w:lang w:val="en-US" w:eastAsia="zh-CN" w:bidi="ar-SA"/>
              </w:rPr>
            </w:pPr>
            <w:r>
              <w:rPr>
                <w:rFonts w:hint="default" w:ascii="Times New Roman" w:hAnsi="Times New Roman" w:eastAsia="宋体" w:cs="Times New Roman"/>
                <w:b/>
                <w:bCs/>
                <w:color w:val="auto"/>
                <w:spacing w:val="0"/>
                <w:kern w:val="2"/>
                <w:sz w:val="24"/>
                <w:szCs w:val="24"/>
                <w:lang w:val="en-US" w:eastAsia="zh-CN" w:bidi="ar-SA"/>
              </w:rPr>
              <w:t>表4-</w:t>
            </w:r>
            <w:r>
              <w:rPr>
                <w:rFonts w:hint="default" w:ascii="Times New Roman" w:hAnsi="Times New Roman" w:cs="Times New Roman"/>
                <w:b/>
                <w:bCs/>
                <w:color w:val="auto"/>
                <w:spacing w:val="0"/>
                <w:kern w:val="2"/>
                <w:sz w:val="24"/>
                <w:szCs w:val="24"/>
                <w:lang w:val="en-US" w:eastAsia="zh-CN" w:bidi="ar-SA"/>
              </w:rPr>
              <w:t>6装卸粉尘</w:t>
            </w:r>
            <w:r>
              <w:rPr>
                <w:rFonts w:hint="default" w:ascii="Times New Roman" w:hAnsi="Times New Roman" w:eastAsia="宋体" w:cs="Times New Roman"/>
                <w:b/>
                <w:bCs/>
                <w:color w:val="auto"/>
                <w:spacing w:val="0"/>
                <w:kern w:val="2"/>
                <w:sz w:val="24"/>
                <w:szCs w:val="24"/>
                <w:lang w:val="en-US" w:eastAsia="zh-CN" w:bidi="ar-SA"/>
              </w:rPr>
              <w:t>排放源强（无组织）</w:t>
            </w:r>
          </w:p>
          <w:tbl>
            <w:tblPr>
              <w:tblStyle w:val="28"/>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11"/>
              <w:gridCol w:w="1411"/>
              <w:gridCol w:w="1411"/>
              <w:gridCol w:w="1411"/>
              <w:gridCol w:w="1412"/>
              <w:gridCol w:w="14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污染源</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污染因子</w:t>
                  </w:r>
                </w:p>
              </w:tc>
              <w:tc>
                <w:tcPr>
                  <w:tcW w:w="1666"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产生情况</w:t>
                  </w:r>
                </w:p>
              </w:tc>
              <w:tc>
                <w:tcPr>
                  <w:tcW w:w="1667" w:type="pct"/>
                  <w:gridSpan w:val="2"/>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产生量</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排放速率</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bCs/>
                      <w:color w:val="auto"/>
                      <w:kern w:val="0"/>
                      <w:sz w:val="21"/>
                      <w:szCs w:val="21"/>
                      <w:vertAlign w:val="baseline"/>
                      <w:lang w:val="en-US" w:eastAsia="zh-CN" w:bidi="ar-SA"/>
                    </w:rPr>
                  </w:pPr>
                  <w:r>
                    <w:rPr>
                      <w:rFonts w:hint="default" w:ascii="Times New Roman" w:hAnsi="Times New Roman" w:eastAsia="宋体" w:cs="Times New Roman"/>
                      <w:b/>
                      <w:bCs/>
                      <w:color w:val="auto"/>
                      <w:kern w:val="0"/>
                      <w:sz w:val="21"/>
                      <w:szCs w:val="21"/>
                      <w:vertAlign w:val="baseline"/>
                      <w:lang w:val="en-US" w:eastAsia="zh-CN" w:bidi="ar-SA"/>
                    </w:rPr>
                    <w:t>排放量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装卸粉尘</w:t>
                  </w:r>
                </w:p>
              </w:tc>
              <w:tc>
                <w:tcPr>
                  <w:tcW w:w="833" w:type="pct"/>
                  <w:vMerge w:val="restar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颗粒物</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kg/h</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eastAsia="宋体" w:cs="Times New Roman"/>
                      <w:b w:val="0"/>
                      <w:bCs w:val="0"/>
                      <w:color w:val="auto"/>
                      <w:kern w:val="0"/>
                      <w:sz w:val="21"/>
                      <w:szCs w:val="21"/>
                      <w:vertAlign w:val="baseline"/>
                      <w:lang w:val="en-US" w:eastAsia="zh-CN" w:bidi="ar-SA"/>
                    </w:rPr>
                    <w:t>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vMerge w:val="continue"/>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0.325</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0.78</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0.013</w:t>
                  </w:r>
                </w:p>
              </w:tc>
              <w:tc>
                <w:tcPr>
                  <w:tcW w:w="833" w:type="pct"/>
                  <w:tcBorders>
                    <w:tl2br w:val="nil"/>
                    <w:tr2bl w:val="nil"/>
                  </w:tcBorders>
                  <w:noWrap w:val="0"/>
                  <w:vAlign w:val="center"/>
                </w:tcPr>
                <w:p>
                  <w:pPr>
                    <w:widowControl/>
                    <w:spacing w:before="0" w:beforeAutospacing="0" w:after="0" w:afterAutospacing="0" w:line="360" w:lineRule="auto"/>
                    <w:jc w:val="center"/>
                    <w:rPr>
                      <w:rFonts w:hint="default" w:ascii="Times New Roman" w:hAnsi="Times New Roman" w:eastAsia="宋体"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0"/>
                      <w:sz w:val="21"/>
                      <w:szCs w:val="21"/>
                      <w:vertAlign w:val="baseline"/>
                      <w:lang w:val="en-US" w:eastAsia="zh-CN" w:bidi="ar-SA"/>
                    </w:rPr>
                    <w:t>0.0312</w:t>
                  </w:r>
                </w:p>
              </w:tc>
            </w:tr>
          </w:tbl>
          <w:p>
            <w:pPr>
              <w:pStyle w:val="2"/>
              <w:jc w:val="center"/>
              <w:rPr>
                <w:rFonts w:hint="default" w:ascii="Times New Roman" w:hAnsi="Times New Roman" w:eastAsia="宋体" w:cs="Times New Roman"/>
                <w:b/>
                <w:bCs/>
                <w:color w:val="auto"/>
                <w:spacing w:val="0"/>
                <w:kern w:val="2"/>
                <w:sz w:val="24"/>
                <w:szCs w:val="24"/>
                <w:lang w:val="en-US" w:eastAsia="zh-CN" w:bidi="ar-SA"/>
              </w:rPr>
            </w:pPr>
          </w:p>
          <w:p>
            <w:pPr>
              <w:rPr>
                <w:rFonts w:hint="default" w:ascii="Times New Roman" w:hAnsi="Times New Roman" w:cs="Times New Roman"/>
                <w:color w:val="auto"/>
                <w:lang w:val="en-US" w:eastAsia="zh-CN"/>
              </w:rPr>
            </w:pP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sz w:val="24"/>
                <w:szCs w:val="24"/>
                <w:lang w:val="en-US" w:eastAsia="zh-CN"/>
              </w:rPr>
              <w:t>项目废气的产生及排放情况见下表。</w:t>
            </w:r>
          </w:p>
          <w:p>
            <w:pPr>
              <w:keepNext w:val="0"/>
              <w:keepLines w:val="0"/>
              <w:pageBreakBefore w:val="0"/>
              <w:widowControl w:val="0"/>
              <w:kinsoku/>
              <w:wordWrap/>
              <w:overflowPunct/>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bCs/>
                <w:color w:val="auto"/>
                <w:sz w:val="24"/>
                <w:lang w:val="en-US" w:eastAsia="zh-CN"/>
              </w:rPr>
            </w:pPr>
            <w:r>
              <w:rPr>
                <w:rFonts w:hint="default" w:ascii="Times New Roman" w:hAnsi="Times New Roman" w:cs="Times New Roman"/>
                <w:b/>
                <w:bCs/>
                <w:color w:val="auto"/>
                <w:sz w:val="24"/>
                <w:lang w:val="en-US" w:eastAsia="zh-CN"/>
              </w:rPr>
              <w:t>表4-7粒料加工逸散控制技术、效率汇总表</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7"/>
              <w:gridCol w:w="1922"/>
              <w:gridCol w:w="2098"/>
              <w:gridCol w:w="670"/>
              <w:gridCol w:w="1075"/>
              <w:gridCol w:w="17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序号</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逸散尘源</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控制技术</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抑尘效率</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自然沉降</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1</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破碎、筛选粉尘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喷淋</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无控制措施、干燥下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2</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料仓呼吸粉尘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滤筒式除尘器</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98%</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有控制措施、干燥下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3</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堆场扬尘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喷淋</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无控制措施、干燥下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4</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铲车装卸粉尘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喷淋</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5</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道路运输扬尘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喷淋</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无控制措施、干燥下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5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6</w:t>
                  </w:r>
                </w:p>
              </w:tc>
              <w:tc>
                <w:tcPr>
                  <w:tcW w:w="192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装料粉尘</w:t>
                  </w:r>
                </w:p>
              </w:tc>
              <w:tc>
                <w:tcPr>
                  <w:tcW w:w="21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喷淋</w:t>
                  </w:r>
                </w:p>
              </w:tc>
              <w:tc>
                <w:tcPr>
                  <w:tcW w:w="67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07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val="en-US" w:eastAsia="zh-CN"/>
                    </w:rPr>
                    <w:t>80%</w:t>
                  </w:r>
                </w:p>
              </w:tc>
              <w:tc>
                <w:tcPr>
                  <w:tcW w:w="175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z w:val="21"/>
                      <w:szCs w:val="21"/>
                      <w:vertAlign w:val="baseline"/>
                    </w:rPr>
                  </w:pPr>
                  <w:r>
                    <w:rPr>
                      <w:rFonts w:hint="default" w:ascii="Times New Roman" w:hAnsi="Times New Roman" w:cs="Times New Roman"/>
                      <w:b/>
                      <w:bCs/>
                      <w:color w:val="auto"/>
                      <w:sz w:val="21"/>
                      <w:szCs w:val="21"/>
                      <w:vertAlign w:val="baseline"/>
                      <w:lang w:val="en-US" w:eastAsia="zh-CN"/>
                    </w:rPr>
                    <w:t>无控制措施、干燥下</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szCs w:val="24"/>
                <w:lang w:val="en-US" w:eastAsia="zh-CN"/>
              </w:rPr>
              <w:t>表4-8废气排放情况一览表</w:t>
            </w:r>
          </w:p>
          <w:tbl>
            <w:tblPr>
              <w:tblStyle w:val="27"/>
              <w:tblW w:w="83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721"/>
              <w:gridCol w:w="516"/>
              <w:gridCol w:w="709"/>
              <w:gridCol w:w="811"/>
              <w:gridCol w:w="572"/>
              <w:gridCol w:w="576"/>
              <w:gridCol w:w="587"/>
              <w:gridCol w:w="485"/>
              <w:gridCol w:w="649"/>
              <w:gridCol w:w="708"/>
              <w:gridCol w:w="772"/>
              <w:gridCol w:w="587"/>
              <w:gridCol w:w="6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22"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废气产污环节</w:t>
                  </w:r>
                </w:p>
              </w:tc>
              <w:tc>
                <w:tcPr>
                  <w:tcW w:w="51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污染物种类</w:t>
                  </w:r>
                </w:p>
              </w:tc>
              <w:tc>
                <w:tcPr>
                  <w:tcW w:w="2092" w:type="dxa"/>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污染物产生情况</w:t>
                  </w:r>
                </w:p>
              </w:tc>
              <w:tc>
                <w:tcPr>
                  <w:tcW w:w="577"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排放形式</w:t>
                  </w:r>
                </w:p>
              </w:tc>
              <w:tc>
                <w:tcPr>
                  <w:tcW w:w="1723" w:type="dxa"/>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治理设施情况</w:t>
                  </w:r>
                </w:p>
              </w:tc>
              <w:tc>
                <w:tcPr>
                  <w:tcW w:w="2067" w:type="dxa"/>
                  <w:gridSpan w:val="3"/>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污染物排放情况</w:t>
                  </w:r>
                </w:p>
              </w:tc>
              <w:tc>
                <w:tcPr>
                  <w:tcW w:w="624" w:type="dxa"/>
                  <w:vMerge w:val="restart"/>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en-US" w:eastAsia="zh-CN" w:bidi="zh-CN"/>
                    </w:rPr>
                  </w:pPr>
                  <w:r>
                    <w:rPr>
                      <w:rFonts w:hint="default" w:ascii="Times New Roman" w:hAnsi="Times New Roman" w:eastAsia="宋体" w:cs="Times New Roman"/>
                      <w:b/>
                      <w:color w:val="auto"/>
                      <w:kern w:val="0"/>
                      <w:sz w:val="21"/>
                      <w:szCs w:val="21"/>
                      <w:lang w:val="en-US" w:eastAsia="zh-CN" w:bidi="zh-CN"/>
                    </w:rPr>
                    <w:t>排放口编号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jc w:val="center"/>
              </w:trPr>
              <w:tc>
                <w:tcPr>
                  <w:tcW w:w="722" w:type="dxa"/>
                  <w:vMerge w:val="continue"/>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left="0" w:right="0" w:firstLine="0"/>
                    <w:jc w:val="center"/>
                    <w:textAlignment w:val="auto"/>
                    <w:rPr>
                      <w:rFonts w:hint="default" w:ascii="Times New Roman" w:hAnsi="Times New Roman" w:eastAsia="宋体" w:cs="Times New Roman"/>
                      <w:color w:val="auto"/>
                      <w:sz w:val="21"/>
                      <w:szCs w:val="21"/>
                    </w:rPr>
                  </w:pPr>
                </w:p>
              </w:tc>
              <w:tc>
                <w:tcPr>
                  <w:tcW w:w="517" w:type="dxa"/>
                  <w:vMerge w:val="continue"/>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left="0" w:right="0" w:firstLine="0"/>
                    <w:jc w:val="center"/>
                    <w:textAlignment w:val="auto"/>
                    <w:rPr>
                      <w:rFonts w:hint="default" w:ascii="Times New Roman" w:hAnsi="Times New Roman" w:eastAsia="宋体" w:cs="Times New Roman"/>
                      <w:color w:val="auto"/>
                      <w:sz w:val="21"/>
                      <w:szCs w:val="21"/>
                    </w:rPr>
                  </w:pP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产生量</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t/a</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速率</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kg/h</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浓度</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spacing w:val="-3"/>
                      <w:kern w:val="0"/>
                      <w:sz w:val="21"/>
                      <w:szCs w:val="21"/>
                      <w:lang w:val="zh-CN" w:eastAsia="zh-CN" w:bidi="zh-CN"/>
                    </w:rPr>
                    <w:t>mg/m³</w:t>
                  </w:r>
                </w:p>
              </w:tc>
              <w:tc>
                <w:tcPr>
                  <w:tcW w:w="577" w:type="dxa"/>
                  <w:vMerge w:val="continue"/>
                  <w:tcBorders>
                    <w:tl2br w:val="nil"/>
                    <w:tr2bl w:val="nil"/>
                  </w:tcBorders>
                  <w:noWrap w:val="0"/>
                  <w:vAlign w:val="center"/>
                </w:tcPr>
                <w:p>
                  <w:pPr>
                    <w:keepNext w:val="0"/>
                    <w:keepLines w:val="0"/>
                    <w:pageBreakBefore w:val="0"/>
                    <w:widowControl w:val="0"/>
                    <w:kinsoku/>
                    <w:wordWrap/>
                    <w:overflowPunct/>
                    <w:topLinePunct w:val="0"/>
                    <w:bidi w:val="0"/>
                    <w:adjustRightInd w:val="0"/>
                    <w:snapToGrid w:val="0"/>
                    <w:spacing w:line="240" w:lineRule="atLeast"/>
                    <w:ind w:left="0" w:right="0" w:firstLine="0"/>
                    <w:jc w:val="center"/>
                    <w:textAlignment w:val="auto"/>
                    <w:rPr>
                      <w:rFonts w:hint="default" w:ascii="Times New Roman" w:hAnsi="Times New Roman" w:eastAsia="宋体" w:cs="Times New Roman"/>
                      <w:color w:val="auto"/>
                      <w:sz w:val="21"/>
                      <w:szCs w:val="21"/>
                    </w:rPr>
                  </w:pP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治理工艺名称</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处理效率</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是否为可行技术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排放量</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t/a</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速率</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kg/h</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浓度</w:t>
                  </w:r>
                </w:p>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r>
                    <w:rPr>
                      <w:rFonts w:hint="default" w:ascii="Times New Roman" w:hAnsi="Times New Roman" w:eastAsia="宋体" w:cs="Times New Roman"/>
                      <w:b/>
                      <w:color w:val="auto"/>
                      <w:kern w:val="0"/>
                      <w:sz w:val="21"/>
                      <w:szCs w:val="21"/>
                      <w:lang w:val="zh-CN" w:eastAsia="zh-CN" w:bidi="zh-CN"/>
                    </w:rPr>
                    <w:t>mg/m³</w:t>
                  </w:r>
                </w:p>
              </w:tc>
              <w:tc>
                <w:tcPr>
                  <w:tcW w:w="624" w:type="dxa"/>
                  <w:vMerge w:val="continue"/>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b/>
                      <w:color w:val="auto"/>
                      <w:kern w:val="0"/>
                      <w:sz w:val="21"/>
                      <w:szCs w:val="21"/>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破碎、筛选粉尘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9</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3.75</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187.5</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eastAsia="zh-CN" w:bidi="zh-CN"/>
                    </w:rPr>
                    <w:t>有组织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布袋除尘</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kern w:val="0"/>
                      <w:sz w:val="21"/>
                      <w:szCs w:val="21"/>
                      <w:lang w:val="zh-CN" w:eastAsia="zh-CN" w:bidi="zh-CN"/>
                    </w:rPr>
                    <w:t>9</w:t>
                  </w:r>
                  <w:r>
                    <w:rPr>
                      <w:rFonts w:hint="default" w:ascii="Times New Roman" w:hAnsi="Times New Roman" w:cs="Times New Roman"/>
                      <w:color w:val="auto"/>
                      <w:kern w:val="0"/>
                      <w:sz w:val="21"/>
                      <w:szCs w:val="21"/>
                      <w:lang w:val="en-US" w:eastAsia="zh-CN" w:bidi="zh-CN"/>
                    </w:rPr>
                    <w:t>5</w:t>
                  </w:r>
                  <w:r>
                    <w:rPr>
                      <w:rFonts w:hint="default" w:ascii="Times New Roman" w:hAnsi="Times New Roman" w:eastAsia="宋体" w:cs="Times New Roman"/>
                      <w:color w:val="auto"/>
                      <w:kern w:val="0"/>
                      <w:sz w:val="21"/>
                      <w:szCs w:val="21"/>
                      <w:lang w:val="zh-CN" w:eastAsia="zh-CN" w:bidi="zh-CN"/>
                    </w:rPr>
                    <w:t>%</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eastAsia="宋体" w:cs="Times New Roman"/>
                      <w:color w:val="auto"/>
                      <w:w w:val="100"/>
                      <w:kern w:val="0"/>
                      <w:sz w:val="21"/>
                      <w:szCs w:val="21"/>
                      <w:lang w:val="zh-CN"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0.45</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0.1875</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9.375</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eastAsia="宋体" w:cs="Times New Roman"/>
                      <w:color w:val="auto"/>
                      <w:kern w:val="0"/>
                      <w:sz w:val="21"/>
                      <w:szCs w:val="21"/>
                      <w:lang w:val="en-US" w:eastAsia="zh-CN" w:bidi="zh-CN"/>
                    </w:rPr>
                    <w:t>DA001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破碎、筛选粉尘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2.25</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0.9375</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喷淋</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cs="Times New Roman"/>
                      <w:color w:val="auto"/>
                      <w:kern w:val="0"/>
                      <w:sz w:val="21"/>
                      <w:szCs w:val="21"/>
                      <w:lang w:val="en-US" w:eastAsia="zh-CN" w:bidi="zh-CN"/>
                    </w:rPr>
                    <w:t>80%</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w w:val="100"/>
                      <w:kern w:val="0"/>
                      <w:sz w:val="21"/>
                      <w:szCs w:val="21"/>
                      <w:lang w:val="en-US" w:eastAsia="zh-CN" w:bidi="zh-CN"/>
                    </w:rPr>
                  </w:pPr>
                  <w:r>
                    <w:rPr>
                      <w:rFonts w:hint="default" w:ascii="Times New Roman" w:hAnsi="Times New Roman" w:cs="Times New Roman"/>
                      <w:color w:val="auto"/>
                      <w:w w:val="100"/>
                      <w:kern w:val="0"/>
                      <w:sz w:val="21"/>
                      <w:szCs w:val="21"/>
                      <w:lang w:val="en-US"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0.09</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0.0375</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料仓呼吸粉尘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0.12</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1.2</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600</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滤筒式除尘器</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zh-CN" w:eastAsia="zh-CN" w:bidi="zh-CN"/>
                    </w:rPr>
                  </w:pPr>
                  <w:r>
                    <w:rPr>
                      <w:rFonts w:hint="default" w:ascii="Times New Roman" w:hAnsi="Times New Roman" w:cs="Times New Roman"/>
                      <w:color w:val="auto"/>
                      <w:kern w:val="0"/>
                      <w:sz w:val="21"/>
                      <w:szCs w:val="21"/>
                      <w:lang w:val="en-US" w:eastAsia="zh-CN" w:bidi="zh-CN"/>
                    </w:rPr>
                    <w:t>98%</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w w:val="100"/>
                      <w:kern w:val="0"/>
                      <w:sz w:val="21"/>
                      <w:szCs w:val="21"/>
                      <w:lang w:val="en-US" w:eastAsia="zh-CN" w:bidi="zh-CN"/>
                    </w:rPr>
                  </w:pPr>
                  <w:r>
                    <w:rPr>
                      <w:rFonts w:hint="default" w:ascii="Times New Roman" w:hAnsi="Times New Roman" w:cs="Times New Roman"/>
                      <w:color w:val="auto"/>
                      <w:w w:val="100"/>
                      <w:kern w:val="0"/>
                      <w:sz w:val="21"/>
                      <w:szCs w:val="21"/>
                      <w:lang w:val="en-US"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0.0024</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0.024</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3"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堆场扬尘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0.0532</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0.01773</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喷淋</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80%</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w w:val="100"/>
                      <w:kern w:val="0"/>
                      <w:sz w:val="21"/>
                      <w:szCs w:val="21"/>
                      <w:lang w:val="zh-CN" w:eastAsia="zh-CN" w:bidi="zh-CN"/>
                    </w:rPr>
                  </w:pPr>
                  <w:r>
                    <w:rPr>
                      <w:rFonts w:hint="default" w:ascii="Times New Roman" w:hAnsi="Times New Roman" w:eastAsia="宋体" w:cs="Times New Roman"/>
                      <w:color w:val="auto"/>
                      <w:w w:val="100"/>
                      <w:kern w:val="0"/>
                      <w:sz w:val="21"/>
                      <w:szCs w:val="21"/>
                      <w:lang w:val="zh-CN"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0.0008</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0.0021</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道路运输扬尘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0.0521</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1.085</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highlight w:val="yellow"/>
                      <w:lang w:val="en-US" w:eastAsia="zh-CN" w:bidi="zh-CN"/>
                    </w:rPr>
                    <w:t>喷淋</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80%</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w w:val="100"/>
                      <w:kern w:val="0"/>
                      <w:sz w:val="21"/>
                      <w:szCs w:val="21"/>
                      <w:lang w:val="en-US" w:eastAsia="zh-CN" w:bidi="zh-CN"/>
                    </w:rPr>
                  </w:pPr>
                  <w:r>
                    <w:rPr>
                      <w:rFonts w:hint="default" w:ascii="Times New Roman" w:hAnsi="Times New Roman" w:cs="Times New Roman"/>
                      <w:color w:val="auto"/>
                      <w:w w:val="100"/>
                      <w:kern w:val="0"/>
                      <w:sz w:val="21"/>
                      <w:szCs w:val="21"/>
                      <w:lang w:val="en-US"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0.0104</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0.217</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sz w:val="24"/>
                      <w:szCs w:val="24"/>
                      <w:lang w:eastAsia="zh-CN"/>
                    </w:rPr>
                    <w:t>铲车装卸粉尘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0.15</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0.166</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highlight w:val="yellow"/>
                      <w:lang w:val="en-US" w:eastAsia="zh-CN" w:bidi="zh-CN"/>
                    </w:rPr>
                  </w:pPr>
                  <w:r>
                    <w:rPr>
                      <w:rFonts w:hint="default" w:ascii="Times New Roman" w:hAnsi="Times New Roman" w:cs="Times New Roman"/>
                      <w:color w:val="auto"/>
                      <w:kern w:val="0"/>
                      <w:sz w:val="21"/>
                      <w:szCs w:val="21"/>
                      <w:lang w:val="en-US" w:eastAsia="zh-CN" w:bidi="zh-CN"/>
                    </w:rPr>
                    <w:t>喷淋</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80%</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w w:val="100"/>
                      <w:kern w:val="0"/>
                      <w:sz w:val="21"/>
                      <w:szCs w:val="21"/>
                      <w:lang w:val="en-US" w:eastAsia="zh-CN" w:bidi="zh-CN"/>
                    </w:rPr>
                  </w:pPr>
                  <w:r>
                    <w:rPr>
                      <w:rFonts w:hint="default" w:ascii="Times New Roman" w:hAnsi="Times New Roman" w:eastAsia="宋体" w:cs="Times New Roman"/>
                      <w:color w:val="auto"/>
                      <w:w w:val="100"/>
                      <w:kern w:val="0"/>
                      <w:sz w:val="21"/>
                      <w:szCs w:val="21"/>
                      <w:lang w:val="zh-CN"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0.006</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0.0025</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jc w:val="center"/>
              </w:trPr>
              <w:tc>
                <w:tcPr>
                  <w:tcW w:w="72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装卸粉尘</w:t>
                  </w:r>
                </w:p>
              </w:tc>
              <w:tc>
                <w:tcPr>
                  <w:tcW w:w="51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颗粒物</w:t>
                  </w:r>
                </w:p>
              </w:tc>
              <w:tc>
                <w:tcPr>
                  <w:tcW w:w="709"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0.78</w:t>
                  </w:r>
                </w:p>
              </w:tc>
              <w:tc>
                <w:tcPr>
                  <w:tcW w:w="811"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0.325</w:t>
                  </w:r>
                </w:p>
              </w:tc>
              <w:tc>
                <w:tcPr>
                  <w:tcW w:w="5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57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无组织</w:t>
                  </w:r>
                </w:p>
              </w:tc>
              <w:tc>
                <w:tcPr>
                  <w:tcW w:w="58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喷淋</w:t>
                  </w:r>
                </w:p>
              </w:tc>
              <w:tc>
                <w:tcPr>
                  <w:tcW w:w="485"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80%</w:t>
                  </w:r>
                </w:p>
              </w:tc>
              <w:tc>
                <w:tcPr>
                  <w:tcW w:w="650"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eastAsia="宋体" w:cs="Times New Roman"/>
                      <w:color w:val="auto"/>
                      <w:w w:val="100"/>
                      <w:kern w:val="0"/>
                      <w:sz w:val="21"/>
                      <w:szCs w:val="21"/>
                      <w:lang w:val="en-US" w:eastAsia="zh-CN" w:bidi="zh-CN"/>
                    </w:rPr>
                  </w:pPr>
                  <w:r>
                    <w:rPr>
                      <w:rFonts w:hint="default" w:ascii="Times New Roman" w:hAnsi="Times New Roman" w:cs="Times New Roman"/>
                      <w:color w:val="auto"/>
                      <w:w w:val="100"/>
                      <w:kern w:val="0"/>
                      <w:sz w:val="21"/>
                      <w:szCs w:val="21"/>
                      <w:lang w:val="en-US" w:eastAsia="zh-CN" w:bidi="zh-CN"/>
                    </w:rPr>
                    <w:t>是</w:t>
                  </w:r>
                </w:p>
              </w:tc>
              <w:tc>
                <w:tcPr>
                  <w:tcW w:w="708"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0.0312</w:t>
                  </w:r>
                </w:p>
              </w:tc>
              <w:tc>
                <w:tcPr>
                  <w:tcW w:w="772"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0.013</w:t>
                  </w:r>
                </w:p>
              </w:tc>
              <w:tc>
                <w:tcPr>
                  <w:tcW w:w="587"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c>
                <w:tcPr>
                  <w:tcW w:w="624" w:type="dxa"/>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right="0" w:firstLine="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w:t>
                  </w:r>
                </w:p>
              </w:tc>
            </w:tr>
          </w:tbl>
          <w:p>
            <w:pPr>
              <w:keepNext w:val="0"/>
              <w:keepLines w:val="0"/>
              <w:pageBreakBefore w:val="0"/>
              <w:widowControl w:val="0"/>
              <w:kinsoku/>
              <w:wordWrap/>
              <w:overflowPunct/>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default" w:ascii="Times New Roman" w:hAnsi="Times New Roman" w:cs="Times New Roman"/>
                <w:b/>
                <w:bCs/>
                <w:color w:val="auto"/>
                <w:sz w:val="24"/>
                <w:lang w:val="en-US" w:eastAsia="zh-CN"/>
              </w:rPr>
              <w:t>9</w:t>
            </w:r>
            <w:r>
              <w:rPr>
                <w:rFonts w:hint="default" w:ascii="Times New Roman" w:hAnsi="Times New Roman" w:cs="Times New Roman"/>
                <w:b/>
                <w:bCs/>
                <w:color w:val="auto"/>
                <w:sz w:val="24"/>
              </w:rPr>
              <w:t>项目</w:t>
            </w:r>
            <w:r>
              <w:rPr>
                <w:rFonts w:hint="default" w:ascii="Times New Roman" w:hAnsi="Times New Roman" w:cs="Times New Roman"/>
                <w:b/>
                <w:bCs/>
                <w:color w:val="auto"/>
                <w:sz w:val="24"/>
                <w:lang w:val="en-US" w:eastAsia="zh-CN"/>
              </w:rPr>
              <w:t>大气排放口基本情况及排放标准一览</w:t>
            </w:r>
            <w:r>
              <w:rPr>
                <w:rFonts w:hint="default" w:ascii="Times New Roman" w:hAnsi="Times New Roman" w:cs="Times New Roman"/>
                <w:b/>
                <w:bCs/>
                <w:color w:val="auto"/>
                <w:sz w:val="24"/>
              </w:rPr>
              <w:t>表</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02"/>
              <w:gridCol w:w="372"/>
              <w:gridCol w:w="1095"/>
              <w:gridCol w:w="1025"/>
              <w:gridCol w:w="504"/>
              <w:gridCol w:w="533"/>
              <w:gridCol w:w="894"/>
              <w:gridCol w:w="702"/>
              <w:gridCol w:w="373"/>
              <w:gridCol w:w="1320"/>
              <w:gridCol w:w="6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2" w:hRule="atLeast"/>
                <w:jc w:val="center"/>
              </w:trPr>
              <w:tc>
                <w:tcPr>
                  <w:tcW w:w="100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排放口名称、编号</w:t>
                  </w:r>
                </w:p>
              </w:tc>
              <w:tc>
                <w:tcPr>
                  <w:tcW w:w="37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污染物名称</w:t>
                  </w:r>
                </w:p>
              </w:tc>
              <w:tc>
                <w:tcPr>
                  <w:tcW w:w="2123"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排放口地理坐标</w:t>
                  </w:r>
                </w:p>
              </w:tc>
              <w:tc>
                <w:tcPr>
                  <w:tcW w:w="504"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高度</w:t>
                  </w:r>
                </w:p>
              </w:tc>
              <w:tc>
                <w:tcPr>
                  <w:tcW w:w="53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内径</w:t>
                  </w:r>
                </w:p>
              </w:tc>
              <w:tc>
                <w:tcPr>
                  <w:tcW w:w="895"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风量</w:t>
                  </w:r>
                </w:p>
              </w:tc>
              <w:tc>
                <w:tcPr>
                  <w:tcW w:w="70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流速</w:t>
                  </w:r>
                </w:p>
              </w:tc>
              <w:tc>
                <w:tcPr>
                  <w:tcW w:w="373"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类型</w:t>
                  </w:r>
                </w:p>
              </w:tc>
              <w:tc>
                <w:tcPr>
                  <w:tcW w:w="197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排放标准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jc w:val="center"/>
              </w:trPr>
              <w:tc>
                <w:tcPr>
                  <w:tcW w:w="100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37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10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经度</w:t>
                  </w:r>
                </w:p>
              </w:tc>
              <w:tc>
                <w:tcPr>
                  <w:tcW w:w="102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纬度</w:t>
                  </w:r>
                </w:p>
              </w:tc>
              <w:tc>
                <w:tcPr>
                  <w:tcW w:w="504"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53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895"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70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373"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rPr>
                  </w:pPr>
                </w:p>
              </w:tc>
              <w:tc>
                <w:tcPr>
                  <w:tcW w:w="13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标准名称</w:t>
                  </w:r>
                </w:p>
              </w:tc>
              <w:tc>
                <w:tcPr>
                  <w:tcW w:w="6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20"/>
                      <w:sz w:val="21"/>
                      <w:lang w:val="en-US" w:eastAsia="zh-CN"/>
                    </w:rPr>
                  </w:pPr>
                  <w:r>
                    <w:rPr>
                      <w:rFonts w:hint="default" w:ascii="Times New Roman" w:hAnsi="Times New Roman" w:cs="Times New Roman"/>
                      <w:b/>
                      <w:bCs/>
                      <w:color w:val="auto"/>
                      <w:spacing w:val="-20"/>
                      <w:sz w:val="21"/>
                      <w:lang w:val="en-US" w:eastAsia="zh-CN"/>
                    </w:rPr>
                    <w:t>浓度限值mg/m³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6" w:hRule="atLeast"/>
                <w:jc w:val="center"/>
              </w:trPr>
              <w:tc>
                <w:tcPr>
                  <w:tcW w:w="10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破碎、筛分废气排放口（DA001）</w:t>
                  </w:r>
                </w:p>
              </w:tc>
              <w:tc>
                <w:tcPr>
                  <w:tcW w:w="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20"/>
                      <w:sz w:val="21"/>
                      <w:lang w:eastAsia="zh-CN"/>
                    </w:rPr>
                  </w:pPr>
                  <w:r>
                    <w:rPr>
                      <w:rFonts w:hint="default" w:ascii="Times New Roman" w:hAnsi="Times New Roman" w:cs="Times New Roman"/>
                      <w:color w:val="auto"/>
                      <w:spacing w:val="-20"/>
                      <w:sz w:val="21"/>
                      <w:lang w:val="en-US" w:eastAsia="zh-CN"/>
                    </w:rPr>
                    <w:t>颗粒物</w:t>
                  </w:r>
                </w:p>
              </w:tc>
              <w:tc>
                <w:tcPr>
                  <w:tcW w:w="109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118.46438527</w:t>
                  </w:r>
                </w:p>
              </w:tc>
              <w:tc>
                <w:tcPr>
                  <w:tcW w:w="102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31.33013315</w:t>
                  </w:r>
                </w:p>
              </w:tc>
              <w:tc>
                <w:tcPr>
                  <w:tcW w:w="50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15m</w:t>
                  </w:r>
                </w:p>
              </w:tc>
              <w:tc>
                <w:tcPr>
                  <w:tcW w:w="53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0.6m</w:t>
                  </w:r>
                </w:p>
              </w:tc>
              <w:tc>
                <w:tcPr>
                  <w:tcW w:w="89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vertAlign w:val="baseline"/>
                      <w:lang w:val="en-US" w:eastAsia="zh-CN"/>
                    </w:rPr>
                  </w:pPr>
                  <w:r>
                    <w:rPr>
                      <w:rFonts w:hint="default" w:ascii="Times New Roman" w:hAnsi="Times New Roman" w:cs="Times New Roman"/>
                      <w:color w:val="auto"/>
                      <w:spacing w:val="-20"/>
                      <w:sz w:val="21"/>
                      <w:lang w:val="en-US" w:eastAsia="zh-CN"/>
                    </w:rPr>
                    <w:t>20000m</w:t>
                  </w:r>
                  <w:r>
                    <w:rPr>
                      <w:rFonts w:hint="default" w:ascii="Times New Roman" w:hAnsi="Times New Roman" w:cs="Times New Roman"/>
                      <w:color w:val="auto"/>
                      <w:spacing w:val="-20"/>
                      <w:sz w:val="21"/>
                      <w:vertAlign w:val="superscript"/>
                      <w:lang w:val="en-US" w:eastAsia="zh-CN"/>
                    </w:rPr>
                    <w:t>3</w:t>
                  </w:r>
                  <w:r>
                    <w:rPr>
                      <w:rFonts w:hint="default" w:ascii="Times New Roman" w:hAnsi="Times New Roman" w:cs="Times New Roman"/>
                      <w:color w:val="auto"/>
                      <w:spacing w:val="-20"/>
                      <w:sz w:val="21"/>
                      <w:vertAlign w:val="baseline"/>
                      <w:lang w:val="en-US" w:eastAsia="zh-CN"/>
                    </w:rPr>
                    <w:t>/h</w:t>
                  </w:r>
                </w:p>
              </w:tc>
              <w:tc>
                <w:tcPr>
                  <w:tcW w:w="70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19.6m/s</w:t>
                  </w:r>
                </w:p>
              </w:tc>
              <w:tc>
                <w:tcPr>
                  <w:tcW w:w="37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一般排放口</w:t>
                  </w:r>
                </w:p>
              </w:tc>
              <w:tc>
                <w:tcPr>
                  <w:tcW w:w="132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rPr>
                  </w:pPr>
                  <w:r>
                    <w:rPr>
                      <w:rFonts w:hint="default" w:ascii="Times New Roman" w:hAnsi="Times New Roman" w:cs="Times New Roman"/>
                      <w:color w:val="auto"/>
                      <w:spacing w:val="-20"/>
                      <w:sz w:val="21"/>
                    </w:rPr>
                    <w:t>《大气污染物综合排放标准》(DB31/933-2015)表1</w:t>
                  </w:r>
                </w:p>
              </w:tc>
              <w:tc>
                <w:tcPr>
                  <w:tcW w:w="65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20"/>
                      <w:sz w:val="21"/>
                      <w:lang w:val="en-US" w:eastAsia="zh-CN"/>
                    </w:rPr>
                  </w:pPr>
                  <w:r>
                    <w:rPr>
                      <w:rFonts w:hint="default" w:ascii="Times New Roman" w:hAnsi="Times New Roman" w:cs="Times New Roman"/>
                      <w:color w:val="auto"/>
                      <w:spacing w:val="-20"/>
                      <w:sz w:val="21"/>
                      <w:lang w:val="en-US" w:eastAsia="zh-CN"/>
                    </w:rPr>
                    <w:t>10</w:t>
                  </w:r>
                </w:p>
              </w:tc>
            </w:tr>
          </w:tbl>
          <w:p>
            <w:pPr>
              <w:keepNext w:val="0"/>
              <w:keepLines w:val="0"/>
              <w:pageBreakBefore w:val="0"/>
              <w:widowControl w:val="0"/>
              <w:kinsoku/>
              <w:wordWrap/>
              <w:overflowPunct/>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rPr>
            </w:pPr>
          </w:p>
          <w:p>
            <w:pPr>
              <w:keepNext w:val="0"/>
              <w:keepLines w:val="0"/>
              <w:pageBreakBefore w:val="0"/>
              <w:widowControl w:val="0"/>
              <w:numPr>
                <w:ilvl w:val="0"/>
                <w:numId w:val="1"/>
              </w:numPr>
              <w:kinsoku/>
              <w:wordWrap/>
              <w:overflowPunct/>
              <w:autoSpaceDE/>
              <w:autoSpaceDN/>
              <w:bidi w:val="0"/>
              <w:adjustRightInd/>
              <w:snapToGrid/>
              <w:spacing w:line="360" w:lineRule="auto"/>
              <w:ind w:left="360" w:leftChars="0" w:hanging="360" w:firstLineChars="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废气治理措施及可行性分析</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w:t>
            </w:r>
            <w:r>
              <w:rPr>
                <w:rFonts w:hint="default" w:ascii="Times New Roman" w:hAnsi="Times New Roman" w:cs="Times New Roman"/>
                <w:color w:val="auto"/>
                <w:lang w:val="en-US" w:eastAsia="zh-CN"/>
              </w:rPr>
              <w:t>布袋除尘器</w:t>
            </w:r>
          </w:p>
          <w:p>
            <w:pPr>
              <w:adjustRightInd w:val="0"/>
              <w:snapToGrid w:val="0"/>
              <w:spacing w:line="360" w:lineRule="auto"/>
              <w:ind w:firstLine="480" w:firstLineChars="200"/>
              <w:jc w:val="center"/>
              <w:rPr>
                <w:rFonts w:hint="default" w:ascii="Times New Roman" w:hAnsi="Times New Roman" w:cs="Times New Roman"/>
                <w:color w:val="auto"/>
                <w:sz w:val="24"/>
              </w:rPr>
            </w:pPr>
            <w:r>
              <w:rPr>
                <w:rFonts w:hint="default" w:ascii="Times New Roman" w:hAnsi="Times New Roman" w:cs="Times New Roman"/>
                <w:color w:val="auto"/>
                <w:sz w:val="24"/>
              </w:rPr>
              <w:drawing>
                <wp:inline distT="0" distB="0" distL="114300" distR="114300">
                  <wp:extent cx="3257550" cy="3178810"/>
                  <wp:effectExtent l="0" t="0" r="0" b="2540"/>
                  <wp:docPr id="20" name="IM 29"/>
                  <wp:cNvGraphicFramePr/>
                  <a:graphic xmlns:a="http://schemas.openxmlformats.org/drawingml/2006/main">
                    <a:graphicData uri="http://schemas.openxmlformats.org/drawingml/2006/picture">
                      <pic:pic xmlns:pic="http://schemas.openxmlformats.org/drawingml/2006/picture">
                        <pic:nvPicPr>
                          <pic:cNvPr id="20" name="IM 29"/>
                          <pic:cNvPicPr/>
                        </pic:nvPicPr>
                        <pic:blipFill>
                          <a:blip r:embed="rId7"/>
                          <a:stretch>
                            <a:fillRect/>
                          </a:stretch>
                        </pic:blipFill>
                        <pic:spPr>
                          <a:xfrm>
                            <a:off x="0" y="0"/>
                            <a:ext cx="3257550" cy="3178810"/>
                          </a:xfrm>
                          <a:prstGeom prst="rect">
                            <a:avLst/>
                          </a:prstGeom>
                          <a:noFill/>
                          <a:ln>
                            <a:noFill/>
                          </a:ln>
                        </pic:spPr>
                      </pic:pic>
                    </a:graphicData>
                  </a:graphic>
                </wp:inline>
              </w:drawing>
            </w:r>
          </w:p>
          <w:p>
            <w:pPr>
              <w:widowControl/>
              <w:kinsoku w:val="0"/>
              <w:autoSpaceDE w:val="0"/>
              <w:autoSpaceDN w:val="0"/>
              <w:adjustRightInd w:val="0"/>
              <w:snapToGrid w:val="0"/>
              <w:spacing w:before="194" w:line="220" w:lineRule="auto"/>
              <w:ind w:left="2662"/>
              <w:jc w:val="left"/>
              <w:textAlignment w:val="baseline"/>
              <w:rPr>
                <w:rFonts w:hint="default" w:ascii="Times New Roman" w:hAnsi="Times New Roman" w:cs="Times New Roman"/>
                <w:color w:val="auto"/>
                <w:spacing w:val="0"/>
                <w:sz w:val="24"/>
              </w:rPr>
            </w:pPr>
            <w:r>
              <w:rPr>
                <w:rFonts w:hint="default" w:ascii="Times New Roman" w:hAnsi="Times New Roman" w:eastAsia="宋体" w:cs="Times New Roman"/>
                <w:snapToGrid w:val="0"/>
                <w:color w:val="auto"/>
                <w:spacing w:val="0"/>
                <w:kern w:val="0"/>
                <w:sz w:val="24"/>
                <w:szCs w:val="24"/>
              </w:rPr>
              <w:t>图</w:t>
            </w:r>
            <w:r>
              <w:rPr>
                <w:rFonts w:hint="default" w:ascii="Times New Roman" w:hAnsi="Times New Roman" w:eastAsia="Times New Roman" w:cs="Times New Roman"/>
                <w:b/>
                <w:bCs/>
                <w:snapToGrid w:val="0"/>
                <w:color w:val="auto"/>
                <w:spacing w:val="0"/>
                <w:kern w:val="0"/>
                <w:sz w:val="24"/>
                <w:szCs w:val="24"/>
              </w:rPr>
              <w:t>4-1</w:t>
            </w:r>
            <w:r>
              <w:rPr>
                <w:rFonts w:hint="eastAsia" w:ascii="Times New Roman" w:hAnsi="Times New Roman" w:eastAsia="宋体" w:cs="Times New Roman"/>
                <w:b/>
                <w:bCs/>
                <w:snapToGrid w:val="0"/>
                <w:color w:val="auto"/>
                <w:spacing w:val="0"/>
                <w:kern w:val="0"/>
                <w:sz w:val="24"/>
                <w:szCs w:val="24"/>
                <w:lang w:val="en-US" w:eastAsia="zh-CN"/>
              </w:rPr>
              <w:t xml:space="preserve"> </w:t>
            </w:r>
            <w:r>
              <w:rPr>
                <w:rFonts w:hint="default" w:ascii="Times New Roman" w:hAnsi="Times New Roman" w:eastAsia="宋体" w:cs="Times New Roman"/>
                <w:snapToGrid w:val="0"/>
                <w:color w:val="auto"/>
                <w:spacing w:val="0"/>
                <w:kern w:val="0"/>
                <w:sz w:val="24"/>
                <w:szCs w:val="24"/>
              </w:rPr>
              <w:t>脉冲式布袋除尘器原理图</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脉冲式布袋除尘器是指通过喷吹压缩空气的方法除掉过滤介质(布袋或滤筒)上附着的粉尘；根据除尘器的大小可能有几组脉冲阀，由脉冲控制仪或PLC控制，每次开一组脉冲阀来除去它所控制的那部分布袋或滤筒的灰尘，而其他的布袋或滤筒正常工作，隔一段时间后下一组脉冲阀打开，清理下一部分除尘器由灰斗、上箱体、中箱体、下箱体等部分组成，上、中、下箱体为分室结构。工作时，含尘气体由进风道进入灰斗，粗尘粒直接落入灰斗底部，细尘粒随气流转折向上进入中、下箱体，粉尘积附在滤袋外表面，过滤后的气体进入上箱体至净气集合管-排风道，经排风机排至大气。清灰过程是先切断该室的净气出口风道，使该室的布袋处于无气流通过的状态(分室停风清灰)。然后开启脉冲阀用压缩空气进行脉冲喷吹清灰，切断阀关闭时间足以保证在喷吹后从滤袋上剥离的粉尘沉降至灰斗，避免了粉尘在脱离滤袋表面后又随气流附集到相邻滤袋表面的现象，使滤袋清灰彻底，并由可编程序控制仪对排气阀、脉冲阀及卸灰阀等进行全自动控制。含尘气体由进风口进入，经过灰斗时，气体中部分大颗粒粉尘受惯性力和重力作用被分离出来，直接落入灰斗底部。含尘气体通过灰斗后进入中箱体的滤袋过滤区，气体穿过滤袋，粉尘被阻留在滤袋外表面，净化后的气体经滤袋口进入上箱体后，再由出风口排出。</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cs="Times New Roman"/>
                <w:color w:val="auto"/>
                <w:sz w:val="24"/>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rPr>
              <w:t>)达标可行性分析</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cs="Times New Roman"/>
                <w:color w:val="auto"/>
              </w:rPr>
            </w:pPr>
            <w:r>
              <w:rPr>
                <w:rFonts w:hint="default" w:ascii="Times New Roman" w:hAnsi="Times New Roman" w:cs="Times New Roman"/>
                <w:color w:val="auto"/>
                <w:sz w:val="24"/>
              </w:rPr>
              <w:t>脉冲式布袋除尘器为成熟、高效的颗粒物处理措施，措施可行。脉冲式布袋除尘器设备费用较低，综合处理效率、经济可行性分析，具有经济技术可行性。本项目产生的破碎粉尘、筛分粉尘中污染物包含颗粒物，经设备上方集气罩收集后，进入脉冲式布袋除尘器处理，通过15m高排气筒(DA00</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rPr>
              <w:t>)排放。根据污染物产排污分析，DA001排气筒排放的颗粒物排放浓度均低于</w:t>
            </w:r>
            <w:r>
              <w:rPr>
                <w:rFonts w:hint="default" w:ascii="Times New Roman" w:hAnsi="Times New Roman" w:eastAsia="宋体" w:cs="Times New Roman"/>
                <w:color w:val="auto"/>
                <w:sz w:val="24"/>
                <w:szCs w:val="24"/>
              </w:rPr>
              <w:t>《水泥工业大气污染物排放标准》（DB34/3576-2020）</w:t>
            </w:r>
            <w:r>
              <w:rPr>
                <w:rFonts w:hint="default" w:ascii="Times New Roman" w:hAnsi="Times New Roman" w:cs="Times New Roman"/>
                <w:color w:val="auto"/>
                <w:sz w:val="24"/>
                <w:szCs w:val="24"/>
                <w:lang w:val="en-US" w:eastAsia="zh-CN"/>
              </w:rPr>
              <w:t>表1中</w:t>
            </w:r>
            <w:r>
              <w:rPr>
                <w:rFonts w:hint="default" w:ascii="Times New Roman" w:hAnsi="Times New Roman" w:eastAsia="宋体" w:cs="Times New Roman"/>
                <w:color w:val="auto"/>
                <w:sz w:val="24"/>
                <w:szCs w:val="24"/>
              </w:rPr>
              <w:t>标准限值。</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大气污染物排放核算表</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lang w:val="en-US" w:eastAsia="zh-CN"/>
              </w:rPr>
            </w:pPr>
            <w:r>
              <w:rPr>
                <w:rFonts w:hint="default" w:ascii="Times New Roman" w:hAnsi="Times New Roman" w:cs="Times New Roman"/>
                <w:color w:val="auto"/>
                <w:spacing w:val="0"/>
                <w:sz w:val="24"/>
                <w:lang w:val="en-US" w:eastAsia="zh-CN"/>
              </w:rPr>
              <w:t>根据工程分析，其有组织排放量核算见下表</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rPr>
            </w:pPr>
            <w:r>
              <w:rPr>
                <w:rFonts w:hint="default" w:ascii="Times New Roman" w:hAnsi="Times New Roman" w:eastAsia="宋体" w:cs="Times New Roman"/>
                <w:b/>
                <w:bCs/>
                <w:color w:val="auto"/>
                <w:kern w:val="0"/>
                <w:sz w:val="24"/>
                <w:szCs w:val="24"/>
                <w:lang w:val="en-US" w:eastAsia="zh-CN" w:bidi="ar"/>
              </w:rPr>
              <w:t>表</w:t>
            </w:r>
            <w:r>
              <w:rPr>
                <w:rFonts w:hint="default" w:ascii="Times New Roman" w:hAnsi="Times New Roman" w:eastAsia="TimesNewRomanPS-BoldMT" w:cs="Times New Roman"/>
                <w:b/>
                <w:bCs/>
                <w:color w:val="auto"/>
                <w:kern w:val="0"/>
                <w:sz w:val="24"/>
                <w:szCs w:val="24"/>
                <w:lang w:val="en-US" w:eastAsia="zh-CN" w:bidi="ar"/>
              </w:rPr>
              <w:t>4-10</w:t>
            </w:r>
            <w:r>
              <w:rPr>
                <w:rFonts w:hint="default" w:ascii="Times New Roman" w:hAnsi="Times New Roman" w:eastAsia="宋体" w:cs="Times New Roman"/>
                <w:b/>
                <w:bCs/>
                <w:color w:val="auto"/>
                <w:kern w:val="0"/>
                <w:sz w:val="24"/>
                <w:szCs w:val="24"/>
                <w:lang w:val="en-US" w:eastAsia="zh-CN" w:bidi="ar"/>
              </w:rPr>
              <w:t>大气污染物有组织排放量核算表</w:t>
            </w:r>
          </w:p>
          <w:tbl>
            <w:tblPr>
              <w:tblStyle w:val="2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1"/>
              <w:gridCol w:w="1472"/>
              <w:gridCol w:w="1023"/>
              <w:gridCol w:w="2140"/>
              <w:gridCol w:w="1474"/>
              <w:gridCol w:w="1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11"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kern w:val="0"/>
                      <w:sz w:val="21"/>
                      <w:szCs w:val="21"/>
                      <w:lang w:val="en-US" w:eastAsia="zh-CN" w:bidi="ar"/>
                    </w:rPr>
                    <w:t>序号</w:t>
                  </w:r>
                </w:p>
              </w:tc>
              <w:tc>
                <w:tcPr>
                  <w:tcW w:w="1472"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排放口编号</w:t>
                  </w:r>
                </w:p>
              </w:tc>
              <w:tc>
                <w:tcPr>
                  <w:tcW w:w="102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w:t>
                  </w:r>
                </w:p>
              </w:tc>
              <w:tc>
                <w:tcPr>
                  <w:tcW w:w="2140"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核算排放浓度（mg/m</w:t>
                  </w:r>
                  <w:r>
                    <w:rPr>
                      <w:rFonts w:hint="default" w:ascii="Times New Roman" w:hAnsi="Times New Roman" w:eastAsia="宋体" w:cs="Times New Roman"/>
                      <w:b/>
                      <w:bCs/>
                      <w:color w:val="auto"/>
                      <w:sz w:val="21"/>
                      <w:szCs w:val="21"/>
                      <w:vertAlign w:val="superscript"/>
                      <w:lang w:val="en-US" w:eastAsia="zh-CN"/>
                    </w:rPr>
                    <w:t>3</w:t>
                  </w:r>
                  <w:r>
                    <w:rPr>
                      <w:rFonts w:hint="default" w:ascii="Times New Roman" w:hAnsi="Times New Roman" w:eastAsia="宋体" w:cs="Times New Roman"/>
                      <w:b/>
                      <w:bCs/>
                      <w:color w:val="auto"/>
                      <w:sz w:val="21"/>
                      <w:szCs w:val="21"/>
                      <w:vertAlign w:val="baseline"/>
                      <w:lang w:val="en-US" w:eastAsia="zh-CN"/>
                    </w:rPr>
                    <w:t>）</w:t>
                  </w:r>
                </w:p>
              </w:tc>
              <w:tc>
                <w:tcPr>
                  <w:tcW w:w="14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核算排放速率（kg/h）</w:t>
                  </w:r>
                </w:p>
              </w:tc>
              <w:tc>
                <w:tcPr>
                  <w:tcW w:w="135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核算年排放量（t/a）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011"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p>
              </w:tc>
              <w:tc>
                <w:tcPr>
                  <w:tcW w:w="1472"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DA001</w:t>
                  </w:r>
                </w:p>
              </w:tc>
              <w:tc>
                <w:tcPr>
                  <w:tcW w:w="102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颗粒物</w:t>
                  </w:r>
                </w:p>
              </w:tc>
              <w:tc>
                <w:tcPr>
                  <w:tcW w:w="2140"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9.375</w:t>
                  </w:r>
                </w:p>
              </w:tc>
              <w:tc>
                <w:tcPr>
                  <w:tcW w:w="1474"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0.9375</w:t>
                  </w:r>
                </w:p>
              </w:tc>
              <w:tc>
                <w:tcPr>
                  <w:tcW w:w="135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83" w:type="dxa"/>
                  <w:gridSpan w:val="2"/>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一般排放口合计</w:t>
                  </w:r>
                </w:p>
              </w:tc>
              <w:tc>
                <w:tcPr>
                  <w:tcW w:w="4637" w:type="dxa"/>
                  <w:gridSpan w:val="3"/>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颗粒物</w:t>
                  </w:r>
                </w:p>
              </w:tc>
              <w:tc>
                <w:tcPr>
                  <w:tcW w:w="135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83" w:type="dxa"/>
                  <w:gridSpan w:val="2"/>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有组织排放口总计</w:t>
                  </w:r>
                </w:p>
              </w:tc>
              <w:tc>
                <w:tcPr>
                  <w:tcW w:w="4637" w:type="dxa"/>
                  <w:gridSpan w:val="3"/>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颗粒物</w:t>
                  </w:r>
                </w:p>
              </w:tc>
              <w:tc>
                <w:tcPr>
                  <w:tcW w:w="1353" w:type="dxa"/>
                  <w:tcBorders>
                    <w:tl2br w:val="nil"/>
                    <w:tr2bl w:val="nil"/>
                  </w:tcBorders>
                  <w:noWrap w:val="0"/>
                  <w:vAlign w:val="center"/>
                </w:tcPr>
                <w:p>
                  <w:pPr>
                    <w:pStyle w:val="2"/>
                    <w:keepNext w:val="0"/>
                    <w:keepLines w:val="0"/>
                    <w:pageBreakBefore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0.45</w:t>
                  </w:r>
                </w:p>
              </w:tc>
            </w:tr>
          </w:tbl>
          <w:p>
            <w:pPr>
              <w:pStyle w:val="2"/>
              <w:rPr>
                <w:rFonts w:hint="default" w:ascii="Times New Roman" w:hAnsi="Times New Roman" w:cs="Times New Roman"/>
                <w:color w:val="auto"/>
                <w:spacing w:val="0"/>
                <w:sz w:val="24"/>
                <w:lang w:val="en-US" w:eastAsia="zh-CN"/>
              </w:rPr>
            </w:pPr>
            <w:r>
              <w:rPr>
                <w:rFonts w:hint="default" w:ascii="Times New Roman" w:hAnsi="Times New Roman" w:cs="Times New Roman"/>
                <w:color w:val="auto"/>
                <w:spacing w:val="0"/>
                <w:sz w:val="24"/>
                <w:lang w:val="en-US" w:eastAsia="zh-CN"/>
              </w:rPr>
              <w:t>根据工程分析，其无组织排放量核算见下表</w:t>
            </w:r>
          </w:p>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0"/>
                <w:sz w:val="24"/>
                <w:lang w:val="en-US" w:eastAsia="zh-CN"/>
              </w:rPr>
            </w:pPr>
            <w:r>
              <w:rPr>
                <w:rFonts w:hint="default" w:ascii="Times New Roman" w:hAnsi="Times New Roman" w:eastAsia="宋体" w:cs="Times New Roman"/>
                <w:b/>
                <w:bCs/>
                <w:color w:val="auto"/>
                <w:kern w:val="0"/>
                <w:sz w:val="24"/>
                <w:szCs w:val="24"/>
                <w:lang w:val="en-US" w:eastAsia="zh-CN" w:bidi="ar"/>
              </w:rPr>
              <w:t>表</w:t>
            </w:r>
            <w:r>
              <w:rPr>
                <w:rFonts w:hint="default" w:ascii="Times New Roman" w:hAnsi="Times New Roman" w:eastAsia="TimesNewRomanPS-BoldMT" w:cs="Times New Roman"/>
                <w:b/>
                <w:bCs/>
                <w:color w:val="auto"/>
                <w:kern w:val="0"/>
                <w:sz w:val="24"/>
                <w:szCs w:val="24"/>
                <w:lang w:val="en-US" w:eastAsia="zh-CN" w:bidi="ar"/>
              </w:rPr>
              <w:t>4-11</w:t>
            </w:r>
            <w:r>
              <w:rPr>
                <w:rFonts w:hint="default" w:ascii="Times New Roman" w:hAnsi="Times New Roman" w:eastAsia="宋体" w:cs="Times New Roman"/>
                <w:b/>
                <w:bCs/>
                <w:color w:val="auto"/>
                <w:kern w:val="0"/>
                <w:sz w:val="24"/>
                <w:szCs w:val="24"/>
                <w:lang w:val="en-US" w:eastAsia="zh-CN" w:bidi="ar"/>
              </w:rPr>
              <w:t>大气污染物无组织排放量核算表</w:t>
            </w:r>
          </w:p>
          <w:tbl>
            <w:tblPr>
              <w:tblStyle w:val="28"/>
              <w:tblpPr w:leftFromText="180" w:rightFromText="180" w:vertAnchor="text" w:horzAnchor="page" w:tblpXSpec="center" w:tblpY="300"/>
              <w:tblOverlap w:val="never"/>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2"/>
              <w:gridCol w:w="608"/>
              <w:gridCol w:w="862"/>
              <w:gridCol w:w="518"/>
              <w:gridCol w:w="744"/>
              <w:gridCol w:w="2817"/>
              <w:gridCol w:w="1400"/>
              <w:gridCol w:w="10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67" w:hRule="atLeast"/>
                <w:jc w:val="center"/>
              </w:trPr>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序号</w:t>
                  </w:r>
                </w:p>
              </w:tc>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排放口编号</w:t>
                  </w:r>
                </w:p>
              </w:tc>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产污环节</w:t>
                  </w:r>
                </w:p>
              </w:tc>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污染物</w:t>
                  </w:r>
                </w:p>
              </w:tc>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主要污染防治措施</w:t>
                  </w:r>
                </w:p>
              </w:tc>
              <w:tc>
                <w:tcPr>
                  <w:tcW w:w="0" w:type="auto"/>
                  <w:gridSpan w:val="2"/>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vertAlign w:val="baseline"/>
                      <w:lang w:val="en-US" w:eastAsia="zh-CN"/>
                    </w:rPr>
                  </w:pPr>
                  <w:r>
                    <w:rPr>
                      <w:rFonts w:hint="default" w:ascii="Times New Roman" w:hAnsi="Times New Roman" w:eastAsia="宋体" w:cs="Times New Roman"/>
                      <w:b/>
                      <w:bCs/>
                      <w:color w:val="auto"/>
                      <w:spacing w:val="0"/>
                      <w:sz w:val="21"/>
                      <w:szCs w:val="21"/>
                      <w:vertAlign w:val="baseline"/>
                      <w:lang w:val="en-US" w:eastAsia="zh-CN"/>
                    </w:rPr>
                    <w:t>国家或地方污染物排放标准</w:t>
                  </w:r>
                </w:p>
              </w:tc>
              <w:tc>
                <w:tcPr>
                  <w:tcW w:w="0" w:type="auto"/>
                  <w:vMerge w:val="restart"/>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b/>
                      <w:bCs/>
                      <w:color w:val="auto"/>
                      <w:spacing w:val="0"/>
                      <w:kern w:val="0"/>
                      <w:sz w:val="21"/>
                      <w:szCs w:val="21"/>
                      <w:lang w:val="en-US" w:eastAsia="zh-CN" w:bidi="ar"/>
                    </w:rPr>
                    <w:t>年排放量（t/a）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jc w:val="center"/>
              </w:trPr>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p>
              </w:tc>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p>
              </w:tc>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p>
              </w:tc>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p>
              </w:tc>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p>
              </w:tc>
              <w:tc>
                <w:tcPr>
                  <w:tcW w:w="0" w:type="auto"/>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r>
                    <w:rPr>
                      <w:rFonts w:hint="default" w:ascii="Times New Roman" w:hAnsi="Times New Roman" w:eastAsia="宋体" w:cs="Times New Roman"/>
                      <w:b/>
                      <w:bCs/>
                      <w:color w:val="auto"/>
                      <w:spacing w:val="0"/>
                      <w:sz w:val="21"/>
                      <w:szCs w:val="21"/>
                      <w:lang w:val="en-US" w:eastAsia="zh-CN"/>
                    </w:rPr>
                    <w:t>标准名称</w:t>
                  </w:r>
                </w:p>
              </w:tc>
              <w:tc>
                <w:tcPr>
                  <w:tcW w:w="0" w:type="auto"/>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b/>
                      <w:bCs/>
                      <w:color w:val="auto"/>
                      <w:spacing w:val="0"/>
                      <w:sz w:val="21"/>
                      <w:szCs w:val="21"/>
                    </w:rPr>
                  </w:pPr>
                  <w:r>
                    <w:rPr>
                      <w:rFonts w:hint="default" w:ascii="Times New Roman" w:hAnsi="Times New Roman" w:eastAsia="宋体" w:cs="Times New Roman"/>
                      <w:b/>
                      <w:bCs/>
                      <w:color w:val="auto"/>
                      <w:spacing w:val="0"/>
                      <w:sz w:val="21"/>
                      <w:szCs w:val="21"/>
                      <w:lang w:val="en-US" w:eastAsia="zh-CN"/>
                    </w:rPr>
                    <w:t>浓度限值（mg/m</w:t>
                  </w:r>
                  <w:r>
                    <w:rPr>
                      <w:rFonts w:hint="default" w:ascii="Times New Roman" w:hAnsi="Times New Roman" w:eastAsia="宋体" w:cs="Times New Roman"/>
                      <w:b/>
                      <w:bCs/>
                      <w:color w:val="auto"/>
                      <w:spacing w:val="0"/>
                      <w:sz w:val="21"/>
                      <w:szCs w:val="21"/>
                      <w:vertAlign w:val="superscript"/>
                      <w:lang w:val="en-US" w:eastAsia="zh-CN"/>
                    </w:rPr>
                    <w:t>3</w:t>
                  </w:r>
                  <w:r>
                    <w:rPr>
                      <w:rFonts w:hint="default" w:ascii="Times New Roman" w:hAnsi="Times New Roman" w:eastAsia="宋体" w:cs="Times New Roman"/>
                      <w:b/>
                      <w:bCs/>
                      <w:color w:val="auto"/>
                      <w:spacing w:val="0"/>
                      <w:sz w:val="21"/>
                      <w:szCs w:val="21"/>
                      <w:lang w:val="en-US" w:eastAsia="zh-CN"/>
                    </w:rPr>
                    <w:t>）</w:t>
                  </w:r>
                </w:p>
              </w:tc>
              <w:tc>
                <w:tcPr>
                  <w:tcW w:w="0" w:type="auto"/>
                  <w:vMerge w:val="continue"/>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1</w:t>
                  </w:r>
                </w:p>
              </w:tc>
              <w:tc>
                <w:tcPr>
                  <w:tcW w:w="0" w:type="auto"/>
                  <w:tcBorders>
                    <w:tl2br w:val="nil"/>
                    <w:tr2bl w:val="nil"/>
                  </w:tcBorders>
                  <w:noWrap w:val="0"/>
                  <w:vAlign w:val="center"/>
                </w:tcPr>
                <w:p>
                  <w:pPr>
                    <w:keepNext w:val="0"/>
                    <w:keepLines w:val="0"/>
                    <w:pageBreakBefore w:val="0"/>
                    <w:widowControl/>
                    <w:suppressLineNumbers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车间内</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kern w:val="0"/>
                      <w:sz w:val="21"/>
                      <w:szCs w:val="21"/>
                      <w:lang w:val="en-US" w:eastAsia="zh-CN" w:bidi="zh-CN"/>
                    </w:rPr>
                    <w:t>破碎、筛选粉尘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spacing w:val="0"/>
                      <w:kern w:val="0"/>
                      <w:sz w:val="21"/>
                      <w:szCs w:val="21"/>
                      <w:lang w:val="en-US" w:eastAsia="zh-CN" w:bidi="zh-CN"/>
                    </w:rPr>
                    <w:t>喷淋</w:t>
                  </w:r>
                </w:p>
              </w:tc>
              <w:tc>
                <w:tcPr>
                  <w:tcW w:w="0" w:type="auto"/>
                  <w:vMerge w:val="restart"/>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水泥工业大气污染物排放标准》（DB34/3576-2020）表2</w:t>
                  </w:r>
                </w:p>
              </w:tc>
              <w:tc>
                <w:tcPr>
                  <w:tcW w:w="0" w:type="auto"/>
                  <w:vMerge w:val="restart"/>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0.5</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kern w:val="0"/>
                      <w:sz w:val="21"/>
                      <w:szCs w:val="21"/>
                      <w:lang w:val="en-US" w:eastAsia="zh-CN" w:bidi="zh-CN"/>
                    </w:rPr>
                    <w:t>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2</w:t>
                  </w:r>
                </w:p>
              </w:tc>
              <w:tc>
                <w:tcPr>
                  <w:tcW w:w="0" w:type="auto"/>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厂区内</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kern w:val="0"/>
                      <w:sz w:val="21"/>
                      <w:szCs w:val="21"/>
                      <w:lang w:val="en-US" w:eastAsia="zh-CN" w:bidi="zh-CN"/>
                    </w:rPr>
                    <w:t>料仓呼吸粉尘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spacing w:val="0"/>
                      <w:kern w:val="0"/>
                      <w:sz w:val="21"/>
                      <w:szCs w:val="21"/>
                      <w:lang w:val="en-US" w:eastAsia="zh-CN" w:bidi="zh-CN"/>
                    </w:rPr>
                    <w:t>滤筒式除尘器</w:t>
                  </w: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kern w:val="0"/>
                      <w:sz w:val="21"/>
                      <w:szCs w:val="21"/>
                      <w:lang w:val="en-US" w:eastAsia="zh-CN" w:bidi="zh-CN"/>
                    </w:rPr>
                    <w:t>0.0024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3</w:t>
                  </w:r>
                </w:p>
              </w:tc>
              <w:tc>
                <w:tcPr>
                  <w:tcW w:w="0" w:type="auto"/>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原料仓库</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kern w:val="0"/>
                      <w:sz w:val="21"/>
                      <w:szCs w:val="21"/>
                      <w:lang w:val="en-US" w:eastAsia="zh-CN" w:bidi="zh-CN"/>
                    </w:rPr>
                    <w:t>堆场扬尘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spacing w:val="0"/>
                      <w:kern w:val="0"/>
                      <w:sz w:val="21"/>
                      <w:szCs w:val="21"/>
                      <w:lang w:val="en-US" w:eastAsia="zh-CN" w:bidi="zh-CN"/>
                    </w:rPr>
                    <w:t>喷淋</w:t>
                  </w: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kern w:val="0"/>
                      <w:sz w:val="21"/>
                      <w:szCs w:val="21"/>
                      <w:lang w:val="en-US" w:eastAsia="zh-CN" w:bidi="zh-CN"/>
                    </w:rPr>
                    <w:t>0.0008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4</w:t>
                  </w:r>
                </w:p>
              </w:tc>
              <w:tc>
                <w:tcPr>
                  <w:tcW w:w="0" w:type="auto"/>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厂区内</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kern w:val="0"/>
                      <w:sz w:val="21"/>
                      <w:szCs w:val="21"/>
                      <w:lang w:val="en-US" w:eastAsia="zh-CN" w:bidi="zh-CN"/>
                    </w:rPr>
                    <w:t>道路运输扬尘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喷淋</w:t>
                  </w: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kern w:val="0"/>
                      <w:sz w:val="21"/>
                      <w:szCs w:val="21"/>
                      <w:lang w:val="en-US" w:eastAsia="zh-CN" w:bidi="zh-CN"/>
                    </w:rPr>
                    <w:t>0.0104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5</w:t>
                  </w:r>
                </w:p>
              </w:tc>
              <w:tc>
                <w:tcPr>
                  <w:tcW w:w="0" w:type="auto"/>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车间内</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kern w:val="0"/>
                      <w:sz w:val="21"/>
                      <w:szCs w:val="21"/>
                      <w:lang w:val="en-US" w:eastAsia="zh-CN" w:bidi="zh-CN"/>
                    </w:rPr>
                    <w:t>装料粉尘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spacing w:val="0"/>
                      <w:kern w:val="0"/>
                      <w:sz w:val="21"/>
                      <w:szCs w:val="21"/>
                      <w:lang w:val="en-US" w:eastAsia="zh-CN" w:bidi="zh-CN"/>
                    </w:rPr>
                    <w:t>喷淋</w:t>
                  </w: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kern w:val="0"/>
                      <w:sz w:val="21"/>
                      <w:szCs w:val="21"/>
                      <w:lang w:val="en-US" w:eastAsia="zh-CN" w:bidi="zh-CN"/>
                    </w:rPr>
                    <w:t>0.0249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cs="Times New Roman"/>
                      <w:color w:val="auto"/>
                      <w:spacing w:val="0"/>
                      <w:sz w:val="21"/>
                      <w:szCs w:val="21"/>
                      <w:vertAlign w:val="baseline"/>
                      <w:lang w:val="en-US" w:eastAsia="zh-CN"/>
                    </w:rPr>
                    <w:t>6</w:t>
                  </w:r>
                </w:p>
              </w:tc>
              <w:tc>
                <w:tcPr>
                  <w:tcW w:w="0" w:type="auto"/>
                  <w:tcBorders>
                    <w:tl2br w:val="nil"/>
                    <w:tr2bl w:val="nil"/>
                  </w:tcBorders>
                  <w:noWrap w:val="0"/>
                  <w:vAlign w:val="center"/>
                </w:tcPr>
                <w:p>
                  <w:pPr>
                    <w:pStyle w:val="2"/>
                    <w:keepNext w:val="0"/>
                    <w:keepLines w:val="0"/>
                    <w:pageBreakBefore w:val="0"/>
                    <w:widowControl w:val="0"/>
                    <w:kinsoku/>
                    <w:wordWrap/>
                    <w:overflowPunct/>
                    <w:topLinePunct w:val="0"/>
                    <w:autoSpaceDE/>
                    <w:autoSpaceDN/>
                    <w:bidi w:val="0"/>
                    <w:adjustRightInd/>
                    <w:snapToGrid/>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车间内</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eastAsia="宋体" w:cs="Times New Roman"/>
                      <w:color w:val="auto"/>
                      <w:spacing w:val="0"/>
                      <w:kern w:val="0"/>
                      <w:sz w:val="21"/>
                      <w:szCs w:val="21"/>
                      <w:lang w:val="en-US" w:eastAsia="zh-CN" w:bidi="zh-CN"/>
                    </w:rPr>
                  </w:pPr>
                  <w:r>
                    <w:rPr>
                      <w:rFonts w:hint="default" w:ascii="Times New Roman" w:hAnsi="Times New Roman" w:eastAsia="宋体" w:cs="Times New Roman"/>
                      <w:color w:val="auto"/>
                      <w:spacing w:val="0"/>
                      <w:kern w:val="0"/>
                      <w:sz w:val="21"/>
                      <w:szCs w:val="21"/>
                      <w:lang w:val="en-US" w:eastAsia="zh-CN" w:bidi="zh-CN"/>
                    </w:rPr>
                    <w:t>铲车装卸粉尘</w:t>
                  </w:r>
                </w:p>
              </w:tc>
              <w:tc>
                <w:tcPr>
                  <w:tcW w:w="0" w:type="auto"/>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r>
                    <w:rPr>
                      <w:rFonts w:hint="default" w:ascii="Times New Roman" w:hAnsi="Times New Roman" w:eastAsia="宋体" w:cs="Times New Roman"/>
                      <w:color w:val="auto"/>
                      <w:spacing w:val="0"/>
                      <w:sz w:val="21"/>
                      <w:szCs w:val="21"/>
                      <w:vertAlign w:val="baseline"/>
                      <w:lang w:val="en-US" w:eastAsia="zh-CN"/>
                    </w:rPr>
                    <w:t>颗粒物</w:t>
                  </w: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spacing w:val="0"/>
                      <w:kern w:val="0"/>
                      <w:sz w:val="21"/>
                      <w:szCs w:val="21"/>
                      <w:lang w:val="en-US" w:eastAsia="zh-CN" w:bidi="zh-CN"/>
                    </w:rPr>
                  </w:pPr>
                  <w:r>
                    <w:rPr>
                      <w:rFonts w:hint="default" w:ascii="Times New Roman" w:hAnsi="Times New Roman" w:cs="Times New Roman"/>
                      <w:color w:val="auto"/>
                      <w:spacing w:val="0"/>
                      <w:kern w:val="0"/>
                      <w:sz w:val="21"/>
                      <w:szCs w:val="21"/>
                      <w:lang w:val="en-US" w:eastAsia="zh-CN" w:bidi="zh-CN"/>
                    </w:rPr>
                    <w:t>喷淋</w:t>
                  </w: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vMerge w:val="continue"/>
                  <w:tcBorders>
                    <w:tl2br w:val="nil"/>
                    <w:tr2bl w:val="nil"/>
                  </w:tcBorders>
                  <w:noWrap w:val="0"/>
                  <w:vAlign w:val="center"/>
                </w:tcPr>
                <w:p>
                  <w:pPr>
                    <w:pStyle w:val="2"/>
                    <w:keepNext w:val="0"/>
                    <w:keepLines w:val="0"/>
                    <w:pageBreakBefore w:val="0"/>
                    <w:kinsoku/>
                    <w:wordWrap/>
                    <w:overflowPunct/>
                    <w:topLinePunct w:val="0"/>
                    <w:bidi w:val="0"/>
                    <w:spacing w:line="240" w:lineRule="atLeast"/>
                    <w:ind w:firstLine="0"/>
                    <w:jc w:val="center"/>
                    <w:textAlignment w:val="auto"/>
                    <w:rPr>
                      <w:rFonts w:hint="default" w:ascii="Times New Roman" w:hAnsi="Times New Roman" w:eastAsia="宋体" w:cs="Times New Roman"/>
                      <w:color w:val="auto"/>
                      <w:spacing w:val="0"/>
                      <w:sz w:val="21"/>
                      <w:szCs w:val="21"/>
                      <w:vertAlign w:val="baseline"/>
                      <w:lang w:val="en-US" w:eastAsia="zh-CN"/>
                    </w:rPr>
                  </w:pPr>
                </w:p>
              </w:tc>
              <w:tc>
                <w:tcPr>
                  <w:tcW w:w="0" w:type="auto"/>
                  <w:tcBorders>
                    <w:tl2br w:val="nil"/>
                    <w:tr2bl w:val="nil"/>
                  </w:tcBorders>
                  <w:noWrap w:val="0"/>
                  <w:vAlign w:val="center"/>
                </w:tcPr>
                <w:p>
                  <w:pPr>
                    <w:keepNext w:val="0"/>
                    <w:keepLines w:val="0"/>
                    <w:pageBreakBefore w:val="0"/>
                    <w:widowControl w:val="0"/>
                    <w:kinsoku/>
                    <w:wordWrap/>
                    <w:overflowPunct/>
                    <w:topLinePunct w:val="0"/>
                    <w:autoSpaceDE w:val="0"/>
                    <w:autoSpaceDN w:val="0"/>
                    <w:bidi w:val="0"/>
                    <w:adjustRightInd w:val="0"/>
                    <w:snapToGrid w:val="0"/>
                    <w:spacing w:before="0" w:line="240" w:lineRule="atLeast"/>
                    <w:ind w:left="0" w:leftChars="0" w:right="0" w:rightChars="0" w:firstLine="0" w:firstLineChars="0"/>
                    <w:jc w:val="center"/>
                    <w:textAlignment w:val="auto"/>
                    <w:rPr>
                      <w:rFonts w:hint="default" w:ascii="Times New Roman" w:hAnsi="Times New Roman" w:cs="Times New Roman"/>
                      <w:color w:val="auto"/>
                      <w:kern w:val="0"/>
                      <w:sz w:val="21"/>
                      <w:szCs w:val="21"/>
                      <w:lang w:val="en-US" w:eastAsia="zh-CN" w:bidi="zh-CN"/>
                    </w:rPr>
                  </w:pPr>
                  <w:r>
                    <w:rPr>
                      <w:rFonts w:hint="default" w:ascii="Times New Roman" w:hAnsi="Times New Roman" w:cs="Times New Roman"/>
                      <w:color w:val="auto"/>
                      <w:kern w:val="0"/>
                      <w:sz w:val="21"/>
                      <w:szCs w:val="21"/>
                      <w:lang w:val="en-US" w:eastAsia="zh-CN" w:bidi="zh-CN"/>
                    </w:rPr>
                    <w:t>0.006</w:t>
                  </w:r>
                </w:p>
              </w:tc>
            </w:tr>
          </w:tbl>
          <w:p>
            <w:pPr>
              <w:pStyle w:val="2"/>
              <w:rPr>
                <w:rFonts w:hint="default" w:ascii="Times New Roman" w:hAnsi="Times New Roman" w:cs="Times New Roman"/>
                <w:color w:val="auto"/>
                <w:spacing w:val="0"/>
                <w:sz w:val="24"/>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default" w:ascii="Times New Roman" w:hAnsi="Times New Roman" w:cs="Times New Roman"/>
                <w:b/>
                <w:color w:val="auto"/>
                <w:spacing w:val="-10"/>
                <w:sz w:val="24"/>
              </w:rPr>
            </w:pPr>
            <w:r>
              <w:rPr>
                <w:rFonts w:hint="default" w:ascii="Times New Roman" w:hAnsi="Times New Roman" w:cs="Times New Roman"/>
                <w:b/>
                <w:color w:val="auto"/>
                <w:spacing w:val="0"/>
                <w:sz w:val="24"/>
                <w:lang w:val="en-US" w:eastAsia="zh-CN"/>
              </w:rPr>
              <w:t>表4-12项目大气污染物年排放量核算表</w:t>
            </w:r>
          </w:p>
          <w:tbl>
            <w:tblPr>
              <w:tblStyle w:val="2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823"/>
              <w:gridCol w:w="2824"/>
              <w:gridCol w:w="2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bCs w:val="0"/>
                      <w:color w:val="auto"/>
                      <w:vertAlign w:val="baseline"/>
                    </w:rPr>
                  </w:pPr>
                  <w:r>
                    <w:rPr>
                      <w:rFonts w:hint="default" w:ascii="Times New Roman" w:hAnsi="Times New Roman" w:eastAsia="宋体" w:cs="Times New Roman"/>
                      <w:b/>
                      <w:bCs w:val="0"/>
                      <w:color w:val="auto"/>
                      <w:spacing w:val="0"/>
                      <w:sz w:val="24"/>
                      <w:vertAlign w:val="baseline"/>
                      <w:lang w:val="en-US" w:eastAsia="zh-CN"/>
                    </w:rPr>
                    <w:t>序号</w:t>
                  </w:r>
                </w:p>
              </w:tc>
              <w:tc>
                <w:tcPr>
                  <w:tcW w:w="2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bCs w:val="0"/>
                      <w:color w:val="auto"/>
                      <w:vertAlign w:val="baseline"/>
                    </w:rPr>
                  </w:pPr>
                  <w:r>
                    <w:rPr>
                      <w:rFonts w:hint="default" w:ascii="Times New Roman" w:hAnsi="Times New Roman" w:eastAsia="宋体" w:cs="Times New Roman"/>
                      <w:b/>
                      <w:bCs w:val="0"/>
                      <w:color w:val="auto"/>
                      <w:spacing w:val="0"/>
                      <w:sz w:val="24"/>
                      <w:vertAlign w:val="baseline"/>
                      <w:lang w:val="en-US" w:eastAsia="zh-CN"/>
                    </w:rPr>
                    <w:t>污染物</w:t>
                  </w:r>
                </w:p>
              </w:tc>
              <w:tc>
                <w:tcPr>
                  <w:tcW w:w="2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bCs w:val="0"/>
                      <w:color w:val="auto"/>
                      <w:vertAlign w:val="baseline"/>
                    </w:rPr>
                  </w:pPr>
                  <w:r>
                    <w:rPr>
                      <w:rFonts w:hint="default" w:ascii="Times New Roman" w:hAnsi="Times New Roman" w:eastAsia="宋体" w:cs="Times New Roman"/>
                      <w:b/>
                      <w:bCs w:val="0"/>
                      <w:color w:val="auto"/>
                      <w:spacing w:val="0"/>
                      <w:sz w:val="24"/>
                      <w:vertAlign w:val="baseline"/>
                      <w:lang w:val="en-US" w:eastAsia="zh-CN"/>
                    </w:rPr>
                    <w:t>年排放量（t/a）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8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val="0"/>
                      <w:bCs/>
                      <w:color w:val="auto"/>
                      <w:vertAlign w:val="baseline"/>
                    </w:rPr>
                  </w:pPr>
                  <w:r>
                    <w:rPr>
                      <w:rFonts w:hint="default" w:ascii="Times New Roman" w:hAnsi="Times New Roman" w:eastAsia="宋体" w:cs="Times New Roman"/>
                      <w:b w:val="0"/>
                      <w:bCs/>
                      <w:color w:val="auto"/>
                      <w:spacing w:val="0"/>
                      <w:sz w:val="24"/>
                      <w:vertAlign w:val="baseline"/>
                      <w:lang w:val="en-US" w:eastAsia="zh-CN"/>
                    </w:rPr>
                    <w:t>1</w:t>
                  </w:r>
                </w:p>
              </w:tc>
              <w:tc>
                <w:tcPr>
                  <w:tcW w:w="2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val="0"/>
                      <w:bCs/>
                      <w:color w:val="auto"/>
                      <w:vertAlign w:val="baseline"/>
                    </w:rPr>
                  </w:pPr>
                  <w:r>
                    <w:rPr>
                      <w:rFonts w:hint="default" w:ascii="Times New Roman" w:hAnsi="Times New Roman" w:eastAsia="宋体" w:cs="Times New Roman"/>
                      <w:b w:val="0"/>
                      <w:bCs/>
                      <w:color w:val="auto"/>
                      <w:spacing w:val="0"/>
                      <w:sz w:val="24"/>
                      <w:vertAlign w:val="baseline"/>
                      <w:lang w:val="en-US" w:eastAsia="zh-CN"/>
                    </w:rPr>
                    <w:t>颗粒物</w:t>
                  </w:r>
                </w:p>
              </w:tc>
              <w:tc>
                <w:tcPr>
                  <w:tcW w:w="282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tLeast"/>
                    <w:jc w:val="center"/>
                    <w:textAlignment w:val="auto"/>
                    <w:rPr>
                      <w:rFonts w:hint="default" w:ascii="Times New Roman" w:hAnsi="Times New Roman" w:cs="Times New Roman"/>
                      <w:b w:val="0"/>
                      <w:bCs/>
                      <w:color w:val="auto"/>
                      <w:vertAlign w:val="baseline"/>
                      <w:lang w:val="en-US"/>
                    </w:rPr>
                  </w:pPr>
                  <w:r>
                    <w:rPr>
                      <w:rFonts w:hint="default" w:ascii="Times New Roman" w:hAnsi="Times New Roman" w:cs="Times New Roman"/>
                      <w:b w:val="0"/>
                      <w:bCs/>
                      <w:color w:val="auto"/>
                      <w:spacing w:val="0"/>
                      <w:sz w:val="24"/>
                      <w:vertAlign w:val="baseline"/>
                      <w:lang w:val="en-US" w:eastAsia="zh-CN"/>
                    </w:rPr>
                    <w:t>0.1345</w:t>
                  </w:r>
                </w:p>
              </w:tc>
            </w:tr>
          </w:tbl>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3、大气环境影响分析</w:t>
            </w:r>
          </w:p>
          <w:p>
            <w:pPr>
              <w:autoSpaceDE w:val="0"/>
              <w:autoSpaceDN w:val="0"/>
              <w:adjustRightInd w:val="0"/>
              <w:spacing w:line="360" w:lineRule="auto"/>
              <w:ind w:firstLine="480" w:firstLineChars="200"/>
              <w:jc w:val="left"/>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本项目产污为颗粒物，废气收集后经过袋式除尘器处理后经15m高排气筒排放，未收集的废气经过无组织排放，通过规范车间操作减少排放。项目生产废气排放浓度达标，且项目环境保护目标不在项目主导风向下风向位置。因此，本项目废气对周边环境保护目标影响较小，对区域环境质量现状产生的不利影响较小。</w:t>
            </w:r>
          </w:p>
          <w:p>
            <w:pPr>
              <w:pStyle w:val="69"/>
              <w:numPr>
                <w:ilvl w:val="0"/>
                <w:numId w:val="2"/>
              </w:numPr>
              <w:spacing w:line="360" w:lineRule="auto"/>
              <w:ind w:firstLineChars="0"/>
              <w:rPr>
                <w:rFonts w:hint="default" w:ascii="Times New Roman" w:hAnsi="Times New Roman" w:cs="Times New Roman"/>
                <w:b/>
                <w:bCs/>
                <w:color w:val="auto"/>
                <w:sz w:val="24"/>
              </w:rPr>
            </w:pPr>
            <w:r>
              <w:rPr>
                <w:rFonts w:hint="default" w:ascii="Times New Roman" w:hAnsi="Times New Roman" w:cs="Times New Roman"/>
                <w:b/>
                <w:bCs/>
                <w:color w:val="auto"/>
                <w:sz w:val="24"/>
              </w:rPr>
              <w:t>废气环境影响和保护措施</w:t>
            </w:r>
          </w:p>
          <w:p>
            <w:pPr>
              <w:keepNext w:val="0"/>
              <w:keepLines w:val="0"/>
              <w:pageBreakBefore w:val="0"/>
              <w:wordWrap/>
              <w:overflowPunct/>
              <w:topLinePunct w:val="0"/>
              <w:bidi w:val="0"/>
              <w:spacing w:line="360" w:lineRule="auto"/>
              <w:ind w:left="0" w:right="0" w:firstLine="482" w:firstLineChars="200"/>
              <w:textAlignment w:val="baseline"/>
              <w:rPr>
                <w:rFonts w:hint="default" w:ascii="Times New Roman" w:hAnsi="Times New Roman" w:cs="Times New Roman"/>
                <w:b/>
                <w:bCs/>
                <w:color w:val="auto"/>
                <w:sz w:val="24"/>
                <w:lang w:val="en-US" w:eastAsia="zh-CN"/>
              </w:rPr>
            </w:pPr>
            <w:r>
              <w:rPr>
                <w:rFonts w:hint="default" w:ascii="Times New Roman" w:hAnsi="Times New Roman" w:cs="Times New Roman"/>
                <w:b/>
                <w:bCs/>
                <w:color w:val="auto"/>
                <w:sz w:val="24"/>
              </w:rPr>
              <w:t>1、废水污染源</w:t>
            </w:r>
            <w:r>
              <w:rPr>
                <w:rFonts w:hint="default" w:ascii="Times New Roman" w:hAnsi="Times New Roman" w:cs="Times New Roman"/>
                <w:b/>
                <w:bCs/>
                <w:color w:val="auto"/>
                <w:sz w:val="24"/>
                <w:lang w:val="en-US" w:eastAsia="zh-CN"/>
              </w:rPr>
              <w:t>分析</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8" w:firstLineChars="200"/>
              <w:jc w:val="left"/>
              <w:textAlignment w:val="baseline"/>
              <w:rPr>
                <w:rFonts w:hint="default" w:ascii="Times New Roman" w:hAnsi="Times New Roman" w:eastAsia="宋体" w:cs="Times New Roman"/>
                <w:snapToGrid w:val="0"/>
                <w:color w:val="auto"/>
                <w:kern w:val="0"/>
                <w:sz w:val="24"/>
                <w:szCs w:val="24"/>
              </w:rPr>
            </w:pPr>
            <w:r>
              <w:rPr>
                <w:rFonts w:hint="default" w:ascii="Times New Roman" w:hAnsi="Times New Roman" w:eastAsia="宋体" w:cs="Times New Roman"/>
                <w:snapToGrid w:val="0"/>
                <w:color w:val="auto"/>
                <w:spacing w:val="2"/>
                <w:kern w:val="0"/>
                <w:sz w:val="24"/>
                <w:szCs w:val="24"/>
              </w:rPr>
              <w:t>项目用水主要为生活用水、车辆冲洗用水、配料用水</w:t>
            </w:r>
            <w:r>
              <w:rPr>
                <w:rFonts w:hint="default" w:ascii="Times New Roman" w:hAnsi="Times New Roman" w:eastAsia="宋体" w:cs="Times New Roman"/>
                <w:snapToGrid w:val="0"/>
                <w:color w:val="auto"/>
                <w:spacing w:val="1"/>
                <w:kern w:val="0"/>
                <w:sz w:val="24"/>
                <w:szCs w:val="24"/>
              </w:rPr>
              <w:t>、降尘用水。涉及生产设备均无</w:t>
            </w:r>
            <w:r>
              <w:rPr>
                <w:rFonts w:hint="default" w:ascii="Times New Roman" w:hAnsi="Times New Roman" w:eastAsia="宋体" w:cs="Times New Roman"/>
                <w:snapToGrid w:val="0"/>
                <w:color w:val="auto"/>
                <w:kern w:val="0"/>
                <w:sz w:val="24"/>
                <w:szCs w:val="24"/>
              </w:rPr>
              <w:t>需用水清洗，采用工具铲对搅拌主机内壁进行清洁，场地内定期打扫，</w:t>
            </w:r>
            <w:r>
              <w:rPr>
                <w:rFonts w:hint="default" w:ascii="Times New Roman" w:hAnsi="Times New Roman" w:eastAsia="宋体" w:cs="Times New Roman"/>
                <w:snapToGrid w:val="0"/>
                <w:color w:val="auto"/>
                <w:spacing w:val="2"/>
                <w:kern w:val="0"/>
                <w:sz w:val="24"/>
                <w:szCs w:val="24"/>
              </w:rPr>
              <w:t>不采用清洗方式。项目营运期无生产废水产生</w:t>
            </w:r>
            <w:r>
              <w:rPr>
                <w:rFonts w:hint="default" w:ascii="Times New Roman" w:hAnsi="Times New Roman" w:eastAsia="宋体" w:cs="Times New Roman"/>
                <w:snapToGrid w:val="0"/>
                <w:color w:val="auto"/>
                <w:spacing w:val="1"/>
                <w:kern w:val="0"/>
                <w:sz w:val="24"/>
                <w:szCs w:val="24"/>
              </w:rPr>
              <w:t>，项目投产后产生的废水主要为职</w:t>
            </w:r>
            <w:r>
              <w:rPr>
                <w:rFonts w:hint="default" w:ascii="Times New Roman" w:hAnsi="Times New Roman" w:eastAsia="宋体" w:cs="Times New Roman"/>
                <w:snapToGrid w:val="0"/>
                <w:color w:val="auto"/>
                <w:spacing w:val="-10"/>
                <w:kern w:val="0"/>
                <w:sz w:val="24"/>
                <w:szCs w:val="24"/>
              </w:rPr>
              <w:t>工</w:t>
            </w:r>
            <w:r>
              <w:rPr>
                <w:rFonts w:hint="default" w:ascii="Times New Roman" w:hAnsi="Times New Roman" w:eastAsia="宋体" w:cs="Times New Roman"/>
                <w:snapToGrid w:val="0"/>
                <w:color w:val="auto"/>
                <w:spacing w:val="-5"/>
                <w:kern w:val="0"/>
                <w:sz w:val="24"/>
                <w:szCs w:val="24"/>
              </w:rPr>
              <w:t>的生活污水。</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①生活用水</w:t>
            </w:r>
          </w:p>
          <w:p>
            <w:pPr>
              <w:pStyle w:val="9"/>
              <w:keepNext w:val="0"/>
              <w:keepLines w:val="0"/>
              <w:pageBreakBefore w:val="0"/>
              <w:widowControl/>
              <w:kinsoku/>
              <w:wordWrap/>
              <w:overflowPunct/>
              <w:topLinePunct w:val="0"/>
              <w:autoSpaceDE/>
              <w:autoSpaceDN/>
              <w:bidi w:val="0"/>
              <w:adjustRightInd/>
              <w:snapToGrid w:val="0"/>
              <w:spacing w:before="0" w:after="0" w:line="360" w:lineRule="auto"/>
              <w:ind w:left="0" w:right="0" w:firstLine="480" w:firstLineChars="200"/>
              <w:jc w:val="left"/>
              <w:textAlignment w:val="auto"/>
              <w:rPr>
                <w:rFonts w:hint="default" w:ascii="Times New Roman" w:hAnsi="Times New Roman" w:cs="Times New Roman"/>
                <w:color w:val="auto"/>
                <w:spacing w:val="0"/>
                <w:position w:val="0"/>
                <w:sz w:val="24"/>
                <w:szCs w:val="24"/>
              </w:rPr>
            </w:pPr>
            <w:r>
              <w:rPr>
                <w:rFonts w:hint="default" w:ascii="Times New Roman" w:hAnsi="Times New Roman" w:cs="Times New Roman"/>
                <w:color w:val="auto"/>
                <w:spacing w:val="0"/>
                <w:position w:val="0"/>
                <w:sz w:val="24"/>
                <w:szCs w:val="24"/>
              </w:rPr>
              <w:t>项目建成后共20人在厂内工作。</w:t>
            </w:r>
            <w:r>
              <w:rPr>
                <w:rFonts w:hint="default" w:ascii="Times New Roman" w:hAnsi="Times New Roman" w:cs="Times New Roman"/>
                <w:color w:val="auto"/>
                <w:spacing w:val="0"/>
                <w:position w:val="0"/>
                <w:sz w:val="24"/>
                <w:szCs w:val="24"/>
                <w:lang w:val="en-US" w:eastAsia="zh-CN"/>
              </w:rPr>
              <w:t>本项目劳动定员20人，根据《安徽省行业用水定额》（DB34/T679-2014）</w:t>
            </w:r>
            <w:r>
              <w:rPr>
                <w:rFonts w:hint="default" w:ascii="Times New Roman" w:hAnsi="Times New Roman" w:cs="Times New Roman"/>
                <w:color w:val="auto"/>
                <w:spacing w:val="0"/>
                <w:position w:val="0"/>
                <w:sz w:val="24"/>
                <w:szCs w:val="24"/>
              </w:rPr>
              <w:t>，厂内员工生活用水定额50L/人·d，员工年工作日300天，则厂区职工生活用水量为300m</w:t>
            </w:r>
            <w:r>
              <w:rPr>
                <w:rFonts w:hint="default" w:ascii="Times New Roman" w:hAnsi="Times New Roman" w:cs="Times New Roman"/>
                <w:color w:val="auto"/>
                <w:spacing w:val="0"/>
                <w:position w:val="0"/>
                <w:sz w:val="24"/>
                <w:szCs w:val="24"/>
                <w:vertAlign w:val="superscript"/>
              </w:rPr>
              <w:t>3</w:t>
            </w:r>
            <w:r>
              <w:rPr>
                <w:rFonts w:hint="default" w:ascii="Times New Roman" w:hAnsi="Times New Roman" w:cs="Times New Roman"/>
                <w:color w:val="auto"/>
                <w:spacing w:val="0"/>
                <w:position w:val="0"/>
                <w:sz w:val="24"/>
                <w:szCs w:val="24"/>
              </w:rPr>
              <w:t>/a。污水排放系数以0.8计，则项目生活污水排放量为240m</w:t>
            </w:r>
            <w:r>
              <w:rPr>
                <w:rFonts w:hint="default" w:ascii="Times New Roman" w:hAnsi="Times New Roman" w:cs="Times New Roman"/>
                <w:color w:val="auto"/>
                <w:spacing w:val="0"/>
                <w:position w:val="0"/>
                <w:sz w:val="24"/>
                <w:szCs w:val="24"/>
                <w:vertAlign w:val="superscript"/>
              </w:rPr>
              <w:t>3</w:t>
            </w:r>
            <w:r>
              <w:rPr>
                <w:rFonts w:hint="default" w:ascii="Times New Roman" w:hAnsi="Times New Roman" w:cs="Times New Roman"/>
                <w:color w:val="auto"/>
                <w:spacing w:val="0"/>
                <w:position w:val="0"/>
                <w:sz w:val="24"/>
                <w:szCs w:val="24"/>
              </w:rPr>
              <w:t>/a。</w:t>
            </w:r>
          </w:p>
          <w:p>
            <w:pPr>
              <w:pStyle w:val="9"/>
              <w:keepNext w:val="0"/>
              <w:keepLines w:val="0"/>
              <w:pageBreakBefore w:val="0"/>
              <w:widowControl/>
              <w:kinsoku/>
              <w:wordWrap/>
              <w:overflowPunct/>
              <w:topLinePunct w:val="0"/>
              <w:autoSpaceDE/>
              <w:autoSpaceDN/>
              <w:bidi w:val="0"/>
              <w:adjustRightInd/>
              <w:snapToGrid w:val="0"/>
              <w:spacing w:before="0" w:after="0" w:line="360" w:lineRule="auto"/>
              <w:ind w:left="0" w:right="0" w:firstLine="480" w:firstLineChars="200"/>
              <w:jc w:val="left"/>
              <w:textAlignment w:val="auto"/>
              <w:rPr>
                <w:rFonts w:hint="default" w:ascii="Times New Roman" w:hAnsi="Times New Roman" w:eastAsia="宋体" w:cs="Times New Roman"/>
                <w:color w:val="auto"/>
                <w:spacing w:val="0"/>
                <w:kern w:val="2"/>
                <w:position w:val="0"/>
                <w:sz w:val="24"/>
                <w:szCs w:val="24"/>
                <w:lang w:val="en-US" w:eastAsia="zh-CN" w:bidi="ar-SA"/>
              </w:rPr>
            </w:pPr>
            <w:r>
              <w:rPr>
                <w:rFonts w:hint="default" w:ascii="Times New Roman" w:hAnsi="Times New Roman" w:eastAsia="宋体" w:cs="Times New Roman"/>
                <w:color w:val="auto"/>
                <w:spacing w:val="0"/>
                <w:kern w:val="2"/>
                <w:position w:val="0"/>
                <w:sz w:val="24"/>
                <w:szCs w:val="24"/>
                <w:lang w:val="en-US" w:eastAsia="zh-CN" w:bidi="ar-SA"/>
              </w:rPr>
              <w:t>(2)车辆冲洗用水</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color w:val="auto"/>
                <w:spacing w:val="0"/>
                <w:position w:val="0"/>
                <w:sz w:val="24"/>
                <w:szCs w:val="24"/>
                <w:lang w:val="en-US" w:eastAsia="zh-CN"/>
              </w:rPr>
            </w:pPr>
            <w:r>
              <w:rPr>
                <w:rFonts w:hint="default" w:ascii="Times New Roman" w:hAnsi="Times New Roman" w:eastAsia="宋体" w:cs="Times New Roman"/>
                <w:color w:val="auto"/>
                <w:spacing w:val="0"/>
                <w:position w:val="0"/>
                <w:sz w:val="24"/>
                <w:szCs w:val="24"/>
                <w:lang w:val="en-US" w:eastAsia="zh-CN"/>
              </w:rPr>
              <w:t>运输车辆进出厂区需要保持车辆的清洁，以减少扬尘的产生量。因此，运输车进、出厂区需经过洗车平台对车辆进行冲洗。洗车次数为8次/天，每次洗车耗水量为</w:t>
            </w:r>
            <w:r>
              <w:rPr>
                <w:rFonts w:hint="default" w:ascii="Times New Roman" w:hAnsi="Times New Roman" w:cs="Times New Roman"/>
                <w:color w:val="auto"/>
                <w:spacing w:val="0"/>
                <w:position w:val="0"/>
                <w:sz w:val="24"/>
                <w:szCs w:val="24"/>
                <w:lang w:val="en-US" w:eastAsia="zh-CN"/>
              </w:rPr>
              <w:t>0.2t</w:t>
            </w:r>
            <w:r>
              <w:rPr>
                <w:rFonts w:hint="default" w:ascii="Times New Roman" w:hAnsi="Times New Roman" w:eastAsia="宋体" w:cs="Times New Roman"/>
                <w:color w:val="auto"/>
                <w:spacing w:val="0"/>
                <w:position w:val="0"/>
                <w:sz w:val="24"/>
                <w:szCs w:val="24"/>
                <w:lang w:val="en-US" w:eastAsia="zh-CN"/>
              </w:rPr>
              <w:t>，则用水量为</w:t>
            </w:r>
            <w:r>
              <w:rPr>
                <w:rFonts w:hint="default" w:ascii="Times New Roman" w:hAnsi="Times New Roman" w:cs="Times New Roman"/>
                <w:color w:val="auto"/>
                <w:spacing w:val="0"/>
                <w:position w:val="0"/>
                <w:sz w:val="24"/>
                <w:szCs w:val="24"/>
                <w:lang w:val="en-US" w:eastAsia="zh-CN"/>
              </w:rPr>
              <w:t>1.6m</w:t>
            </w:r>
            <w:r>
              <w:rPr>
                <w:rFonts w:hint="default" w:ascii="Times New Roman" w:hAnsi="Times New Roman" w:cs="Times New Roman"/>
                <w:color w:val="auto"/>
                <w:spacing w:val="0"/>
                <w:position w:val="0"/>
                <w:sz w:val="24"/>
                <w:szCs w:val="24"/>
                <w:vertAlign w:val="superscript"/>
                <w:lang w:val="en-US" w:eastAsia="zh-CN"/>
              </w:rPr>
              <w:t>3</w:t>
            </w:r>
            <w:r>
              <w:rPr>
                <w:rFonts w:hint="default" w:ascii="Times New Roman" w:hAnsi="Times New Roman" w:cs="Times New Roman"/>
                <w:color w:val="auto"/>
                <w:spacing w:val="0"/>
                <w:position w:val="0"/>
                <w:sz w:val="24"/>
                <w:szCs w:val="24"/>
                <w:lang w:val="en-US" w:eastAsia="zh-CN"/>
              </w:rPr>
              <w:t>/d,480</w:t>
            </w:r>
            <w:r>
              <w:rPr>
                <w:rFonts w:hint="default" w:ascii="Times New Roman" w:hAnsi="Times New Roman" w:eastAsia="宋体" w:cs="Times New Roman"/>
                <w:color w:val="auto"/>
                <w:spacing w:val="0"/>
                <w:position w:val="0"/>
                <w:sz w:val="24"/>
                <w:szCs w:val="24"/>
                <w:lang w:val="en-US" w:eastAsia="zh-CN"/>
              </w:rPr>
              <w:t>m</w:t>
            </w:r>
            <w:r>
              <w:rPr>
                <w:rFonts w:hint="default" w:ascii="Times New Roman" w:hAnsi="Times New Roman" w:eastAsia="宋体" w:cs="Times New Roman"/>
                <w:color w:val="auto"/>
                <w:spacing w:val="0"/>
                <w:position w:val="0"/>
                <w:sz w:val="24"/>
                <w:szCs w:val="24"/>
                <w:vertAlign w:val="superscript"/>
                <w:lang w:val="en-US" w:eastAsia="zh-CN"/>
              </w:rPr>
              <w:t>3</w:t>
            </w:r>
            <w:r>
              <w:rPr>
                <w:rFonts w:hint="default" w:ascii="Times New Roman" w:hAnsi="Times New Roman" w:eastAsia="宋体" w:cs="Times New Roman"/>
                <w:color w:val="auto"/>
                <w:spacing w:val="0"/>
                <w:position w:val="0"/>
                <w:sz w:val="24"/>
                <w:szCs w:val="24"/>
                <w:lang w:val="en-US" w:eastAsia="zh-CN"/>
              </w:rPr>
              <w:t>/a。冲洗用水损耗量约为0.</w:t>
            </w:r>
            <w:r>
              <w:rPr>
                <w:rFonts w:hint="default" w:ascii="Times New Roman" w:hAnsi="Times New Roman" w:cs="Times New Roman"/>
                <w:color w:val="auto"/>
                <w:spacing w:val="0"/>
                <w:position w:val="0"/>
                <w:sz w:val="24"/>
                <w:szCs w:val="24"/>
                <w:lang w:val="en-US" w:eastAsia="zh-CN"/>
              </w:rPr>
              <w:t>2，</w:t>
            </w:r>
            <w:r>
              <w:rPr>
                <w:rFonts w:hint="default" w:ascii="Times New Roman" w:hAnsi="Times New Roman" w:eastAsia="宋体" w:cs="Times New Roman"/>
                <w:color w:val="auto"/>
                <w:spacing w:val="0"/>
                <w:position w:val="0"/>
                <w:sz w:val="24"/>
                <w:szCs w:val="24"/>
                <w:lang w:val="en-US" w:eastAsia="zh-CN"/>
              </w:rPr>
              <w:t>则冲洗废水产生量为</w:t>
            </w:r>
            <w:r>
              <w:rPr>
                <w:rFonts w:hint="default" w:ascii="Times New Roman" w:hAnsi="Times New Roman" w:cs="Times New Roman"/>
                <w:color w:val="auto"/>
                <w:spacing w:val="0"/>
                <w:position w:val="0"/>
                <w:sz w:val="24"/>
                <w:szCs w:val="24"/>
                <w:lang w:val="en-US" w:eastAsia="zh-CN"/>
              </w:rPr>
              <w:t>384</w:t>
            </w:r>
            <w:r>
              <w:rPr>
                <w:rFonts w:hint="default" w:ascii="Times New Roman" w:hAnsi="Times New Roman" w:eastAsia="宋体" w:cs="Times New Roman"/>
                <w:color w:val="auto"/>
                <w:spacing w:val="0"/>
                <w:position w:val="0"/>
                <w:sz w:val="24"/>
                <w:szCs w:val="24"/>
                <w:lang w:val="en-US" w:eastAsia="zh-CN"/>
              </w:rPr>
              <w:t>m</w:t>
            </w:r>
            <w:r>
              <w:rPr>
                <w:rFonts w:hint="default" w:ascii="Times New Roman" w:hAnsi="Times New Roman" w:eastAsia="宋体" w:cs="Times New Roman"/>
                <w:color w:val="auto"/>
                <w:spacing w:val="0"/>
                <w:position w:val="0"/>
                <w:sz w:val="24"/>
                <w:szCs w:val="24"/>
                <w:vertAlign w:val="superscript"/>
                <w:lang w:val="en-US" w:eastAsia="zh-CN"/>
              </w:rPr>
              <w:t>3</w:t>
            </w:r>
            <w:r>
              <w:rPr>
                <w:rFonts w:hint="default" w:ascii="Times New Roman" w:hAnsi="Times New Roman" w:eastAsia="宋体" w:cs="Times New Roman"/>
                <w:color w:val="auto"/>
                <w:spacing w:val="0"/>
                <w:position w:val="0"/>
                <w:sz w:val="24"/>
                <w:szCs w:val="24"/>
                <w:lang w:val="en-US" w:eastAsia="zh-CN"/>
              </w:rPr>
              <w:t>/a。洗车平台设置在靠近厂大门口，车辆冲洗废水通过洗车平台缝隙自流至沉淀池，沉淀池为三级沉淀，冲洗废水经沉淀池沉淀后循环使用。</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color w:val="auto"/>
                <w:spacing w:val="0"/>
                <w:kern w:val="2"/>
                <w:position w:val="0"/>
                <w:sz w:val="24"/>
                <w:szCs w:val="24"/>
                <w:lang w:bidi="ar-SA"/>
              </w:rPr>
            </w:pPr>
            <w:r>
              <w:rPr>
                <w:rFonts w:hint="default" w:ascii="Times New Roman" w:hAnsi="Times New Roman" w:eastAsia="宋体" w:cs="Times New Roman"/>
                <w:color w:val="auto"/>
                <w:spacing w:val="0"/>
                <w:kern w:val="2"/>
                <w:position w:val="0"/>
                <w:sz w:val="24"/>
                <w:szCs w:val="24"/>
                <w:lang w:bidi="ar-SA"/>
              </w:rPr>
              <w:t>(3)配料用水</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both"/>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根据建设单位提供资料，配料用水主要包括搅拌用水。搅拌过程需从水储罐中向搅拌主机中打入一定比例的水，用水量约占页岩体积的1/10，即</w:t>
            </w:r>
            <w:r>
              <w:rPr>
                <w:rFonts w:hint="default" w:ascii="Times New Roman" w:hAnsi="Times New Roman" w:cs="Times New Roman"/>
                <w:snapToGrid w:val="0"/>
                <w:color w:val="auto"/>
                <w:spacing w:val="0"/>
                <w:kern w:val="0"/>
                <w:position w:val="0"/>
                <w:sz w:val="24"/>
                <w:szCs w:val="24"/>
                <w:lang w:val="en-US" w:eastAsia="zh-CN"/>
              </w:rPr>
              <w:t>6.3m</w:t>
            </w:r>
            <w:r>
              <w:rPr>
                <w:rFonts w:hint="default" w:ascii="Times New Roman" w:hAnsi="Times New Roman" w:cs="Times New Roman"/>
                <w:snapToGrid w:val="0"/>
                <w:color w:val="auto"/>
                <w:spacing w:val="0"/>
                <w:kern w:val="0"/>
                <w:position w:val="0"/>
                <w:sz w:val="24"/>
                <w:szCs w:val="24"/>
                <w:vertAlign w:val="superscript"/>
                <w:lang w:val="en-US" w:eastAsia="zh-CN"/>
              </w:rPr>
              <w:t>3</w:t>
            </w:r>
            <w:r>
              <w:rPr>
                <w:rFonts w:hint="default" w:ascii="Times New Roman" w:hAnsi="Times New Roman" w:cs="Times New Roman"/>
                <w:snapToGrid w:val="0"/>
                <w:color w:val="auto"/>
                <w:spacing w:val="0"/>
                <w:kern w:val="0"/>
                <w:position w:val="0"/>
                <w:sz w:val="24"/>
                <w:szCs w:val="24"/>
                <w:lang w:val="en-US" w:eastAsia="zh-CN"/>
              </w:rPr>
              <w:t>/,</w:t>
            </w:r>
            <w:r>
              <w:rPr>
                <w:rFonts w:hint="default" w:ascii="Times New Roman" w:hAnsi="Times New Roman" w:eastAsia="宋体" w:cs="Times New Roman"/>
                <w:snapToGrid w:val="0"/>
                <w:color w:val="auto"/>
                <w:spacing w:val="0"/>
                <w:kern w:val="0"/>
                <w:position w:val="0"/>
                <w:sz w:val="24"/>
                <w:szCs w:val="24"/>
              </w:rPr>
              <w:t>1900m</w:t>
            </w:r>
            <w:r>
              <w:rPr>
                <w:rFonts w:hint="default" w:ascii="Times New Roman" w:hAnsi="Times New Roman" w:eastAsia="宋体" w:cs="Times New Roman"/>
                <w:snapToGrid w:val="0"/>
                <w:color w:val="auto"/>
                <w:spacing w:val="0"/>
                <w:kern w:val="0"/>
                <w:position w:val="0"/>
                <w:sz w:val="24"/>
                <w:szCs w:val="24"/>
                <w:vertAlign w:val="superscript"/>
              </w:rPr>
              <w:t>3</w:t>
            </w:r>
            <w:r>
              <w:rPr>
                <w:rFonts w:hint="default" w:ascii="Times New Roman" w:hAnsi="Times New Roman" w:eastAsia="宋体" w:cs="Times New Roman"/>
                <w:snapToGrid w:val="0"/>
                <w:color w:val="auto"/>
                <w:spacing w:val="0"/>
                <w:kern w:val="0"/>
                <w:position w:val="0"/>
                <w:sz w:val="24"/>
                <w:szCs w:val="24"/>
              </w:rPr>
              <w:t>/a，搅拌用水全部进入产品，不产生废水。</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(4)降尘用水</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eastAsia="宋体" w:cs="Times New Roman"/>
                <w:snapToGrid w:val="0"/>
                <w:color w:val="auto"/>
                <w:spacing w:val="0"/>
                <w:kern w:val="0"/>
                <w:position w:val="0"/>
                <w:sz w:val="24"/>
                <w:szCs w:val="24"/>
              </w:rPr>
            </w:pPr>
            <w:r>
              <w:rPr>
                <w:rFonts w:hint="default" w:ascii="Times New Roman" w:hAnsi="Times New Roman" w:eastAsia="宋体" w:cs="Times New Roman"/>
                <w:snapToGrid w:val="0"/>
                <w:color w:val="auto"/>
                <w:spacing w:val="0"/>
                <w:kern w:val="0"/>
                <w:position w:val="0"/>
                <w:sz w:val="24"/>
                <w:szCs w:val="24"/>
              </w:rPr>
              <w:t>厂区为抑制粉尘产生，在原料厂房等位置设置水喷淋设施，评价取</w:t>
            </w:r>
            <w:r>
              <w:rPr>
                <w:rFonts w:hint="default" w:ascii="Times New Roman" w:hAnsi="Times New Roman" w:eastAsia="宋体" w:cs="Times New Roman"/>
                <w:snapToGrid w:val="0"/>
                <w:color w:val="auto"/>
                <w:spacing w:val="0"/>
                <w:kern w:val="0"/>
                <w:position w:val="0"/>
                <w:sz w:val="24"/>
                <w:szCs w:val="24"/>
                <w:lang w:val="en-US" w:eastAsia="zh-CN"/>
              </w:rPr>
              <w:t>4</w:t>
            </w:r>
            <w:r>
              <w:rPr>
                <w:rFonts w:hint="default" w:ascii="Times New Roman" w:hAnsi="Times New Roman" w:eastAsia="宋体" w:cs="Times New Roman"/>
                <w:snapToGrid w:val="0"/>
                <w:color w:val="auto"/>
                <w:spacing w:val="0"/>
                <w:kern w:val="0"/>
                <w:position w:val="0"/>
                <w:sz w:val="24"/>
                <w:szCs w:val="24"/>
              </w:rPr>
              <w:t>个喷头计，洒水喷头流量一般在</w:t>
            </w:r>
            <w:r>
              <w:rPr>
                <w:rFonts w:hint="default" w:ascii="Times New Roman" w:hAnsi="Times New Roman" w:eastAsia="Times New Roman" w:cs="Times New Roman"/>
                <w:snapToGrid w:val="0"/>
                <w:color w:val="auto"/>
                <w:spacing w:val="0"/>
                <w:kern w:val="0"/>
                <w:position w:val="0"/>
                <w:sz w:val="24"/>
                <w:szCs w:val="24"/>
              </w:rPr>
              <w:t>10m</w:t>
            </w:r>
            <w:r>
              <w:rPr>
                <w:rFonts w:hint="default" w:ascii="Times New Roman" w:hAnsi="Times New Roman" w:eastAsia="宋体" w:cs="Times New Roman"/>
                <w:snapToGrid w:val="0"/>
                <w:color w:val="auto"/>
                <w:spacing w:val="0"/>
                <w:kern w:val="0"/>
                <w:position w:val="0"/>
                <w:sz w:val="24"/>
                <w:szCs w:val="24"/>
                <w:vertAlign w:val="superscript"/>
                <w:lang w:val="en-US" w:eastAsia="zh-CN"/>
              </w:rPr>
              <w:t>3</w:t>
            </w:r>
            <w:r>
              <w:rPr>
                <w:rFonts w:hint="default" w:ascii="Times New Roman" w:hAnsi="Times New Roman" w:eastAsia="Times New Roman" w:cs="Times New Roman"/>
                <w:snapToGrid w:val="0"/>
                <w:color w:val="auto"/>
                <w:spacing w:val="0"/>
                <w:kern w:val="0"/>
                <w:position w:val="0"/>
                <w:sz w:val="24"/>
                <w:szCs w:val="24"/>
              </w:rPr>
              <w:t>/h</w:t>
            </w:r>
            <w:r>
              <w:rPr>
                <w:rFonts w:hint="default" w:ascii="Times New Roman" w:hAnsi="Times New Roman" w:eastAsia="宋体" w:cs="Times New Roman"/>
                <w:snapToGrid w:val="0"/>
                <w:color w:val="auto"/>
                <w:spacing w:val="0"/>
                <w:kern w:val="0"/>
                <w:position w:val="0"/>
                <w:sz w:val="24"/>
                <w:szCs w:val="24"/>
              </w:rPr>
              <w:t>。每天开启约</w:t>
            </w:r>
            <w:r>
              <w:rPr>
                <w:rFonts w:hint="default" w:ascii="Times New Roman" w:hAnsi="Times New Roman" w:eastAsia="宋体" w:cs="Times New Roman"/>
                <w:snapToGrid w:val="0"/>
                <w:color w:val="auto"/>
                <w:spacing w:val="0"/>
                <w:kern w:val="0"/>
                <w:position w:val="0"/>
                <w:sz w:val="24"/>
                <w:szCs w:val="24"/>
                <w:lang w:val="en-US" w:eastAsia="zh-CN"/>
              </w:rPr>
              <w:t>2h</w:t>
            </w:r>
            <w:r>
              <w:rPr>
                <w:rFonts w:hint="default" w:ascii="Times New Roman" w:hAnsi="Times New Roman" w:eastAsia="宋体" w:cs="Times New Roman"/>
                <w:snapToGrid w:val="0"/>
                <w:color w:val="auto"/>
                <w:spacing w:val="0"/>
                <w:kern w:val="0"/>
                <w:position w:val="0"/>
                <w:sz w:val="24"/>
                <w:szCs w:val="24"/>
              </w:rPr>
              <w:t>，经计算，项目降尘用水量为</w:t>
            </w:r>
            <w:r>
              <w:rPr>
                <w:rFonts w:hint="default" w:ascii="Times New Roman" w:hAnsi="Times New Roman" w:eastAsia="宋体" w:cs="Times New Roman"/>
                <w:snapToGrid w:val="0"/>
                <w:color w:val="auto"/>
                <w:spacing w:val="0"/>
                <w:kern w:val="0"/>
                <w:position w:val="0"/>
                <w:sz w:val="24"/>
                <w:szCs w:val="24"/>
                <w:lang w:val="en-US" w:eastAsia="zh-CN"/>
              </w:rPr>
              <w:t>2400</w:t>
            </w:r>
            <w:r>
              <w:rPr>
                <w:rFonts w:hint="default" w:ascii="Times New Roman" w:hAnsi="Times New Roman" w:eastAsia="Times New Roman" w:cs="Times New Roman"/>
                <w:snapToGrid w:val="0"/>
                <w:color w:val="auto"/>
                <w:spacing w:val="0"/>
                <w:kern w:val="0"/>
                <w:position w:val="0"/>
                <w:sz w:val="24"/>
                <w:szCs w:val="24"/>
              </w:rPr>
              <w:t>m</w:t>
            </w:r>
            <w:r>
              <w:rPr>
                <w:rFonts w:hint="default" w:ascii="Times New Roman" w:hAnsi="Times New Roman" w:eastAsia="宋体" w:cs="Times New Roman"/>
                <w:snapToGrid w:val="0"/>
                <w:color w:val="auto"/>
                <w:spacing w:val="0"/>
                <w:kern w:val="0"/>
                <w:position w:val="0"/>
                <w:sz w:val="24"/>
                <w:szCs w:val="24"/>
                <w:vertAlign w:val="superscript"/>
                <w:lang w:val="en-US" w:eastAsia="zh-CN"/>
              </w:rPr>
              <w:t>3</w:t>
            </w:r>
            <w:r>
              <w:rPr>
                <w:rFonts w:hint="default" w:ascii="Times New Roman" w:hAnsi="Times New Roman" w:eastAsia="Times New Roman" w:cs="Times New Roman"/>
                <w:snapToGrid w:val="0"/>
                <w:color w:val="auto"/>
                <w:spacing w:val="0"/>
                <w:kern w:val="0"/>
                <w:position w:val="0"/>
                <w:sz w:val="24"/>
                <w:szCs w:val="24"/>
              </w:rPr>
              <w:t>/a</w:t>
            </w:r>
            <w:r>
              <w:rPr>
                <w:rFonts w:hint="default" w:ascii="Times New Roman" w:hAnsi="Times New Roman" w:eastAsia="宋体" w:cs="Times New Roman"/>
                <w:snapToGrid w:val="0"/>
                <w:color w:val="auto"/>
                <w:spacing w:val="0"/>
                <w:kern w:val="0"/>
                <w:position w:val="0"/>
                <w:sz w:val="24"/>
                <w:szCs w:val="24"/>
                <w:lang w:eastAsia="zh-CN"/>
              </w:rPr>
              <w:t>，</w:t>
            </w:r>
            <w:r>
              <w:rPr>
                <w:rFonts w:hint="default" w:ascii="Times New Roman" w:hAnsi="Times New Roman" w:eastAsia="宋体" w:cs="Times New Roman"/>
                <w:snapToGrid w:val="0"/>
                <w:color w:val="auto"/>
                <w:spacing w:val="0"/>
                <w:kern w:val="0"/>
                <w:position w:val="0"/>
                <w:sz w:val="24"/>
                <w:szCs w:val="24"/>
              </w:rPr>
              <w:t>降尘用水全部挥发。</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Chars="0" w:right="0" w:rightChars="0" w:firstLine="480" w:firstLineChars="200"/>
              <w:jc w:val="left"/>
              <w:textAlignment w:val="baseline"/>
              <w:rPr>
                <w:rFonts w:hint="default" w:ascii="Times New Roman" w:hAnsi="Times New Roman" w:cs="Times New Roman"/>
                <w:color w:val="auto"/>
                <w:lang w:val="en-US" w:eastAsia="zh-CN"/>
              </w:rPr>
            </w:pPr>
            <w:r>
              <w:rPr>
                <w:rFonts w:hint="default" w:ascii="Times New Roman" w:hAnsi="Times New Roman" w:eastAsia="宋体" w:cs="Times New Roman"/>
                <w:snapToGrid w:val="0"/>
                <w:color w:val="auto"/>
                <w:spacing w:val="0"/>
                <w:kern w:val="0"/>
                <w:position w:val="0"/>
                <w:sz w:val="24"/>
                <w:szCs w:val="24"/>
              </w:rPr>
              <w:t>(</w:t>
            </w:r>
            <w:r>
              <w:rPr>
                <w:rFonts w:hint="default" w:ascii="Times New Roman" w:hAnsi="Times New Roman" w:cs="Times New Roman"/>
                <w:snapToGrid w:val="0"/>
                <w:color w:val="auto"/>
                <w:spacing w:val="0"/>
                <w:kern w:val="0"/>
                <w:position w:val="0"/>
                <w:sz w:val="24"/>
                <w:szCs w:val="24"/>
                <w:lang w:val="en-US" w:eastAsia="zh-CN"/>
              </w:rPr>
              <w:t>5</w:t>
            </w:r>
            <w:r>
              <w:rPr>
                <w:rFonts w:hint="default" w:ascii="Times New Roman" w:hAnsi="Times New Roman" w:eastAsia="宋体" w:cs="Times New Roman"/>
                <w:snapToGrid w:val="0"/>
                <w:color w:val="auto"/>
                <w:spacing w:val="0"/>
                <w:kern w:val="0"/>
                <w:position w:val="0"/>
                <w:sz w:val="24"/>
                <w:szCs w:val="24"/>
              </w:rPr>
              <w:t>)</w:t>
            </w:r>
            <w:r>
              <w:rPr>
                <w:rFonts w:hint="default" w:ascii="Times New Roman" w:hAnsi="Times New Roman" w:cs="Times New Roman"/>
                <w:snapToGrid w:val="0"/>
                <w:color w:val="auto"/>
                <w:spacing w:val="0"/>
                <w:kern w:val="0"/>
                <w:position w:val="0"/>
                <w:sz w:val="24"/>
                <w:szCs w:val="24"/>
                <w:lang w:val="en-US" w:eastAsia="zh-CN"/>
              </w:rPr>
              <w:t>地面冲洗废水</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val="0"/>
                <w:color w:val="auto"/>
                <w:spacing w:val="0"/>
                <w:kern w:val="0"/>
                <w:position w:val="0"/>
                <w:sz w:val="24"/>
                <w:szCs w:val="24"/>
                <w:lang w:val="en-US" w:eastAsia="zh-CN" w:bidi="ar-SA"/>
              </w:rPr>
            </w:pPr>
            <w:r>
              <w:rPr>
                <w:rFonts w:hint="default" w:ascii="Times New Roman" w:hAnsi="Times New Roman" w:eastAsia="宋体" w:cs="Times New Roman"/>
                <w:snapToGrid w:val="0"/>
                <w:color w:val="auto"/>
                <w:spacing w:val="0"/>
                <w:kern w:val="0"/>
                <w:position w:val="0"/>
                <w:sz w:val="24"/>
                <w:szCs w:val="24"/>
                <w:lang w:val="en-US" w:eastAsia="zh-CN" w:bidi="ar-SA"/>
              </w:rPr>
              <w:t>搅拌作业区场地冲洗废水，根据建设单位提供资料，搅拌工作区冲洗面积约</w:t>
            </w:r>
            <w:r>
              <w:rPr>
                <w:rFonts w:hint="default" w:ascii="Times New Roman" w:hAnsi="Times New Roman" w:cs="Times New Roman"/>
                <w:snapToGrid w:val="0"/>
                <w:color w:val="auto"/>
                <w:spacing w:val="0"/>
                <w:kern w:val="0"/>
                <w:position w:val="0"/>
                <w:sz w:val="24"/>
                <w:szCs w:val="24"/>
                <w:lang w:val="en-US" w:eastAsia="zh-CN" w:bidi="ar-SA"/>
              </w:rPr>
              <w:t>1000</w:t>
            </w:r>
            <w:r>
              <w:rPr>
                <w:rFonts w:hint="default" w:ascii="Times New Roman" w:hAnsi="Times New Roman" w:eastAsia="宋体" w:cs="Times New Roman"/>
                <w:snapToGrid w:val="0"/>
                <w:color w:val="auto"/>
                <w:spacing w:val="0"/>
                <w:kern w:val="0"/>
                <w:position w:val="0"/>
                <w:sz w:val="24"/>
                <w:szCs w:val="24"/>
                <w:lang w:val="en-US" w:eastAsia="zh-CN" w:bidi="ar-SA"/>
              </w:rPr>
              <w:t>m</w:t>
            </w:r>
            <w:r>
              <w:rPr>
                <w:rFonts w:hint="default" w:ascii="Times New Roman" w:hAnsi="Times New Roman" w:eastAsia="宋体" w:cs="Times New Roman"/>
                <w:snapToGrid w:val="0"/>
                <w:color w:val="auto"/>
                <w:spacing w:val="0"/>
                <w:kern w:val="0"/>
                <w:position w:val="0"/>
                <w:sz w:val="24"/>
                <w:szCs w:val="24"/>
                <w:vertAlign w:val="superscript"/>
                <w:lang w:val="en-US" w:eastAsia="zh-CN" w:bidi="ar-SA"/>
              </w:rPr>
              <w:t>2</w:t>
            </w:r>
            <w:r>
              <w:rPr>
                <w:rFonts w:hint="default" w:ascii="Times New Roman" w:hAnsi="Times New Roman" w:eastAsia="宋体" w:cs="Times New Roman"/>
                <w:snapToGrid w:val="0"/>
                <w:color w:val="auto"/>
                <w:spacing w:val="0"/>
                <w:kern w:val="0"/>
                <w:position w:val="0"/>
                <w:sz w:val="24"/>
                <w:szCs w:val="24"/>
                <w:lang w:val="en-US" w:eastAsia="zh-CN" w:bidi="ar-SA"/>
              </w:rPr>
              <w:t>，每天冲洗一次，每次冲洗水量为1m</w:t>
            </w:r>
            <w:r>
              <w:rPr>
                <w:rFonts w:hint="default" w:ascii="Times New Roman" w:hAnsi="Times New Roman" w:eastAsia="宋体" w:cs="Times New Roman"/>
                <w:snapToGrid w:val="0"/>
                <w:color w:val="auto"/>
                <w:spacing w:val="0"/>
                <w:kern w:val="0"/>
                <w:position w:val="0"/>
                <w:sz w:val="24"/>
                <w:szCs w:val="24"/>
                <w:vertAlign w:val="superscript"/>
                <w:lang w:val="en-US" w:eastAsia="zh-CN" w:bidi="ar-SA"/>
              </w:rPr>
              <w:t>3</w:t>
            </w:r>
            <w:r>
              <w:rPr>
                <w:rFonts w:hint="default" w:ascii="Times New Roman" w:hAnsi="Times New Roman" w:eastAsia="宋体" w:cs="Times New Roman"/>
                <w:snapToGrid w:val="0"/>
                <w:color w:val="auto"/>
                <w:spacing w:val="0"/>
                <w:kern w:val="0"/>
                <w:position w:val="0"/>
                <w:sz w:val="24"/>
                <w:szCs w:val="24"/>
                <w:lang w:val="en-US" w:eastAsia="zh-CN" w:bidi="ar-SA"/>
              </w:rPr>
              <w:t>/100m</w:t>
            </w:r>
            <w:r>
              <w:rPr>
                <w:rFonts w:hint="default" w:ascii="Times New Roman" w:hAnsi="Times New Roman" w:eastAsia="宋体" w:cs="Times New Roman"/>
                <w:snapToGrid w:val="0"/>
                <w:color w:val="auto"/>
                <w:spacing w:val="0"/>
                <w:kern w:val="0"/>
                <w:position w:val="0"/>
                <w:sz w:val="24"/>
                <w:szCs w:val="24"/>
                <w:vertAlign w:val="superscript"/>
                <w:lang w:val="en-US" w:eastAsia="zh-CN" w:bidi="ar-SA"/>
              </w:rPr>
              <w:t>2</w:t>
            </w:r>
            <w:r>
              <w:rPr>
                <w:rFonts w:hint="default" w:ascii="Times New Roman" w:hAnsi="Times New Roman" w:eastAsia="宋体" w:cs="Times New Roman"/>
                <w:snapToGrid w:val="0"/>
                <w:color w:val="auto"/>
                <w:spacing w:val="0"/>
                <w:kern w:val="0"/>
                <w:position w:val="0"/>
                <w:sz w:val="24"/>
                <w:szCs w:val="24"/>
                <w:lang w:val="en-US" w:eastAsia="zh-CN" w:bidi="ar-SA"/>
              </w:rPr>
              <w:t>，则冲洗用水量为1</w:t>
            </w:r>
            <w:r>
              <w:rPr>
                <w:rFonts w:hint="default" w:ascii="Times New Roman" w:hAnsi="Times New Roman" w:cs="Times New Roman"/>
                <w:snapToGrid w:val="0"/>
                <w:color w:val="auto"/>
                <w:spacing w:val="0"/>
                <w:kern w:val="0"/>
                <w:position w:val="0"/>
                <w:sz w:val="24"/>
                <w:szCs w:val="24"/>
                <w:lang w:val="en-US" w:eastAsia="zh-CN" w:bidi="ar-SA"/>
              </w:rPr>
              <w:t>0</w:t>
            </w:r>
            <w:r>
              <w:rPr>
                <w:rFonts w:hint="default" w:ascii="Times New Roman" w:hAnsi="Times New Roman" w:eastAsia="宋体" w:cs="Times New Roman"/>
                <w:snapToGrid w:val="0"/>
                <w:color w:val="auto"/>
                <w:spacing w:val="0"/>
                <w:kern w:val="0"/>
                <w:position w:val="0"/>
                <w:sz w:val="24"/>
                <w:szCs w:val="24"/>
                <w:lang w:val="en-US" w:eastAsia="zh-CN" w:bidi="ar-SA"/>
              </w:rPr>
              <w:t>m</w:t>
            </w:r>
            <w:r>
              <w:rPr>
                <w:rFonts w:hint="default" w:ascii="Times New Roman" w:hAnsi="Times New Roman" w:eastAsia="宋体" w:cs="Times New Roman"/>
                <w:snapToGrid w:val="0"/>
                <w:color w:val="auto"/>
                <w:spacing w:val="0"/>
                <w:kern w:val="0"/>
                <w:position w:val="0"/>
                <w:sz w:val="24"/>
                <w:szCs w:val="24"/>
                <w:vertAlign w:val="superscript"/>
                <w:lang w:val="en-US" w:eastAsia="zh-CN" w:bidi="ar-SA"/>
              </w:rPr>
              <w:t>3</w:t>
            </w:r>
            <w:r>
              <w:rPr>
                <w:rFonts w:hint="default" w:ascii="Times New Roman" w:hAnsi="Times New Roman" w:eastAsia="宋体" w:cs="Times New Roman"/>
                <w:snapToGrid w:val="0"/>
                <w:color w:val="auto"/>
                <w:spacing w:val="0"/>
                <w:kern w:val="0"/>
                <w:position w:val="0"/>
                <w:sz w:val="24"/>
                <w:szCs w:val="24"/>
                <w:lang w:val="en-US" w:eastAsia="zh-CN" w:bidi="ar-SA"/>
              </w:rPr>
              <w:t>/d（</w:t>
            </w:r>
            <w:r>
              <w:rPr>
                <w:rFonts w:hint="default" w:ascii="Times New Roman" w:hAnsi="Times New Roman" w:cs="Times New Roman"/>
                <w:snapToGrid w:val="0"/>
                <w:color w:val="auto"/>
                <w:spacing w:val="0"/>
                <w:kern w:val="0"/>
                <w:position w:val="0"/>
                <w:sz w:val="24"/>
                <w:szCs w:val="24"/>
                <w:lang w:val="en-US" w:eastAsia="zh-CN" w:bidi="ar-SA"/>
              </w:rPr>
              <w:t>3000</w:t>
            </w:r>
            <w:r>
              <w:rPr>
                <w:rFonts w:hint="default" w:ascii="Times New Roman" w:hAnsi="Times New Roman" w:eastAsia="宋体" w:cs="Times New Roman"/>
                <w:snapToGrid w:val="0"/>
                <w:color w:val="auto"/>
                <w:spacing w:val="0"/>
                <w:kern w:val="0"/>
                <w:position w:val="0"/>
                <w:sz w:val="24"/>
                <w:szCs w:val="24"/>
                <w:lang w:val="en-US" w:eastAsia="zh-CN" w:bidi="ar-SA"/>
              </w:rPr>
              <w:t>m</w:t>
            </w:r>
            <w:r>
              <w:rPr>
                <w:rFonts w:hint="default" w:ascii="Times New Roman" w:hAnsi="Times New Roman" w:eastAsia="宋体" w:cs="Times New Roman"/>
                <w:snapToGrid w:val="0"/>
                <w:color w:val="auto"/>
                <w:spacing w:val="0"/>
                <w:kern w:val="0"/>
                <w:position w:val="0"/>
                <w:sz w:val="24"/>
                <w:szCs w:val="24"/>
                <w:vertAlign w:val="superscript"/>
                <w:lang w:val="en-US" w:eastAsia="zh-CN" w:bidi="ar-SA"/>
              </w:rPr>
              <w:t>3</w:t>
            </w:r>
            <w:r>
              <w:rPr>
                <w:rFonts w:hint="default" w:ascii="Times New Roman" w:hAnsi="Times New Roman" w:eastAsia="宋体" w:cs="Times New Roman"/>
                <w:snapToGrid w:val="0"/>
                <w:color w:val="auto"/>
                <w:spacing w:val="0"/>
                <w:kern w:val="0"/>
                <w:position w:val="0"/>
                <w:sz w:val="24"/>
                <w:szCs w:val="24"/>
                <w:lang w:val="en-US" w:eastAsia="zh-CN" w:bidi="ar-SA"/>
              </w:rPr>
              <w:t>/a）。排水量按用水量的90%左右计，则搅拌作业区场地冲洗废水该废水主要污染因子为SS，浓度约为2000mg/L。产生的废水经过搅拌作业区周围设置的地面沟渠引流至沉淀池，经沉淀池沉淀后回用于地面冲洗</w:t>
            </w:r>
            <w:r>
              <w:rPr>
                <w:rFonts w:hint="default" w:ascii="Times New Roman" w:hAnsi="Times New Roman" w:cs="Times New Roman"/>
                <w:snapToGrid w:val="0"/>
                <w:color w:val="auto"/>
                <w:spacing w:val="0"/>
                <w:kern w:val="0"/>
                <w:position w:val="0"/>
                <w:sz w:val="24"/>
                <w:szCs w:val="24"/>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80" w:firstLineChars="200"/>
              <w:jc w:val="left"/>
              <w:textAlignment w:val="baseline"/>
              <w:rPr>
                <w:rFonts w:hint="default" w:ascii="Times New Roman" w:hAnsi="Times New Roman" w:cs="Times New Roman"/>
                <w:color w:val="auto"/>
                <w:spacing w:val="0"/>
                <w:lang w:val="en-US" w:eastAsia="zh-CN"/>
              </w:rPr>
            </w:pPr>
            <w:r>
              <w:rPr>
                <w:rFonts w:hint="default" w:ascii="Times New Roman" w:hAnsi="Times New Roman" w:eastAsia="宋体" w:cs="Times New Roman"/>
                <w:snapToGrid w:val="0"/>
                <w:color w:val="auto"/>
                <w:spacing w:val="0"/>
                <w:kern w:val="0"/>
                <w:sz w:val="24"/>
                <w:szCs w:val="24"/>
              </w:rPr>
              <w:t>项目水平衡图如下：</w:t>
            </w:r>
          </w:p>
          <w:p>
            <w:pPr>
              <w:pStyle w:val="8"/>
              <w:jc w:val="center"/>
              <w:rPr>
                <w:rFonts w:hint="default" w:ascii="Times New Roman" w:hAnsi="Times New Roman" w:eastAsia="宋体" w:cs="Times New Roman"/>
                <w:b/>
                <w:color w:val="auto"/>
                <w:kern w:val="2"/>
                <w:sz w:val="24"/>
                <w:szCs w:val="24"/>
                <w:lang w:val="en-US" w:eastAsia="zh-CN" w:bidi="ar-SA"/>
              </w:rPr>
            </w:pPr>
            <w:r>
              <w:rPr>
                <w:rFonts w:hint="default" w:ascii="Times New Roman" w:hAnsi="Times New Roman" w:eastAsia="宋体" w:cs="Times New Roman"/>
                <w:b/>
                <w:color w:val="auto"/>
                <w:kern w:val="2"/>
                <w:sz w:val="24"/>
                <w:szCs w:val="24"/>
                <w:lang w:val="en-US" w:eastAsia="zh-CN" w:bidi="ar-SA"/>
              </w:rPr>
              <w:drawing>
                <wp:inline distT="0" distB="0" distL="114300" distR="114300">
                  <wp:extent cx="5454650" cy="3478530"/>
                  <wp:effectExtent l="0" t="0" r="12700" b="762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8"/>
                          <a:stretch>
                            <a:fillRect/>
                          </a:stretch>
                        </pic:blipFill>
                        <pic:spPr>
                          <a:xfrm>
                            <a:off x="0" y="0"/>
                            <a:ext cx="5454650" cy="3478530"/>
                          </a:xfrm>
                          <a:prstGeom prst="rect">
                            <a:avLst/>
                          </a:prstGeom>
                          <a:noFill/>
                          <a:ln>
                            <a:noFill/>
                          </a:ln>
                        </pic:spPr>
                      </pic:pic>
                    </a:graphicData>
                  </a:graphic>
                </wp:inline>
              </w:drawing>
            </w:r>
          </w:p>
          <w:p>
            <w:pPr>
              <w:spacing w:before="120" w:beforeLines="50" w:line="360" w:lineRule="auto"/>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图4-</w:t>
            </w:r>
            <w:r>
              <w:rPr>
                <w:rFonts w:hint="default" w:ascii="Times New Roman" w:hAnsi="Times New Roman" w:cs="Times New Roman"/>
                <w:b/>
                <w:bCs/>
                <w:color w:val="auto"/>
                <w:sz w:val="24"/>
                <w:lang w:val="en-US" w:eastAsia="zh-CN"/>
              </w:rPr>
              <w:t>2</w:t>
            </w:r>
            <w:r>
              <w:rPr>
                <w:rFonts w:hint="default" w:ascii="Times New Roman" w:hAnsi="Times New Roman" w:cs="Times New Roman"/>
                <w:b/>
                <w:bCs/>
                <w:color w:val="auto"/>
                <w:sz w:val="24"/>
              </w:rPr>
              <w:t>项目水平衡图（m</w:t>
            </w:r>
            <w:r>
              <w:rPr>
                <w:rFonts w:hint="default" w:ascii="Times New Roman" w:hAnsi="Times New Roman" w:cs="Times New Roman"/>
                <w:b/>
                <w:bCs/>
                <w:color w:val="auto"/>
                <w:sz w:val="24"/>
                <w:vertAlign w:val="superscript"/>
              </w:rPr>
              <w:t>3</w:t>
            </w:r>
            <w:r>
              <w:rPr>
                <w:rFonts w:hint="default" w:ascii="Times New Roman" w:hAnsi="Times New Roman" w:cs="Times New Roman"/>
                <w:b/>
                <w:bCs/>
                <w:color w:val="auto"/>
                <w:sz w:val="24"/>
              </w:rPr>
              <w:t>/d）</w:t>
            </w:r>
          </w:p>
          <w:p>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pacing w:val="0"/>
                <w:sz w:val="24"/>
                <w:lang w:val="en-US" w:eastAsia="zh-CN"/>
              </w:rPr>
            </w:pPr>
            <w:r>
              <w:rPr>
                <w:rFonts w:hint="default" w:ascii="Times New Roman" w:hAnsi="Times New Roman" w:cs="Times New Roman"/>
                <w:color w:val="auto"/>
                <w:spacing w:val="0"/>
                <w:sz w:val="24"/>
                <w:lang w:val="en-US" w:eastAsia="zh-CN"/>
              </w:rPr>
              <w:t>生活污水经防渗化粪池静置沉淀后接入城东污水处理厂。类比我国城市居民生活污水水质，本项目生活污水污染物排放量预测结果见下表。</w:t>
            </w:r>
          </w:p>
          <w:p>
            <w:pPr>
              <w:pStyle w:val="11"/>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表4-13生活污水水质类比结果</w:t>
            </w:r>
          </w:p>
          <w:tbl>
            <w:tblPr>
              <w:tblStyle w:val="28"/>
              <w:tblpPr w:leftFromText="180" w:rightFromText="180" w:vertAnchor="text" w:horzAnchor="page" w:tblpXSpec="center" w:tblpY="330"/>
              <w:tblOverlap w:val="never"/>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12"/>
              <w:gridCol w:w="2407"/>
              <w:gridCol w:w="1222"/>
              <w:gridCol w:w="1056"/>
              <w:gridCol w:w="907"/>
              <w:gridCol w:w="907"/>
              <w:gridCol w:w="9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jc w:val="center"/>
              </w:trPr>
              <w:tc>
                <w:tcPr>
                  <w:tcW w:w="2017" w:type="pct"/>
                  <w:gridSpan w:val="2"/>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污染物种类</w:t>
                  </w:r>
                </w:p>
              </w:tc>
              <w:tc>
                <w:tcPr>
                  <w:tcW w:w="721" w:type="pct"/>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pH（无量纲）</w:t>
                  </w:r>
                </w:p>
              </w:tc>
              <w:tc>
                <w:tcPr>
                  <w:tcW w:w="623" w:type="pct"/>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COD</w:t>
                  </w:r>
                </w:p>
              </w:tc>
              <w:tc>
                <w:tcPr>
                  <w:tcW w:w="535" w:type="pct"/>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SS</w:t>
                  </w:r>
                </w:p>
              </w:tc>
              <w:tc>
                <w:tcPr>
                  <w:tcW w:w="535" w:type="pct"/>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BOD</w:t>
                  </w:r>
                  <w:r>
                    <w:rPr>
                      <w:rFonts w:hint="default" w:ascii="Times New Roman" w:hAnsi="Times New Roman" w:cs="Times New Roman"/>
                      <w:b/>
                      <w:bCs/>
                      <w:color w:val="auto"/>
                      <w:vertAlign w:val="subscript"/>
                      <w:lang w:val="en-US" w:eastAsia="zh-CN"/>
                    </w:rPr>
                    <w:t>5</w:t>
                  </w:r>
                </w:p>
              </w:tc>
              <w:tc>
                <w:tcPr>
                  <w:tcW w:w="566" w:type="pct"/>
                  <w:tcBorders>
                    <w:tl2br w:val="nil"/>
                    <w:tr2bl w:val="nil"/>
                  </w:tcBorders>
                  <w:noWrap w:val="0"/>
                  <w:vAlign w:val="center"/>
                </w:tcPr>
                <w:p>
                  <w:pPr>
                    <w:pStyle w:val="11"/>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氨氮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 w:hRule="atLeast"/>
                <w:jc w:val="center"/>
              </w:trPr>
              <w:tc>
                <w:tcPr>
                  <w:tcW w:w="597" w:type="pct"/>
                  <w:vMerge w:val="restart"/>
                  <w:tcBorders>
                    <w:tl2br w:val="nil"/>
                    <w:tr2bl w:val="nil"/>
                  </w:tcBorders>
                  <w:noWrap w:val="0"/>
                  <w:vAlign w:val="center"/>
                </w:tcPr>
                <w:p>
                  <w:pPr>
                    <w:pStyle w:val="11"/>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生活污水</w:t>
                  </w: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产生浓度（mg/L）</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350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200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180</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4"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产生量（t/a）</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0.084</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0.048</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0.0432</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处理效率（%）</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15</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8"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预测排放浓度（mg/L）</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297.5</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140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163.8</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预测排放量（t/a）</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0.0714</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0.0336</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0.039</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接管浓度（mg/L）</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400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300</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城东污水厂排放浓度（mg/L）</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6-9</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jc w:val="center"/>
              </w:trPr>
              <w:tc>
                <w:tcPr>
                  <w:tcW w:w="597" w:type="pct"/>
                  <w:vMerge w:val="continue"/>
                  <w:tcBorders>
                    <w:tl2br w:val="nil"/>
                    <w:tr2bl w:val="nil"/>
                  </w:tcBorders>
                  <w:noWrap w:val="0"/>
                  <w:vAlign w:val="center"/>
                </w:tcPr>
                <w:p>
                  <w:pPr>
                    <w:pStyle w:val="11"/>
                    <w:rPr>
                      <w:rFonts w:hint="default" w:ascii="Times New Roman" w:hAnsi="Times New Roman" w:cs="Times New Roman"/>
                      <w:color w:val="auto"/>
                      <w:lang w:val="en-US" w:eastAsia="zh-CN"/>
                    </w:rPr>
                  </w:pPr>
                </w:p>
              </w:tc>
              <w:tc>
                <w:tcPr>
                  <w:tcW w:w="1420" w:type="pct"/>
                  <w:tcBorders>
                    <w:tl2br w:val="nil"/>
                    <w:tr2bl w:val="nil"/>
                  </w:tcBorders>
                  <w:noWrap w:val="0"/>
                  <w:vAlign w:val="center"/>
                </w:tcPr>
                <w:p>
                  <w:pPr>
                    <w:pStyle w:val="11"/>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城东污水厂排放量（t/a）</w:t>
                  </w:r>
                </w:p>
              </w:tc>
              <w:tc>
                <w:tcPr>
                  <w:tcW w:w="721"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623"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0.012</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0.0024</w:t>
                  </w:r>
                </w:p>
              </w:tc>
              <w:tc>
                <w:tcPr>
                  <w:tcW w:w="535"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0.0024</w:t>
                  </w:r>
                </w:p>
              </w:tc>
              <w:tc>
                <w:tcPr>
                  <w:tcW w:w="566" w:type="pct"/>
                  <w:tcBorders>
                    <w:tl2br w:val="nil"/>
                    <w:tr2bl w:val="nil"/>
                  </w:tcBorders>
                  <w:noWrap w:val="0"/>
                  <w:vAlign w:val="center"/>
                </w:tcPr>
                <w:p>
                  <w:pPr>
                    <w:pStyle w:val="11"/>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0.0012</w:t>
                  </w:r>
                </w:p>
              </w:tc>
            </w:tr>
          </w:tbl>
          <w:p>
            <w:pPr>
              <w:pStyle w:val="11"/>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hint="default" w:ascii="Times New Roman" w:hAnsi="Times New Roman" w:cs="Times New Roman"/>
                <w:bCs/>
                <w:color w:val="auto"/>
                <w:spacing w:val="0"/>
                <w:sz w:val="24"/>
              </w:rPr>
            </w:pPr>
          </w:p>
          <w:p>
            <w:pPr>
              <w:keepNext w:val="0"/>
              <w:keepLines w:val="0"/>
              <w:pageBreakBefore w:val="0"/>
              <w:widowControl w:val="0"/>
              <w:kinsoku/>
              <w:wordWrap/>
              <w:overflowPunct/>
              <w:topLinePunct w:val="0"/>
              <w:autoSpaceDE/>
              <w:autoSpaceDN/>
              <w:bidi w:val="0"/>
              <w:adjustRightInd w:val="0"/>
              <w:snapToGrid w:val="0"/>
              <w:spacing w:line="360" w:lineRule="auto"/>
              <w:ind w:firstLine="442" w:firstLineChars="200"/>
              <w:textAlignment w:val="auto"/>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lang w:val="en-US" w:eastAsia="zh-CN"/>
              </w:rPr>
              <w:t>2</w:t>
            </w:r>
            <w:r>
              <w:rPr>
                <w:rFonts w:hint="default" w:ascii="Times New Roman" w:hAnsi="Times New Roman" w:cs="Times New Roman"/>
                <w:b/>
                <w:color w:val="auto"/>
                <w:spacing w:val="-10"/>
                <w:sz w:val="24"/>
              </w:rPr>
              <w:t>、废水接管可行性分析</w:t>
            </w:r>
          </w:p>
          <w:p>
            <w:pPr>
              <w:widowControl/>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(1)接管范围</w:t>
            </w:r>
          </w:p>
          <w:p>
            <w:pPr>
              <w:widowControl/>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城东污水处理厂其收水范围为芜湖市区扁担河东侧，芜屯公路北部的整个区域。本项目位于城东污水处理厂规划收水范围内。因此本项目产生的污水可纳管。</w:t>
            </w:r>
          </w:p>
          <w:p>
            <w:pPr>
              <w:widowControl/>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(2)水量</w:t>
            </w:r>
          </w:p>
          <w:p>
            <w:pPr>
              <w:widowControl/>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城东污水处理厂远期规模为35万m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/d，近期工程第一阶段规模为6万m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/d，目前剩余污水处理量为3万m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/d，本项目实施后新增废水量240m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/a，折算至每日仅为0.8m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，仅占污水处理厂剩余处理量的0.0027%，新增废水量极小，对污水处理厂现有处理负荷基本无影响。因此，从水量分析，城东污水处理厂接纳本项目废水是可行的。</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(3)水质</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产生的废水水质较为简单。城东污水处理厂采用污水处理采用生物脱氮除磷工艺，污泥处理工艺采用机械离心浓缩脱水机。工艺流程技术先进成熟，设计科学合理，具有运转可靠。污水处理厂尾水执行《城镇污水处理厂污染物排放标准》(GB18918-2002)一级A标准，最终排入青弋江。因此从水质方面来看，本项目废水接管可行。</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综上所述，项目地包含在城东污水处理厂的收水范围以内；项目外排废水量产生较小，且水质较简单，不会对城东污水处理厂产生冲击负荷；城东污水处理厂的处理工艺可满足对项目废水的达标处理要求，废水经过处理达到《城镇污水处理厂污染物排放标准》(GB18918-2002)一级A标准后，最终排入青弋江。</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在采取上述的处理、处置措施后，本项目废水排放对外环境的影响很小。</w:t>
            </w:r>
          </w:p>
          <w:p>
            <w:pPr>
              <w:adjustRightInd w:val="0"/>
              <w:snapToGrid w:val="0"/>
              <w:spacing w:line="360" w:lineRule="auto"/>
              <w:ind w:firstLine="442" w:firstLineChars="200"/>
              <w:rPr>
                <w:rFonts w:hint="default" w:ascii="Times New Roman" w:hAnsi="Times New Roman" w:cs="Times New Roman"/>
                <w:b/>
                <w:color w:val="auto"/>
                <w:spacing w:val="-10"/>
                <w:szCs w:val="21"/>
              </w:rPr>
            </w:pPr>
            <w:r>
              <w:rPr>
                <w:rFonts w:hint="default" w:ascii="Times New Roman" w:hAnsi="Times New Roman" w:cs="Times New Roman"/>
                <w:b/>
                <w:color w:val="auto"/>
                <w:spacing w:val="-10"/>
                <w:sz w:val="24"/>
              </w:rPr>
              <w:t>三、噪声环境影响和保护措施</w:t>
            </w:r>
          </w:p>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1、噪声源强</w:t>
            </w:r>
          </w:p>
          <w:p>
            <w:pPr>
              <w:spacing w:line="460" w:lineRule="exact"/>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本项目噪声源主要是车间内</w:t>
            </w:r>
            <w:r>
              <w:rPr>
                <w:rFonts w:hint="default" w:ascii="Times New Roman" w:hAnsi="Times New Roman" w:cs="Times New Roman"/>
                <w:color w:val="auto"/>
                <w:sz w:val="24"/>
                <w:lang w:val="en-US" w:eastAsia="zh-CN"/>
              </w:rPr>
              <w:t>试机过程</w:t>
            </w:r>
            <w:r>
              <w:rPr>
                <w:rFonts w:hint="default" w:ascii="Times New Roman" w:hAnsi="Times New Roman" w:cs="Times New Roman"/>
                <w:color w:val="auto"/>
                <w:sz w:val="24"/>
              </w:rPr>
              <w:t>的设备及</w:t>
            </w:r>
            <w:r>
              <w:rPr>
                <w:rFonts w:hint="default" w:ascii="Times New Roman" w:hAnsi="Times New Roman" w:cs="Times New Roman"/>
                <w:color w:val="auto"/>
                <w:sz w:val="24"/>
                <w:highlight w:val="none"/>
                <w:lang w:val="en-US" w:eastAsia="zh-CN"/>
              </w:rPr>
              <w:t>环保设备</w:t>
            </w:r>
            <w:r>
              <w:rPr>
                <w:rFonts w:hint="default" w:ascii="Times New Roman" w:hAnsi="Times New Roman" w:cs="Times New Roman"/>
                <w:color w:val="auto"/>
                <w:sz w:val="24"/>
                <w:highlight w:val="none"/>
              </w:rPr>
              <w:t>风机</w:t>
            </w:r>
            <w:r>
              <w:rPr>
                <w:rFonts w:hint="default" w:ascii="Times New Roman" w:hAnsi="Times New Roman" w:cs="Times New Roman"/>
                <w:color w:val="auto"/>
                <w:sz w:val="24"/>
              </w:rPr>
              <w:t>等，各设备噪声值在75~90dB（A）间，噪声源强见下表</w:t>
            </w:r>
            <w:r>
              <w:rPr>
                <w:rFonts w:hint="default" w:ascii="Times New Roman" w:hAnsi="Times New Roman" w:cs="Times New Roman"/>
                <w:bCs/>
                <w:color w:val="auto"/>
                <w:sz w:val="24"/>
              </w:rPr>
              <w:t>。</w:t>
            </w:r>
          </w:p>
          <w:p>
            <w:pPr>
              <w:spacing w:line="460" w:lineRule="exact"/>
              <w:jc w:val="center"/>
              <w:rPr>
                <w:rFonts w:hint="default" w:ascii="Times New Roman" w:hAnsi="Times New Roman" w:cs="Times New Roman"/>
                <w:b/>
                <w:color w:val="auto"/>
                <w:sz w:val="24"/>
              </w:rPr>
            </w:pPr>
            <w:r>
              <w:rPr>
                <w:rFonts w:hint="default" w:ascii="Times New Roman" w:hAnsi="Times New Roman" w:cs="Times New Roman"/>
                <w:b/>
                <w:bCs/>
                <w:color w:val="auto"/>
                <w:sz w:val="24"/>
              </w:rPr>
              <w:t>表4-</w:t>
            </w:r>
            <w:r>
              <w:rPr>
                <w:rFonts w:hint="default" w:ascii="Times New Roman" w:hAnsi="Times New Roman" w:cs="Times New Roman"/>
                <w:b/>
                <w:bCs/>
                <w:color w:val="auto"/>
                <w:sz w:val="24"/>
                <w:lang w:val="en-US" w:eastAsia="zh-CN"/>
              </w:rPr>
              <w:t>14</w:t>
            </w:r>
            <w:r>
              <w:rPr>
                <w:rFonts w:hint="default" w:ascii="Times New Roman" w:hAnsi="Times New Roman" w:cs="Times New Roman"/>
                <w:b/>
                <w:bCs/>
                <w:color w:val="auto"/>
                <w:sz w:val="24"/>
              </w:rPr>
              <w:t>主要</w:t>
            </w:r>
            <w:r>
              <w:rPr>
                <w:rFonts w:hint="default" w:ascii="Times New Roman" w:hAnsi="Times New Roman" w:cs="Times New Roman"/>
                <w:b/>
                <w:color w:val="auto"/>
                <w:sz w:val="24"/>
              </w:rPr>
              <w:t>噪声源强一览表</w:t>
            </w:r>
          </w:p>
          <w:tbl>
            <w:tblPr>
              <w:tblStyle w:val="27"/>
              <w:tblW w:w="4998"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86"/>
              <w:gridCol w:w="1060"/>
              <w:gridCol w:w="495"/>
              <w:gridCol w:w="442"/>
              <w:gridCol w:w="491"/>
              <w:gridCol w:w="506"/>
              <w:gridCol w:w="1865"/>
              <w:gridCol w:w="25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0" w:hRule="atLeast"/>
              </w:trPr>
              <w:tc>
                <w:tcPr>
                  <w:tcW w:w="642"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设备名称</w:t>
                  </w:r>
                </w:p>
              </w:tc>
              <w:tc>
                <w:tcPr>
                  <w:tcW w:w="625"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设备数量</w:t>
                  </w:r>
                </w:p>
              </w:tc>
              <w:tc>
                <w:tcPr>
                  <w:tcW w:w="1146" w:type="pct"/>
                  <w:gridSpan w:val="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距各向厂界距离m</w:t>
                  </w:r>
                </w:p>
              </w:tc>
              <w:tc>
                <w:tcPr>
                  <w:tcW w:w="1094"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A声功率级dB(A)</w:t>
                  </w:r>
                </w:p>
              </w:tc>
              <w:tc>
                <w:tcPr>
                  <w:tcW w:w="1491"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减振、隔声（dB（A））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2"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625"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2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东</w:t>
                  </w:r>
                </w:p>
              </w:tc>
              <w:tc>
                <w:tcPr>
                  <w:tcW w:w="26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南</w:t>
                  </w:r>
                </w:p>
              </w:tc>
              <w:tc>
                <w:tcPr>
                  <w:tcW w:w="2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西</w:t>
                  </w:r>
                </w:p>
              </w:tc>
              <w:tc>
                <w:tcPr>
                  <w:tcW w:w="300"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b/>
                      <w:bCs/>
                      <w:color w:val="auto"/>
                      <w:spacing w:val="0"/>
                    </w:rPr>
                  </w:pPr>
                  <w:r>
                    <w:rPr>
                      <w:rFonts w:hint="default" w:ascii="Times New Roman" w:hAnsi="Times New Roman" w:cs="Times New Roman"/>
                      <w:b/>
                      <w:bCs/>
                      <w:color w:val="auto"/>
                      <w:spacing w:val="0"/>
                      <w:lang w:val="en-US" w:eastAsia="zh-CN"/>
                    </w:rPr>
                    <w:t>北</w:t>
                  </w:r>
                </w:p>
              </w:tc>
              <w:tc>
                <w:tcPr>
                  <w:tcW w:w="1094"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both"/>
                    <w:textAlignment w:val="auto"/>
                    <w:rPr>
                      <w:rFonts w:hint="default" w:ascii="Times New Roman" w:hAnsi="Times New Roman" w:cs="Times New Roman"/>
                      <w:color w:val="auto"/>
                      <w:spacing w:val="0"/>
                    </w:rPr>
                  </w:pPr>
                </w:p>
              </w:tc>
              <w:tc>
                <w:tcPr>
                  <w:tcW w:w="149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cs="Times New Roman"/>
                      <w:color w:val="auto"/>
                      <w:spacing w:val="0"/>
                    </w:rPr>
                  </w:pPr>
                  <w:r>
                    <w:rPr>
                      <w:rFonts w:hint="default" w:ascii="Times New Roman" w:hAnsi="Times New Roman" w:eastAsia="宋体" w:cs="Times New Roman"/>
                      <w:color w:val="auto"/>
                      <w:spacing w:val="0"/>
                      <w:sz w:val="21"/>
                      <w:szCs w:val="21"/>
                    </w:rPr>
                    <w:t>搅拌主机</w:t>
                  </w:r>
                </w:p>
              </w:tc>
              <w:tc>
                <w:tcPr>
                  <w:tcW w:w="625"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0"/>
                      <w:lang w:eastAsia="zh-CN"/>
                    </w:rPr>
                  </w:pPr>
                  <w:r>
                    <w:rPr>
                      <w:rFonts w:hint="default" w:ascii="Times New Roman" w:hAnsi="Times New Roman" w:cs="Times New Roman"/>
                      <w:color w:val="auto"/>
                      <w:spacing w:val="0"/>
                      <w:sz w:val="21"/>
                      <w:szCs w:val="21"/>
                      <w:lang w:val="en-US" w:eastAsia="zh-CN"/>
                    </w:rPr>
                    <w:t>1</w:t>
                  </w:r>
                </w:p>
              </w:tc>
              <w:tc>
                <w:tcPr>
                  <w:tcW w:w="2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60</w:t>
                  </w:r>
                </w:p>
              </w:tc>
              <w:tc>
                <w:tcPr>
                  <w:tcW w:w="26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85</w:t>
                  </w:r>
                </w:p>
              </w:tc>
              <w:tc>
                <w:tcPr>
                  <w:tcW w:w="2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40</w:t>
                  </w:r>
                </w:p>
              </w:tc>
              <w:tc>
                <w:tcPr>
                  <w:tcW w:w="300"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35</w:t>
                  </w:r>
                </w:p>
              </w:tc>
              <w:tc>
                <w:tcPr>
                  <w:tcW w:w="1094"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r>
                    <w:rPr>
                      <w:rFonts w:hint="default" w:ascii="Times New Roman" w:hAnsi="Times New Roman" w:cs="Times New Roman"/>
                      <w:color w:val="auto"/>
                      <w:spacing w:val="0"/>
                      <w:lang w:val="en-US" w:eastAsia="zh-CN"/>
                    </w:rPr>
                    <w:t>75</w:t>
                  </w:r>
                </w:p>
              </w:tc>
              <w:tc>
                <w:tcPr>
                  <w:tcW w:w="14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r>
                    <w:rPr>
                      <w:rFonts w:hint="default" w:ascii="Times New Roman" w:hAnsi="Times New Roman" w:cs="Times New Roman"/>
                      <w:color w:val="auto"/>
                      <w:spacing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642"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cs="Times New Roman"/>
                      <w:color w:val="auto"/>
                      <w:spacing w:val="0"/>
                    </w:rPr>
                  </w:pPr>
                  <w:r>
                    <w:rPr>
                      <w:rFonts w:hint="default" w:ascii="Times New Roman" w:hAnsi="Times New Roman" w:eastAsia="宋体" w:cs="Times New Roman"/>
                      <w:color w:val="auto"/>
                      <w:spacing w:val="0"/>
                      <w:sz w:val="21"/>
                      <w:szCs w:val="21"/>
                    </w:rPr>
                    <w:t>破碎机</w:t>
                  </w:r>
                </w:p>
              </w:tc>
              <w:tc>
                <w:tcPr>
                  <w:tcW w:w="625"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0"/>
                      <w:lang w:eastAsia="zh-CN"/>
                    </w:rPr>
                  </w:pPr>
                  <w:r>
                    <w:rPr>
                      <w:rFonts w:hint="default" w:ascii="Times New Roman" w:hAnsi="Times New Roman" w:cs="Times New Roman"/>
                      <w:color w:val="auto"/>
                      <w:spacing w:val="0"/>
                      <w:sz w:val="21"/>
                      <w:szCs w:val="21"/>
                      <w:lang w:val="en-US" w:eastAsia="zh-CN"/>
                    </w:rPr>
                    <w:t>2</w:t>
                  </w:r>
                </w:p>
              </w:tc>
              <w:tc>
                <w:tcPr>
                  <w:tcW w:w="293"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59</w:t>
                  </w:r>
                </w:p>
              </w:tc>
              <w:tc>
                <w:tcPr>
                  <w:tcW w:w="262"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39</w:t>
                  </w:r>
                </w:p>
              </w:tc>
              <w:tc>
                <w:tcPr>
                  <w:tcW w:w="291"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43</w:t>
                  </w:r>
                </w:p>
              </w:tc>
              <w:tc>
                <w:tcPr>
                  <w:tcW w:w="300"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80</w:t>
                  </w:r>
                </w:p>
              </w:tc>
              <w:tc>
                <w:tcPr>
                  <w:tcW w:w="1094"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rPr>
                  </w:pPr>
                  <w:r>
                    <w:rPr>
                      <w:rFonts w:hint="default" w:ascii="Times New Roman" w:hAnsi="Times New Roman" w:cs="Times New Roman"/>
                      <w:color w:val="auto"/>
                      <w:spacing w:val="0"/>
                      <w:lang w:val="en-US" w:eastAsia="zh-CN"/>
                    </w:rPr>
                    <w:t>80</w:t>
                  </w:r>
                </w:p>
              </w:tc>
              <w:tc>
                <w:tcPr>
                  <w:tcW w:w="1491" w:type="pct"/>
                  <w:vMerge w:val="restar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r>
                    <w:rPr>
                      <w:rFonts w:hint="default" w:ascii="Times New Roman" w:hAnsi="Times New Roman" w:cs="Times New Roman"/>
                      <w:color w:val="auto"/>
                      <w:spacing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625"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cs="Times New Roman"/>
                      <w:color w:val="auto"/>
                      <w:spacing w:val="0"/>
                    </w:rPr>
                  </w:pPr>
                </w:p>
              </w:tc>
              <w:tc>
                <w:tcPr>
                  <w:tcW w:w="293"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262"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29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300"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1094"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149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642"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625"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jc w:val="center"/>
                    <w:textAlignment w:val="auto"/>
                    <w:rPr>
                      <w:rFonts w:hint="default" w:ascii="Times New Roman" w:hAnsi="Times New Roman" w:cs="Times New Roman"/>
                      <w:color w:val="auto"/>
                      <w:spacing w:val="0"/>
                    </w:rPr>
                  </w:pPr>
                </w:p>
              </w:tc>
              <w:tc>
                <w:tcPr>
                  <w:tcW w:w="293"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262"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29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300"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1094"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c>
                <w:tcPr>
                  <w:tcW w:w="1491" w:type="pct"/>
                  <w:vMerge w:val="continue"/>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cs="Times New Roman"/>
                      <w:color w:val="auto"/>
                      <w:spacing w:val="0"/>
                    </w:rPr>
                  </w:pPr>
                  <w:r>
                    <w:rPr>
                      <w:rFonts w:hint="default" w:ascii="Times New Roman" w:hAnsi="Times New Roman" w:eastAsia="宋体" w:cs="Times New Roman"/>
                      <w:color w:val="auto"/>
                      <w:spacing w:val="0"/>
                      <w:sz w:val="21"/>
                      <w:szCs w:val="21"/>
                    </w:rPr>
                    <w:t>振动筛</w:t>
                  </w:r>
                </w:p>
              </w:tc>
              <w:tc>
                <w:tcPr>
                  <w:tcW w:w="625"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0"/>
                      <w:lang w:eastAsia="zh-CN"/>
                    </w:rPr>
                  </w:pPr>
                  <w:r>
                    <w:rPr>
                      <w:rFonts w:hint="default" w:ascii="Times New Roman" w:hAnsi="Times New Roman" w:cs="Times New Roman"/>
                      <w:color w:val="auto"/>
                      <w:spacing w:val="0"/>
                      <w:sz w:val="21"/>
                      <w:szCs w:val="21"/>
                      <w:lang w:val="en-US" w:eastAsia="zh-CN"/>
                    </w:rPr>
                    <w:t>1</w:t>
                  </w:r>
                </w:p>
              </w:tc>
              <w:tc>
                <w:tcPr>
                  <w:tcW w:w="2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65</w:t>
                  </w:r>
                </w:p>
              </w:tc>
              <w:tc>
                <w:tcPr>
                  <w:tcW w:w="26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46</w:t>
                  </w:r>
                </w:p>
              </w:tc>
              <w:tc>
                <w:tcPr>
                  <w:tcW w:w="2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35</w:t>
                  </w:r>
                </w:p>
              </w:tc>
              <w:tc>
                <w:tcPr>
                  <w:tcW w:w="300"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宋体" w:cs="Times New Roman"/>
                      <w:color w:val="auto"/>
                      <w:spacing w:val="0"/>
                      <w:lang w:val="en-US" w:eastAsia="zh-CN"/>
                    </w:rPr>
                  </w:pPr>
                  <w:r>
                    <w:rPr>
                      <w:rFonts w:hint="default" w:ascii="Times New Roman" w:hAnsi="Times New Roman" w:cs="Times New Roman"/>
                      <w:color w:val="auto"/>
                      <w:spacing w:val="0"/>
                      <w:lang w:val="en-US" w:eastAsia="zh-CN"/>
                    </w:rPr>
                    <w:t>70</w:t>
                  </w:r>
                </w:p>
              </w:tc>
              <w:tc>
                <w:tcPr>
                  <w:tcW w:w="1094"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r>
                    <w:rPr>
                      <w:rFonts w:hint="default" w:ascii="Times New Roman" w:hAnsi="Times New Roman" w:cs="Times New Roman"/>
                      <w:color w:val="auto"/>
                      <w:spacing w:val="0"/>
                      <w:lang w:val="en-US" w:eastAsia="zh-CN"/>
                    </w:rPr>
                    <w:t>75</w:t>
                  </w:r>
                </w:p>
              </w:tc>
              <w:tc>
                <w:tcPr>
                  <w:tcW w:w="14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rPr>
                  </w:pPr>
                  <w:r>
                    <w:rPr>
                      <w:rFonts w:hint="default" w:ascii="Times New Roman" w:hAnsi="Times New Roman" w:cs="Times New Roman"/>
                      <w:color w:val="auto"/>
                      <w:spacing w:val="0"/>
                      <w:lang w:val="en-US" w:eastAsia="zh-CN"/>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5" w:hRule="atLeast"/>
              </w:trPr>
              <w:tc>
                <w:tcPr>
                  <w:tcW w:w="64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eastAsia="宋体" w:cs="Times New Roman"/>
                      <w:color w:val="auto"/>
                      <w:spacing w:val="0"/>
                      <w:sz w:val="21"/>
                      <w:szCs w:val="21"/>
                      <w:lang w:val="en-US" w:eastAsia="zh-CN"/>
                    </w:rPr>
                  </w:pPr>
                  <w:r>
                    <w:rPr>
                      <w:rFonts w:hint="default" w:ascii="Times New Roman" w:hAnsi="Times New Roman" w:cs="Times New Roman"/>
                      <w:color w:val="auto"/>
                      <w:spacing w:val="0"/>
                      <w:sz w:val="21"/>
                      <w:szCs w:val="21"/>
                      <w:lang w:val="en-US" w:eastAsia="zh-CN"/>
                    </w:rPr>
                    <w:t>风机</w:t>
                  </w:r>
                </w:p>
              </w:tc>
              <w:tc>
                <w:tcPr>
                  <w:tcW w:w="625"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jc w:val="center"/>
                    <w:textAlignment w:val="auto"/>
                    <w:rPr>
                      <w:rFonts w:hint="default" w:ascii="Times New Roman" w:hAnsi="Times New Roman" w:cs="Times New Roman"/>
                      <w:color w:val="auto"/>
                      <w:spacing w:val="0"/>
                      <w:sz w:val="21"/>
                      <w:szCs w:val="21"/>
                      <w:lang w:val="en-US" w:eastAsia="zh-CN"/>
                    </w:rPr>
                  </w:pPr>
                  <w:r>
                    <w:rPr>
                      <w:rFonts w:hint="default" w:ascii="Times New Roman" w:hAnsi="Times New Roman" w:cs="Times New Roman"/>
                      <w:color w:val="auto"/>
                      <w:spacing w:val="0"/>
                      <w:sz w:val="21"/>
                      <w:szCs w:val="21"/>
                      <w:lang w:val="en-US" w:eastAsia="zh-CN"/>
                    </w:rPr>
                    <w:t>1</w:t>
                  </w:r>
                </w:p>
              </w:tc>
              <w:tc>
                <w:tcPr>
                  <w:tcW w:w="2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70</w:t>
                  </w:r>
                </w:p>
              </w:tc>
              <w:tc>
                <w:tcPr>
                  <w:tcW w:w="262"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86</w:t>
                  </w:r>
                </w:p>
              </w:tc>
              <w:tc>
                <w:tcPr>
                  <w:tcW w:w="2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30</w:t>
                  </w:r>
                </w:p>
              </w:tc>
              <w:tc>
                <w:tcPr>
                  <w:tcW w:w="300"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32</w:t>
                  </w:r>
                </w:p>
              </w:tc>
              <w:tc>
                <w:tcPr>
                  <w:tcW w:w="1094"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80</w:t>
                  </w:r>
                </w:p>
              </w:tc>
              <w:tc>
                <w:tcPr>
                  <w:tcW w:w="1491"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pacing w:val="0"/>
                      <w:lang w:val="en-US" w:eastAsia="zh-CN"/>
                    </w:rPr>
                  </w:pPr>
                  <w:r>
                    <w:rPr>
                      <w:rFonts w:hint="default" w:ascii="Times New Roman" w:hAnsi="Times New Roman" w:cs="Times New Roman"/>
                      <w:color w:val="auto"/>
                      <w:spacing w:val="0"/>
                      <w:lang w:val="en-US" w:eastAsia="zh-CN"/>
                    </w:rPr>
                    <w:t>20</w:t>
                  </w:r>
                </w:p>
              </w:tc>
            </w:tr>
          </w:tbl>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2、预测模式</w:t>
            </w:r>
          </w:p>
          <w:p>
            <w:pPr>
              <w:pStyle w:val="81"/>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81"/>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根据拟建项目设备声源特征和声环境的特点，视设备声源为点源，声场为半自由声场，依据《环境影响评价技术导则-声环境》（HJ2.4-2009），选用无指向性声源几何发散衰减预测模式预测厂界噪声及敏感点噪声贡献值。</w:t>
            </w:r>
          </w:p>
          <w:p>
            <w:pPr>
              <w:pStyle w:val="81"/>
              <w:snapToGrid w:val="0"/>
              <w:spacing w:line="360" w:lineRule="auto"/>
              <w:ind w:firstLine="480" w:firstLineChars="200"/>
              <w:rPr>
                <w:rFonts w:hint="default" w:ascii="Times New Roman" w:hAnsi="Times New Roman" w:eastAsia="宋体" w:cs="Times New Roman"/>
                <w:color w:val="auto"/>
                <w:kern w:val="2"/>
              </w:rPr>
            </w:pPr>
            <w:r>
              <w:rPr>
                <w:rFonts w:hint="default" w:ascii="Times New Roman" w:hAnsi="Times New Roman" w:eastAsia="宋体" w:cs="Times New Roman"/>
                <w:color w:val="auto"/>
                <w:kern w:val="2"/>
              </w:rPr>
              <w:t>①户外声传播衰减计算</w:t>
            </w:r>
          </w:p>
          <w:p>
            <w:pPr>
              <w:pStyle w:val="81"/>
              <w:snapToGrid w:val="0"/>
              <w:spacing w:line="360" w:lineRule="auto"/>
              <w:ind w:firstLine="480" w:firstLineChars="200"/>
              <w:rPr>
                <w:rFonts w:hint="default" w:ascii="Times New Roman" w:hAnsi="Times New Roman" w:eastAsia="宋体" w:cs="Times New Roman"/>
                <w:color w:val="auto"/>
                <w:lang w:eastAsia="zh-CN"/>
              </w:rPr>
            </w:pPr>
            <w:r>
              <w:rPr>
                <w:rFonts w:hint="default" w:ascii="Times New Roman" w:hAnsi="Times New Roman" w:eastAsia="宋体" w:cs="Times New Roman"/>
                <w:color w:val="auto"/>
                <w:kern w:val="2"/>
              </w:rPr>
              <w:t>应根据声源声功率级或靠近</w:t>
            </w:r>
            <w:r>
              <w:rPr>
                <w:rFonts w:hint="default" w:ascii="Times New Roman" w:hAnsi="Times New Roman" w:eastAsia="宋体" w:cs="Times New Roman"/>
                <w:color w:val="auto"/>
              </w:rPr>
              <w:t>声源某一参考位置处的已知声级、户外声传播衰减，计算距离声源较远处的预测点的声级，可按下式计算</w:t>
            </w:r>
            <w:r>
              <w:rPr>
                <w:rFonts w:hint="default" w:ascii="Times New Roman" w:hAnsi="Times New Roman" w:eastAsia="宋体" w:cs="Times New Roman"/>
                <w:color w:val="auto"/>
                <w:kern w:val="0"/>
              </w:rPr>
              <w:t>：</w:t>
            </w:r>
          </w:p>
          <w:p>
            <w:pPr>
              <w:spacing w:line="360" w:lineRule="auto"/>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L</w:t>
            </w:r>
            <w:r>
              <w:rPr>
                <w:rFonts w:hint="default" w:ascii="Times New Roman" w:hAnsi="Times New Roman" w:cs="Times New Roman"/>
                <w:color w:val="auto"/>
                <w:kern w:val="0"/>
                <w:sz w:val="24"/>
                <w:vertAlign w:val="subscript"/>
              </w:rPr>
              <w:t>p</w:t>
            </w:r>
            <w:r>
              <w:rPr>
                <w:rFonts w:hint="default" w:ascii="Times New Roman" w:hAnsi="Times New Roman" w:cs="Times New Roman"/>
                <w:color w:val="auto"/>
                <w:kern w:val="0"/>
                <w:sz w:val="24"/>
              </w:rPr>
              <w:t>（r）=L</w:t>
            </w:r>
            <w:r>
              <w:rPr>
                <w:rFonts w:hint="default" w:ascii="Times New Roman" w:hAnsi="Times New Roman" w:cs="Times New Roman"/>
                <w:color w:val="auto"/>
                <w:kern w:val="0"/>
                <w:sz w:val="24"/>
                <w:vertAlign w:val="subscript"/>
              </w:rPr>
              <w:t>p</w:t>
            </w:r>
            <w:r>
              <w:rPr>
                <w:rFonts w:hint="default" w:ascii="Times New Roman" w:hAnsi="Times New Roman" w:cs="Times New Roman"/>
                <w:color w:val="auto"/>
                <w:kern w:val="0"/>
                <w:sz w:val="24"/>
              </w:rPr>
              <w:t>（r</w:t>
            </w:r>
            <w:r>
              <w:rPr>
                <w:rFonts w:hint="default" w:ascii="Times New Roman" w:hAnsi="Times New Roman" w:cs="Times New Roman"/>
                <w:color w:val="auto"/>
                <w:kern w:val="0"/>
                <w:sz w:val="24"/>
                <w:vertAlign w:val="subscript"/>
              </w:rPr>
              <w:t>0</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div</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atm</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bar</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gr</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misc</w:t>
            </w:r>
            <w:r>
              <w:rPr>
                <w:rFonts w:hint="default" w:ascii="Times New Roman" w:hAnsi="Times New Roman" w:cs="Times New Roman"/>
                <w:color w:val="auto"/>
                <w:kern w:val="0"/>
                <w:sz w:val="24"/>
              </w:rPr>
              <w:t>）</w:t>
            </w:r>
          </w:p>
          <w:p>
            <w:pPr>
              <w:autoSpaceDE w:val="0"/>
              <w:autoSpaceDN w:val="0"/>
              <w:adjustRightInd w:val="0"/>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式中：A</w:t>
            </w:r>
            <w:r>
              <w:rPr>
                <w:rFonts w:hint="default" w:ascii="Times New Roman" w:hAnsi="Times New Roman" w:cs="Times New Roman"/>
                <w:color w:val="auto"/>
                <w:kern w:val="0"/>
                <w:sz w:val="24"/>
                <w:vertAlign w:val="subscript"/>
              </w:rPr>
              <w:t>div</w:t>
            </w:r>
            <w:r>
              <w:rPr>
                <w:rFonts w:hint="default" w:ascii="Times New Roman" w:hAnsi="Times New Roman" w:cs="Times New Roman"/>
                <w:color w:val="auto"/>
                <w:kern w:val="0"/>
                <w:sz w:val="24"/>
              </w:rPr>
              <w:t>—几何发散引起的倍频带衰减；</w:t>
            </w:r>
          </w:p>
          <w:p>
            <w:pPr>
              <w:autoSpaceDE w:val="0"/>
              <w:autoSpaceDN w:val="0"/>
              <w:adjustRightInd w:val="0"/>
              <w:spacing w:line="360" w:lineRule="auto"/>
              <w:ind w:firstLine="1200" w:firstLineChars="5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atm</w:t>
            </w:r>
            <w:r>
              <w:rPr>
                <w:rFonts w:hint="default" w:ascii="Times New Roman" w:hAnsi="Times New Roman" w:cs="Times New Roman"/>
                <w:color w:val="auto"/>
                <w:kern w:val="0"/>
                <w:sz w:val="24"/>
              </w:rPr>
              <w:t>—大气吸收引起的倍频带衰减；</w:t>
            </w:r>
          </w:p>
          <w:p>
            <w:pPr>
              <w:autoSpaceDE w:val="0"/>
              <w:autoSpaceDN w:val="0"/>
              <w:adjustRightInd w:val="0"/>
              <w:spacing w:line="360" w:lineRule="auto"/>
              <w:ind w:firstLine="1200" w:firstLineChars="5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gr</w:t>
            </w:r>
            <w:r>
              <w:rPr>
                <w:rFonts w:hint="default" w:ascii="Times New Roman" w:hAnsi="Times New Roman" w:cs="Times New Roman"/>
                <w:color w:val="auto"/>
                <w:kern w:val="0"/>
                <w:sz w:val="24"/>
              </w:rPr>
              <w:t>—地面效应引起的倍频带衰减；</w:t>
            </w:r>
          </w:p>
          <w:p>
            <w:pPr>
              <w:autoSpaceDE w:val="0"/>
              <w:autoSpaceDN w:val="0"/>
              <w:adjustRightInd w:val="0"/>
              <w:spacing w:line="360" w:lineRule="auto"/>
              <w:ind w:firstLine="1200" w:firstLineChars="5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bar</w:t>
            </w:r>
            <w:r>
              <w:rPr>
                <w:rFonts w:hint="default" w:ascii="Times New Roman" w:hAnsi="Times New Roman" w:cs="Times New Roman"/>
                <w:color w:val="auto"/>
                <w:kern w:val="0"/>
                <w:sz w:val="24"/>
              </w:rPr>
              <w:t>—声屏障引起的倍频带衰减；</w:t>
            </w:r>
          </w:p>
          <w:p>
            <w:pPr>
              <w:autoSpaceDE w:val="0"/>
              <w:autoSpaceDN w:val="0"/>
              <w:adjustRightInd w:val="0"/>
              <w:spacing w:line="360" w:lineRule="auto"/>
              <w:ind w:firstLine="1200" w:firstLineChars="500"/>
              <w:jc w:val="left"/>
              <w:rPr>
                <w:rFonts w:hint="default" w:ascii="Times New Roman" w:hAnsi="Times New Roman" w:cs="Times New Roman"/>
                <w:color w:val="auto"/>
                <w:kern w:val="0"/>
                <w:sz w:val="24"/>
              </w:rPr>
            </w:pP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misc</w:t>
            </w:r>
            <w:r>
              <w:rPr>
                <w:rFonts w:hint="default" w:ascii="Times New Roman" w:hAnsi="Times New Roman" w:cs="Times New Roman"/>
                <w:color w:val="auto"/>
                <w:kern w:val="0"/>
                <w:sz w:val="24"/>
              </w:rPr>
              <w:t>—其他多方面效应引起的倍频带衰减。</w:t>
            </w:r>
          </w:p>
          <w:p>
            <w:pPr>
              <w:autoSpaceDE w:val="0"/>
              <w:autoSpaceDN w:val="0"/>
              <w:adjustRightInd w:val="0"/>
              <w:spacing w:line="360" w:lineRule="auto"/>
              <w:ind w:firstLine="480" w:firstLineChars="200"/>
              <w:rPr>
                <w:rFonts w:hint="default" w:ascii="Times New Roman" w:hAnsi="Times New Roman" w:eastAsia="宋体" w:cs="Times New Roman"/>
                <w:color w:val="auto"/>
                <w:kern w:val="0"/>
                <w:sz w:val="24"/>
                <w:lang w:eastAsia="zh-CN"/>
              </w:rPr>
            </w:pPr>
            <w:r>
              <w:rPr>
                <w:rFonts w:hint="default" w:ascii="Times New Roman" w:hAnsi="Times New Roman" w:cs="Times New Roman"/>
                <w:color w:val="auto"/>
                <w:kern w:val="0"/>
                <w:sz w:val="24"/>
              </w:rPr>
              <w:t>在只考虑几何发散衰减时，可用下式计算：</w:t>
            </w:r>
          </w:p>
          <w:p>
            <w:pPr>
              <w:spacing w:line="360" w:lineRule="auto"/>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L</w:t>
            </w:r>
            <w:r>
              <w:rPr>
                <w:rFonts w:hint="default" w:ascii="Times New Roman" w:hAnsi="Times New Roman" w:cs="Times New Roman"/>
                <w:color w:val="auto"/>
                <w:kern w:val="0"/>
                <w:sz w:val="24"/>
                <w:vertAlign w:val="subscript"/>
              </w:rPr>
              <w:t>A</w:t>
            </w:r>
            <w:r>
              <w:rPr>
                <w:rFonts w:hint="default" w:ascii="Times New Roman" w:hAnsi="Times New Roman" w:cs="Times New Roman"/>
                <w:color w:val="auto"/>
                <w:kern w:val="0"/>
                <w:sz w:val="24"/>
              </w:rPr>
              <w:t>（r）=L</w:t>
            </w:r>
            <w:r>
              <w:rPr>
                <w:rFonts w:hint="default" w:ascii="Times New Roman" w:hAnsi="Times New Roman" w:cs="Times New Roman"/>
                <w:color w:val="auto"/>
                <w:kern w:val="0"/>
                <w:sz w:val="24"/>
                <w:vertAlign w:val="subscript"/>
              </w:rPr>
              <w:t>A</w:t>
            </w:r>
            <w:r>
              <w:rPr>
                <w:rFonts w:hint="default" w:ascii="Times New Roman" w:hAnsi="Times New Roman" w:cs="Times New Roman"/>
                <w:color w:val="auto"/>
                <w:kern w:val="0"/>
                <w:sz w:val="24"/>
              </w:rPr>
              <w:t>（r</w:t>
            </w:r>
            <w:r>
              <w:rPr>
                <w:rFonts w:hint="default" w:ascii="Times New Roman" w:hAnsi="Times New Roman" w:cs="Times New Roman"/>
                <w:color w:val="auto"/>
                <w:kern w:val="0"/>
                <w:sz w:val="24"/>
                <w:vertAlign w:val="subscript"/>
              </w:rPr>
              <w:t>0</w:t>
            </w:r>
            <w:r>
              <w:rPr>
                <w:rFonts w:hint="default" w:ascii="Times New Roman" w:hAnsi="Times New Roman" w:cs="Times New Roman"/>
                <w:color w:val="auto"/>
                <w:kern w:val="0"/>
                <w:sz w:val="24"/>
              </w:rPr>
              <w:t>）-A</w:t>
            </w:r>
            <w:r>
              <w:rPr>
                <w:rFonts w:hint="default" w:ascii="Times New Roman" w:hAnsi="Times New Roman" w:cs="Times New Roman"/>
                <w:color w:val="auto"/>
                <w:kern w:val="0"/>
                <w:sz w:val="24"/>
                <w:vertAlign w:val="subscript"/>
              </w:rPr>
              <w:t>div</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②无指向性点声源几何发散衰减的基本公式是：</w:t>
            </w:r>
          </w:p>
          <w:p>
            <w:pPr>
              <w:adjustRightInd w:val="0"/>
              <w:snapToGrid w:val="0"/>
              <w:spacing w:line="360" w:lineRule="auto"/>
              <w:jc w:val="center"/>
              <w:rPr>
                <w:rFonts w:hint="default" w:ascii="Times New Roman" w:hAnsi="Times New Roman" w:eastAsia="宋体" w:cs="Times New Roman"/>
                <w:color w:val="auto"/>
                <w:sz w:val="24"/>
                <w:lang w:eastAsia="zh-CN"/>
              </w:rPr>
            </w:pPr>
            <w:r>
              <w:rPr>
                <w:rFonts w:hint="default" w:ascii="Times New Roman" w:hAnsi="Times New Roman" w:cs="Times New Roman"/>
                <w:color w:val="auto"/>
              </w:rPr>
              <w:drawing>
                <wp:inline distT="0" distB="0" distL="114300" distR="114300">
                  <wp:extent cx="2106930" cy="262255"/>
                  <wp:effectExtent l="0" t="0" r="7620" b="4445"/>
                  <wp:docPr id="2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9"/>
                          <pic:cNvPicPr>
                            <a:picLocks noChangeAspect="1"/>
                          </pic:cNvPicPr>
                        </pic:nvPicPr>
                        <pic:blipFill>
                          <a:blip r:embed="rId9"/>
                          <a:stretch>
                            <a:fillRect/>
                          </a:stretch>
                        </pic:blipFill>
                        <pic:spPr>
                          <a:xfrm>
                            <a:off x="0" y="0"/>
                            <a:ext cx="2106930" cy="262255"/>
                          </a:xfrm>
                          <a:prstGeom prst="rect">
                            <a:avLst/>
                          </a:prstGeom>
                          <a:noFill/>
                          <a:ln>
                            <a:noFill/>
                          </a:ln>
                        </pic:spPr>
                      </pic:pic>
                    </a:graphicData>
                  </a:graphic>
                </wp:inline>
              </w:drawing>
            </w:r>
          </w:p>
          <w:p>
            <w:pPr>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③建设项目声源在预测点产生的等效声级贡献值（L</w:t>
            </w:r>
            <w:r>
              <w:rPr>
                <w:rFonts w:hint="default" w:ascii="Times New Roman" w:hAnsi="Times New Roman" w:cs="Times New Roman"/>
                <w:color w:val="auto"/>
                <w:kern w:val="0"/>
                <w:sz w:val="24"/>
                <w:vertAlign w:val="subscript"/>
              </w:rPr>
              <w:t>eqg</w:t>
            </w:r>
            <w:r>
              <w:rPr>
                <w:rFonts w:hint="default" w:ascii="Times New Roman" w:hAnsi="Times New Roman" w:cs="Times New Roman"/>
                <w:color w:val="auto"/>
                <w:kern w:val="0"/>
                <w:sz w:val="24"/>
              </w:rPr>
              <w:t>）计算公式：</w:t>
            </w:r>
          </w:p>
          <w:p>
            <w:pPr>
              <w:autoSpaceDE w:val="0"/>
              <w:autoSpaceDN w:val="0"/>
              <w:adjustRightInd w:val="0"/>
              <w:spacing w:line="360" w:lineRule="auto"/>
              <w:rPr>
                <w:rFonts w:hint="default" w:ascii="Times New Roman" w:hAnsi="Times New Roman" w:cs="Times New Roman"/>
                <w:color w:val="auto"/>
                <w:kern w:val="0"/>
                <w:sz w:val="24"/>
              </w:rPr>
            </w:pPr>
            <w:r>
              <w:rPr>
                <w:rFonts w:hint="default" w:ascii="Times New Roman" w:hAnsi="Times New Roman" w:cs="Times New Roman"/>
                <w:color w:val="auto"/>
              </w:rPr>
              <w:drawing>
                <wp:inline distT="0" distB="0" distL="114300" distR="114300">
                  <wp:extent cx="1876425" cy="397510"/>
                  <wp:effectExtent l="0" t="0" r="9525" b="2540"/>
                  <wp:docPr id="2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8"/>
                          <pic:cNvPicPr>
                            <a:picLocks noChangeAspect="1"/>
                          </pic:cNvPicPr>
                        </pic:nvPicPr>
                        <pic:blipFill>
                          <a:blip r:embed="rId10"/>
                          <a:stretch>
                            <a:fillRect/>
                          </a:stretch>
                        </pic:blipFill>
                        <pic:spPr>
                          <a:xfrm>
                            <a:off x="0" y="0"/>
                            <a:ext cx="1876425" cy="397510"/>
                          </a:xfrm>
                          <a:prstGeom prst="rect">
                            <a:avLst/>
                          </a:prstGeom>
                          <a:noFill/>
                          <a:ln>
                            <a:noFill/>
                          </a:ln>
                        </pic:spPr>
                      </pic:pic>
                    </a:graphicData>
                  </a:graphic>
                </wp:inline>
              </w:drawing>
            </w:r>
          </w:p>
          <w:p>
            <w:pPr>
              <w:autoSpaceDE w:val="0"/>
              <w:autoSpaceDN w:val="0"/>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式中：L</w:t>
            </w:r>
            <w:r>
              <w:rPr>
                <w:rFonts w:hint="default" w:ascii="Times New Roman" w:hAnsi="Times New Roman" w:cs="Times New Roman"/>
                <w:color w:val="auto"/>
                <w:kern w:val="0"/>
                <w:sz w:val="24"/>
                <w:vertAlign w:val="subscript"/>
              </w:rPr>
              <w:t>eqg</w:t>
            </w:r>
            <w:r>
              <w:rPr>
                <w:rFonts w:hint="default" w:ascii="Times New Roman" w:hAnsi="Times New Roman" w:cs="Times New Roman"/>
                <w:color w:val="auto"/>
                <w:kern w:val="0"/>
                <w:sz w:val="24"/>
              </w:rPr>
              <w:t>—建设项目声源在预测点的等效声级贡献值，dB(A)；</w:t>
            </w:r>
          </w:p>
          <w:p>
            <w:pPr>
              <w:spacing w:line="360" w:lineRule="auto"/>
              <w:ind w:firstLine="1200" w:firstLineChars="500"/>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Ai</w:t>
            </w:r>
            <w:r>
              <w:rPr>
                <w:rFonts w:hint="default" w:ascii="Times New Roman" w:hAnsi="Times New Roman" w:cs="Times New Roman"/>
                <w:bCs/>
                <w:color w:val="auto"/>
                <w:sz w:val="24"/>
              </w:rPr>
              <w:t>—i声源在预测点产生的A声级，dB(A)；</w:t>
            </w:r>
          </w:p>
          <w:p>
            <w:pPr>
              <w:spacing w:line="360" w:lineRule="auto"/>
              <w:ind w:firstLine="1200" w:firstLineChars="500"/>
              <w:rPr>
                <w:rFonts w:hint="default" w:ascii="Times New Roman" w:hAnsi="Times New Roman" w:cs="Times New Roman"/>
                <w:bCs/>
                <w:color w:val="auto"/>
                <w:sz w:val="24"/>
              </w:rPr>
            </w:pPr>
            <w:r>
              <w:rPr>
                <w:rFonts w:hint="default" w:ascii="Times New Roman" w:hAnsi="Times New Roman" w:cs="Times New Roman"/>
                <w:bCs/>
                <w:color w:val="auto"/>
                <w:sz w:val="24"/>
              </w:rPr>
              <w:t>T—预测计算的时间段，s；</w:t>
            </w:r>
          </w:p>
          <w:p>
            <w:pPr>
              <w:spacing w:line="360" w:lineRule="auto"/>
              <w:ind w:firstLine="1200" w:firstLineChars="500"/>
              <w:rPr>
                <w:rFonts w:hint="default" w:ascii="Times New Roman" w:hAnsi="Times New Roman" w:cs="Times New Roman"/>
                <w:bCs/>
                <w:color w:val="auto"/>
                <w:sz w:val="24"/>
              </w:rPr>
            </w:pPr>
            <w:r>
              <w:rPr>
                <w:rFonts w:hint="default" w:ascii="Times New Roman" w:hAnsi="Times New Roman" w:cs="Times New Roman"/>
                <w:bCs/>
                <w:color w:val="auto"/>
                <w:sz w:val="24"/>
              </w:rPr>
              <w:t>t</w:t>
            </w:r>
            <w:r>
              <w:rPr>
                <w:rFonts w:hint="default" w:ascii="Times New Roman" w:hAnsi="Times New Roman" w:cs="Times New Roman"/>
                <w:bCs/>
                <w:color w:val="auto"/>
                <w:sz w:val="24"/>
                <w:vertAlign w:val="subscript"/>
              </w:rPr>
              <w:t>i</w:t>
            </w:r>
            <w:r>
              <w:rPr>
                <w:rFonts w:hint="default" w:ascii="Times New Roman" w:hAnsi="Times New Roman" w:cs="Times New Roman"/>
                <w:bCs/>
                <w:color w:val="auto"/>
                <w:sz w:val="24"/>
              </w:rPr>
              <w:t>—i声源在T时段内的运行时间，s。</w:t>
            </w:r>
          </w:p>
          <w:p>
            <w:pPr>
              <w:autoSpaceDE w:val="0"/>
              <w:autoSpaceDN w:val="0"/>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④预测点的预测等效声级(L</w:t>
            </w:r>
            <w:r>
              <w:rPr>
                <w:rFonts w:hint="default" w:ascii="Times New Roman" w:hAnsi="Times New Roman" w:cs="Times New Roman"/>
                <w:color w:val="auto"/>
                <w:kern w:val="0"/>
                <w:sz w:val="24"/>
                <w:vertAlign w:val="subscript"/>
              </w:rPr>
              <w:t>eq</w:t>
            </w:r>
            <w:r>
              <w:rPr>
                <w:rFonts w:hint="default" w:ascii="Times New Roman" w:hAnsi="Times New Roman" w:cs="Times New Roman"/>
                <w:color w:val="auto"/>
                <w:kern w:val="0"/>
                <w:sz w:val="24"/>
              </w:rPr>
              <w:t>)计算公式：</w:t>
            </w:r>
          </w:p>
          <w:p>
            <w:pPr>
              <w:autoSpaceDE w:val="0"/>
              <w:autoSpaceDN w:val="0"/>
              <w:adjustRightInd w:val="0"/>
              <w:spacing w:line="360" w:lineRule="auto"/>
              <w:jc w:val="center"/>
              <w:rPr>
                <w:rFonts w:hint="default" w:ascii="Times New Roman" w:hAnsi="Times New Roman" w:cs="Times New Roman"/>
                <w:color w:val="auto"/>
                <w:kern w:val="0"/>
                <w:sz w:val="24"/>
              </w:rPr>
            </w:pPr>
            <w:r>
              <w:rPr>
                <w:rFonts w:hint="default" w:ascii="Times New Roman" w:hAnsi="Times New Roman" w:cs="Times New Roman"/>
                <w:color w:val="auto"/>
                <w:kern w:val="0"/>
                <w:sz w:val="24"/>
              </w:rPr>
              <w:t>L</w:t>
            </w:r>
            <w:r>
              <w:rPr>
                <w:rFonts w:hint="default" w:ascii="Times New Roman" w:hAnsi="Times New Roman" w:cs="Times New Roman"/>
                <w:color w:val="auto"/>
                <w:kern w:val="0"/>
                <w:sz w:val="24"/>
                <w:vertAlign w:val="subscript"/>
              </w:rPr>
              <w:t>eq</w:t>
            </w:r>
            <w:r>
              <w:rPr>
                <w:rFonts w:hint="default" w:ascii="Times New Roman" w:hAnsi="Times New Roman" w:cs="Times New Roman"/>
                <w:color w:val="auto"/>
                <w:kern w:val="0"/>
                <w:sz w:val="24"/>
              </w:rPr>
              <w:t>=10lg(10</w:t>
            </w:r>
            <w:r>
              <w:rPr>
                <w:rFonts w:hint="default" w:ascii="Times New Roman" w:hAnsi="Times New Roman" w:cs="Times New Roman"/>
                <w:color w:val="auto"/>
                <w:kern w:val="0"/>
                <w:sz w:val="24"/>
                <w:vertAlign w:val="superscript"/>
              </w:rPr>
              <w:t>0.1Leqg</w:t>
            </w:r>
            <w:r>
              <w:rPr>
                <w:rFonts w:hint="default" w:ascii="Times New Roman" w:hAnsi="Times New Roman" w:cs="Times New Roman"/>
                <w:color w:val="auto"/>
                <w:kern w:val="0"/>
                <w:sz w:val="24"/>
              </w:rPr>
              <w:t>+10</w:t>
            </w:r>
            <w:r>
              <w:rPr>
                <w:rFonts w:hint="default" w:ascii="Times New Roman" w:hAnsi="Times New Roman" w:cs="Times New Roman"/>
                <w:color w:val="auto"/>
                <w:kern w:val="0"/>
                <w:sz w:val="24"/>
                <w:vertAlign w:val="superscript"/>
              </w:rPr>
              <w:t>0.1Leqb</w:t>
            </w:r>
            <w:r>
              <w:rPr>
                <w:rFonts w:hint="default" w:ascii="Times New Roman" w:hAnsi="Times New Roman" w:cs="Times New Roman"/>
                <w:color w:val="auto"/>
                <w:kern w:val="0"/>
                <w:sz w:val="24"/>
              </w:rPr>
              <w:t>)</w:t>
            </w:r>
          </w:p>
          <w:p>
            <w:pPr>
              <w:autoSpaceDE w:val="0"/>
              <w:autoSpaceDN w:val="0"/>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cs="Times New Roman"/>
                <w:color w:val="auto"/>
                <w:kern w:val="0"/>
                <w:sz w:val="24"/>
              </w:rPr>
              <w:t>式中：L</w:t>
            </w:r>
            <w:r>
              <w:rPr>
                <w:rFonts w:hint="default" w:ascii="Times New Roman" w:hAnsi="Times New Roman" w:cs="Times New Roman"/>
                <w:color w:val="auto"/>
                <w:kern w:val="0"/>
                <w:sz w:val="24"/>
                <w:vertAlign w:val="subscript"/>
              </w:rPr>
              <w:t>eqg</w:t>
            </w:r>
            <w:r>
              <w:rPr>
                <w:rFonts w:hint="default" w:ascii="Times New Roman" w:hAnsi="Times New Roman" w:cs="Times New Roman"/>
                <w:color w:val="auto"/>
                <w:kern w:val="0"/>
                <w:sz w:val="24"/>
              </w:rPr>
              <w:t>—建设项目声源在预测点的等效声级贡献值，dB(A)；</w:t>
            </w:r>
          </w:p>
          <w:p>
            <w:pPr>
              <w:spacing w:line="360" w:lineRule="auto"/>
              <w:ind w:firstLine="1200" w:firstLineChars="500"/>
              <w:rPr>
                <w:rFonts w:hint="default" w:ascii="Times New Roman" w:hAnsi="Times New Roman" w:cs="Times New Roman"/>
                <w:bCs/>
                <w:color w:val="auto"/>
                <w:sz w:val="24"/>
              </w:rPr>
            </w:pPr>
            <w:r>
              <w:rPr>
                <w:rFonts w:hint="default" w:ascii="Times New Roman" w:hAnsi="Times New Roman" w:cs="Times New Roman"/>
                <w:bCs/>
                <w:color w:val="auto"/>
                <w:sz w:val="24"/>
              </w:rPr>
              <w:t>L</w:t>
            </w:r>
            <w:r>
              <w:rPr>
                <w:rFonts w:hint="default" w:ascii="Times New Roman" w:hAnsi="Times New Roman" w:cs="Times New Roman"/>
                <w:bCs/>
                <w:color w:val="auto"/>
                <w:sz w:val="24"/>
                <w:vertAlign w:val="subscript"/>
              </w:rPr>
              <w:t>eqb</w:t>
            </w:r>
            <w:r>
              <w:rPr>
                <w:rFonts w:hint="default" w:ascii="Times New Roman" w:hAnsi="Times New Roman" w:cs="Times New Roman"/>
                <w:bCs/>
                <w:color w:val="auto"/>
                <w:sz w:val="24"/>
              </w:rPr>
              <w:t>—预测点的背景值，dB(A)。</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（3）预测前提</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本次预测前提为，企业采取如下噪声控制措施后产生的噪声对厂界噪声贡献情况：</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从总平面布置的角度出发，生产时尽量减少车间门窗的开启频次，利用墙壁的作用，使噪声受到不同程度的隔绝和吸收，做到尽可能屏蔽声源，减少对环境的影响。同时在工厂总体布置上利用建筑物、构筑物来阻隔声波的传播。通常厂房的隔声量为18~22dB(A)。</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3、噪声预测结果</w:t>
            </w:r>
          </w:p>
          <w:p>
            <w:pPr>
              <w:spacing w:line="360" w:lineRule="auto"/>
              <w:ind w:firstLine="482" w:firstLineChars="200"/>
              <w:jc w:val="center"/>
              <w:rPr>
                <w:rFonts w:hint="default" w:ascii="Times New Roman" w:hAnsi="Times New Roman" w:cs="Times New Roman"/>
                <w:b/>
                <w:bCs/>
                <w:color w:val="auto"/>
                <w:sz w:val="24"/>
              </w:rPr>
            </w:pPr>
          </w:p>
          <w:p>
            <w:pPr>
              <w:spacing w:line="360" w:lineRule="auto"/>
              <w:ind w:firstLine="482" w:firstLineChars="200"/>
              <w:jc w:val="center"/>
              <w:rPr>
                <w:rFonts w:hint="default" w:ascii="Times New Roman" w:hAnsi="Times New Roman" w:cs="Times New Roman"/>
                <w:b/>
                <w:bCs/>
                <w:color w:val="auto"/>
                <w:sz w:val="24"/>
              </w:rPr>
            </w:pPr>
          </w:p>
          <w:p>
            <w:pPr>
              <w:spacing w:line="360" w:lineRule="auto"/>
              <w:ind w:firstLine="482" w:firstLineChars="20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default" w:ascii="Times New Roman" w:hAnsi="Times New Roman" w:cs="Times New Roman"/>
                <w:b/>
                <w:bCs/>
                <w:color w:val="auto"/>
                <w:sz w:val="24"/>
                <w:lang w:val="en-US" w:eastAsia="zh-CN"/>
              </w:rPr>
              <w:t>15</w:t>
            </w:r>
            <w:r>
              <w:rPr>
                <w:rFonts w:hint="default" w:ascii="Times New Roman" w:hAnsi="Times New Roman" w:cs="Times New Roman"/>
                <w:b/>
                <w:bCs/>
                <w:color w:val="auto"/>
                <w:sz w:val="24"/>
              </w:rPr>
              <w:t>项目厂界噪声贡献值预测表单位：dB(A)</w:t>
            </w:r>
          </w:p>
          <w:tbl>
            <w:tblPr>
              <w:tblStyle w:val="27"/>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887"/>
              <w:gridCol w:w="2008"/>
              <w:gridCol w:w="25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2294" w:type="pct"/>
                  <w:vMerge w:val="restar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预测地点</w:t>
                  </w:r>
                </w:p>
              </w:tc>
              <w:tc>
                <w:tcPr>
                  <w:tcW w:w="2705" w:type="pct"/>
                  <w:gridSpan w:val="2"/>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昼间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 w:hRule="atLeast"/>
                <w:jc w:val="center"/>
              </w:trPr>
              <w:tc>
                <w:tcPr>
                  <w:tcW w:w="2294" w:type="pct"/>
                  <w:vMerge w:val="continue"/>
                  <w:tcBorders>
                    <w:tl2br w:val="nil"/>
                    <w:tr2bl w:val="nil"/>
                  </w:tcBorders>
                  <w:noWrap w:val="0"/>
                  <w:vAlign w:val="center"/>
                </w:tcPr>
                <w:p>
                  <w:pPr>
                    <w:widowControl/>
                    <w:jc w:val="left"/>
                    <w:rPr>
                      <w:rFonts w:hint="default" w:ascii="Times New Roman" w:hAnsi="Times New Roman" w:cs="Times New Roman"/>
                      <w:color w:val="auto"/>
                      <w:szCs w:val="21"/>
                    </w:rPr>
                  </w:pPr>
                </w:p>
              </w:tc>
              <w:tc>
                <w:tcPr>
                  <w:tcW w:w="1185"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贡献值</w:t>
                  </w:r>
                </w:p>
              </w:tc>
              <w:tc>
                <w:tcPr>
                  <w:tcW w:w="1520"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标准值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6" w:hRule="atLeast"/>
                <w:jc w:val="center"/>
              </w:trPr>
              <w:tc>
                <w:tcPr>
                  <w:tcW w:w="2294"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东厂界外1m</w:t>
                  </w:r>
                </w:p>
              </w:tc>
              <w:tc>
                <w:tcPr>
                  <w:tcW w:w="118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53.8</w:t>
                  </w:r>
                </w:p>
              </w:tc>
              <w:tc>
                <w:tcPr>
                  <w:tcW w:w="152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94"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南厂界外1m</w:t>
                  </w:r>
                </w:p>
              </w:tc>
              <w:tc>
                <w:tcPr>
                  <w:tcW w:w="118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57.1</w:t>
                  </w:r>
                </w:p>
              </w:tc>
              <w:tc>
                <w:tcPr>
                  <w:tcW w:w="152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 w:hRule="atLeast"/>
                <w:jc w:val="center"/>
              </w:trPr>
              <w:tc>
                <w:tcPr>
                  <w:tcW w:w="2294"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西厂界外1m</w:t>
                  </w:r>
                </w:p>
              </w:tc>
              <w:tc>
                <w:tcPr>
                  <w:tcW w:w="118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58.8</w:t>
                  </w:r>
                </w:p>
              </w:tc>
              <w:tc>
                <w:tcPr>
                  <w:tcW w:w="152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2" w:hRule="atLeast"/>
                <w:jc w:val="center"/>
              </w:trPr>
              <w:tc>
                <w:tcPr>
                  <w:tcW w:w="2294" w:type="pct"/>
                  <w:tcBorders>
                    <w:tl2br w:val="nil"/>
                    <w:tr2bl w:val="nil"/>
                  </w:tcBorders>
                  <w:noWrap w:val="0"/>
                  <w:vAlign w:val="center"/>
                </w:tcPr>
                <w:p>
                  <w:pPr>
                    <w:pStyle w:val="64"/>
                    <w:rPr>
                      <w:rFonts w:hint="default" w:ascii="Times New Roman" w:hAnsi="Times New Roman" w:cs="Times New Roman"/>
                      <w:color w:val="auto"/>
                    </w:rPr>
                  </w:pPr>
                  <w:r>
                    <w:rPr>
                      <w:rFonts w:hint="default" w:ascii="Times New Roman" w:hAnsi="Times New Roman" w:cs="Times New Roman"/>
                      <w:color w:val="auto"/>
                    </w:rPr>
                    <w:t>北厂界外1m</w:t>
                  </w:r>
                </w:p>
              </w:tc>
              <w:tc>
                <w:tcPr>
                  <w:tcW w:w="118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49.7</w:t>
                  </w:r>
                </w:p>
              </w:tc>
              <w:tc>
                <w:tcPr>
                  <w:tcW w:w="1520"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65</w:t>
                  </w:r>
                </w:p>
              </w:tc>
            </w:tr>
          </w:tbl>
          <w:p>
            <w:pPr>
              <w:spacing w:line="360" w:lineRule="auto"/>
              <w:ind w:firstLine="480" w:firstLineChars="200"/>
              <w:rPr>
                <w:rFonts w:hint="default" w:ascii="Times New Roman" w:hAnsi="Times New Roman" w:eastAsia="宋体" w:cs="Times New Roman"/>
                <w:color w:val="auto"/>
                <w:spacing w:val="0"/>
                <w:sz w:val="24"/>
                <w:lang w:eastAsia="zh-CN"/>
              </w:rPr>
            </w:pPr>
            <w:r>
              <w:rPr>
                <w:rFonts w:hint="default" w:ascii="Times New Roman" w:hAnsi="Times New Roman" w:cs="Times New Roman"/>
                <w:color w:val="auto"/>
                <w:spacing w:val="0"/>
                <w:sz w:val="24"/>
              </w:rPr>
              <w:t>由上表预测可知，</w:t>
            </w:r>
            <w:r>
              <w:rPr>
                <w:rFonts w:hint="default" w:ascii="Times New Roman" w:hAnsi="Times New Roman" w:eastAsia="宋体" w:cs="Times New Roman"/>
                <w:color w:val="auto"/>
                <w:spacing w:val="0"/>
                <w:sz w:val="24"/>
                <w:szCs w:val="24"/>
              </w:rPr>
              <w:t>运行后厂界昼间噪声排放值分别为</w:t>
            </w:r>
            <w:r>
              <w:rPr>
                <w:rFonts w:hint="default" w:ascii="Times New Roman" w:hAnsi="Times New Roman" w:eastAsia="宋体" w:cs="Times New Roman"/>
                <w:color w:val="auto"/>
                <w:spacing w:val="0"/>
                <w:sz w:val="24"/>
                <w:szCs w:val="24"/>
                <w:lang w:val="en-US" w:eastAsia="zh-CN"/>
              </w:rPr>
              <w:t>49.1</w:t>
            </w:r>
            <w:r>
              <w:rPr>
                <w:rFonts w:hint="default" w:ascii="Times New Roman" w:hAnsi="Times New Roman" w:eastAsia="宋体" w:cs="Times New Roman"/>
                <w:color w:val="auto"/>
                <w:spacing w:val="0"/>
                <w:sz w:val="24"/>
                <w:szCs w:val="24"/>
              </w:rPr>
              <w:t>~</w:t>
            </w:r>
            <w:r>
              <w:rPr>
                <w:rFonts w:hint="default" w:ascii="Times New Roman" w:hAnsi="Times New Roman" w:eastAsia="Times New Roman" w:cs="Times New Roman"/>
                <w:color w:val="auto"/>
                <w:spacing w:val="0"/>
                <w:sz w:val="24"/>
                <w:szCs w:val="24"/>
              </w:rPr>
              <w:t>57.</w:t>
            </w:r>
            <w:r>
              <w:rPr>
                <w:rFonts w:hint="default" w:ascii="Times New Roman" w:hAnsi="Times New Roman" w:eastAsia="宋体" w:cs="Times New Roman"/>
                <w:color w:val="auto"/>
                <w:spacing w:val="0"/>
                <w:sz w:val="24"/>
                <w:szCs w:val="24"/>
                <w:lang w:val="en-US" w:eastAsia="zh-CN"/>
              </w:rPr>
              <w:t>4</w:t>
            </w:r>
            <w:r>
              <w:rPr>
                <w:rFonts w:hint="default" w:ascii="Times New Roman" w:hAnsi="Times New Roman" w:eastAsia="Times New Roman" w:cs="Times New Roman"/>
                <w:color w:val="auto"/>
                <w:spacing w:val="0"/>
                <w:sz w:val="24"/>
                <w:szCs w:val="24"/>
              </w:rPr>
              <w:t>dB(A)</w:t>
            </w:r>
            <w:r>
              <w:rPr>
                <w:rFonts w:hint="default" w:ascii="Times New Roman" w:hAnsi="Times New Roman" w:eastAsia="宋体" w:cs="Times New Roman"/>
                <w:color w:val="auto"/>
                <w:spacing w:val="0"/>
                <w:sz w:val="24"/>
                <w:szCs w:val="24"/>
              </w:rPr>
              <w:t>，故本项目实施后其昼夜噪声排放可以达到</w:t>
            </w:r>
            <w:r>
              <w:rPr>
                <w:rFonts w:hint="default" w:ascii="Times New Roman" w:hAnsi="Times New Roman" w:eastAsia="Times New Roman" w:cs="Times New Roman"/>
                <w:color w:val="auto"/>
                <w:spacing w:val="0"/>
                <w:sz w:val="24"/>
                <w:szCs w:val="24"/>
              </w:rPr>
              <w:t>GB12348-2008</w:t>
            </w:r>
            <w:r>
              <w:rPr>
                <w:rFonts w:hint="default" w:ascii="Times New Roman" w:hAnsi="Times New Roman" w:eastAsia="宋体" w:cs="Times New Roman"/>
                <w:color w:val="auto"/>
                <w:spacing w:val="0"/>
                <w:sz w:val="24"/>
                <w:szCs w:val="24"/>
              </w:rPr>
              <w:t>《工业企业厂界环境噪声排放标准》</w:t>
            </w:r>
            <w:r>
              <w:rPr>
                <w:rFonts w:hint="default" w:ascii="Times New Roman" w:hAnsi="Times New Roman" w:eastAsia="Times New Roman" w:cs="Times New Roman"/>
                <w:color w:val="auto"/>
                <w:spacing w:val="0"/>
                <w:sz w:val="24"/>
                <w:szCs w:val="24"/>
              </w:rPr>
              <w:t>3</w:t>
            </w:r>
            <w:r>
              <w:rPr>
                <w:rFonts w:hint="default" w:ascii="Times New Roman" w:hAnsi="Times New Roman" w:eastAsia="宋体" w:cs="Times New Roman"/>
                <w:color w:val="auto"/>
                <w:spacing w:val="0"/>
                <w:sz w:val="24"/>
                <w:szCs w:val="24"/>
              </w:rPr>
              <w:t>类标准要求</w:t>
            </w:r>
            <w:r>
              <w:rPr>
                <w:rFonts w:hint="default" w:ascii="Times New Roman" w:hAnsi="Times New Roman" w:eastAsia="宋体" w:cs="Times New Roman"/>
                <w:color w:val="auto"/>
                <w:spacing w:val="0"/>
                <w:sz w:val="24"/>
                <w:szCs w:val="24"/>
                <w:lang w:eastAsia="zh-CN"/>
              </w:rPr>
              <w:t>。</w:t>
            </w:r>
          </w:p>
          <w:p>
            <w:pPr>
              <w:autoSpaceDE w:val="0"/>
              <w:autoSpaceDN w:val="0"/>
              <w:adjustRightInd w:val="0"/>
              <w:spacing w:line="360" w:lineRule="auto"/>
              <w:ind w:firstLine="482" w:firstLineChars="200"/>
              <w:jc w:val="left"/>
              <w:rPr>
                <w:rFonts w:hint="default" w:ascii="Times New Roman" w:hAnsi="Times New Roman" w:cs="Times New Roman"/>
                <w:b/>
                <w:color w:val="auto"/>
                <w:kern w:val="0"/>
                <w:sz w:val="24"/>
              </w:rPr>
            </w:pPr>
            <w:r>
              <w:rPr>
                <w:rFonts w:hint="default" w:ascii="Times New Roman" w:hAnsi="Times New Roman" w:cs="Times New Roman"/>
                <w:b/>
                <w:color w:val="auto"/>
                <w:kern w:val="0"/>
                <w:sz w:val="24"/>
              </w:rPr>
              <w:t>4、噪声污染防治措施</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本项目噪声源经相应的降噪措施处理后通过建筑物门窗、墙壁的吸收、屏蔽及阻挡作用，将会大幅度地衰减。具体可采取的治理措施如下：</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（1）合理布局：项目将高噪声设备尽量布置在厂区中部，通过距离衰减减轻噪声对外环境的影响。</w:t>
            </w:r>
          </w:p>
          <w:p>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rPr>
              <w:t>（2）选择低噪声设备：项目在满足工艺设计的前提下，尽量选用满足国际标准的低噪声、低振动型号的设备</w:t>
            </w:r>
            <w:r>
              <w:rPr>
                <w:rFonts w:hint="default" w:ascii="Times New Roman" w:hAnsi="Times New Roman" w:cs="Times New Roman"/>
                <w:color w:val="auto"/>
                <w:sz w:val="24"/>
                <w:lang w:eastAsia="zh-CN"/>
              </w:rPr>
              <w:t>。</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（3）隔声、减震或加消声器：建设单位根据噪声产生的性质可分为机械运动噪声，根据其产生的性质和机理不同分别采用了隔声、减振等方式进行了降噪处理。</w:t>
            </w:r>
            <w:r>
              <w:rPr>
                <w:rFonts w:hint="default" w:ascii="Times New Roman" w:hAnsi="Times New Roman" w:cs="Times New Roman"/>
                <w:color w:val="auto"/>
                <w:sz w:val="24"/>
                <w:lang w:val="en-US" w:eastAsia="zh-CN"/>
              </w:rPr>
              <w:t>对破碎机、筛分机等</w:t>
            </w:r>
            <w:r>
              <w:rPr>
                <w:rFonts w:hint="default" w:ascii="Times New Roman" w:hAnsi="Times New Roman" w:cs="Times New Roman"/>
                <w:color w:val="auto"/>
                <w:sz w:val="24"/>
              </w:rPr>
              <w:t>进行定期检修维护，使其处于良好运行状态:</w:t>
            </w:r>
            <w:r>
              <w:rPr>
                <w:rFonts w:hint="default" w:ascii="Times New Roman" w:hAnsi="Times New Roman" w:cs="Times New Roman"/>
                <w:color w:val="auto"/>
                <w:sz w:val="24"/>
                <w:lang w:val="en-US" w:eastAsia="zh-CN"/>
              </w:rPr>
              <w:t>设备</w:t>
            </w:r>
            <w:r>
              <w:rPr>
                <w:rFonts w:hint="default" w:ascii="Times New Roman" w:hAnsi="Times New Roman" w:cs="Times New Roman"/>
                <w:color w:val="auto"/>
                <w:sz w:val="24"/>
              </w:rPr>
              <w:t>与地面之间安装减震垫，减少机械振动产生的噪声污染</w:t>
            </w:r>
            <w:r>
              <w:rPr>
                <w:rFonts w:hint="default" w:ascii="Times New Roman" w:hAnsi="Times New Roman" w:cs="Times New Roman"/>
                <w:color w:val="auto"/>
                <w:sz w:val="24"/>
                <w:lang w:eastAsia="zh-CN"/>
              </w:rPr>
              <w:t>。</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（4）强化生产管理：确保降噪设施的有效运行，并加强对生产设备的保养、检修与润滑，保证设备处于良好的运转状态。</w:t>
            </w:r>
          </w:p>
          <w:p>
            <w:pPr>
              <w:spacing w:line="360" w:lineRule="auto"/>
              <w:ind w:firstLine="480" w:firstLineChars="200"/>
              <w:rPr>
                <w:rFonts w:hint="default" w:ascii="Times New Roman" w:hAnsi="Times New Roman" w:cs="Times New Roman"/>
                <w:color w:val="auto"/>
                <w:szCs w:val="21"/>
              </w:rPr>
            </w:pPr>
            <w:r>
              <w:rPr>
                <w:rFonts w:hint="default" w:ascii="Times New Roman" w:hAnsi="Times New Roman" w:cs="Times New Roman"/>
                <w:color w:val="auto"/>
                <w:sz w:val="24"/>
              </w:rPr>
              <w:t>经上述治理措施后，可满足保护操作工人的身心健康需要，加上围墙隔音及距离衰减，能够做到厂界达标。</w:t>
            </w:r>
          </w:p>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四、固体废物环境影响和保护措施</w:t>
            </w:r>
          </w:p>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1、固体废物产生情况</w:t>
            </w:r>
          </w:p>
          <w:p>
            <w:pPr>
              <w:keepNext w:val="0"/>
              <w:keepLines w:val="0"/>
              <w:pageBreakBefore w:val="0"/>
              <w:kinsoku/>
              <w:wordWrap/>
              <w:overflowPunct/>
              <w:topLinePunct w:val="0"/>
              <w:autoSpaceDE w:val="0"/>
              <w:autoSpaceDN/>
              <w:bidi w:val="0"/>
              <w:adjustRightInd/>
              <w:spacing w:line="360" w:lineRule="auto"/>
              <w:ind w:firstLine="480"/>
              <w:textAlignment w:val="auto"/>
              <w:rPr>
                <w:rFonts w:hint="default" w:ascii="Times New Roman" w:hAnsi="Times New Roman" w:cs="Times New Roman"/>
                <w:color w:val="auto"/>
                <w:spacing w:val="0"/>
                <w:sz w:val="24"/>
              </w:rPr>
            </w:pPr>
            <w:r>
              <w:rPr>
                <w:rFonts w:hint="default" w:ascii="Times New Roman" w:hAnsi="Times New Roman" w:cs="Times New Roman"/>
                <w:color w:val="auto"/>
                <w:spacing w:val="0"/>
                <w:sz w:val="24"/>
              </w:rPr>
              <w:t>本项目产生的固体废物包括</w:t>
            </w:r>
            <w:r>
              <w:rPr>
                <w:rFonts w:hint="default" w:ascii="Times New Roman" w:hAnsi="Times New Roman" w:cs="Times New Roman"/>
                <w:color w:val="auto"/>
                <w:spacing w:val="0"/>
                <w:kern w:val="18"/>
                <w:sz w:val="24"/>
              </w:rPr>
              <w:t>除尘设备收集</w:t>
            </w:r>
            <w:r>
              <w:rPr>
                <w:rFonts w:hint="default" w:ascii="Times New Roman" w:hAnsi="Times New Roman" w:cs="Times New Roman"/>
                <w:color w:val="auto"/>
                <w:spacing w:val="0"/>
                <w:kern w:val="18"/>
                <w:sz w:val="24"/>
                <w:lang w:val="en-US" w:eastAsia="zh-CN"/>
              </w:rPr>
              <w:t>的</w:t>
            </w:r>
            <w:r>
              <w:rPr>
                <w:rFonts w:hint="default" w:ascii="Times New Roman" w:hAnsi="Times New Roman" w:cs="Times New Roman"/>
                <w:color w:val="auto"/>
                <w:spacing w:val="0"/>
                <w:kern w:val="18"/>
                <w:sz w:val="24"/>
              </w:rPr>
              <w:t>粉尘，</w:t>
            </w:r>
            <w:r>
              <w:rPr>
                <w:rFonts w:hint="default" w:ascii="Times New Roman" w:hAnsi="Times New Roman" w:cs="Times New Roman"/>
                <w:color w:val="auto"/>
                <w:spacing w:val="0"/>
                <w:sz w:val="24"/>
              </w:rPr>
              <w:t>职工生活过程中产生的生活垃圾</w:t>
            </w:r>
            <w:r>
              <w:rPr>
                <w:rFonts w:hint="default" w:ascii="Times New Roman" w:hAnsi="Times New Roman" w:cs="Times New Roman"/>
                <w:color w:val="auto"/>
                <w:spacing w:val="0"/>
                <w:sz w:val="24"/>
                <w:lang w:val="en-US" w:eastAsia="zh-CN"/>
              </w:rPr>
              <w:t>等</w:t>
            </w:r>
            <w:r>
              <w:rPr>
                <w:rFonts w:hint="default" w:ascii="Times New Roman" w:hAnsi="Times New Roman" w:cs="Times New Roman"/>
                <w:color w:val="auto"/>
                <w:spacing w:val="0"/>
                <w:sz w:val="24"/>
              </w:rPr>
              <w:t>本项目各种固体废物产生量及处理处置情况见下表。</w:t>
            </w:r>
          </w:p>
          <w:p>
            <w:pPr>
              <w:keepNext w:val="0"/>
              <w:keepLines w:val="0"/>
              <w:pageBreakBefore w:val="0"/>
              <w:kinsoku/>
              <w:wordWrap/>
              <w:overflowPunct/>
              <w:topLinePunct w:val="0"/>
              <w:autoSpaceDE w:val="0"/>
              <w:autoSpaceDN/>
              <w:bidi w:val="0"/>
              <w:adjustRightInd/>
              <w:spacing w:line="360" w:lineRule="auto"/>
              <w:ind w:firstLine="480"/>
              <w:textAlignment w:val="auto"/>
              <w:rPr>
                <w:rFonts w:hint="default" w:ascii="Times New Roman" w:hAnsi="Times New Roman" w:eastAsia="宋体" w:cs="Times New Roman"/>
                <w:color w:val="auto"/>
                <w:spacing w:val="0"/>
                <w:sz w:val="24"/>
                <w:lang w:val="en-US" w:eastAsia="zh-CN"/>
              </w:rPr>
            </w:pPr>
            <w:r>
              <w:rPr>
                <w:rFonts w:hint="eastAsia" w:cs="Times New Roman"/>
                <w:color w:val="auto"/>
                <w:spacing w:val="0"/>
                <w:sz w:val="24"/>
                <w:lang w:val="en-US" w:eastAsia="zh-CN"/>
              </w:rPr>
              <w:t>①</w:t>
            </w:r>
            <w:r>
              <w:rPr>
                <w:rFonts w:hint="default" w:ascii="Times New Roman" w:hAnsi="Times New Roman" w:eastAsia="宋体" w:cs="Times New Roman"/>
                <w:color w:val="auto"/>
                <w:spacing w:val="0"/>
                <w:sz w:val="24"/>
                <w:lang w:val="en-US" w:eastAsia="zh-CN"/>
              </w:rPr>
              <w:t>布袋收集的粉尘</w:t>
            </w:r>
          </w:p>
          <w:p>
            <w:pPr>
              <w:keepNext w:val="0"/>
              <w:keepLines w:val="0"/>
              <w:pageBreakBefore w:val="0"/>
              <w:kinsoku/>
              <w:wordWrap/>
              <w:overflowPunct/>
              <w:topLinePunct w:val="0"/>
              <w:autoSpaceDN/>
              <w:bidi w:val="0"/>
              <w:adjustRightInd/>
              <w:spacing w:line="360" w:lineRule="auto"/>
              <w:ind w:firstLine="480" w:firstLineChars="200"/>
              <w:textAlignment w:val="auto"/>
              <w:rPr>
                <w:rFonts w:hint="default" w:ascii="Times New Roman" w:hAnsi="Times New Roman" w:eastAsia="宋体" w:cs="Times New Roman"/>
                <w:color w:val="auto"/>
                <w:spacing w:val="0"/>
                <w:sz w:val="24"/>
              </w:rPr>
            </w:pPr>
            <w:r>
              <w:rPr>
                <w:rFonts w:hint="default" w:ascii="Times New Roman" w:hAnsi="Times New Roman" w:eastAsia="宋体" w:cs="Times New Roman"/>
                <w:color w:val="auto"/>
                <w:spacing w:val="0"/>
                <w:kern w:val="2"/>
                <w:sz w:val="24"/>
                <w:szCs w:val="24"/>
                <w:lang w:val="en-US" w:eastAsia="zh-CN" w:bidi="ar-SA"/>
              </w:rPr>
              <w:t>根据废气源强计算可得，除尘器收集粉尘约为8.55t/a，经统一收集后外售综合利用。</w:t>
            </w:r>
          </w:p>
          <w:p>
            <w:pPr>
              <w:keepNext w:val="0"/>
              <w:keepLines w:val="0"/>
              <w:pageBreakBefore w:val="0"/>
              <w:kinsoku/>
              <w:wordWrap/>
              <w:overflowPunct/>
              <w:topLinePunct w:val="0"/>
              <w:autoSpaceDE w:val="0"/>
              <w:autoSpaceDN/>
              <w:bidi w:val="0"/>
              <w:adjustRightInd/>
              <w:spacing w:line="360" w:lineRule="auto"/>
              <w:ind w:firstLine="480"/>
              <w:textAlignment w:val="auto"/>
              <w:rPr>
                <w:rFonts w:hint="default" w:ascii="Times New Roman" w:hAnsi="Times New Roman" w:eastAsia="宋体" w:cs="Times New Roman"/>
                <w:color w:val="auto"/>
                <w:spacing w:val="0"/>
                <w:sz w:val="24"/>
              </w:rPr>
            </w:pPr>
            <w:r>
              <w:rPr>
                <w:rFonts w:hint="default" w:ascii="Times New Roman" w:hAnsi="Times New Roman" w:eastAsia="宋体" w:cs="Times New Roman"/>
                <w:color w:val="auto"/>
                <w:spacing w:val="0"/>
                <w:sz w:val="24"/>
                <w:lang w:val="en-US" w:eastAsia="zh-CN"/>
              </w:rPr>
              <w:t>②</w:t>
            </w:r>
            <w:r>
              <w:rPr>
                <w:rFonts w:hint="default" w:ascii="Times New Roman" w:hAnsi="Times New Roman" w:eastAsia="宋体" w:cs="Times New Roman"/>
                <w:color w:val="auto"/>
                <w:spacing w:val="0"/>
                <w:sz w:val="24"/>
              </w:rPr>
              <w:t>生活垃圾</w:t>
            </w:r>
          </w:p>
          <w:p>
            <w:pPr>
              <w:keepNext w:val="0"/>
              <w:keepLines w:val="0"/>
              <w:pageBreakBefore w:val="0"/>
              <w:kinsoku/>
              <w:wordWrap/>
              <w:overflowPunct/>
              <w:topLinePunct w:val="0"/>
              <w:autoSpaceDE w:val="0"/>
              <w:autoSpaceDN/>
              <w:bidi w:val="0"/>
              <w:adjustRightInd/>
              <w:spacing w:line="360" w:lineRule="auto"/>
              <w:ind w:firstLine="480"/>
              <w:textAlignment w:val="auto"/>
              <w:rPr>
                <w:rFonts w:hint="default" w:ascii="Times New Roman" w:hAnsi="Times New Roman" w:eastAsia="宋体" w:cs="Times New Roman"/>
                <w:color w:val="auto"/>
                <w:spacing w:val="0"/>
                <w:sz w:val="24"/>
              </w:rPr>
            </w:pPr>
            <w:r>
              <w:rPr>
                <w:rFonts w:hint="default" w:ascii="Times New Roman" w:hAnsi="Times New Roman" w:eastAsia="宋体" w:cs="Times New Roman"/>
                <w:color w:val="auto"/>
                <w:spacing w:val="0"/>
                <w:sz w:val="24"/>
              </w:rPr>
              <w:t>根据《环境保护实用数据手册》的相关数据，垃圾产生量按0.5kg/(人·d)，本项目定员</w:t>
            </w:r>
            <w:r>
              <w:rPr>
                <w:rFonts w:hint="default" w:ascii="Times New Roman" w:hAnsi="Times New Roman" w:eastAsia="宋体" w:cs="Times New Roman"/>
                <w:color w:val="auto"/>
                <w:spacing w:val="0"/>
                <w:sz w:val="24"/>
                <w:lang w:val="en-US" w:eastAsia="zh-CN"/>
              </w:rPr>
              <w:t>35</w:t>
            </w:r>
            <w:r>
              <w:rPr>
                <w:rFonts w:hint="default" w:ascii="Times New Roman" w:hAnsi="Times New Roman" w:eastAsia="宋体" w:cs="Times New Roman"/>
                <w:color w:val="auto"/>
                <w:spacing w:val="0"/>
                <w:sz w:val="24"/>
              </w:rPr>
              <w:t>人，年工作日为300天，则生活垃圾产生量为</w:t>
            </w:r>
            <w:r>
              <w:rPr>
                <w:rFonts w:hint="default" w:ascii="Times New Roman" w:hAnsi="Times New Roman" w:eastAsia="宋体" w:cs="Times New Roman"/>
                <w:color w:val="auto"/>
                <w:spacing w:val="0"/>
                <w:sz w:val="24"/>
                <w:lang w:val="en-US" w:eastAsia="zh-CN"/>
              </w:rPr>
              <w:t>5.25</w:t>
            </w:r>
            <w:r>
              <w:rPr>
                <w:rFonts w:hint="default" w:ascii="Times New Roman" w:hAnsi="Times New Roman" w:eastAsia="宋体" w:cs="Times New Roman"/>
                <w:color w:val="auto"/>
                <w:spacing w:val="0"/>
                <w:sz w:val="24"/>
              </w:rPr>
              <w:t>t/a，均统一存放于厂区垃圾箱内，由环卫部门定期运送至垃圾处理场处理。</w:t>
            </w:r>
          </w:p>
          <w:p>
            <w:pPr>
              <w:keepNext w:val="0"/>
              <w:keepLines w:val="0"/>
              <w:pageBreakBefore w:val="0"/>
              <w:kinsoku/>
              <w:wordWrap/>
              <w:overflowPunct/>
              <w:topLinePunct w:val="0"/>
              <w:autoSpaceDE w:val="0"/>
              <w:autoSpaceDN/>
              <w:bidi w:val="0"/>
              <w:adjustRightInd/>
              <w:spacing w:line="360" w:lineRule="auto"/>
              <w:ind w:firstLine="480"/>
              <w:textAlignment w:val="auto"/>
              <w:rPr>
                <w:rFonts w:hint="default" w:ascii="Times New Roman" w:hAnsi="Times New Roman" w:eastAsia="宋体" w:cs="Times New Roman"/>
                <w:color w:val="auto"/>
                <w:spacing w:val="0"/>
                <w:sz w:val="24"/>
                <w:lang w:val="en-US" w:eastAsia="zh-CN"/>
              </w:rPr>
            </w:pPr>
            <w:r>
              <w:rPr>
                <w:rFonts w:hint="default" w:ascii="Times New Roman" w:hAnsi="Times New Roman" w:cs="Times New Roman"/>
                <w:color w:val="auto"/>
                <w:spacing w:val="0"/>
                <w:sz w:val="24"/>
                <w:lang w:val="en-US" w:eastAsia="zh-CN"/>
              </w:rPr>
              <w:t>③</w:t>
            </w:r>
            <w:r>
              <w:rPr>
                <w:rFonts w:hint="default" w:ascii="Times New Roman" w:hAnsi="Times New Roman" w:eastAsia="宋体" w:cs="Times New Roman"/>
                <w:color w:val="auto"/>
                <w:spacing w:val="0"/>
                <w:sz w:val="24"/>
                <w:lang w:val="en-US" w:eastAsia="zh-CN"/>
              </w:rPr>
              <w:t>沉淀池沉渣</w:t>
            </w:r>
          </w:p>
          <w:p>
            <w:pPr>
              <w:pStyle w:val="11"/>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三级沉淀池的生产废水经沉淀后会产生沉渣，产生量约</w:t>
            </w:r>
            <w:r>
              <w:rPr>
                <w:rFonts w:hint="default" w:ascii="Times New Roman" w:hAnsi="Times New Roman" w:eastAsia="宋体" w:cs="Times New Roman"/>
                <w:color w:val="auto"/>
                <w:spacing w:val="0"/>
                <w:sz w:val="24"/>
                <w:szCs w:val="24"/>
                <w:lang w:val="en-US" w:eastAsia="zh-CN"/>
              </w:rPr>
              <w:t>为2t/a，</w:t>
            </w:r>
            <w:r>
              <w:rPr>
                <w:rFonts w:hint="default" w:ascii="Times New Roman" w:hAnsi="Times New Roman" w:eastAsia="宋体" w:cs="Times New Roman"/>
                <w:color w:val="auto"/>
                <w:spacing w:val="0"/>
                <w:sz w:val="24"/>
                <w:szCs w:val="24"/>
              </w:rPr>
              <w:t>经过打捞，自然晾干，后统一收集后</w:t>
            </w:r>
            <w:r>
              <w:rPr>
                <w:rFonts w:hint="default" w:ascii="Times New Roman" w:hAnsi="Times New Roman" w:cs="Times New Roman"/>
                <w:color w:val="auto"/>
                <w:spacing w:val="0"/>
                <w:sz w:val="24"/>
                <w:szCs w:val="24"/>
                <w:lang w:val="en-US" w:eastAsia="zh-CN"/>
              </w:rPr>
              <w:t>综合利用</w:t>
            </w:r>
            <w:r>
              <w:rPr>
                <w:rFonts w:hint="default" w:ascii="Times New Roman" w:hAnsi="Times New Roman" w:eastAsia="宋体" w:cs="Times New Roman"/>
                <w:color w:val="auto"/>
                <w:spacing w:val="0"/>
                <w:sz w:val="24"/>
                <w:szCs w:val="24"/>
              </w:rPr>
              <w:t>。</w:t>
            </w:r>
          </w:p>
          <w:p>
            <w:pPr>
              <w:keepNext w:val="0"/>
              <w:keepLines w:val="0"/>
              <w:pageBreakBefore w:val="0"/>
              <w:kinsoku/>
              <w:wordWrap/>
              <w:overflowPunct/>
              <w:topLinePunct w:val="0"/>
              <w:autoSpaceDN/>
              <w:bidi w:val="0"/>
              <w:adjustRightInd/>
              <w:spacing w:line="360" w:lineRule="auto"/>
              <w:ind w:firstLine="480" w:firstLineChars="200"/>
              <w:textAlignment w:val="auto"/>
              <w:rPr>
                <w:rFonts w:hint="default" w:ascii="Times New Roman" w:hAnsi="Times New Roman" w:cs="Times New Roman"/>
                <w:color w:val="auto"/>
                <w:spacing w:val="0"/>
                <w:sz w:val="24"/>
              </w:rPr>
            </w:pPr>
            <w:r>
              <w:rPr>
                <w:rFonts w:hint="default" w:ascii="Times New Roman" w:hAnsi="Times New Roman" w:eastAsia="宋体" w:cs="Times New Roman"/>
                <w:color w:val="auto"/>
                <w:spacing w:val="0"/>
                <w:sz w:val="24"/>
              </w:rPr>
              <w:t>本项目固体废物产生与处置情况见下表</w:t>
            </w:r>
            <w:r>
              <w:rPr>
                <w:rFonts w:hint="default" w:ascii="Times New Roman" w:hAnsi="Times New Roman" w:cs="Times New Roman"/>
                <w:color w:val="auto"/>
                <w:spacing w:val="0"/>
                <w:sz w:val="24"/>
              </w:rPr>
              <w:t>。</w:t>
            </w:r>
          </w:p>
          <w:p>
            <w:pPr>
              <w:ind w:firstLine="482"/>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default" w:ascii="Times New Roman" w:hAnsi="Times New Roman" w:cs="Times New Roman"/>
                <w:b/>
                <w:color w:val="auto"/>
                <w:sz w:val="24"/>
                <w:lang w:val="en-US" w:eastAsia="zh-CN"/>
              </w:rPr>
              <w:t>16</w:t>
            </w:r>
            <w:r>
              <w:rPr>
                <w:rFonts w:hint="default" w:ascii="Times New Roman" w:hAnsi="Times New Roman" w:cs="Times New Roman"/>
                <w:b/>
                <w:color w:val="auto"/>
                <w:sz w:val="24"/>
              </w:rPr>
              <w:t>项目固体废物产生量及处理方式</w:t>
            </w:r>
          </w:p>
          <w:tbl>
            <w:tblPr>
              <w:tblStyle w:val="27"/>
              <w:tblW w:w="842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10"/>
              <w:gridCol w:w="1188"/>
              <w:gridCol w:w="2248"/>
              <w:gridCol w:w="1470"/>
              <w:gridCol w:w="1410"/>
              <w:gridCol w:w="13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10"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序号</w:t>
                  </w:r>
                </w:p>
              </w:tc>
              <w:tc>
                <w:tcPr>
                  <w:tcW w:w="1188"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名称</w:t>
                  </w:r>
                </w:p>
              </w:tc>
              <w:tc>
                <w:tcPr>
                  <w:tcW w:w="2248"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类别及代码</w:t>
                  </w:r>
                </w:p>
              </w:tc>
              <w:tc>
                <w:tcPr>
                  <w:tcW w:w="1470"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产生量（t/a）</w:t>
                  </w:r>
                </w:p>
              </w:tc>
              <w:tc>
                <w:tcPr>
                  <w:tcW w:w="1410"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处置方式</w:t>
                  </w:r>
                </w:p>
              </w:tc>
              <w:tc>
                <w:tcPr>
                  <w:tcW w:w="1301"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排放量（t/a）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10"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w:t>
                  </w:r>
                </w:p>
              </w:tc>
              <w:tc>
                <w:tcPr>
                  <w:tcW w:w="1188"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除尘设备收集粉尘</w:t>
                  </w:r>
                </w:p>
              </w:tc>
              <w:tc>
                <w:tcPr>
                  <w:tcW w:w="2248" w:type="dxa"/>
                  <w:vMerge w:val="restart"/>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p>
              </w:tc>
              <w:tc>
                <w:tcPr>
                  <w:tcW w:w="1470"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8.55</w:t>
                  </w:r>
                </w:p>
              </w:tc>
              <w:tc>
                <w:tcPr>
                  <w:tcW w:w="1410" w:type="dxa"/>
                  <w:vMerge w:val="restart"/>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eastAsia="宋体" w:cs="Times New Roman"/>
                      <w:color w:val="auto"/>
                      <w:spacing w:val="4"/>
                      <w:kern w:val="18"/>
                      <w:szCs w:val="21"/>
                      <w:lang w:val="en-US" w:eastAsia="zh-CN"/>
                    </w:rPr>
                    <w:t>收集后综合利用</w:t>
                  </w:r>
                </w:p>
              </w:tc>
              <w:tc>
                <w:tcPr>
                  <w:tcW w:w="1301"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10" w:type="dxa"/>
                  <w:tcBorders>
                    <w:tl2br w:val="nil"/>
                    <w:tr2bl w:val="nil"/>
                  </w:tcBorders>
                  <w:noWrap w:val="0"/>
                  <w:vAlign w:val="center"/>
                </w:tcPr>
                <w:p>
                  <w:pPr>
                    <w:spacing w:line="240" w:lineRule="atLeas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w:t>
                  </w:r>
                </w:p>
              </w:tc>
              <w:tc>
                <w:tcPr>
                  <w:tcW w:w="1188"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沉淀池沉渣</w:t>
                  </w:r>
                </w:p>
              </w:tc>
              <w:tc>
                <w:tcPr>
                  <w:tcW w:w="2248" w:type="dxa"/>
                  <w:vMerge w:val="continue"/>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p>
              </w:tc>
              <w:tc>
                <w:tcPr>
                  <w:tcW w:w="1470"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2</w:t>
                  </w:r>
                </w:p>
              </w:tc>
              <w:tc>
                <w:tcPr>
                  <w:tcW w:w="1410" w:type="dxa"/>
                  <w:vMerge w:val="continue"/>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p>
              </w:tc>
              <w:tc>
                <w:tcPr>
                  <w:tcW w:w="1301"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810" w:type="dxa"/>
                  <w:tcBorders>
                    <w:tl2br w:val="nil"/>
                    <w:tr2bl w:val="nil"/>
                  </w:tcBorders>
                  <w:noWrap w:val="0"/>
                  <w:vAlign w:val="center"/>
                </w:tcPr>
                <w:p>
                  <w:pPr>
                    <w:spacing w:line="240" w:lineRule="atLeas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w:t>
                  </w:r>
                </w:p>
              </w:tc>
              <w:tc>
                <w:tcPr>
                  <w:tcW w:w="1188"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生活垃圾</w:t>
                  </w:r>
                </w:p>
              </w:tc>
              <w:tc>
                <w:tcPr>
                  <w:tcW w:w="2248" w:type="dxa"/>
                  <w:vMerge w:val="continue"/>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rPr>
                  </w:pPr>
                </w:p>
              </w:tc>
              <w:tc>
                <w:tcPr>
                  <w:tcW w:w="1470"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5.25</w:t>
                  </w:r>
                </w:p>
              </w:tc>
              <w:tc>
                <w:tcPr>
                  <w:tcW w:w="1410" w:type="dxa"/>
                  <w:tcBorders>
                    <w:tl2br w:val="nil"/>
                    <w:tr2bl w:val="nil"/>
                  </w:tcBorders>
                  <w:noWrap w:val="0"/>
                  <w:vAlign w:val="center"/>
                </w:tcPr>
                <w:p>
                  <w:pPr>
                    <w:spacing w:line="240" w:lineRule="atLeast"/>
                    <w:jc w:val="center"/>
                    <w:rPr>
                      <w:rFonts w:hint="default" w:ascii="Times New Roman" w:hAnsi="Times New Roman" w:eastAsia="宋体"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环卫部门清运</w:t>
                  </w:r>
                </w:p>
              </w:tc>
              <w:tc>
                <w:tcPr>
                  <w:tcW w:w="1301" w:type="dxa"/>
                  <w:tcBorders>
                    <w:tl2br w:val="nil"/>
                    <w:tr2bl w:val="nil"/>
                  </w:tcBorders>
                  <w:noWrap w:val="0"/>
                  <w:vAlign w:val="center"/>
                </w:tcPr>
                <w:p>
                  <w:pPr>
                    <w:spacing w:line="240" w:lineRule="atLeast"/>
                    <w:jc w:val="center"/>
                    <w:rPr>
                      <w:rFonts w:hint="default" w:ascii="Times New Roman" w:hAnsi="Times New Roman" w:cs="Times New Roman"/>
                      <w:color w:val="auto"/>
                      <w:spacing w:val="4"/>
                      <w:kern w:val="18"/>
                      <w:szCs w:val="21"/>
                      <w:lang w:val="en-US" w:eastAsia="zh-CN"/>
                    </w:rPr>
                  </w:pPr>
                  <w:r>
                    <w:rPr>
                      <w:rFonts w:hint="default" w:ascii="Times New Roman" w:hAnsi="Times New Roman" w:cs="Times New Roman"/>
                      <w:color w:val="auto"/>
                      <w:spacing w:val="4"/>
                      <w:kern w:val="18"/>
                      <w:szCs w:val="21"/>
                      <w:lang w:val="en-US" w:eastAsia="zh-CN"/>
                    </w:rPr>
                    <w:t>0</w:t>
                  </w:r>
                </w:p>
              </w:tc>
            </w:tr>
          </w:tbl>
          <w:p>
            <w:pPr>
              <w:adjustRightInd w:val="0"/>
              <w:snapToGrid w:val="0"/>
              <w:spacing w:line="360" w:lineRule="auto"/>
              <w:ind w:firstLine="442" w:firstLineChars="200"/>
              <w:rPr>
                <w:rFonts w:hint="default" w:ascii="Times New Roman" w:hAnsi="Times New Roman" w:cs="Times New Roman"/>
                <w:b/>
                <w:color w:val="auto"/>
                <w:spacing w:val="-10"/>
                <w:sz w:val="24"/>
              </w:rPr>
            </w:pPr>
            <w:r>
              <w:rPr>
                <w:rFonts w:hint="default" w:ascii="Times New Roman" w:hAnsi="Times New Roman" w:cs="Times New Roman"/>
                <w:b/>
                <w:color w:val="auto"/>
                <w:spacing w:val="-10"/>
                <w:sz w:val="24"/>
              </w:rPr>
              <w:t>2、一般固废环境影响分析和保护措施</w:t>
            </w:r>
          </w:p>
          <w:p>
            <w:pPr>
              <w:adjustRightInd w:val="0"/>
              <w:snapToGrid w:val="0"/>
              <w:spacing w:line="360" w:lineRule="auto"/>
              <w:ind w:firstLine="480" w:firstLineChars="200"/>
              <w:rPr>
                <w:rFonts w:hint="default" w:ascii="Times New Roman" w:hAnsi="Times New Roman" w:cs="Times New Roman"/>
                <w:bCs/>
                <w:color w:val="auto"/>
                <w:spacing w:val="0"/>
                <w:sz w:val="24"/>
              </w:rPr>
            </w:pPr>
            <w:r>
              <w:rPr>
                <w:rFonts w:hint="default" w:ascii="Times New Roman" w:hAnsi="Times New Roman" w:cs="Times New Roman"/>
                <w:bCs/>
                <w:color w:val="auto"/>
                <w:spacing w:val="0"/>
                <w:sz w:val="24"/>
                <w:lang w:val="en-US" w:eastAsia="zh-CN"/>
              </w:rPr>
              <w:t>项目设置一般</w:t>
            </w:r>
            <w:r>
              <w:rPr>
                <w:rFonts w:hint="default" w:ascii="Times New Roman" w:hAnsi="Times New Roman" w:cs="Times New Roman"/>
                <w:bCs/>
                <w:color w:val="auto"/>
                <w:spacing w:val="0"/>
                <w:sz w:val="24"/>
              </w:rPr>
              <w:t>固废暂存区，</w:t>
            </w:r>
            <w:r>
              <w:rPr>
                <w:rFonts w:hint="default" w:ascii="Times New Roman" w:hAnsi="Times New Roman" w:cs="Times New Roman"/>
                <w:bCs/>
                <w:color w:val="auto"/>
                <w:spacing w:val="0"/>
                <w:sz w:val="24"/>
                <w:lang w:val="en-US" w:eastAsia="zh-CN"/>
              </w:rPr>
              <w:t>位于厂房内东侧，</w:t>
            </w:r>
            <w:r>
              <w:rPr>
                <w:rFonts w:hint="default" w:ascii="Times New Roman" w:hAnsi="Times New Roman" w:cs="Times New Roman"/>
                <w:bCs/>
                <w:color w:val="auto"/>
                <w:spacing w:val="0"/>
                <w:sz w:val="24"/>
              </w:rPr>
              <w:t>占地面积约30m</w:t>
            </w:r>
            <w:r>
              <w:rPr>
                <w:rFonts w:hint="default" w:ascii="Times New Roman" w:hAnsi="Times New Roman" w:cs="Times New Roman"/>
                <w:bCs/>
                <w:color w:val="auto"/>
                <w:spacing w:val="0"/>
                <w:sz w:val="24"/>
                <w:vertAlign w:val="superscript"/>
              </w:rPr>
              <w:t>2</w:t>
            </w:r>
            <w:r>
              <w:rPr>
                <w:rFonts w:hint="default" w:ascii="Times New Roman" w:hAnsi="Times New Roman" w:cs="Times New Roman"/>
                <w:bCs/>
                <w:color w:val="auto"/>
                <w:spacing w:val="0"/>
                <w:sz w:val="24"/>
                <w:vertAlign w:val="baseline"/>
                <w:lang w:eastAsia="zh-CN"/>
              </w:rPr>
              <w:t>。</w:t>
            </w:r>
            <w:r>
              <w:rPr>
                <w:rFonts w:hint="default" w:ascii="Times New Roman" w:hAnsi="Times New Roman" w:cs="Times New Roman"/>
                <w:bCs/>
                <w:color w:val="auto"/>
                <w:spacing w:val="0"/>
                <w:sz w:val="24"/>
              </w:rPr>
              <w:t>一般工业固废临时堆放场应根据《一般工业固体废物贮存和填埋污染控制标准》（GB18599-2020）中的要求规范化建设，固废临时贮存场应满足如下要求：</w:t>
            </w:r>
          </w:p>
          <w:p>
            <w:pPr>
              <w:adjustRightInd w:val="0"/>
              <w:snapToGrid w:val="0"/>
              <w:spacing w:line="360" w:lineRule="auto"/>
              <w:ind w:firstLine="480" w:firstLineChars="200"/>
              <w:rPr>
                <w:rFonts w:hint="default" w:ascii="Times New Roman" w:hAnsi="Times New Roman" w:cs="Times New Roman"/>
                <w:bCs/>
                <w:color w:val="auto"/>
                <w:spacing w:val="0"/>
                <w:sz w:val="24"/>
              </w:rPr>
            </w:pPr>
            <w:r>
              <w:rPr>
                <w:rFonts w:hint="default" w:ascii="Times New Roman" w:hAnsi="Times New Roman" w:cs="Times New Roman"/>
                <w:bCs/>
                <w:color w:val="auto"/>
                <w:spacing w:val="0"/>
                <w:sz w:val="24"/>
              </w:rPr>
              <w:t>①临时堆放场应选在防渗性能好的地基上天然基础层地表距地下水位的距离不得小于1.5m。临时堆放场四周应建有围墙，防止固废流失以及造成粉尘污染。</w:t>
            </w:r>
          </w:p>
          <w:p>
            <w:pPr>
              <w:adjustRightInd w:val="0"/>
              <w:snapToGrid w:val="0"/>
              <w:spacing w:line="360" w:lineRule="auto"/>
              <w:ind w:firstLine="480" w:firstLineChars="200"/>
              <w:rPr>
                <w:rFonts w:hint="default" w:ascii="Times New Roman" w:hAnsi="Times New Roman" w:cs="Times New Roman"/>
                <w:bCs/>
                <w:color w:val="auto"/>
                <w:spacing w:val="0"/>
                <w:sz w:val="24"/>
              </w:rPr>
            </w:pPr>
            <w:r>
              <w:rPr>
                <w:rFonts w:hint="default" w:ascii="Times New Roman" w:hAnsi="Times New Roman" w:cs="Times New Roman"/>
                <w:bCs/>
                <w:color w:val="auto"/>
                <w:spacing w:val="0"/>
                <w:sz w:val="24"/>
              </w:rPr>
              <w:t>②临时堆放场应建有防雨淋、防渗透措施。本项目储存在仓库内，地面进行硬化，可以满足防雨淋、防渗透要求。</w:t>
            </w:r>
          </w:p>
          <w:p>
            <w:pPr>
              <w:adjustRightInd w:val="0"/>
              <w:snapToGrid w:val="0"/>
              <w:spacing w:line="360" w:lineRule="auto"/>
              <w:ind w:firstLine="480" w:firstLineChars="200"/>
              <w:rPr>
                <w:rFonts w:hint="default" w:ascii="Times New Roman" w:hAnsi="Times New Roman" w:cs="Times New Roman"/>
                <w:bCs/>
                <w:color w:val="auto"/>
                <w:spacing w:val="0"/>
                <w:sz w:val="24"/>
              </w:rPr>
            </w:pPr>
            <w:r>
              <w:rPr>
                <w:rFonts w:hint="default" w:ascii="Times New Roman" w:hAnsi="Times New Roman" w:cs="Times New Roman"/>
                <w:bCs/>
                <w:color w:val="auto"/>
                <w:spacing w:val="0"/>
                <w:sz w:val="24"/>
              </w:rPr>
              <w:t>③为了便于管理，临时堆放场应《环境保护图形标识—固体废物贮存（处置）场》（按GB15562.2-1995）设置环境保护图形标志。临时堆放的地面与裙角要用竖固、防渗的建筑材料建造，基础必须防渗，应设计建造径流疏导系统，保证能防止暴雨不会流到临时堆放场所。临时堆放场所要防风、防雨、防晒，周围应设置围墙并做好密闭处理，禁止危险废物混入。企业在生产过程中，应加强现有一般固废库的管理，定点收集堆存，并及时处理，不会对环境造成不利影响。</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color w:val="auto"/>
                <w:sz w:val="24"/>
              </w:rPr>
            </w:pPr>
            <w:r>
              <w:rPr>
                <w:rFonts w:hint="default" w:ascii="Times New Roman" w:hAnsi="Times New Roman" w:cs="Times New Roman"/>
                <w:b/>
                <w:color w:val="auto"/>
                <w:sz w:val="24"/>
              </w:rPr>
              <w:t>五、</w:t>
            </w:r>
            <w:r>
              <w:rPr>
                <w:rFonts w:hint="default" w:ascii="Times New Roman" w:hAnsi="Times New Roman" w:cs="Times New Roman"/>
                <w:b/>
                <w:color w:val="auto"/>
                <w:sz w:val="24"/>
                <w:lang w:val="en-US" w:eastAsia="zh-CN"/>
              </w:rPr>
              <w:t>地下水</w:t>
            </w:r>
            <w:r>
              <w:rPr>
                <w:rFonts w:hint="default" w:ascii="Times New Roman" w:hAnsi="Times New Roman" w:cs="Times New Roman"/>
                <w:b/>
                <w:color w:val="auto"/>
                <w:sz w:val="24"/>
              </w:rPr>
              <w:t>环境影响分析</w:t>
            </w:r>
          </w:p>
          <w:p>
            <w:pPr>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eastAsia="宋体" w:cs="Times New Roman"/>
                <w:color w:val="auto"/>
                <w:spacing w:val="0"/>
                <w:sz w:val="24"/>
                <w:szCs w:val="24"/>
              </w:rPr>
            </w:pPr>
            <w:r>
              <w:rPr>
                <w:rFonts w:hint="default" w:ascii="Times New Roman" w:hAnsi="Times New Roman" w:eastAsia="宋体" w:cs="Times New Roman"/>
                <w:color w:val="auto"/>
                <w:spacing w:val="0"/>
                <w:sz w:val="24"/>
                <w:szCs w:val="24"/>
              </w:rPr>
              <w:t>根据《环境影响评价技术导则地下水导则》(</w:t>
            </w:r>
            <w:r>
              <w:rPr>
                <w:rFonts w:hint="default" w:ascii="Times New Roman" w:hAnsi="Times New Roman" w:eastAsia="Times New Roman" w:cs="Times New Roman"/>
                <w:color w:val="auto"/>
                <w:spacing w:val="0"/>
                <w:sz w:val="24"/>
                <w:szCs w:val="24"/>
              </w:rPr>
              <w:t>HJ610-2016</w:t>
            </w:r>
            <w:r>
              <w:rPr>
                <w:rFonts w:hint="default" w:ascii="Times New Roman" w:hAnsi="Times New Roman" w:eastAsia="宋体" w:cs="Times New Roman"/>
                <w:color w:val="auto"/>
                <w:spacing w:val="0"/>
                <w:sz w:val="24"/>
                <w:szCs w:val="24"/>
              </w:rPr>
              <w:t>)，本项目属于</w:t>
            </w:r>
            <w:r>
              <w:rPr>
                <w:rFonts w:hint="default" w:ascii="Times New Roman" w:hAnsi="Times New Roman" w:eastAsia="Times New Roman" w:cs="Times New Roman"/>
                <w:color w:val="auto"/>
                <w:spacing w:val="0"/>
                <w:sz w:val="24"/>
                <w:szCs w:val="24"/>
              </w:rPr>
              <w:t>“69</w:t>
            </w:r>
            <w:r>
              <w:rPr>
                <w:rFonts w:hint="default" w:ascii="Times New Roman" w:hAnsi="Times New Roman" w:eastAsia="宋体" w:cs="Times New Roman"/>
                <w:color w:val="auto"/>
                <w:spacing w:val="0"/>
                <w:sz w:val="24"/>
                <w:szCs w:val="24"/>
              </w:rPr>
              <w:t>、石墨及其他非金属矿物制品</w:t>
            </w:r>
            <w:r>
              <w:rPr>
                <w:rFonts w:hint="default" w:ascii="Times New Roman" w:hAnsi="Times New Roman" w:eastAsia="Times New Roman" w:cs="Times New Roman"/>
                <w:color w:val="auto"/>
                <w:spacing w:val="0"/>
                <w:sz w:val="24"/>
                <w:szCs w:val="24"/>
              </w:rPr>
              <w:t>”</w:t>
            </w:r>
            <w:r>
              <w:rPr>
                <w:rFonts w:hint="default" w:ascii="Times New Roman" w:hAnsi="Times New Roman" w:eastAsia="宋体" w:cs="Times New Roman"/>
                <w:color w:val="auto"/>
                <w:spacing w:val="0"/>
                <w:sz w:val="24"/>
                <w:szCs w:val="24"/>
              </w:rPr>
              <w:t>中的</w:t>
            </w:r>
            <w:r>
              <w:rPr>
                <w:rFonts w:hint="default" w:ascii="Times New Roman" w:hAnsi="Times New Roman" w:eastAsia="Times New Roman" w:cs="Times New Roman"/>
                <w:color w:val="auto"/>
                <w:spacing w:val="0"/>
                <w:sz w:val="24"/>
                <w:szCs w:val="24"/>
              </w:rPr>
              <w:t>“</w:t>
            </w:r>
            <w:r>
              <w:rPr>
                <w:rFonts w:hint="default" w:ascii="Times New Roman" w:hAnsi="Times New Roman" w:eastAsia="宋体" w:cs="Times New Roman"/>
                <w:color w:val="auto"/>
                <w:spacing w:val="0"/>
                <w:sz w:val="24"/>
                <w:szCs w:val="24"/>
              </w:rPr>
              <w:t>其他</w:t>
            </w:r>
            <w:r>
              <w:rPr>
                <w:rFonts w:hint="default" w:ascii="Times New Roman" w:hAnsi="Times New Roman" w:eastAsia="Times New Roman" w:cs="Times New Roman"/>
                <w:color w:val="auto"/>
                <w:spacing w:val="0"/>
                <w:sz w:val="24"/>
                <w:szCs w:val="24"/>
              </w:rPr>
              <w:t>”</w:t>
            </w:r>
            <w:r>
              <w:rPr>
                <w:rFonts w:hint="default" w:ascii="Times New Roman" w:hAnsi="Times New Roman" w:eastAsia="宋体" w:cs="Times New Roman"/>
                <w:color w:val="auto"/>
                <w:spacing w:val="0"/>
                <w:sz w:val="24"/>
                <w:szCs w:val="24"/>
              </w:rPr>
              <w:t>，属于Ⅳ类项目；Ⅳ类项目可不开展地下水环境影响评价。</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六</w:t>
            </w:r>
            <w:r>
              <w:rPr>
                <w:rFonts w:hint="default" w:ascii="Times New Roman" w:hAnsi="Times New Roman" w:cs="Times New Roman"/>
                <w:b/>
                <w:color w:val="auto"/>
                <w:sz w:val="24"/>
              </w:rPr>
              <w:t>、</w:t>
            </w:r>
            <w:r>
              <w:rPr>
                <w:rFonts w:hint="default" w:ascii="Times New Roman" w:hAnsi="Times New Roman" w:cs="Times New Roman"/>
                <w:b/>
                <w:color w:val="auto"/>
                <w:sz w:val="24"/>
                <w:lang w:val="en-US" w:eastAsia="zh-CN"/>
              </w:rPr>
              <w:t>土壤</w:t>
            </w:r>
            <w:r>
              <w:rPr>
                <w:rFonts w:hint="default" w:ascii="Times New Roman" w:hAnsi="Times New Roman" w:cs="Times New Roman"/>
                <w:b/>
                <w:color w:val="auto"/>
                <w:sz w:val="24"/>
              </w:rPr>
              <w:t>环境影响分析</w:t>
            </w:r>
          </w:p>
          <w:p>
            <w:pPr>
              <w:keepNext w:val="0"/>
              <w:keepLines w:val="0"/>
              <w:pageBreakBefore w:val="0"/>
              <w:widowControl w:val="0"/>
              <w:kinsoku/>
              <w:wordWrap/>
              <w:overflowPunct/>
              <w:topLinePunct w:val="0"/>
              <w:autoSpaceDE/>
              <w:autoSpaceDN/>
              <w:bidi w:val="0"/>
              <w:adjustRightInd/>
              <w:snapToGrid/>
              <w:spacing w:line="360" w:lineRule="auto"/>
              <w:ind w:left="0" w:right="0" w:firstLine="488" w:firstLineChars="200"/>
              <w:textAlignment w:val="auto"/>
              <w:rPr>
                <w:rFonts w:hint="default" w:ascii="Times New Roman" w:hAnsi="Times New Roman" w:eastAsia="宋体" w:cs="Times New Roman"/>
                <w:color w:val="auto"/>
                <w:spacing w:val="0"/>
                <w:sz w:val="24"/>
                <w:szCs w:val="24"/>
                <w:lang w:val="en-US" w:eastAsia="zh-CN"/>
              </w:rPr>
            </w:pPr>
            <w:r>
              <w:rPr>
                <w:rFonts w:hint="default" w:ascii="Times New Roman" w:hAnsi="Times New Roman" w:eastAsia="宋体" w:cs="Times New Roman"/>
                <w:color w:val="auto"/>
                <w:spacing w:val="2"/>
                <w:sz w:val="24"/>
                <w:szCs w:val="24"/>
              </w:rPr>
              <w:t>本项目厂区所在区域为工业用地，不涉及土建工程，根据《环境影</w:t>
            </w:r>
            <w:r>
              <w:rPr>
                <w:rFonts w:hint="default" w:ascii="Times New Roman" w:hAnsi="Times New Roman" w:eastAsia="宋体" w:cs="Times New Roman"/>
                <w:color w:val="auto"/>
                <w:spacing w:val="1"/>
                <w:sz w:val="24"/>
                <w:szCs w:val="24"/>
              </w:rPr>
              <w:t>响</w:t>
            </w:r>
            <w:r>
              <w:rPr>
                <w:rFonts w:hint="default" w:ascii="Times New Roman" w:hAnsi="Times New Roman" w:eastAsia="宋体" w:cs="Times New Roman"/>
                <w:color w:val="auto"/>
                <w:sz w:val="24"/>
                <w:szCs w:val="24"/>
              </w:rPr>
              <w:t>评价技</w:t>
            </w:r>
            <w:r>
              <w:rPr>
                <w:rFonts w:hint="default" w:ascii="Times New Roman" w:hAnsi="Times New Roman" w:eastAsia="宋体" w:cs="Times New Roman"/>
                <w:color w:val="auto"/>
                <w:spacing w:val="1"/>
                <w:sz w:val="24"/>
                <w:szCs w:val="24"/>
              </w:rPr>
              <w:t>术导则土壤环境(试行)》(</w:t>
            </w:r>
            <w:r>
              <w:rPr>
                <w:rFonts w:hint="default" w:ascii="Times New Roman" w:hAnsi="Times New Roman" w:eastAsia="Times New Roman" w:cs="Times New Roman"/>
                <w:color w:val="auto"/>
                <w:sz w:val="24"/>
                <w:szCs w:val="24"/>
              </w:rPr>
              <w:t>HJ</w:t>
            </w:r>
            <w:r>
              <w:rPr>
                <w:rFonts w:hint="default" w:ascii="Times New Roman" w:hAnsi="Times New Roman" w:eastAsia="Times New Roman" w:cs="Times New Roman"/>
                <w:color w:val="auto"/>
                <w:spacing w:val="1"/>
                <w:sz w:val="24"/>
                <w:szCs w:val="24"/>
              </w:rPr>
              <w:t>964-2018</w:t>
            </w:r>
            <w:r>
              <w:rPr>
                <w:rFonts w:hint="default" w:ascii="Times New Roman" w:hAnsi="Times New Roman" w:eastAsia="宋体" w:cs="Times New Roman"/>
                <w:color w:val="auto"/>
                <w:spacing w:val="1"/>
                <w:sz w:val="24"/>
                <w:szCs w:val="24"/>
              </w:rPr>
              <w:t>)中附录</w:t>
            </w:r>
            <w:r>
              <w:rPr>
                <w:rFonts w:hint="default" w:ascii="Times New Roman" w:hAnsi="Times New Roman" w:eastAsia="Times New Roman" w:cs="Times New Roman"/>
                <w:color w:val="auto"/>
                <w:sz w:val="24"/>
                <w:szCs w:val="24"/>
              </w:rPr>
              <w:t>A</w:t>
            </w:r>
            <w:r>
              <w:rPr>
                <w:rFonts w:hint="default" w:ascii="Times New Roman" w:hAnsi="Times New Roman" w:eastAsia="宋体" w:cs="Times New Roman"/>
                <w:color w:val="auto"/>
                <w:spacing w:val="1"/>
                <w:sz w:val="24"/>
                <w:szCs w:val="24"/>
              </w:rPr>
              <w:t>可知，本项目属</w:t>
            </w:r>
            <w:r>
              <w:rPr>
                <w:rFonts w:hint="default" w:ascii="Times New Roman" w:hAnsi="Times New Roman" w:eastAsia="宋体" w:cs="Times New Roman"/>
                <w:color w:val="auto"/>
                <w:sz w:val="24"/>
                <w:szCs w:val="24"/>
              </w:rPr>
              <w:t>于</w:t>
            </w:r>
            <w:r>
              <w:rPr>
                <w:rFonts w:hint="default" w:ascii="Times New Roman" w:hAnsi="Times New Roman" w:eastAsia="Times New Roman" w:cs="Times New Roman"/>
                <w:color w:val="auto"/>
                <w:sz w:val="24"/>
                <w:szCs w:val="24"/>
              </w:rPr>
              <w:t>“</w:t>
            </w:r>
            <w:r>
              <w:rPr>
                <w:rFonts w:hint="default" w:ascii="Times New Roman" w:hAnsi="Times New Roman" w:eastAsia="宋体" w:cs="Times New Roman"/>
                <w:color w:val="auto"/>
                <w:sz w:val="24"/>
                <w:szCs w:val="24"/>
              </w:rPr>
              <w:t>制造业</w:t>
            </w:r>
            <w:r>
              <w:rPr>
                <w:rFonts w:hint="default" w:ascii="Times New Roman" w:hAnsi="Times New Roman" w:eastAsia="Times New Roman" w:cs="Times New Roman"/>
                <w:color w:val="auto"/>
                <w:sz w:val="24"/>
                <w:szCs w:val="24"/>
              </w:rPr>
              <w:t>”</w:t>
            </w:r>
            <w:r>
              <w:rPr>
                <w:rFonts w:hint="default" w:ascii="Times New Roman" w:hAnsi="Times New Roman" w:eastAsia="宋体" w:cs="Times New Roman"/>
                <w:color w:val="auto"/>
                <w:spacing w:val="-12"/>
                <w:sz w:val="24"/>
                <w:szCs w:val="24"/>
              </w:rPr>
              <w:t>中</w:t>
            </w:r>
            <w:r>
              <w:rPr>
                <w:rFonts w:hint="default" w:ascii="Times New Roman" w:hAnsi="Times New Roman" w:eastAsia="Times New Roman" w:cs="Times New Roman"/>
                <w:color w:val="auto"/>
                <w:spacing w:val="-12"/>
                <w:sz w:val="24"/>
                <w:szCs w:val="24"/>
              </w:rPr>
              <w:t>“</w:t>
            </w:r>
            <w:r>
              <w:rPr>
                <w:rFonts w:hint="default" w:ascii="Times New Roman" w:hAnsi="Times New Roman" w:eastAsia="宋体" w:cs="Times New Roman"/>
                <w:color w:val="auto"/>
                <w:spacing w:val="-8"/>
                <w:sz w:val="24"/>
                <w:szCs w:val="24"/>
              </w:rPr>
              <w:t>金</w:t>
            </w:r>
            <w:r>
              <w:rPr>
                <w:rFonts w:hint="default" w:ascii="Times New Roman" w:hAnsi="Times New Roman" w:eastAsia="宋体" w:cs="Times New Roman"/>
                <w:color w:val="auto"/>
                <w:spacing w:val="-6"/>
                <w:sz w:val="24"/>
                <w:szCs w:val="24"/>
              </w:rPr>
              <w:t>属冶炼和压延加工及非金属矿物制品</w:t>
            </w:r>
            <w:r>
              <w:rPr>
                <w:rFonts w:hint="default" w:ascii="Times New Roman" w:hAnsi="Times New Roman" w:eastAsia="Times New Roman" w:cs="Times New Roman"/>
                <w:color w:val="auto"/>
                <w:spacing w:val="-6"/>
                <w:sz w:val="24"/>
                <w:szCs w:val="24"/>
              </w:rPr>
              <w:t>”</w:t>
            </w:r>
            <w:r>
              <w:rPr>
                <w:rFonts w:hint="default" w:ascii="Times New Roman" w:hAnsi="Times New Roman" w:eastAsia="宋体" w:cs="Times New Roman"/>
                <w:color w:val="auto"/>
                <w:spacing w:val="-6"/>
                <w:sz w:val="24"/>
                <w:szCs w:val="24"/>
              </w:rPr>
              <w:t>中的</w:t>
            </w:r>
            <w:r>
              <w:rPr>
                <w:rFonts w:hint="default" w:ascii="Times New Roman" w:hAnsi="Times New Roman" w:eastAsia="Times New Roman" w:cs="Times New Roman"/>
                <w:color w:val="auto"/>
                <w:spacing w:val="-6"/>
                <w:sz w:val="24"/>
                <w:szCs w:val="24"/>
              </w:rPr>
              <w:t>“</w:t>
            </w:r>
            <w:r>
              <w:rPr>
                <w:rFonts w:hint="default" w:ascii="Times New Roman" w:hAnsi="Times New Roman" w:eastAsia="宋体" w:cs="Times New Roman"/>
                <w:color w:val="auto"/>
                <w:spacing w:val="-6"/>
                <w:sz w:val="24"/>
                <w:szCs w:val="24"/>
              </w:rPr>
              <w:t>其他</w:t>
            </w:r>
            <w:r>
              <w:rPr>
                <w:rFonts w:hint="default" w:ascii="Times New Roman" w:hAnsi="Times New Roman" w:eastAsia="Times New Roman" w:cs="Times New Roman"/>
                <w:color w:val="auto"/>
                <w:spacing w:val="-6"/>
                <w:sz w:val="24"/>
                <w:szCs w:val="24"/>
              </w:rPr>
              <w:t>”</w:t>
            </w:r>
            <w:r>
              <w:rPr>
                <w:rFonts w:hint="default" w:ascii="Times New Roman" w:hAnsi="Times New Roman" w:eastAsia="宋体" w:cs="Times New Roman"/>
                <w:color w:val="auto"/>
                <w:spacing w:val="-6"/>
                <w:sz w:val="24"/>
                <w:szCs w:val="24"/>
              </w:rPr>
              <w:t>，本项目属于Ⅲ类项目；本</w:t>
            </w:r>
            <w:r>
              <w:rPr>
                <w:rFonts w:hint="default" w:ascii="Times New Roman" w:hAnsi="Times New Roman" w:eastAsia="宋体" w:cs="Times New Roman"/>
                <w:color w:val="auto"/>
                <w:spacing w:val="-1"/>
                <w:sz w:val="24"/>
                <w:szCs w:val="24"/>
              </w:rPr>
              <w:t>项目属于污染影响型，占地面积＜</w:t>
            </w:r>
            <w:r>
              <w:rPr>
                <w:rFonts w:hint="default" w:ascii="Times New Roman" w:hAnsi="Times New Roman" w:eastAsia="Times New Roman" w:cs="Times New Roman"/>
                <w:color w:val="auto"/>
                <w:spacing w:val="-1"/>
                <w:sz w:val="24"/>
                <w:szCs w:val="24"/>
              </w:rPr>
              <w:t>5</w:t>
            </w:r>
            <w:r>
              <w:rPr>
                <w:rFonts w:hint="default" w:ascii="Times New Roman" w:hAnsi="Times New Roman" w:eastAsia="Times New Roman" w:cs="Times New Roman"/>
                <w:color w:val="auto"/>
                <w:sz w:val="24"/>
                <w:szCs w:val="24"/>
              </w:rPr>
              <w:t>hm</w:t>
            </w:r>
            <w:r>
              <w:rPr>
                <w:rFonts w:hint="default" w:ascii="Times New Roman" w:hAnsi="Times New Roman" w:eastAsia="Times New Roman" w:cs="Times New Roman"/>
                <w:color w:val="auto"/>
                <w:spacing w:val="-1"/>
                <w:position w:val="8"/>
                <w:sz w:val="15"/>
                <w:szCs w:val="15"/>
              </w:rPr>
              <w:t>2</w:t>
            </w:r>
            <w:r>
              <w:rPr>
                <w:rFonts w:hint="default" w:ascii="Times New Roman" w:hAnsi="Times New Roman" w:eastAsia="宋体" w:cs="Times New Roman"/>
                <w:color w:val="auto"/>
                <w:sz w:val="24"/>
                <w:szCs w:val="24"/>
              </w:rPr>
              <w:t>，为小型，对照污染影响型评价工作等级</w:t>
            </w:r>
            <w:r>
              <w:rPr>
                <w:rFonts w:hint="default" w:ascii="Times New Roman" w:hAnsi="Times New Roman" w:eastAsia="宋体" w:cs="Times New Roman"/>
                <w:color w:val="auto"/>
                <w:spacing w:val="-3"/>
                <w:sz w:val="24"/>
                <w:szCs w:val="24"/>
              </w:rPr>
              <w:t>划</w:t>
            </w:r>
            <w:r>
              <w:rPr>
                <w:rFonts w:hint="default" w:ascii="Times New Roman" w:hAnsi="Times New Roman" w:eastAsia="宋体" w:cs="Times New Roman"/>
                <w:color w:val="auto"/>
                <w:spacing w:val="-2"/>
                <w:sz w:val="24"/>
                <w:szCs w:val="24"/>
              </w:rPr>
              <w:t>分表，本项目可不开展土壤环境影响评价。</w:t>
            </w:r>
          </w:p>
          <w:p>
            <w:pPr>
              <w:spacing w:before="215" w:line="384" w:lineRule="auto"/>
              <w:ind w:left="101" w:right="8" w:firstLine="479"/>
              <w:rPr>
                <w:rFonts w:hint="default" w:ascii="Times New Roman" w:hAnsi="Times New Roman" w:cs="Times New Roman"/>
                <w:b/>
                <w:color w:val="auto"/>
                <w:sz w:val="24"/>
              </w:rPr>
            </w:pPr>
            <w:r>
              <w:rPr>
                <w:rFonts w:hint="default" w:ascii="Times New Roman" w:hAnsi="Times New Roman" w:cs="Times New Roman"/>
                <w:b/>
                <w:color w:val="auto"/>
                <w:sz w:val="24"/>
                <w:lang w:val="en-US" w:eastAsia="zh-CN"/>
              </w:rPr>
              <w:t>七</w:t>
            </w:r>
            <w:r>
              <w:rPr>
                <w:rFonts w:hint="default" w:ascii="Times New Roman" w:hAnsi="Times New Roman" w:cs="Times New Roman"/>
                <w:b/>
                <w:color w:val="auto"/>
                <w:sz w:val="24"/>
              </w:rPr>
              <w:t>、环境管理及监测计划</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（1）环境管理机构设置</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为了本工程在运营期能更好地执行和遵守国家、省及地方的有关环境保护法律、法规、政策及标准，接受地方环境保护主管部门的环境监督，调整和制订环境规划和目标，进行一切与改善环境有关的管理活动，同时对工程施工及运营期产生的污染物进行监测、分析、了解工程对环境的影响状况，公司应设置专职的环境管理人员，参与项目的环保设施“三同时”管理，同时需负责产生污染防治设施运行管理。由于环保工作政策性强，涉及多学科、综合性知识，建议该项目的专职环境管理人员选用具备环保专业知识并有一定工作经验的专业人员担任。</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（2）环境管理制度</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贯彻执行“三同时”制度：设计单位必须将环境保护设施与主体工程同时设计，工程建设单位必须保证防治污染及其它公害的设施与主体工程项目同时施工、同时投入运行，工程竣工后，经验收合格后，方可投入运行。</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执行排污申报登记：按照国家和地方环境保护规定，企业应及时向当地环境保护部门进行污染物排放申报登记。经环保部门批准后，方可按分配的指标排放。</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环保设施运行管理制度：应建立环保设施定期检查制度和污染治理措施岗位责任制，实行污染治理岗位运行记录制度，以确保污染治理设施稳定高效运行。当污染治理设施发生故障时，应及时组织抢修，并根据实际情况采取相应措施，防止污染事故的发生。</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建立企业环保档案：企业应对废气、废水处理装置等进行定期监测，建立污染源档案，发现污染物非正常排放，应分析原因并及时采取相应措施，以控制污染影响的范围和程度。</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（3）环境监测计划</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参照《排污许可证申请与核发技术规范总则》(HJ942-2018)和《排污单位自行监测技术指南总则》(HJ819-2017)中相关要求，排污单位可自行或委托第三方监测机构开展监测工作，并安排专人专职对监测数据进行记录、整理、统计和分析。排污单位对监测结果的真实性、准确性、完整性负责。</w:t>
            </w:r>
          </w:p>
          <w:p>
            <w:pPr>
              <w:spacing w:line="360" w:lineRule="auto"/>
              <w:ind w:firstLine="470" w:firstLineChars="196"/>
              <w:rPr>
                <w:rFonts w:hint="default" w:ascii="Times New Roman" w:hAnsi="Times New Roman" w:cs="Times New Roman"/>
                <w:color w:val="auto"/>
                <w:sz w:val="24"/>
              </w:rPr>
            </w:pPr>
            <w:r>
              <w:rPr>
                <w:rFonts w:hint="default" w:ascii="Times New Roman" w:hAnsi="Times New Roman" w:cs="Times New Roman"/>
                <w:color w:val="auto"/>
                <w:sz w:val="24"/>
              </w:rPr>
              <w:t>本项目运营期环境监测计划见下表。</w:t>
            </w:r>
          </w:p>
          <w:p>
            <w:pPr>
              <w:adjustRightInd w:val="0"/>
              <w:snapToGrid w:val="0"/>
              <w:spacing w:line="480" w:lineRule="exact"/>
              <w:jc w:val="center"/>
              <w:textAlignment w:val="baseline"/>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default" w:ascii="Times New Roman" w:hAnsi="Times New Roman" w:cs="Times New Roman"/>
                <w:b/>
                <w:color w:val="auto"/>
                <w:sz w:val="24"/>
                <w:lang w:val="en-US" w:eastAsia="zh-CN"/>
              </w:rPr>
              <w:t>17</w:t>
            </w:r>
            <w:r>
              <w:rPr>
                <w:rFonts w:hint="default" w:ascii="Times New Roman" w:hAnsi="Times New Roman" w:cs="Times New Roman"/>
                <w:b/>
                <w:color w:val="auto"/>
                <w:sz w:val="24"/>
              </w:rPr>
              <w:t>项目运营期环境监测计划一览表</w:t>
            </w:r>
          </w:p>
          <w:tbl>
            <w:tblPr>
              <w:tblStyle w:val="27"/>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0"/>
              <w:gridCol w:w="683"/>
              <w:gridCol w:w="1389"/>
              <w:gridCol w:w="1741"/>
              <w:gridCol w:w="1143"/>
              <w:gridCol w:w="1324"/>
              <w:gridCol w:w="15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40" w:hRule="atLeast"/>
                <w:jc w:val="center"/>
              </w:trPr>
              <w:tc>
                <w:tcPr>
                  <w:tcW w:w="395"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时段</w:t>
                  </w:r>
                </w:p>
              </w:tc>
              <w:tc>
                <w:tcPr>
                  <w:tcW w:w="40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类型</w:t>
                  </w:r>
                </w:p>
              </w:tc>
              <w:tc>
                <w:tcPr>
                  <w:tcW w:w="81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监测位置</w:t>
                  </w:r>
                </w:p>
              </w:tc>
              <w:tc>
                <w:tcPr>
                  <w:tcW w:w="102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监测项目</w:t>
                  </w:r>
                </w:p>
              </w:tc>
              <w:tc>
                <w:tcPr>
                  <w:tcW w:w="67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频次</w:t>
                  </w:r>
                </w:p>
              </w:tc>
              <w:tc>
                <w:tcPr>
                  <w:tcW w:w="781"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bCs/>
                      <w:color w:val="auto"/>
                      <w:szCs w:val="21"/>
                    </w:rPr>
                    <w:t>监测方法</w:t>
                  </w:r>
                </w:p>
              </w:tc>
              <w:tc>
                <w:tcPr>
                  <w:tcW w:w="898"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0" w:hRule="atLeast"/>
                <w:jc w:val="center"/>
              </w:trPr>
              <w:tc>
                <w:tcPr>
                  <w:tcW w:w="395"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运</w:t>
                  </w:r>
                </w:p>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营</w:t>
                  </w:r>
                </w:p>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期</w:t>
                  </w:r>
                </w:p>
              </w:tc>
              <w:tc>
                <w:tcPr>
                  <w:tcW w:w="403"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废气</w:t>
                  </w:r>
                </w:p>
              </w:tc>
              <w:tc>
                <w:tcPr>
                  <w:tcW w:w="819" w:type="pct"/>
                  <w:tcBorders>
                    <w:tl2br w:val="nil"/>
                    <w:tr2bl w:val="nil"/>
                  </w:tcBorders>
                  <w:noWrap w:val="0"/>
                  <w:vAlign w:val="center"/>
                </w:tcPr>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#排气筒(破碎粉尘、筛分粉尘)进出口</w:t>
                  </w:r>
                </w:p>
              </w:tc>
              <w:tc>
                <w:tcPr>
                  <w:tcW w:w="1027" w:type="pct"/>
                  <w:tcBorders>
                    <w:tl2br w:val="nil"/>
                    <w:tr2bl w:val="nil"/>
                  </w:tcBorders>
                  <w:noWrap w:val="0"/>
                  <w:vAlign w:val="center"/>
                </w:tcPr>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颗粒物</w:t>
                  </w:r>
                </w:p>
              </w:tc>
              <w:tc>
                <w:tcPr>
                  <w:tcW w:w="67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每年一次</w:t>
                  </w:r>
                </w:p>
              </w:tc>
              <w:tc>
                <w:tcPr>
                  <w:tcW w:w="781"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bCs/>
                      <w:color w:val="auto"/>
                      <w:szCs w:val="21"/>
                    </w:rPr>
                    <w:t>采用国家规定最新监测方法与标准</w:t>
                  </w:r>
                </w:p>
              </w:tc>
              <w:tc>
                <w:tcPr>
                  <w:tcW w:w="898" w:type="pct"/>
                  <w:vMerge w:val="restar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委托当地环境监测站或第三方单位监测，在有自行监测能力情况下可自行监测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0" w:hRule="atLeast"/>
                <w:jc w:val="center"/>
              </w:trPr>
              <w:tc>
                <w:tcPr>
                  <w:tcW w:w="39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403"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819" w:type="pct"/>
                  <w:tcBorders>
                    <w:tl2br w:val="nil"/>
                    <w:tr2bl w:val="nil"/>
                  </w:tcBorders>
                  <w:noWrap w:val="0"/>
                  <w:vAlign w:val="center"/>
                </w:tcPr>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w:t>
                  </w:r>
                  <w:r>
                    <w:rPr>
                      <w:rFonts w:hint="default" w:ascii="Times New Roman" w:hAnsi="Times New Roman" w:cs="Times New Roman"/>
                      <w:color w:val="auto"/>
                      <w:szCs w:val="21"/>
                      <w:lang w:val="en-US" w:eastAsia="zh-CN"/>
                    </w:rPr>
                    <w:t>界</w:t>
                  </w:r>
                  <w:r>
                    <w:rPr>
                      <w:rFonts w:hint="default" w:ascii="Times New Roman" w:hAnsi="Times New Roman" w:cs="Times New Roman"/>
                      <w:color w:val="auto"/>
                      <w:szCs w:val="21"/>
                    </w:rPr>
                    <w:t>四周</w:t>
                  </w:r>
                </w:p>
              </w:tc>
              <w:tc>
                <w:tcPr>
                  <w:tcW w:w="1027" w:type="pct"/>
                  <w:tcBorders>
                    <w:tl2br w:val="nil"/>
                    <w:tr2bl w:val="nil"/>
                  </w:tcBorders>
                  <w:noWrap w:val="0"/>
                  <w:vAlign w:val="center"/>
                </w:tcPr>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67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每年一次</w:t>
                  </w:r>
                </w:p>
              </w:tc>
              <w:tc>
                <w:tcPr>
                  <w:tcW w:w="781"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898"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50" w:hRule="atLeast"/>
                <w:jc w:val="center"/>
              </w:trPr>
              <w:tc>
                <w:tcPr>
                  <w:tcW w:w="39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4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废水</w:t>
                  </w:r>
                </w:p>
              </w:tc>
              <w:tc>
                <w:tcPr>
                  <w:tcW w:w="819"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废水总排口</w:t>
                  </w:r>
                </w:p>
                <w:p>
                  <w:pPr>
                    <w:pStyle w:val="2"/>
                    <w:keepNext w:val="0"/>
                    <w:keepLines w:val="0"/>
                    <w:pageBreakBefore w:val="0"/>
                    <w:widowControl w:val="0"/>
                    <w:kinsoku/>
                    <w:wordWrap/>
                    <w:overflowPunct/>
                    <w:topLinePunct w:val="0"/>
                    <w:autoSpaceDE/>
                    <w:autoSpaceDN/>
                    <w:bidi w:val="0"/>
                    <w:adjustRightInd/>
                    <w:snapToGrid/>
                    <w:spacing w:line="240" w:lineRule="atLeast"/>
                    <w:ind w:firstLine="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(DW001)</w:t>
                  </w:r>
                </w:p>
              </w:tc>
              <w:tc>
                <w:tcPr>
                  <w:tcW w:w="1027" w:type="pct"/>
                  <w:tcBorders>
                    <w:tl2br w:val="nil"/>
                    <w:tr2bl w:val="nil"/>
                  </w:tcBorders>
                  <w:noWrap w:val="0"/>
                  <w:vAlign w:val="center"/>
                </w:tcPr>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pH</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COD</w:t>
                  </w:r>
                  <w:r>
                    <w:rPr>
                      <w:rFonts w:hint="default" w:ascii="Times New Roman" w:hAnsi="Times New Roman" w:cs="Times New Roman"/>
                      <w:color w:val="auto"/>
                      <w:szCs w:val="21"/>
                      <w:lang w:eastAsia="zh-CN"/>
                    </w:rPr>
                    <w:t>、</w:t>
                  </w:r>
                </w:p>
                <w:p>
                  <w:pPr>
                    <w:keepNext w:val="0"/>
                    <w:keepLines w:val="0"/>
                    <w:pageBreakBefore w:val="0"/>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SS</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氨氮</w:t>
                  </w:r>
                </w:p>
              </w:tc>
              <w:tc>
                <w:tcPr>
                  <w:tcW w:w="67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每年一次</w:t>
                  </w:r>
                </w:p>
              </w:tc>
              <w:tc>
                <w:tcPr>
                  <w:tcW w:w="781"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898"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40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固废</w:t>
                  </w:r>
                </w:p>
              </w:tc>
              <w:tc>
                <w:tcPr>
                  <w:tcW w:w="138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pacing w:val="-2"/>
                      <w:sz w:val="21"/>
                      <w:szCs w:val="21"/>
                    </w:rPr>
                    <w:t>统计各类固</w:t>
                  </w:r>
                  <w:r>
                    <w:rPr>
                      <w:rFonts w:hint="default" w:ascii="Times New Roman" w:hAnsi="Times New Roman" w:eastAsia="宋体" w:cs="Times New Roman"/>
                      <w:color w:val="auto"/>
                      <w:spacing w:val="-1"/>
                      <w:sz w:val="21"/>
                      <w:szCs w:val="21"/>
                    </w:rPr>
                    <w:t>废量</w:t>
                  </w:r>
                </w:p>
              </w:tc>
              <w:tc>
                <w:tcPr>
                  <w:tcW w:w="173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3"/>
                      <w:sz w:val="21"/>
                      <w:szCs w:val="21"/>
                    </w:rPr>
                    <w:t>统</w:t>
                  </w:r>
                  <w:r>
                    <w:rPr>
                      <w:rFonts w:hint="default" w:ascii="Times New Roman" w:hAnsi="Times New Roman" w:eastAsia="宋体" w:cs="Times New Roman"/>
                      <w:color w:val="auto"/>
                      <w:spacing w:val="-2"/>
                      <w:sz w:val="21"/>
                      <w:szCs w:val="21"/>
                    </w:rPr>
                    <w:t>计固废种</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pacing w:val="-2"/>
                      <w:sz w:val="21"/>
                      <w:szCs w:val="21"/>
                    </w:rPr>
                    <w:t>类</w:t>
                  </w:r>
                  <w:r>
                    <w:rPr>
                      <w:rFonts w:hint="default" w:ascii="Times New Roman" w:hAnsi="Times New Roman" w:eastAsia="宋体" w:cs="Times New Roman"/>
                      <w:color w:val="auto"/>
                      <w:spacing w:val="-1"/>
                      <w:sz w:val="21"/>
                      <w:szCs w:val="21"/>
                    </w:rPr>
                    <w:t>、处置方式</w:t>
                  </w:r>
                </w:p>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pacing w:val="-2"/>
                      <w:sz w:val="21"/>
                      <w:szCs w:val="21"/>
                    </w:rPr>
                    <w:t>及去</w:t>
                  </w:r>
                  <w:r>
                    <w:rPr>
                      <w:rFonts w:hint="default" w:ascii="Times New Roman" w:hAnsi="Times New Roman" w:eastAsia="宋体" w:cs="Times New Roman"/>
                      <w:color w:val="auto"/>
                      <w:spacing w:val="-1"/>
                      <w:sz w:val="21"/>
                      <w:szCs w:val="21"/>
                    </w:rPr>
                    <w:t>向</w:t>
                  </w:r>
                </w:p>
              </w:tc>
              <w:tc>
                <w:tcPr>
                  <w:tcW w:w="113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ind w:left="0" w:leftChars="0" w:right="0" w:rightChars="0" w:firstLine="0" w:firstLineChars="0"/>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pacing w:val="-2"/>
                      <w:sz w:val="21"/>
                      <w:szCs w:val="21"/>
                    </w:rPr>
                    <w:t>每月统计</w:t>
                  </w:r>
                  <w:r>
                    <w:rPr>
                      <w:rFonts w:hint="default" w:ascii="Times New Roman" w:hAnsi="Times New Roman" w:eastAsia="宋体" w:cs="Times New Roman"/>
                      <w:color w:val="auto"/>
                      <w:spacing w:val="-1"/>
                      <w:sz w:val="21"/>
                      <w:szCs w:val="21"/>
                    </w:rPr>
                    <w:t>一</w:t>
                  </w:r>
                  <w:r>
                    <w:rPr>
                      <w:rFonts w:hint="default" w:ascii="Times New Roman" w:hAnsi="Times New Roman" w:eastAsia="宋体" w:cs="Times New Roman"/>
                      <w:color w:val="auto"/>
                      <w:sz w:val="21"/>
                      <w:szCs w:val="21"/>
                    </w:rPr>
                    <w:t>次</w:t>
                  </w:r>
                </w:p>
              </w:tc>
              <w:tc>
                <w:tcPr>
                  <w:tcW w:w="781"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898"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395"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403"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噪声</w:t>
                  </w:r>
                </w:p>
              </w:tc>
              <w:tc>
                <w:tcPr>
                  <w:tcW w:w="819"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厂界外1米</w:t>
                  </w:r>
                </w:p>
              </w:tc>
              <w:tc>
                <w:tcPr>
                  <w:tcW w:w="1027"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Leq(A)</w:t>
                  </w:r>
                </w:p>
              </w:tc>
              <w:tc>
                <w:tcPr>
                  <w:tcW w:w="674" w:type="pct"/>
                  <w:tcBorders>
                    <w:tl2br w:val="nil"/>
                    <w:tr2bl w:val="nil"/>
                  </w:tcBorders>
                  <w:noWrap w:val="0"/>
                  <w:vAlign w:val="center"/>
                </w:tcPr>
                <w:p>
                  <w:pPr>
                    <w:keepNext w:val="0"/>
                    <w:keepLines w:val="0"/>
                    <w:pageBreakBefore w:val="0"/>
                    <w:kinsoku/>
                    <w:wordWrap/>
                    <w:overflowPunct/>
                    <w:topLinePunct w:val="0"/>
                    <w:autoSpaceDE/>
                    <w:autoSpaceDN/>
                    <w:bidi w:val="0"/>
                    <w:adjustRightInd/>
                    <w:snapToGrid w:val="0"/>
                    <w:spacing w:line="240" w:lineRule="atLeast"/>
                    <w:ind w:left="0" w:leftChars="0" w:right="0" w:rightChars="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每季</w:t>
                  </w: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次</w:t>
                  </w:r>
                </w:p>
              </w:tc>
              <w:tc>
                <w:tcPr>
                  <w:tcW w:w="781"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c>
                <w:tcPr>
                  <w:tcW w:w="898"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pacing w:line="240" w:lineRule="atLeast"/>
                    <w:ind w:left="0" w:leftChars="0" w:right="0" w:rightChars="0"/>
                    <w:jc w:val="center"/>
                    <w:textAlignment w:val="auto"/>
                    <w:rPr>
                      <w:rFonts w:hint="default" w:ascii="Times New Roman" w:hAnsi="Times New Roman" w:cs="Times New Roman"/>
                      <w:color w:val="auto"/>
                      <w:szCs w:val="21"/>
                    </w:rPr>
                  </w:pPr>
                </w:p>
              </w:tc>
            </w:tr>
          </w:tbl>
          <w:p>
            <w:pPr>
              <w:spacing w:line="440" w:lineRule="exact"/>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九、环保投资</w:t>
            </w:r>
          </w:p>
          <w:p>
            <w:pPr>
              <w:spacing w:line="400" w:lineRule="exact"/>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该项目环保投资</w:t>
            </w:r>
            <w:r>
              <w:rPr>
                <w:rFonts w:hint="default" w:ascii="Times New Roman" w:hAnsi="Times New Roman" w:cs="Times New Roman"/>
                <w:color w:val="auto"/>
                <w:sz w:val="24"/>
                <w:lang w:val="en-US" w:eastAsia="zh-CN"/>
              </w:rPr>
              <w:t>54</w:t>
            </w:r>
            <w:r>
              <w:rPr>
                <w:rFonts w:hint="default" w:ascii="Times New Roman" w:hAnsi="Times New Roman" w:cs="Times New Roman"/>
                <w:color w:val="auto"/>
                <w:sz w:val="24"/>
              </w:rPr>
              <w:t>万元，占本项目总投资</w:t>
            </w:r>
            <w:r>
              <w:rPr>
                <w:rFonts w:hint="default" w:ascii="Times New Roman" w:hAnsi="Times New Roman" w:cs="Times New Roman"/>
                <w:color w:val="auto"/>
                <w:sz w:val="24"/>
                <w:lang w:val="en-US" w:eastAsia="zh-CN"/>
              </w:rPr>
              <w:t>12000</w:t>
            </w:r>
            <w:r>
              <w:rPr>
                <w:rFonts w:hint="default" w:ascii="Times New Roman" w:hAnsi="Times New Roman" w:cs="Times New Roman"/>
                <w:color w:val="auto"/>
                <w:sz w:val="24"/>
              </w:rPr>
              <w:t>万元的的</w:t>
            </w:r>
            <w:r>
              <w:rPr>
                <w:rFonts w:hint="default" w:ascii="Times New Roman" w:hAnsi="Times New Roman" w:cs="Times New Roman"/>
                <w:color w:val="auto"/>
                <w:sz w:val="24"/>
                <w:lang w:val="en-US" w:eastAsia="zh-CN"/>
              </w:rPr>
              <w:t>0.45</w:t>
            </w:r>
            <w:r>
              <w:rPr>
                <w:rFonts w:hint="default" w:ascii="Times New Roman" w:hAnsi="Times New Roman" w:cs="Times New Roman"/>
                <w:color w:val="auto"/>
                <w:sz w:val="24"/>
              </w:rPr>
              <w:t>%，具体见下表：</w:t>
            </w:r>
          </w:p>
          <w:p>
            <w:pPr>
              <w:spacing w:line="400" w:lineRule="exact"/>
              <w:jc w:val="center"/>
              <w:rPr>
                <w:rFonts w:hint="default" w:ascii="Times New Roman" w:hAnsi="Times New Roman" w:cs="Times New Roman"/>
                <w:b/>
                <w:bCs/>
                <w:color w:val="auto"/>
                <w:kern w:val="0"/>
                <w:sz w:val="24"/>
              </w:rPr>
            </w:pPr>
            <w:r>
              <w:rPr>
                <w:rFonts w:hint="default" w:ascii="Times New Roman" w:hAnsi="Times New Roman" w:cs="Times New Roman"/>
                <w:b/>
                <w:bCs/>
                <w:color w:val="auto"/>
                <w:sz w:val="24"/>
              </w:rPr>
              <w:t>表4-</w:t>
            </w:r>
            <w:r>
              <w:rPr>
                <w:rFonts w:hint="default" w:ascii="Times New Roman" w:hAnsi="Times New Roman" w:cs="Times New Roman"/>
                <w:b/>
                <w:bCs/>
                <w:color w:val="auto"/>
                <w:sz w:val="24"/>
                <w:lang w:val="en-US" w:eastAsia="zh-CN"/>
              </w:rPr>
              <w:t>18</w:t>
            </w:r>
            <w:r>
              <w:rPr>
                <w:rFonts w:hint="default" w:ascii="Times New Roman" w:hAnsi="Times New Roman" w:cs="Times New Roman"/>
                <w:b/>
                <w:bCs/>
                <w:color w:val="auto"/>
                <w:kern w:val="0"/>
                <w:sz w:val="24"/>
              </w:rPr>
              <w:t>建设项目环保措施投资一览表单位：万元</w:t>
            </w:r>
          </w:p>
          <w:tbl>
            <w:tblPr>
              <w:tblStyle w:val="27"/>
              <w:tblW w:w="4998" w:type="pct"/>
              <w:tblInd w:w="0" w:type="dxa"/>
              <w:tblBorders>
                <w:top w:val="single" w:color="auto" w:sz="8" w:space="0"/>
                <w:left w:val="none" w:color="auto" w:sz="0" w:space="0"/>
                <w:bottom w:val="single" w:color="auto" w:sz="8"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554"/>
              <w:gridCol w:w="3255"/>
              <w:gridCol w:w="538"/>
              <w:gridCol w:w="2361"/>
            </w:tblGrid>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455" w:type="pct"/>
                  <w:tcBorders>
                    <w:top w:val="single" w:color="auto" w:sz="8" w:space="0"/>
                    <w:left w:val="nil"/>
                    <w:bottom w:val="single" w:color="auto" w:sz="4" w:space="0"/>
                    <w:right w:val="single" w:color="auto" w:sz="4" w:space="0"/>
                  </w:tcBorders>
                  <w:noWrap w:val="0"/>
                  <w:vAlign w:val="center"/>
                </w:tcPr>
                <w:p>
                  <w:pPr>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类别</w:t>
                  </w:r>
                </w:p>
              </w:tc>
              <w:tc>
                <w:tcPr>
                  <w:tcW w:w="916" w:type="pct"/>
                  <w:tcBorders>
                    <w:top w:val="single" w:color="auto" w:sz="8" w:space="0"/>
                    <w:left w:val="single" w:color="auto" w:sz="4" w:space="0"/>
                    <w:bottom w:val="single" w:color="auto" w:sz="4" w:space="0"/>
                    <w:right w:val="single" w:color="auto" w:sz="4" w:space="0"/>
                  </w:tcBorders>
                  <w:noWrap w:val="0"/>
                  <w:vAlign w:val="center"/>
                </w:tcPr>
                <w:p>
                  <w:pPr>
                    <w:spacing w:line="340" w:lineRule="exact"/>
                    <w:ind w:left="-108" w:right="-108"/>
                    <w:jc w:val="center"/>
                    <w:rPr>
                      <w:rFonts w:hint="default" w:ascii="Times New Roman" w:hAnsi="Times New Roman" w:cs="Times New Roman"/>
                      <w:b/>
                      <w:color w:val="auto"/>
                      <w:szCs w:val="21"/>
                    </w:rPr>
                  </w:pPr>
                  <w:r>
                    <w:rPr>
                      <w:rFonts w:hint="default" w:ascii="Times New Roman" w:hAnsi="Times New Roman" w:cs="Times New Roman"/>
                      <w:b/>
                      <w:color w:val="auto"/>
                      <w:szCs w:val="21"/>
                    </w:rPr>
                    <w:t>治理对象</w:t>
                  </w:r>
                </w:p>
              </w:tc>
              <w:tc>
                <w:tcPr>
                  <w:tcW w:w="1918" w:type="pct"/>
                  <w:tcBorders>
                    <w:top w:val="single" w:color="auto" w:sz="8" w:space="0"/>
                    <w:left w:val="single" w:color="auto" w:sz="4" w:space="0"/>
                    <w:bottom w:val="single" w:color="auto" w:sz="4" w:space="0"/>
                    <w:right w:val="single" w:color="auto" w:sz="4" w:space="0"/>
                  </w:tcBorders>
                  <w:noWrap w:val="0"/>
                  <w:vAlign w:val="center"/>
                </w:tcPr>
                <w:p>
                  <w:pPr>
                    <w:spacing w:line="340" w:lineRule="exact"/>
                    <w:jc w:val="center"/>
                    <w:rPr>
                      <w:rFonts w:hint="default" w:ascii="Times New Roman" w:hAnsi="Times New Roman" w:cs="Times New Roman"/>
                      <w:b/>
                      <w:color w:val="auto"/>
                      <w:szCs w:val="21"/>
                    </w:rPr>
                  </w:pPr>
                  <w:r>
                    <w:rPr>
                      <w:rFonts w:hint="default" w:ascii="Times New Roman" w:hAnsi="Times New Roman" w:cs="Times New Roman"/>
                      <w:b/>
                      <w:color w:val="auto"/>
                      <w:szCs w:val="21"/>
                    </w:rPr>
                    <w:t>治理方案</w:t>
                  </w:r>
                </w:p>
              </w:tc>
              <w:tc>
                <w:tcPr>
                  <w:tcW w:w="317" w:type="pct"/>
                  <w:tcBorders>
                    <w:top w:val="single" w:color="auto" w:sz="8" w:space="0"/>
                    <w:left w:val="single" w:color="auto" w:sz="4" w:space="0"/>
                    <w:bottom w:val="single" w:color="auto" w:sz="4" w:space="0"/>
                    <w:right w:val="nil"/>
                  </w:tcBorders>
                  <w:noWrap w:val="0"/>
                  <w:vAlign w:val="center"/>
                </w:tcPr>
                <w:p>
                  <w:pPr>
                    <w:spacing w:line="340" w:lineRule="exact"/>
                    <w:ind w:left="-108" w:right="-108"/>
                    <w:jc w:val="center"/>
                    <w:rPr>
                      <w:rFonts w:hint="default" w:ascii="Times New Roman" w:hAnsi="Times New Roman" w:cs="Times New Roman"/>
                      <w:b/>
                      <w:color w:val="auto"/>
                      <w:szCs w:val="21"/>
                    </w:rPr>
                  </w:pPr>
                  <w:r>
                    <w:rPr>
                      <w:rFonts w:hint="default" w:ascii="Times New Roman" w:hAnsi="Times New Roman" w:cs="Times New Roman"/>
                      <w:b/>
                      <w:color w:val="auto"/>
                      <w:szCs w:val="21"/>
                    </w:rPr>
                    <w:t>投资</w:t>
                  </w:r>
                </w:p>
              </w:tc>
              <w:tc>
                <w:tcPr>
                  <w:tcW w:w="1392" w:type="pct"/>
                  <w:tcBorders>
                    <w:top w:val="single" w:color="auto" w:sz="8" w:space="0"/>
                    <w:left w:val="single" w:color="auto" w:sz="4" w:space="0"/>
                    <w:bottom w:val="single" w:color="auto" w:sz="4" w:space="0"/>
                    <w:right w:val="nil"/>
                  </w:tcBorders>
                  <w:noWrap w:val="0"/>
                  <w:vAlign w:val="center"/>
                </w:tcPr>
                <w:p>
                  <w:pPr>
                    <w:spacing w:line="340" w:lineRule="exact"/>
                    <w:ind w:left="-108" w:right="-108"/>
                    <w:jc w:val="center"/>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lang w:val="en-US" w:eastAsia="zh-CN"/>
                    </w:rPr>
                    <w:t>治理效果</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455" w:type="pct"/>
                  <w:vMerge w:val="restart"/>
                  <w:tcBorders>
                    <w:top w:val="single" w:color="auto" w:sz="4" w:space="0"/>
                    <w:left w:val="nil"/>
                    <w:right w:val="single" w:color="auto" w:sz="4" w:space="0"/>
                  </w:tcBorders>
                  <w:noWrap w:val="0"/>
                  <w:vAlign w:val="center"/>
                </w:tcPr>
                <w:p>
                  <w:pPr>
                    <w:spacing w:line="340" w:lineRule="exact"/>
                    <w:ind w:left="-108" w:right="-108"/>
                    <w:jc w:val="center"/>
                    <w:rPr>
                      <w:rFonts w:hint="default" w:ascii="Times New Roman" w:hAnsi="Times New Roman" w:cs="Times New Roman"/>
                      <w:color w:val="auto"/>
                      <w:szCs w:val="21"/>
                    </w:rPr>
                  </w:pPr>
                  <w:r>
                    <w:rPr>
                      <w:rFonts w:hint="default" w:ascii="Times New Roman" w:hAnsi="Times New Roman" w:cs="Times New Roman"/>
                      <w:color w:val="auto"/>
                      <w:szCs w:val="21"/>
                    </w:rPr>
                    <w:t>废气防治措施</w:t>
                  </w:r>
                </w:p>
              </w:tc>
              <w:tc>
                <w:tcPr>
                  <w:tcW w:w="916" w:type="pct"/>
                  <w:tcBorders>
                    <w:top w:val="single" w:color="auto" w:sz="4" w:space="0"/>
                    <w:left w:val="single" w:color="auto" w:sz="4" w:space="0"/>
                    <w:right w:val="single" w:color="auto" w:sz="4" w:space="0"/>
                  </w:tcBorders>
                  <w:noWrap w:val="0"/>
                  <w:vAlign w:val="center"/>
                </w:tcPr>
                <w:p>
                  <w:pPr>
                    <w:adjustRightInd w:val="0"/>
                    <w:spacing w:line="330" w:lineRule="exact"/>
                    <w:jc w:val="center"/>
                    <w:rPr>
                      <w:rFonts w:hint="default" w:ascii="Times New Roman" w:hAnsi="Times New Roman" w:cs="Times New Roman"/>
                      <w:color w:val="auto"/>
                      <w:kern w:val="21"/>
                      <w:szCs w:val="21"/>
                      <w:lang w:val="en-US" w:eastAsia="zh-CN"/>
                    </w:rPr>
                  </w:pPr>
                  <w:r>
                    <w:rPr>
                      <w:rFonts w:hint="default" w:ascii="Times New Roman" w:hAnsi="Times New Roman" w:cs="Times New Roman"/>
                      <w:color w:val="auto"/>
                      <w:kern w:val="21"/>
                      <w:szCs w:val="21"/>
                      <w:lang w:val="en-US" w:eastAsia="zh-CN"/>
                    </w:rPr>
                    <w:t>DA001(破碎</w:t>
                  </w:r>
                </w:p>
                <w:p>
                  <w:pPr>
                    <w:adjustRightInd w:val="0"/>
                    <w:spacing w:line="330" w:lineRule="exact"/>
                    <w:jc w:val="center"/>
                    <w:rPr>
                      <w:rFonts w:hint="default" w:ascii="Times New Roman" w:hAnsi="Times New Roman" w:eastAsia="宋体" w:cs="Times New Roman"/>
                      <w:color w:val="auto"/>
                      <w:kern w:val="21"/>
                      <w:szCs w:val="21"/>
                      <w:lang w:val="en-US" w:eastAsia="zh-CN"/>
                    </w:rPr>
                  </w:pPr>
                  <w:r>
                    <w:rPr>
                      <w:rFonts w:hint="default" w:ascii="Times New Roman" w:hAnsi="Times New Roman" w:cs="Times New Roman"/>
                      <w:color w:val="auto"/>
                      <w:kern w:val="21"/>
                      <w:szCs w:val="21"/>
                      <w:lang w:val="en-US" w:eastAsia="zh-CN"/>
                    </w:rPr>
                    <w:t>粉尘、筛分粉尘)</w:t>
                  </w:r>
                </w:p>
              </w:tc>
              <w:tc>
                <w:tcPr>
                  <w:tcW w:w="1918" w:type="pc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脉冲式布袋除尘器+15m高排气筒</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30</w:t>
                  </w:r>
                </w:p>
              </w:tc>
              <w:tc>
                <w:tcPr>
                  <w:tcW w:w="1392" w:type="pct"/>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满足</w:t>
                  </w:r>
                  <w:r>
                    <w:rPr>
                      <w:rFonts w:hint="default" w:ascii="Times New Roman" w:hAnsi="Times New Roman" w:eastAsia="宋体" w:cs="Times New Roman"/>
                      <w:color w:val="auto"/>
                      <w:sz w:val="21"/>
                      <w:szCs w:val="21"/>
                    </w:rPr>
                    <w:t>《水泥工业大气污染物排放标准》（DB34/3576-2020）表</w:t>
                  </w:r>
                  <w:r>
                    <w:rPr>
                      <w:rFonts w:hint="default"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rPr>
                    <w:t>“大气污染物特别排放限值”标准限值。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455" w:type="pct"/>
                  <w:vMerge w:val="continue"/>
                  <w:tcBorders>
                    <w:left w:val="nil"/>
                    <w:right w:val="single" w:color="auto" w:sz="4" w:space="0"/>
                  </w:tcBorders>
                  <w:noWrap w:val="0"/>
                  <w:vAlign w:val="center"/>
                </w:tcPr>
                <w:p>
                  <w:pPr>
                    <w:spacing w:line="340" w:lineRule="exact"/>
                    <w:ind w:left="-108" w:right="-108"/>
                    <w:jc w:val="center"/>
                    <w:rPr>
                      <w:rFonts w:hint="default" w:ascii="Times New Roman" w:hAnsi="Times New Roman" w:cs="Times New Roman"/>
                      <w:color w:val="auto"/>
                      <w:szCs w:val="21"/>
                    </w:rPr>
                  </w:pPr>
                </w:p>
              </w:tc>
              <w:tc>
                <w:tcPr>
                  <w:tcW w:w="916" w:type="pct"/>
                  <w:tcBorders>
                    <w:top w:val="single" w:color="auto" w:sz="4" w:space="0"/>
                    <w:left w:val="single" w:color="auto" w:sz="4" w:space="0"/>
                    <w:right w:val="single" w:color="auto" w:sz="4" w:space="0"/>
                  </w:tcBorders>
                  <w:noWrap w:val="0"/>
                  <w:vAlign w:val="top"/>
                </w:tcPr>
                <w:p>
                  <w:pPr>
                    <w:spacing w:before="163" w:line="220" w:lineRule="auto"/>
                    <w:ind w:left="108" w:leftChars="0"/>
                    <w:rPr>
                      <w:rFonts w:hint="default" w:ascii="Times New Roman" w:hAnsi="Times New Roman" w:cs="Times New Roman"/>
                      <w:color w:val="auto"/>
                      <w:kern w:val="21"/>
                      <w:szCs w:val="21"/>
                      <w:lang w:val="en-US" w:eastAsia="zh-CN"/>
                    </w:rPr>
                  </w:pPr>
                  <w:r>
                    <w:rPr>
                      <w:rFonts w:hint="default" w:ascii="Times New Roman" w:hAnsi="Times New Roman" w:eastAsia="宋体" w:cs="Times New Roman"/>
                      <w:color w:val="auto"/>
                      <w:spacing w:val="-2"/>
                      <w:sz w:val="21"/>
                      <w:szCs w:val="21"/>
                    </w:rPr>
                    <w:t>料</w:t>
                  </w:r>
                  <w:r>
                    <w:rPr>
                      <w:rFonts w:hint="default" w:ascii="Times New Roman" w:hAnsi="Times New Roman" w:eastAsia="宋体" w:cs="Times New Roman"/>
                      <w:color w:val="auto"/>
                      <w:spacing w:val="-1"/>
                      <w:sz w:val="21"/>
                      <w:szCs w:val="21"/>
                    </w:rPr>
                    <w:t>仓呼吸粉尘</w:t>
                  </w:r>
                </w:p>
              </w:tc>
              <w:tc>
                <w:tcPr>
                  <w:tcW w:w="1918" w:type="pct"/>
                  <w:tcBorders>
                    <w:top w:val="single" w:color="auto" w:sz="4" w:space="0"/>
                    <w:left w:val="single" w:color="auto" w:sz="4" w:space="0"/>
                    <w:bottom w:val="single" w:color="auto" w:sz="4" w:space="0"/>
                    <w:right w:val="single" w:color="auto" w:sz="4" w:space="0"/>
                  </w:tcBorders>
                  <w:noWrap w:val="0"/>
                  <w:vAlign w:val="top"/>
                </w:tcPr>
                <w:p>
                  <w:pPr>
                    <w:spacing w:before="27" w:line="227" w:lineRule="auto"/>
                    <w:ind w:left="597" w:leftChars="0" w:right="171" w:rightChars="0" w:hanging="424" w:firstLineChars="0"/>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spacing w:val="-2"/>
                      <w:sz w:val="21"/>
                      <w:szCs w:val="21"/>
                    </w:rPr>
                    <w:t>料</w:t>
                  </w:r>
                  <w:r>
                    <w:rPr>
                      <w:rFonts w:hint="default" w:ascii="Times New Roman" w:hAnsi="Times New Roman" w:eastAsia="宋体" w:cs="Times New Roman"/>
                      <w:color w:val="auto"/>
                      <w:spacing w:val="-1"/>
                      <w:sz w:val="21"/>
                      <w:szCs w:val="21"/>
                    </w:rPr>
                    <w:t>仓顶部自带滤筒</w:t>
                  </w:r>
                  <w:r>
                    <w:rPr>
                      <w:rFonts w:hint="default" w:ascii="Times New Roman" w:hAnsi="Times New Roman" w:eastAsia="宋体" w:cs="Times New Roman"/>
                      <w:color w:val="auto"/>
                      <w:spacing w:val="-4"/>
                      <w:sz w:val="21"/>
                      <w:szCs w:val="21"/>
                    </w:rPr>
                    <w:t>式</w:t>
                  </w:r>
                  <w:r>
                    <w:rPr>
                      <w:rFonts w:hint="default" w:ascii="Times New Roman" w:hAnsi="Times New Roman" w:eastAsia="宋体" w:cs="Times New Roman"/>
                      <w:color w:val="auto"/>
                      <w:spacing w:val="-2"/>
                      <w:sz w:val="21"/>
                      <w:szCs w:val="21"/>
                    </w:rPr>
                    <w:t>除尘器</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w:t>
                  </w:r>
                </w:p>
              </w:tc>
              <w:tc>
                <w:tcPr>
                  <w:tcW w:w="1392" w:type="pct"/>
                  <w:vMerge w:val="restart"/>
                  <w:tcBorders>
                    <w:top w:val="single" w:color="auto" w:sz="4" w:space="0"/>
                    <w:left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rPr>
                    <w:t>《水泥工业大气污染物排放标准》（DB34/3576-2020）</w:t>
                  </w:r>
                  <w:r>
                    <w:rPr>
                      <w:rFonts w:hint="default" w:ascii="Times New Roman" w:hAnsi="Times New Roman" w:cs="Times New Roman"/>
                      <w:color w:val="auto"/>
                      <w:sz w:val="21"/>
                      <w:szCs w:val="21"/>
                      <w:lang w:val="en-US" w:eastAsia="zh-CN"/>
                    </w:rPr>
                    <w:t>表2中无组织</w:t>
                  </w:r>
                  <w:r>
                    <w:rPr>
                      <w:rFonts w:hint="default" w:ascii="Times New Roman" w:hAnsi="Times New Roman" w:eastAsia="宋体" w:cs="Times New Roman"/>
                      <w:color w:val="auto"/>
                      <w:sz w:val="21"/>
                      <w:szCs w:val="21"/>
                    </w:rPr>
                    <w:t>大气污染物特别排放限值。</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455" w:type="pct"/>
                  <w:vMerge w:val="continue"/>
                  <w:tcBorders>
                    <w:left w:val="nil"/>
                    <w:bottom w:val="single" w:color="auto" w:sz="4" w:space="0"/>
                    <w:right w:val="single" w:color="auto" w:sz="4" w:space="0"/>
                  </w:tcBorders>
                  <w:noWrap w:val="0"/>
                  <w:vAlign w:val="center"/>
                </w:tcPr>
                <w:p>
                  <w:pPr>
                    <w:spacing w:line="340" w:lineRule="exact"/>
                    <w:ind w:left="-108" w:right="-108"/>
                    <w:jc w:val="center"/>
                    <w:rPr>
                      <w:rFonts w:hint="default" w:ascii="Times New Roman" w:hAnsi="Times New Roman" w:cs="Times New Roman"/>
                      <w:color w:val="auto"/>
                      <w:szCs w:val="21"/>
                    </w:rPr>
                  </w:pPr>
                </w:p>
              </w:tc>
              <w:tc>
                <w:tcPr>
                  <w:tcW w:w="916" w:type="pct"/>
                  <w:tcBorders>
                    <w:top w:val="single" w:color="auto" w:sz="4" w:space="0"/>
                    <w:left w:val="single" w:color="auto" w:sz="4" w:space="0"/>
                    <w:right w:val="single" w:color="auto" w:sz="4" w:space="0"/>
                  </w:tcBorders>
                  <w:noWrap w:val="0"/>
                  <w:vAlign w:val="top"/>
                </w:tcPr>
                <w:p>
                  <w:pPr>
                    <w:spacing w:line="363" w:lineRule="auto"/>
                    <w:rPr>
                      <w:rFonts w:hint="default" w:ascii="Times New Roman" w:hAnsi="Times New Roman" w:cs="Times New Roman"/>
                      <w:color w:val="auto"/>
                      <w:sz w:val="21"/>
                    </w:rPr>
                  </w:pPr>
                </w:p>
                <w:p>
                  <w:pPr>
                    <w:spacing w:before="68" w:line="221" w:lineRule="auto"/>
                    <w:ind w:left="425" w:leftChars="0"/>
                    <w:rPr>
                      <w:rFonts w:hint="default" w:ascii="Times New Roman" w:hAnsi="Times New Roman" w:cs="Times New Roman"/>
                      <w:color w:val="auto"/>
                      <w:kern w:val="21"/>
                      <w:szCs w:val="21"/>
                      <w:lang w:val="en-US" w:eastAsia="zh-CN"/>
                    </w:rPr>
                  </w:pPr>
                  <w:r>
                    <w:rPr>
                      <w:rFonts w:hint="default" w:ascii="Times New Roman" w:hAnsi="Times New Roman" w:eastAsia="宋体" w:cs="Times New Roman"/>
                      <w:color w:val="auto"/>
                      <w:spacing w:val="-3"/>
                      <w:sz w:val="21"/>
                      <w:szCs w:val="21"/>
                    </w:rPr>
                    <w:t>无</w:t>
                  </w:r>
                  <w:r>
                    <w:rPr>
                      <w:rFonts w:hint="default" w:ascii="Times New Roman" w:hAnsi="Times New Roman" w:eastAsia="宋体" w:cs="Times New Roman"/>
                      <w:color w:val="auto"/>
                      <w:spacing w:val="-2"/>
                      <w:sz w:val="21"/>
                      <w:szCs w:val="21"/>
                    </w:rPr>
                    <w:t>组织</w:t>
                  </w:r>
                </w:p>
              </w:tc>
              <w:tc>
                <w:tcPr>
                  <w:tcW w:w="1918" w:type="pct"/>
                  <w:tcBorders>
                    <w:top w:val="single" w:color="auto" w:sz="4" w:space="0"/>
                    <w:left w:val="single" w:color="auto" w:sz="4" w:space="0"/>
                    <w:bottom w:val="single" w:color="auto" w:sz="4" w:space="0"/>
                    <w:right w:val="single" w:color="auto" w:sz="4" w:space="0"/>
                  </w:tcBorders>
                  <w:noWrap w:val="0"/>
                  <w:vAlign w:val="top"/>
                </w:tcPr>
                <w:p>
                  <w:pPr>
                    <w:spacing w:line="362" w:lineRule="auto"/>
                    <w:rPr>
                      <w:rFonts w:hint="default" w:ascii="Times New Roman" w:hAnsi="Times New Roman" w:cs="Times New Roman"/>
                      <w:color w:val="auto"/>
                      <w:sz w:val="21"/>
                    </w:rPr>
                  </w:pPr>
                </w:p>
                <w:p>
                  <w:pPr>
                    <w:spacing w:before="69" w:line="219" w:lineRule="auto"/>
                    <w:ind w:left="492" w:leftChars="0"/>
                    <w:rPr>
                      <w:rFonts w:hint="default" w:ascii="Times New Roman" w:hAnsi="Times New Roman" w:cs="Times New Roman"/>
                      <w:color w:val="auto"/>
                      <w:kern w:val="0"/>
                      <w:szCs w:val="21"/>
                    </w:rPr>
                  </w:pPr>
                  <w:r>
                    <w:rPr>
                      <w:rFonts w:hint="default" w:ascii="Times New Roman" w:hAnsi="Times New Roman" w:eastAsia="宋体" w:cs="Times New Roman"/>
                      <w:color w:val="auto"/>
                      <w:spacing w:val="-2"/>
                      <w:sz w:val="21"/>
                      <w:szCs w:val="21"/>
                    </w:rPr>
                    <w:t>水喷淋设</w:t>
                  </w:r>
                  <w:r>
                    <w:rPr>
                      <w:rFonts w:hint="default" w:ascii="Times New Roman" w:hAnsi="Times New Roman" w:eastAsia="宋体" w:cs="Times New Roman"/>
                      <w:color w:val="auto"/>
                      <w:spacing w:val="-1"/>
                      <w:sz w:val="21"/>
                      <w:szCs w:val="21"/>
                    </w:rPr>
                    <w:t>施</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w:t>
                  </w:r>
                </w:p>
              </w:tc>
              <w:tc>
                <w:tcPr>
                  <w:tcW w:w="1392" w:type="pct"/>
                  <w:vMerge w:val="continue"/>
                  <w:tcBorders>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lang w:val="en-US" w:eastAsia="zh-CN"/>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455" w:type="pct"/>
                  <w:tcBorders>
                    <w:top w:val="single" w:color="auto" w:sz="4" w:space="0"/>
                    <w:left w:val="nil"/>
                    <w:bottom w:val="single" w:color="auto" w:sz="4" w:space="0"/>
                    <w:right w:val="single" w:color="auto" w:sz="4" w:space="0"/>
                  </w:tcBorders>
                  <w:noWrap w:val="0"/>
                  <w:vAlign w:val="center"/>
                </w:tcPr>
                <w:p>
                  <w:pPr>
                    <w:spacing w:line="340" w:lineRule="exact"/>
                    <w:ind w:left="-63" w:leftChars="-30" w:right="-63" w:rightChars="-30"/>
                    <w:jc w:val="center"/>
                    <w:rPr>
                      <w:rFonts w:hint="default" w:ascii="Times New Roman" w:hAnsi="Times New Roman" w:cs="Times New Roman"/>
                      <w:color w:val="auto"/>
                      <w:szCs w:val="21"/>
                    </w:rPr>
                  </w:pPr>
                  <w:r>
                    <w:rPr>
                      <w:rFonts w:hint="default" w:ascii="Times New Roman" w:hAnsi="Times New Roman" w:cs="Times New Roman"/>
                      <w:color w:val="auto"/>
                      <w:szCs w:val="21"/>
                    </w:rPr>
                    <w:t>噪声防治措施</w:t>
                  </w:r>
                </w:p>
              </w:tc>
              <w:tc>
                <w:tcPr>
                  <w:tcW w:w="916" w:type="pct"/>
                  <w:tcBorders>
                    <w:top w:val="single" w:color="auto" w:sz="4" w:space="0"/>
                    <w:left w:val="single" w:color="auto" w:sz="4" w:space="0"/>
                    <w:bottom w:val="single" w:color="auto" w:sz="4" w:space="0"/>
                    <w:right w:val="single" w:color="auto" w:sz="4" w:space="0"/>
                  </w:tcBorders>
                  <w:noWrap w:val="0"/>
                  <w:vAlign w:val="center"/>
                </w:tcPr>
                <w:p>
                  <w:pPr>
                    <w:spacing w:line="340" w:lineRule="exact"/>
                    <w:ind w:left="-108" w:right="-108"/>
                    <w:jc w:val="center"/>
                    <w:rPr>
                      <w:rFonts w:hint="default" w:ascii="Times New Roman" w:hAnsi="Times New Roman" w:cs="Times New Roman"/>
                      <w:color w:val="auto"/>
                      <w:szCs w:val="21"/>
                    </w:rPr>
                  </w:pPr>
                  <w:r>
                    <w:rPr>
                      <w:rFonts w:hint="default" w:ascii="Times New Roman" w:hAnsi="Times New Roman" w:cs="Times New Roman"/>
                      <w:color w:val="auto"/>
                      <w:szCs w:val="21"/>
                    </w:rPr>
                    <w:t>产噪设备</w:t>
                  </w:r>
                </w:p>
              </w:tc>
              <w:tc>
                <w:tcPr>
                  <w:tcW w:w="19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ind w:left="-82" w:leftChars="-39" w:right="-189" w:rightChars="-90"/>
                    <w:jc w:val="center"/>
                    <w:rPr>
                      <w:rFonts w:hint="default" w:ascii="Times New Roman" w:hAnsi="Times New Roman" w:cs="Times New Roman"/>
                      <w:color w:val="auto"/>
                      <w:szCs w:val="21"/>
                    </w:rPr>
                  </w:pPr>
                  <w:r>
                    <w:rPr>
                      <w:rFonts w:hint="default" w:ascii="Times New Roman" w:hAnsi="Times New Roman" w:cs="Times New Roman"/>
                      <w:color w:val="auto"/>
                      <w:szCs w:val="21"/>
                    </w:rPr>
                    <w:t>设备基础安装减振垫，厂房隔声等</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w:t>
                  </w:r>
                </w:p>
              </w:tc>
              <w:tc>
                <w:tcPr>
                  <w:tcW w:w="1392" w:type="pct"/>
                  <w:tcBorders>
                    <w:top w:val="single" w:color="auto" w:sz="4" w:space="0"/>
                    <w:left w:val="single" w:color="auto" w:sz="4" w:space="0"/>
                    <w:bottom w:val="single" w:color="auto" w:sz="4" w:space="0"/>
                    <w:right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满足《工业企业厂界环境噪声排放标准》</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(GB12348-2008)3类标</w:t>
                  </w:r>
                </w:p>
                <w:p>
                  <w:pPr>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准</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455" w:type="pct"/>
                  <w:vMerge w:val="restart"/>
                  <w:tcBorders>
                    <w:top w:val="single" w:color="auto" w:sz="4" w:space="0"/>
                    <w:left w:val="nil"/>
                    <w:right w:val="single" w:color="auto" w:sz="4" w:space="0"/>
                  </w:tcBorders>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固废</w:t>
                  </w:r>
                </w:p>
              </w:tc>
              <w:tc>
                <w:tcPr>
                  <w:tcW w:w="916" w:type="pct"/>
                  <w:tcBorders>
                    <w:top w:val="single" w:color="auto" w:sz="4" w:space="0"/>
                    <w:left w:val="single" w:color="auto" w:sz="4" w:space="0"/>
                    <w:bottom w:val="single" w:color="auto" w:sz="4" w:space="0"/>
                    <w:right w:val="single" w:color="auto" w:sz="4" w:space="0"/>
                  </w:tcBorders>
                  <w:noWrap w:val="0"/>
                  <w:vAlign w:val="center"/>
                </w:tcPr>
                <w:p>
                  <w:pPr>
                    <w:spacing w:line="340" w:lineRule="exact"/>
                    <w:ind w:left="-57" w:right="-57"/>
                    <w:jc w:val="center"/>
                    <w:rPr>
                      <w:rFonts w:hint="default" w:ascii="Times New Roman" w:hAnsi="Times New Roman" w:cs="Times New Roman"/>
                      <w:color w:val="auto"/>
                      <w:szCs w:val="21"/>
                    </w:rPr>
                  </w:pPr>
                  <w:r>
                    <w:rPr>
                      <w:rFonts w:hint="default" w:ascii="Times New Roman" w:hAnsi="Times New Roman" w:cs="Times New Roman"/>
                      <w:color w:val="auto"/>
                      <w:szCs w:val="21"/>
                    </w:rPr>
                    <w:t>一般固废</w:t>
                  </w:r>
                </w:p>
              </w:tc>
              <w:tc>
                <w:tcPr>
                  <w:tcW w:w="19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收集后暂存一般固废暂存场所，由物资回收公司回收处理</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1</w:t>
                  </w:r>
                </w:p>
              </w:tc>
              <w:tc>
                <w:tcPr>
                  <w:tcW w:w="1392" w:type="pct"/>
                  <w:vMerge w:val="restart"/>
                  <w:tcBorders>
                    <w:top w:val="single" w:color="auto" w:sz="4" w:space="0"/>
                    <w:left w:val="single" w:color="auto" w:sz="4" w:space="0"/>
                    <w:right w:val="nil"/>
                  </w:tcBorders>
                  <w:noWrap w:val="0"/>
                  <w:vAlign w:val="center"/>
                </w:tcPr>
                <w:p>
                  <w:pPr>
                    <w:spacing w:line="340" w:lineRule="exac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分类收集，综合利用</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55" w:type="pct"/>
                  <w:vMerge w:val="continue"/>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auto"/>
                      <w:szCs w:val="21"/>
                    </w:rPr>
                  </w:pPr>
                </w:p>
              </w:tc>
              <w:tc>
                <w:tcPr>
                  <w:tcW w:w="916" w:type="pct"/>
                  <w:tcBorders>
                    <w:top w:val="single" w:color="auto" w:sz="4" w:space="0"/>
                    <w:left w:val="single" w:color="auto" w:sz="4" w:space="0"/>
                    <w:bottom w:val="single" w:color="auto" w:sz="4" w:space="0"/>
                    <w:right w:val="single" w:color="auto" w:sz="4" w:space="0"/>
                  </w:tcBorders>
                  <w:noWrap w:val="0"/>
                  <w:vAlign w:val="center"/>
                </w:tcPr>
                <w:p>
                  <w:pPr>
                    <w:spacing w:line="340" w:lineRule="exact"/>
                    <w:ind w:left="-108" w:right="-108"/>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1918" w:type="pct"/>
                  <w:tcBorders>
                    <w:top w:val="single" w:color="auto" w:sz="4" w:space="0"/>
                    <w:left w:val="single" w:color="auto" w:sz="4" w:space="0"/>
                    <w:bottom w:val="single" w:color="auto" w:sz="4" w:space="0"/>
                    <w:right w:val="single" w:color="auto" w:sz="4" w:space="0"/>
                  </w:tcBorders>
                  <w:noWrap w:val="0"/>
                  <w:vAlign w:val="center"/>
                </w:tcPr>
                <w:p>
                  <w:pPr>
                    <w:spacing w:line="3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设置垃圾收集桶，由环卫工人清运</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0</w:t>
                  </w:r>
                </w:p>
              </w:tc>
              <w:tc>
                <w:tcPr>
                  <w:tcW w:w="1392" w:type="pct"/>
                  <w:vMerge w:val="continue"/>
                  <w:tcBorders>
                    <w:left w:val="single" w:color="auto" w:sz="4" w:space="0"/>
                    <w:bottom w:val="single" w:color="auto" w:sz="4" w:space="0"/>
                    <w:right w:val="nil"/>
                  </w:tcBorders>
                  <w:noWrap w:val="0"/>
                  <w:vAlign w:val="center"/>
                </w:tcPr>
                <w:p>
                  <w:pPr>
                    <w:spacing w:line="340" w:lineRule="exact"/>
                    <w:jc w:val="center"/>
                    <w:rPr>
                      <w:rFonts w:hint="default" w:ascii="Times New Roman" w:hAnsi="Times New Roman" w:cs="Times New Roman"/>
                      <w:color w:val="auto"/>
                      <w:szCs w:val="21"/>
                    </w:rPr>
                  </w:pP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55" w:type="pct"/>
                  <w:tcBorders>
                    <w:top w:val="single" w:color="auto" w:sz="4" w:space="0"/>
                    <w:left w:val="nil"/>
                    <w:bottom w:val="single" w:color="auto" w:sz="4" w:space="0"/>
                    <w:right w:val="single" w:color="auto" w:sz="4" w:space="0"/>
                  </w:tcBorders>
                  <w:noWrap w:val="0"/>
                  <w:vAlign w:val="center"/>
                </w:tcPr>
                <w:p>
                  <w:pPr>
                    <w:snapToGrid w:val="0"/>
                    <w:ind w:left="-63" w:leftChars="-30" w:right="-63" w:rightChars="-30"/>
                    <w:jc w:val="center"/>
                    <w:rPr>
                      <w:rFonts w:hint="default" w:ascii="Times New Roman" w:hAnsi="Times New Roman" w:cs="Times New Roman"/>
                      <w:color w:val="auto"/>
                      <w:szCs w:val="21"/>
                    </w:rPr>
                  </w:pPr>
                  <w:r>
                    <w:rPr>
                      <w:rFonts w:hint="default" w:ascii="Times New Roman" w:hAnsi="Times New Roman" w:cs="Times New Roman"/>
                      <w:color w:val="auto"/>
                      <w:szCs w:val="21"/>
                    </w:rPr>
                    <w:t>地下水</w:t>
                  </w:r>
                </w:p>
              </w:tc>
              <w:tc>
                <w:tcPr>
                  <w:tcW w:w="916" w:type="pct"/>
                  <w:tcBorders>
                    <w:top w:val="single" w:color="auto" w:sz="4" w:space="0"/>
                    <w:left w:val="single" w:color="auto" w:sz="4" w:space="0"/>
                    <w:bottom w:val="single" w:color="auto" w:sz="4" w:space="0"/>
                    <w:right w:val="single" w:color="auto" w:sz="4" w:space="0"/>
                  </w:tcBorders>
                  <w:noWrap w:val="0"/>
                  <w:vAlign w:val="center"/>
                </w:tcPr>
                <w:p>
                  <w:pPr>
                    <w:pStyle w:val="2"/>
                    <w:snapToGrid w:val="0"/>
                    <w:spacing w:before="120" w:after="120"/>
                    <w:ind w:left="-63" w:leftChars="-30" w:right="-63" w:rightChars="-30" w:firstLine="0"/>
                    <w:jc w:val="center"/>
                    <w:rPr>
                      <w:rFonts w:hint="default" w:ascii="Times New Roman" w:hAnsi="Times New Roman" w:cs="Times New Roman"/>
                      <w:color w:val="auto"/>
                      <w:szCs w:val="21"/>
                    </w:rPr>
                  </w:pPr>
                  <w:r>
                    <w:rPr>
                      <w:rFonts w:hint="default" w:ascii="Times New Roman" w:hAnsi="Times New Roman" w:cs="Times New Roman"/>
                      <w:color w:val="auto"/>
                      <w:sz w:val="21"/>
                      <w:szCs w:val="21"/>
                    </w:rPr>
                    <w:t>/</w:t>
                  </w:r>
                </w:p>
              </w:tc>
              <w:tc>
                <w:tcPr>
                  <w:tcW w:w="191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ind w:left="-63" w:leftChars="-30" w:right="-63" w:rightChars="-30"/>
                    <w:jc w:val="center"/>
                    <w:rPr>
                      <w:rFonts w:hint="default" w:ascii="Times New Roman" w:hAnsi="Times New Roman" w:cs="Times New Roman"/>
                      <w:color w:val="auto"/>
                      <w:szCs w:val="21"/>
                    </w:rPr>
                  </w:pPr>
                  <w:r>
                    <w:rPr>
                      <w:rFonts w:hint="default" w:ascii="Times New Roman" w:hAnsi="Times New Roman" w:cs="Times New Roman"/>
                      <w:color w:val="auto"/>
                      <w:szCs w:val="21"/>
                    </w:rPr>
                    <w:t>生产车间一般防渗，危废间、</w:t>
                  </w:r>
                  <w:r>
                    <w:rPr>
                      <w:rFonts w:hint="default" w:ascii="Times New Roman" w:hAnsi="Times New Roman" w:cs="Times New Roman"/>
                      <w:color w:val="auto"/>
                      <w:szCs w:val="21"/>
                      <w:lang w:val="en-US" w:eastAsia="zh-CN"/>
                    </w:rPr>
                    <w:t>加工维修区</w:t>
                  </w:r>
                  <w:r>
                    <w:rPr>
                      <w:rFonts w:hint="default" w:ascii="Times New Roman" w:hAnsi="Times New Roman" w:cs="Times New Roman"/>
                      <w:color w:val="auto"/>
                      <w:szCs w:val="21"/>
                    </w:rPr>
                    <w:t>重点防渗</w:t>
                  </w:r>
                </w:p>
              </w:tc>
              <w:tc>
                <w:tcPr>
                  <w:tcW w:w="317"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392" w:type="pct"/>
                  <w:tcBorders>
                    <w:top w:val="single" w:color="auto" w:sz="4" w:space="0"/>
                    <w:left w:val="single" w:color="auto" w:sz="4" w:space="0"/>
                    <w:bottom w:val="single" w:color="auto" w:sz="4" w:space="0"/>
                    <w:right w:val="nil"/>
                  </w:tcBorders>
                  <w:noWrap w:val="0"/>
                  <w:vAlign w:val="center"/>
                </w:tcPr>
                <w:p>
                  <w:pPr>
                    <w:spacing w:line="34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r>
            <w:tr>
              <w:tblPrEx>
                <w:tblBorders>
                  <w:top w:val="single" w:color="auto" w:sz="8" w:space="0"/>
                  <w:left w:val="none" w:color="auto" w:sz="0" w:space="0"/>
                  <w:bottom w:val="single" w:color="auto" w:sz="8"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3290" w:type="pct"/>
                  <w:gridSpan w:val="3"/>
                  <w:tcBorders>
                    <w:top w:val="single" w:color="auto" w:sz="4" w:space="0"/>
                    <w:left w:val="nil"/>
                    <w:bottom w:val="single" w:color="auto" w:sz="8" w:space="0"/>
                    <w:right w:val="single" w:color="auto" w:sz="4" w:space="0"/>
                  </w:tcBorders>
                  <w:noWrap w:val="0"/>
                  <w:vAlign w:val="center"/>
                </w:tcPr>
                <w:p>
                  <w:pPr>
                    <w:spacing w:line="3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合计</w:t>
                  </w:r>
                </w:p>
              </w:tc>
              <w:tc>
                <w:tcPr>
                  <w:tcW w:w="317" w:type="pct"/>
                  <w:tcBorders>
                    <w:top w:val="single" w:color="auto" w:sz="4" w:space="0"/>
                    <w:left w:val="single" w:color="auto" w:sz="4" w:space="0"/>
                    <w:bottom w:val="single" w:color="auto" w:sz="8" w:space="0"/>
                    <w:right w:val="nil"/>
                  </w:tcBorders>
                  <w:noWrap w:val="0"/>
                  <w:vAlign w:val="center"/>
                </w:tcPr>
                <w:p>
                  <w:pPr>
                    <w:spacing w:line="34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54</w:t>
                  </w:r>
                </w:p>
              </w:tc>
              <w:tc>
                <w:tcPr>
                  <w:tcW w:w="1392" w:type="pct"/>
                  <w:tcBorders>
                    <w:top w:val="single" w:color="auto" w:sz="4" w:space="0"/>
                    <w:left w:val="single" w:color="auto" w:sz="4" w:space="0"/>
                    <w:bottom w:val="single" w:color="auto" w:sz="8" w:space="0"/>
                    <w:right w:val="nil"/>
                  </w:tcBorders>
                  <w:noWrap w:val="0"/>
                  <w:vAlign w:val="center"/>
                </w:tcPr>
                <w:p>
                  <w:pPr>
                    <w:spacing w:line="340" w:lineRule="exact"/>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r>
          </w:tbl>
          <w:p>
            <w:pPr>
              <w:adjustRightInd w:val="0"/>
              <w:snapToGrid w:val="0"/>
              <w:ind w:firstLine="382" w:firstLineChars="200"/>
              <w:rPr>
                <w:rFonts w:hint="default" w:ascii="Times New Roman" w:hAnsi="Times New Roman" w:cs="Times New Roman"/>
                <w:b/>
                <w:color w:val="auto"/>
                <w:spacing w:val="-1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4" w:type="dxa"/>
            <w:noWrap w:val="0"/>
            <w:tcMar>
              <w:left w:w="28" w:type="dxa"/>
              <w:right w:w="28" w:type="dxa"/>
            </w:tcMar>
            <w:vAlign w:val="center"/>
          </w:tcPr>
          <w:p>
            <w:pPr>
              <w:adjustRightInd w:val="0"/>
              <w:snapToGrid w:val="0"/>
              <w:jc w:val="center"/>
              <w:rPr>
                <w:rFonts w:hint="default" w:ascii="Times New Roman" w:hAnsi="Times New Roman" w:cs="Times New Roman"/>
                <w:bCs/>
                <w:color w:val="auto"/>
                <w:sz w:val="24"/>
              </w:rPr>
            </w:pPr>
          </w:p>
        </w:tc>
        <w:tc>
          <w:tcPr>
            <w:tcW w:w="8355" w:type="dxa"/>
            <w:gridSpan w:val="3"/>
            <w:noWrap w:val="0"/>
            <w:vAlign w:val="center"/>
          </w:tcPr>
          <w:p>
            <w:pPr>
              <w:adjustRightInd w:val="0"/>
              <w:snapToGrid w:val="0"/>
              <w:rPr>
                <w:rFonts w:hint="default" w:ascii="Times New Roman" w:hAnsi="Times New Roman" w:cs="Times New Roman"/>
                <w:b/>
                <w:color w:val="auto"/>
                <w:spacing w:val="-10"/>
                <w:szCs w:val="21"/>
              </w:rPr>
            </w:pPr>
          </w:p>
        </w:tc>
      </w:tr>
    </w:tbl>
    <w:p>
      <w:pPr>
        <w:rPr>
          <w:rFonts w:hint="default" w:ascii="Times New Roman" w:hAnsi="Times New Roman" w:cs="Times New Roman"/>
          <w:snapToGrid w:val="0"/>
          <w:color w:val="auto"/>
          <w:sz w:val="30"/>
          <w:szCs w:val="30"/>
        </w:rPr>
      </w:pPr>
    </w:p>
    <w:p>
      <w:pPr>
        <w:pStyle w:val="24"/>
        <w:jc w:val="center"/>
        <w:outlineLvl w:val="0"/>
        <w:rPr>
          <w:rFonts w:hint="default" w:ascii="Times New Roman" w:hAnsi="Times New Roman" w:cs="Times New Roman"/>
          <w:b/>
          <w:bCs/>
          <w:snapToGrid w:val="0"/>
          <w:color w:val="auto"/>
          <w:sz w:val="30"/>
          <w:szCs w:val="30"/>
        </w:rPr>
      </w:pPr>
      <w:r>
        <w:rPr>
          <w:rFonts w:hint="default" w:ascii="Times New Roman" w:hAnsi="Times New Roman" w:cs="Times New Roman"/>
          <w:b/>
          <w:bCs/>
          <w:snapToGrid w:val="0"/>
          <w:color w:val="auto"/>
          <w:sz w:val="30"/>
          <w:szCs w:val="30"/>
        </w:rPr>
        <w:t>五、</w:t>
      </w:r>
      <w:bookmarkStart w:id="1" w:name="_Hlk54167917"/>
      <w:r>
        <w:rPr>
          <w:rFonts w:hint="default" w:ascii="Times New Roman" w:hAnsi="Times New Roman" w:cs="Times New Roman"/>
          <w:b/>
          <w:bCs/>
          <w:snapToGrid w:val="0"/>
          <w:color w:val="auto"/>
          <w:sz w:val="30"/>
          <w:szCs w:val="30"/>
        </w:rPr>
        <w:t>环境保护措施监督检查清单</w:t>
      </w:r>
      <w:bookmarkEnd w:id="1"/>
    </w:p>
    <w:tbl>
      <w:tblPr>
        <w:tblStyle w:val="93"/>
        <w:tblW w:w="9192" w:type="dxa"/>
        <w:tblInd w:w="-2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19"/>
        <w:gridCol w:w="1555"/>
        <w:gridCol w:w="1320"/>
        <w:gridCol w:w="2741"/>
        <w:gridCol w:w="22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4"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内容</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要素</w:t>
            </w: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排放口(编</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号、名称)/污</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染源</w:t>
            </w:r>
          </w:p>
        </w:tc>
        <w:tc>
          <w:tcPr>
            <w:tcW w:w="1320"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污染物项目</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环境保护措施</w:t>
            </w:r>
          </w:p>
        </w:tc>
        <w:tc>
          <w:tcPr>
            <w:tcW w:w="2257"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b/>
                <w:bCs/>
                <w:snapToGrid w:val="0"/>
                <w:color w:val="auto"/>
              </w:rPr>
            </w:pPr>
            <w:r>
              <w:rPr>
                <w:rFonts w:hint="default" w:ascii="Times New Roman" w:hAnsi="Times New Roman" w:eastAsia="宋体" w:cs="Times New Roman"/>
                <w:b/>
                <w:bCs/>
                <w:snapToGrid w:val="0"/>
                <w:color w:val="auto"/>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5" w:hRule="atLeast"/>
        </w:trPr>
        <w:tc>
          <w:tcPr>
            <w:tcW w:w="1319" w:type="dxa"/>
            <w:vMerge w:val="restart"/>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both"/>
              <w:textAlignment w:val="auto"/>
              <w:outlineLvl w:val="0"/>
              <w:rPr>
                <w:rFonts w:hint="default" w:ascii="Times New Roman" w:hAnsi="Times New Roman" w:cs="Times New Roman"/>
                <w:snapToGrid w:val="0"/>
                <w:color w:val="auto"/>
              </w:rPr>
            </w:pP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大气环境</w:t>
            </w: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DA001(破碎</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粉尘、筛分粉尘)</w:t>
            </w:r>
          </w:p>
        </w:tc>
        <w:tc>
          <w:tcPr>
            <w:tcW w:w="1320"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颗粒物</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snapToGrid w:val="0"/>
                <w:color w:val="auto"/>
                <w:lang w:val="en-US" w:eastAsia="zh-CN"/>
              </w:rPr>
            </w:pPr>
            <w:r>
              <w:rPr>
                <w:rFonts w:hint="eastAsia" w:ascii="Times New Roman" w:hAnsi="Times New Roman" w:cs="Times New Roman"/>
                <w:snapToGrid w:val="0"/>
                <w:color w:val="auto"/>
                <w:lang w:val="en-US" w:eastAsia="zh-CN"/>
              </w:rPr>
              <w:t>集气罩收集，经</w:t>
            </w:r>
            <w:r>
              <w:rPr>
                <w:rFonts w:hint="default" w:ascii="Times New Roman" w:hAnsi="Times New Roman" w:cs="Times New Roman"/>
                <w:snapToGrid w:val="0"/>
                <w:color w:val="auto"/>
              </w:rPr>
              <w:t>脉冲式布袋除尘器</w:t>
            </w:r>
            <w:r>
              <w:rPr>
                <w:rFonts w:hint="eastAsia" w:ascii="Times New Roman" w:hAnsi="Times New Roman" w:cs="Times New Roman"/>
                <w:snapToGrid w:val="0"/>
                <w:color w:val="auto"/>
                <w:lang w:val="en-US" w:eastAsia="zh-CN"/>
              </w:rPr>
              <w:t>除尘后通过</w:t>
            </w:r>
            <w:r>
              <w:rPr>
                <w:rFonts w:hint="default" w:ascii="Times New Roman" w:hAnsi="Times New Roman" w:cs="Times New Roman"/>
                <w:snapToGrid w:val="0"/>
                <w:color w:val="auto"/>
              </w:rPr>
              <w:t>15m高排气筒</w:t>
            </w:r>
            <w:r>
              <w:rPr>
                <w:rFonts w:hint="eastAsia" w:ascii="Times New Roman" w:hAnsi="Times New Roman" w:cs="Times New Roman"/>
                <w:snapToGrid w:val="0"/>
                <w:color w:val="auto"/>
                <w:lang w:eastAsia="zh-CN"/>
              </w:rPr>
              <w:t>（</w:t>
            </w:r>
            <w:r>
              <w:rPr>
                <w:rFonts w:hint="default" w:ascii="Times New Roman" w:hAnsi="Times New Roman" w:cs="Times New Roman"/>
                <w:snapToGrid w:val="0"/>
                <w:color w:val="auto"/>
              </w:rPr>
              <w:t>DA001</w:t>
            </w:r>
            <w:r>
              <w:rPr>
                <w:rFonts w:hint="eastAsia" w:ascii="Times New Roman" w:hAnsi="Times New Roman" w:cs="Times New Roman"/>
                <w:snapToGrid w:val="0"/>
                <w:color w:val="auto"/>
                <w:lang w:eastAsia="zh-CN"/>
              </w:rPr>
              <w:t>）</w:t>
            </w:r>
            <w:r>
              <w:rPr>
                <w:rFonts w:hint="eastAsia" w:ascii="Times New Roman" w:hAnsi="Times New Roman" w:cs="Times New Roman"/>
                <w:snapToGrid w:val="0"/>
                <w:color w:val="auto"/>
                <w:lang w:val="en-US" w:eastAsia="zh-CN"/>
              </w:rPr>
              <w:t>排放，内径0.6m</w:t>
            </w:r>
          </w:p>
        </w:tc>
        <w:tc>
          <w:tcPr>
            <w:tcW w:w="2257"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snapToGrid w:val="0"/>
                <w:color w:val="auto"/>
                <w:lang w:val="en-US" w:eastAsia="zh-CN"/>
              </w:rPr>
            </w:pPr>
            <w:r>
              <w:rPr>
                <w:color w:val="auto"/>
              </w:rPr>
              <w:t>《水泥工业大气污染物排放标准》（DB34/3576-2020）</w:t>
            </w:r>
            <w:r>
              <w:rPr>
                <w:rFonts w:hint="eastAsia"/>
                <w:color w:val="auto"/>
                <w:lang w:val="en-US" w:eastAsia="zh-CN"/>
              </w:rPr>
              <w:t>表1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破碎、筛分粉尘</w:t>
            </w:r>
          </w:p>
        </w:tc>
        <w:tc>
          <w:tcPr>
            <w:tcW w:w="1320" w:type="dxa"/>
            <w:vMerge w:val="restart"/>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颗粒物</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eastAsia" w:ascii="Times New Roman" w:hAnsi="Times New Roman" w:eastAsia="宋体" w:cs="Times New Roman"/>
                <w:snapToGrid w:val="0"/>
                <w:color w:val="auto"/>
                <w:lang w:val="en-US" w:eastAsia="zh-CN"/>
              </w:rPr>
            </w:pPr>
            <w:r>
              <w:rPr>
                <w:rFonts w:hint="default" w:ascii="Times New Roman" w:hAnsi="Times New Roman" w:cs="Times New Roman"/>
                <w:snapToGrid w:val="0"/>
                <w:color w:val="auto"/>
              </w:rPr>
              <w:t>三面密闭</w:t>
            </w:r>
            <w:r>
              <w:rPr>
                <w:rFonts w:hint="eastAsia" w:ascii="Times New Roman" w:hAnsi="Times New Roman" w:cs="Times New Roman"/>
                <w:snapToGrid w:val="0"/>
                <w:color w:val="auto"/>
                <w:lang w:val="en-US" w:eastAsia="zh-CN"/>
              </w:rPr>
              <w:t>车间</w:t>
            </w:r>
            <w:r>
              <w:rPr>
                <w:rFonts w:hint="default" w:ascii="Times New Roman" w:hAnsi="Times New Roman" w:cs="Times New Roman"/>
                <w:snapToGrid w:val="0"/>
                <w:color w:val="auto"/>
              </w:rPr>
              <w:t>设置水喷淋设施</w:t>
            </w:r>
          </w:p>
        </w:tc>
        <w:tc>
          <w:tcPr>
            <w:tcW w:w="2257" w:type="dxa"/>
            <w:vMerge w:val="restart"/>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《水泥工业大气污染物排放标准》（DB34/3576-2020）</w:t>
            </w:r>
            <w:r>
              <w:rPr>
                <w:rFonts w:hint="default" w:ascii="Times New Roman" w:hAnsi="Times New Roman" w:cs="Times New Roman"/>
                <w:snapToGrid w:val="0"/>
                <w:color w:val="auto"/>
                <w:lang w:val="en-US" w:eastAsia="zh-CN"/>
              </w:rPr>
              <w:t>表</w:t>
            </w:r>
            <w:r>
              <w:rPr>
                <w:rFonts w:hint="eastAsia" w:ascii="Times New Roman" w:hAnsi="Times New Roman" w:cs="Times New Roman"/>
                <w:snapToGrid w:val="0"/>
                <w:color w:val="auto"/>
                <w:lang w:val="en-US" w:eastAsia="zh-CN"/>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堆料扬尘</w:t>
            </w:r>
          </w:p>
        </w:tc>
        <w:tc>
          <w:tcPr>
            <w:tcW w:w="1320"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库门采取挡帘，库内作业时关闭挡帘,根据车辆的宽度和高度对车辆出入的大门合理设计并设置喷淋系统。</w:t>
            </w:r>
          </w:p>
        </w:tc>
        <w:tc>
          <w:tcPr>
            <w:tcW w:w="2257"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道路运输扬尘</w:t>
            </w:r>
          </w:p>
        </w:tc>
        <w:tc>
          <w:tcPr>
            <w:tcW w:w="1320"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厂区内地面进行硬化处理，定期打扫，车辆在运输途中及厂内慢行，运输车辆封闭遮盖，水泥采用水泥搅拌车密闭运输。</w:t>
            </w:r>
          </w:p>
        </w:tc>
        <w:tc>
          <w:tcPr>
            <w:tcW w:w="2257"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铲车装料粉尘</w:t>
            </w:r>
          </w:p>
        </w:tc>
        <w:tc>
          <w:tcPr>
            <w:tcW w:w="1320"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车间内设置水喷淋设施，生产车间为三面密闭。</w:t>
            </w:r>
          </w:p>
        </w:tc>
        <w:tc>
          <w:tcPr>
            <w:tcW w:w="2257"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料仓呼吸粉尘</w:t>
            </w:r>
          </w:p>
        </w:tc>
        <w:tc>
          <w:tcPr>
            <w:tcW w:w="1320"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料仓顶部自带滤筒式除尘器，对料仓呼吸粉尘进行处理，处理效率约98%计，风量为2000m</w:t>
            </w:r>
            <w:r>
              <w:rPr>
                <w:rFonts w:hint="default" w:ascii="Times New Roman" w:hAnsi="Times New Roman" w:cs="Times New Roman"/>
                <w:snapToGrid w:val="0"/>
                <w:color w:val="auto"/>
                <w:vertAlign w:val="superscript"/>
              </w:rPr>
              <w:t>3</w:t>
            </w:r>
            <w:r>
              <w:rPr>
                <w:rFonts w:hint="default" w:ascii="Times New Roman" w:hAnsi="Times New Roman" w:cs="Times New Roman"/>
                <w:snapToGrid w:val="0"/>
                <w:color w:val="auto"/>
              </w:rPr>
              <w:t>/h， 料仓呼吸粉尘经处理后无组织排放。</w:t>
            </w:r>
          </w:p>
        </w:tc>
        <w:tc>
          <w:tcPr>
            <w:tcW w:w="2257"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319"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装卸料粉尘</w:t>
            </w:r>
          </w:p>
        </w:tc>
        <w:tc>
          <w:tcPr>
            <w:tcW w:w="1320"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设置进出车辆清洗池，装卸料旁设置喷淋洒水。</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厂区设置约2m围挡</w:t>
            </w:r>
          </w:p>
        </w:tc>
        <w:tc>
          <w:tcPr>
            <w:tcW w:w="2257" w:type="dxa"/>
            <w:vMerge w:val="continue"/>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9"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地表水环境</w:t>
            </w: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DW001(生活废水)</w:t>
            </w:r>
          </w:p>
        </w:tc>
        <w:tc>
          <w:tcPr>
            <w:tcW w:w="1320"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eastAsia="宋体" w:cs="Times New Roman"/>
                <w:snapToGrid w:val="0"/>
                <w:color w:val="auto"/>
                <w:lang w:val="en-US" w:eastAsia="zh-CN"/>
              </w:rPr>
            </w:pPr>
            <w:r>
              <w:rPr>
                <w:rFonts w:hint="eastAsia" w:ascii="Times New Roman" w:hAnsi="Times New Roman" w:cs="Times New Roman"/>
                <w:snapToGrid w:val="0"/>
                <w:color w:val="auto"/>
                <w:lang w:val="en-US" w:eastAsia="zh-CN"/>
              </w:rPr>
              <w:t>pH</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COD</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SS</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NH</w:t>
            </w:r>
            <w:r>
              <w:rPr>
                <w:rFonts w:hint="default" w:ascii="Times New Roman" w:hAnsi="Times New Roman" w:cs="Times New Roman"/>
                <w:snapToGrid w:val="0"/>
                <w:color w:val="auto"/>
                <w:vertAlign w:val="subscript"/>
              </w:rPr>
              <w:t>3</w:t>
            </w:r>
            <w:r>
              <w:rPr>
                <w:rFonts w:hint="default" w:ascii="Times New Roman" w:hAnsi="Times New Roman" w:cs="Times New Roman"/>
                <w:snapToGrid w:val="0"/>
                <w:color w:val="auto"/>
              </w:rPr>
              <w:t>-N</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TP</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经化粪池处理后接管至市政污水管网，进入城东污水处理</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厂进行深度处理</w:t>
            </w:r>
          </w:p>
        </w:tc>
        <w:tc>
          <w:tcPr>
            <w:tcW w:w="2257"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排放执行《污水综合排</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放标准》(GB8978-1996)</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中三级标准要求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13"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声环境</w:t>
            </w: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生产设备</w:t>
            </w:r>
          </w:p>
        </w:tc>
        <w:tc>
          <w:tcPr>
            <w:tcW w:w="1320"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减振、建筑隔声</w:t>
            </w:r>
          </w:p>
        </w:tc>
        <w:tc>
          <w:tcPr>
            <w:tcW w:w="2257"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《工业企业厂界环境噪声排放标准》</w:t>
            </w:r>
          </w:p>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(GB12348-2008)中3类标准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电磁辐射</w:t>
            </w:r>
          </w:p>
        </w:tc>
        <w:tc>
          <w:tcPr>
            <w:tcW w:w="1555"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w:t>
            </w:r>
          </w:p>
        </w:tc>
        <w:tc>
          <w:tcPr>
            <w:tcW w:w="1320"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w:t>
            </w:r>
          </w:p>
        </w:tc>
        <w:tc>
          <w:tcPr>
            <w:tcW w:w="2741"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w:t>
            </w:r>
          </w:p>
        </w:tc>
        <w:tc>
          <w:tcPr>
            <w:tcW w:w="2257"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固体废物</w:t>
            </w:r>
          </w:p>
        </w:tc>
        <w:tc>
          <w:tcPr>
            <w:tcW w:w="7873" w:type="dxa"/>
            <w:gridSpan w:val="4"/>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本项目产生的生活垃圾经环卫部门定期清运，除尘器收集粉尘、沉淀池沉渣经收集后</w:t>
            </w:r>
            <w:r>
              <w:rPr>
                <w:rFonts w:hint="eastAsia" w:ascii="Times New Roman" w:hAnsi="Times New Roman" w:cs="Times New Roman"/>
                <w:snapToGrid w:val="0"/>
                <w:color w:val="auto"/>
                <w:lang w:val="en-US" w:eastAsia="zh-CN"/>
              </w:rPr>
              <w:t>综合利用</w:t>
            </w:r>
            <w:r>
              <w:rPr>
                <w:rFonts w:hint="default" w:ascii="Times New Roman" w:hAnsi="Times New Roman" w:cs="Times New Roman"/>
                <w:snapToGrid w:val="0"/>
                <w:color w:val="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4"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土壤及地下水污染防治措施</w:t>
            </w:r>
          </w:p>
        </w:tc>
        <w:tc>
          <w:tcPr>
            <w:tcW w:w="7873" w:type="dxa"/>
            <w:gridSpan w:val="4"/>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车间地面防腐、防渗等处理，加强车间日常管理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生态保护措施</w:t>
            </w:r>
          </w:p>
        </w:tc>
        <w:tc>
          <w:tcPr>
            <w:tcW w:w="7873" w:type="dxa"/>
            <w:gridSpan w:val="4"/>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5"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环境风险防范措施</w:t>
            </w:r>
          </w:p>
        </w:tc>
        <w:tc>
          <w:tcPr>
            <w:tcW w:w="7873" w:type="dxa"/>
            <w:gridSpan w:val="4"/>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外泄风险防范措施；火灾事故风险防范措施；电气、电讯安全防范措施；消防及火灾报警；安全管理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trPr>
        <w:tc>
          <w:tcPr>
            <w:tcW w:w="1319" w:type="dxa"/>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其他环境管理要求</w:t>
            </w:r>
          </w:p>
        </w:tc>
        <w:tc>
          <w:tcPr>
            <w:tcW w:w="7873" w:type="dxa"/>
            <w:gridSpan w:val="4"/>
            <w:tcBorders>
              <w:tl2br w:val="nil"/>
              <w:tr2bl w:val="nil"/>
            </w:tcBorders>
            <w:noWrap w:val="0"/>
            <w:vAlign w:val="center"/>
          </w:tcPr>
          <w:p>
            <w:pPr>
              <w:pStyle w:val="24"/>
              <w:keepNext w:val="0"/>
              <w:keepLines w:val="0"/>
              <w:pageBreakBefore w:val="0"/>
              <w:widowControl/>
              <w:kinsoku/>
              <w:wordWrap/>
              <w:overflowPunct/>
              <w:topLinePunct w:val="0"/>
              <w:autoSpaceDE/>
              <w:autoSpaceDN/>
              <w:bidi w:val="0"/>
              <w:adjustRightInd/>
              <w:snapToGrid/>
              <w:spacing w:before="0" w:beforeAutospacing="0" w:after="0" w:afterAutospacing="0" w:line="240" w:lineRule="atLeast"/>
              <w:jc w:val="center"/>
              <w:textAlignment w:val="auto"/>
              <w:outlineLvl w:val="0"/>
              <w:rPr>
                <w:rFonts w:hint="default" w:ascii="Times New Roman" w:hAnsi="Times New Roman" w:cs="Times New Roman"/>
                <w:snapToGrid w:val="0"/>
                <w:color w:val="auto"/>
              </w:rPr>
            </w:pPr>
            <w:r>
              <w:rPr>
                <w:rFonts w:hint="default" w:ascii="Times New Roman" w:hAnsi="Times New Roman" w:cs="Times New Roman"/>
                <w:snapToGrid w:val="0"/>
                <w:color w:val="auto"/>
              </w:rPr>
              <w:t>无</w:t>
            </w:r>
          </w:p>
        </w:tc>
      </w:tr>
    </w:tbl>
    <w:p>
      <w:pPr>
        <w:pStyle w:val="24"/>
        <w:jc w:val="center"/>
        <w:outlineLvl w:val="0"/>
        <w:rPr>
          <w:rFonts w:hint="default" w:ascii="Times New Roman" w:hAnsi="Times New Roman"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cs="Times New Roman"/>
          <w:snapToGrid w:val="0"/>
          <w:color w:val="auto"/>
          <w:sz w:val="30"/>
          <w:szCs w:val="30"/>
        </w:rPr>
        <w:t>六、结论</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napToGrid w:val="0"/>
                <w:color w:val="auto"/>
                <w:kern w:val="0"/>
                <w:sz w:val="24"/>
                <w:szCs w:val="20"/>
                <w:lang w:val="en-US" w:eastAsia="zh-CN" w:bidi="ar-SA"/>
              </w:rPr>
            </w:pPr>
            <w:r>
              <w:rPr>
                <w:rFonts w:hint="default" w:ascii="Times New Roman" w:hAnsi="Times New Roman" w:eastAsia="宋体" w:cs="Times New Roman"/>
                <w:snapToGrid w:val="0"/>
                <w:color w:val="auto"/>
                <w:kern w:val="0"/>
                <w:sz w:val="24"/>
                <w:szCs w:val="20"/>
                <w:lang w:val="en-US" w:eastAsia="zh-CN" w:bidi="ar-SA"/>
              </w:rPr>
              <w:t>本项目的建设符合国家产业政策，选址与当地规划相符。采用的生产工艺和设备较为先进，且采取的防治措施技术可行，各污染物经采取相关措施处理后可以达标排放，对环境的影响较小，不会造成区域环境功能的改变。从环境保护的角度，本评价认为该项目在坚持“三同时”原则并采取一定的环保措施后，项目的建设是可行的。</w:t>
            </w:r>
          </w:p>
          <w:p>
            <w:pPr>
              <w:spacing w:line="360" w:lineRule="auto"/>
              <w:rPr>
                <w:rFonts w:hint="default" w:ascii="Times New Roman" w:hAnsi="Times New Roman" w:cs="Times New Roman"/>
                <w:color w:val="auto"/>
                <w:sz w:val="24"/>
              </w:rPr>
            </w:pPr>
          </w:p>
        </w:tc>
      </w:tr>
    </w:tbl>
    <w:p>
      <w:pPr>
        <w:rPr>
          <w:rFonts w:hint="default" w:ascii="Times New Roman" w:hAnsi="Times New Roman" w:cs="Times New Roman"/>
          <w:color w:val="auto"/>
        </w:rPr>
      </w:pPr>
    </w:p>
    <w:p>
      <w:pPr>
        <w:rPr>
          <w:rFonts w:hint="default" w:ascii="Times New Roman" w:hAnsi="Times New Roman" w:cs="Times New Roman"/>
          <w:color w:val="auto"/>
        </w:rPr>
      </w:pPr>
    </w:p>
    <w:tbl>
      <w:tblPr>
        <w:tblStyle w:val="2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7" w:hRule="atLeast"/>
          <w:jc w:val="center"/>
        </w:trPr>
        <w:tc>
          <w:tcPr>
            <w:tcW w:w="9185" w:type="dxa"/>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cs="Times New Roman"/>
                <w:color w:val="auto"/>
                <w:kern w:val="0"/>
                <w:sz w:val="24"/>
              </w:rPr>
            </w:pPr>
            <w:r>
              <w:rPr>
                <w:rFonts w:hint="default" w:ascii="Times New Roman" w:hAnsi="Times New Roman" w:cs="Times New Roman"/>
                <w:color w:val="auto"/>
                <w:kern w:val="0"/>
                <w:sz w:val="24"/>
              </w:rPr>
              <w:t>预审意见：</w:t>
            </w: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kern w:val="0"/>
                <w:sz w:val="24"/>
              </w:rPr>
            </w:pPr>
          </w:p>
          <w:p>
            <w:pPr>
              <w:rPr>
                <w:rFonts w:hint="default" w:ascii="Times New Roman" w:hAnsi="Times New Roman" w:cs="Times New Roman"/>
                <w:color w:val="auto"/>
                <w:kern w:val="0"/>
                <w:sz w:val="24"/>
              </w:rPr>
            </w:pPr>
          </w:p>
          <w:p>
            <w:pPr>
              <w:rPr>
                <w:rFonts w:hint="default" w:ascii="Times New Roman" w:hAnsi="Times New Roman" w:cs="Times New Roman"/>
                <w:color w:val="auto"/>
                <w:kern w:val="0"/>
                <w:sz w:val="24"/>
              </w:rPr>
            </w:pPr>
            <w:r>
              <w:rPr>
                <w:rFonts w:hint="default" w:ascii="Times New Roman" w:hAnsi="Times New Roman" w:cs="Times New Roman"/>
                <w:color w:val="auto"/>
                <w:sz w:val="24"/>
              </w:rPr>
              <w:t> </w:t>
            </w:r>
            <w:r>
              <w:rPr>
                <w:rFonts w:hint="default" w:ascii="Times New Roman" w:hAnsi="Times New Roman" w:cs="Times New Roman"/>
                <w:color w:val="auto"/>
                <w:kern w:val="0"/>
                <w:sz w:val="24"/>
              </w:rPr>
              <w:t>公章</w:t>
            </w:r>
          </w:p>
          <w:p>
            <w:pPr>
              <w:ind w:firstLine="720" w:firstLineChars="300"/>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r>
              <w:rPr>
                <w:rFonts w:hint="default" w:ascii="Times New Roman" w:hAnsi="Times New Roman" w:cs="Times New Roman"/>
                <w:color w:val="auto"/>
                <w:kern w:val="0"/>
                <w:sz w:val="24"/>
              </w:rPr>
              <w:t>经办人：年月日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jc w:val="center"/>
        </w:trPr>
        <w:tc>
          <w:tcPr>
            <w:tcW w:w="9185" w:type="dxa"/>
            <w:tcBorders>
              <w:top w:val="single" w:color="auto" w:sz="4" w:space="0"/>
              <w:left w:val="single" w:color="auto" w:sz="4" w:space="0"/>
              <w:bottom w:val="single" w:color="auto" w:sz="4" w:space="0"/>
              <w:right w:val="single" w:color="auto" w:sz="4" w:space="0"/>
            </w:tcBorders>
            <w:noWrap w:val="0"/>
            <w:vAlign w:val="top"/>
          </w:tcPr>
          <w:p>
            <w:pPr>
              <w:rPr>
                <w:rFonts w:hint="default" w:ascii="Times New Roman" w:hAnsi="Times New Roman" w:cs="Times New Roman"/>
                <w:color w:val="auto"/>
                <w:kern w:val="0"/>
                <w:sz w:val="24"/>
              </w:rPr>
            </w:pPr>
            <w:r>
              <w:rPr>
                <w:rFonts w:hint="default" w:ascii="Times New Roman" w:hAnsi="Times New Roman" w:cs="Times New Roman"/>
                <w:color w:val="auto"/>
                <w:kern w:val="0"/>
                <w:sz w:val="24"/>
              </w:rPr>
              <w:t>下一级环境保护行政主管部门审查意见：</w:t>
            </w:r>
          </w:p>
          <w:p>
            <w:pPr>
              <w:rPr>
                <w:rFonts w:hint="default" w:ascii="Times New Roman" w:hAnsi="Times New Roman" w:cs="Times New Roman"/>
                <w:color w:val="auto"/>
                <w:kern w:val="0"/>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kern w:val="0"/>
                <w:sz w:val="24"/>
              </w:rPr>
            </w:pPr>
            <w:r>
              <w:rPr>
                <w:rFonts w:hint="default" w:ascii="Times New Roman" w:hAnsi="Times New Roman" w:cs="Times New Roman"/>
                <w:color w:val="auto"/>
                <w:kern w:val="0"/>
                <w:sz w:val="24"/>
              </w:rPr>
              <w:t>公章</w:t>
            </w: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r>
              <w:rPr>
                <w:rFonts w:hint="default" w:ascii="Times New Roman" w:hAnsi="Times New Roman" w:cs="Times New Roman"/>
                <w:color w:val="auto"/>
                <w:kern w:val="0"/>
                <w:sz w:val="24"/>
              </w:rPr>
              <w:t>经办人：年月日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noWrap w:val="0"/>
            <w:vAlign w:val="center"/>
          </w:tcPr>
          <w:p>
            <w:pPr>
              <w:rPr>
                <w:rFonts w:hint="default" w:ascii="Times New Roman" w:hAnsi="Times New Roman" w:cs="Times New Roman"/>
                <w:color w:val="auto"/>
                <w:sz w:val="24"/>
              </w:rPr>
            </w:pPr>
            <w:r>
              <w:rPr>
                <w:rFonts w:hint="default" w:ascii="Times New Roman" w:hAnsi="Times New Roman" w:cs="Times New Roman"/>
                <w:color w:val="auto"/>
                <w:sz w:val="24"/>
              </w:rPr>
              <w:t>审批意见：</w:t>
            </w: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p>
          <w:p>
            <w:pPr>
              <w:rPr>
                <w:rFonts w:hint="default" w:ascii="Times New Roman" w:hAnsi="Times New Roman" w:cs="Times New Roman"/>
                <w:color w:val="auto"/>
                <w:sz w:val="24"/>
              </w:rPr>
            </w:pPr>
            <w:r>
              <w:rPr>
                <w:rFonts w:hint="default" w:ascii="Times New Roman" w:hAnsi="Times New Roman" w:cs="Times New Roman"/>
                <w:color w:val="auto"/>
                <w:sz w:val="24"/>
              </w:rPr>
              <w:t>公章</w:t>
            </w:r>
          </w:p>
          <w:p>
            <w:pPr>
              <w:rPr>
                <w:rFonts w:hint="default" w:ascii="Times New Roman" w:hAnsi="Times New Roman" w:cs="Times New Roman"/>
                <w:color w:val="auto"/>
                <w:sz w:val="24"/>
              </w:rPr>
            </w:pPr>
            <w:r>
              <w:rPr>
                <w:rFonts w:hint="default" w:ascii="Times New Roman" w:hAnsi="Times New Roman" w:cs="Times New Roman"/>
                <w:color w:val="auto"/>
                <w:sz w:val="24"/>
              </w:rPr>
              <w:t>经办人年月日</w:t>
            </w:r>
          </w:p>
          <w:p>
            <w:pPr>
              <w:rPr>
                <w:rFonts w:hint="default" w:ascii="Times New Roman" w:hAnsi="Times New Roman"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7" w:hRule="atLeast"/>
          <w:jc w:val="center"/>
        </w:trPr>
        <w:tc>
          <w:tcPr>
            <w:tcW w:w="918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cs="Times New Roman"/>
                <w:color w:val="auto"/>
                <w:sz w:val="24"/>
              </w:rPr>
            </w:pPr>
            <w:r>
              <w:rPr>
                <w:rFonts w:hint="default" w:ascii="Times New Roman" w:hAnsi="Times New Roman" w:cs="Times New Roman"/>
                <w:color w:val="auto"/>
                <w:sz w:val="24"/>
              </w:rPr>
              <w:t>注释</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一、本报告表应附以下附件、附图：</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附件委托书</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附件真实性承诺</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附件备案文件</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附件营业执照</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附件土地证明</w:t>
            </w:r>
          </w:p>
          <w:p>
            <w:pPr>
              <w:spacing w:line="360" w:lineRule="auto"/>
              <w:ind w:firstLine="480" w:firstLineChars="200"/>
              <w:rPr>
                <w:rFonts w:hint="eastAsia" w:cs="Times New Roman"/>
                <w:color w:val="auto"/>
                <w:sz w:val="24"/>
                <w:szCs w:val="24"/>
                <w:lang w:val="en-US" w:eastAsia="zh-CN"/>
              </w:rPr>
            </w:pPr>
            <w:r>
              <w:rPr>
                <w:rFonts w:hint="default" w:ascii="Times New Roman" w:hAnsi="Times New Roman" w:cs="Times New Roman"/>
                <w:color w:val="auto"/>
                <w:sz w:val="24"/>
              </w:rPr>
              <w:t>附件</w:t>
            </w:r>
            <w:r>
              <w:rPr>
                <w:rFonts w:hint="eastAsia" w:cs="Times New Roman"/>
                <w:color w:val="auto"/>
                <w:sz w:val="24"/>
                <w:szCs w:val="24"/>
                <w:lang w:val="en-US" w:eastAsia="zh-CN"/>
              </w:rPr>
              <w:t>排污许可登记回执</w:t>
            </w:r>
          </w:p>
          <w:p>
            <w:pPr>
              <w:spacing w:line="360" w:lineRule="auto"/>
              <w:ind w:firstLine="480" w:firstLineChars="200"/>
              <w:rPr>
                <w:rFonts w:hint="eastAsia" w:ascii="Times New Roman" w:hAnsi="Times New Roman" w:cs="Times New Roman"/>
                <w:color w:val="auto"/>
                <w:sz w:val="24"/>
                <w:lang w:val="en-US" w:eastAsia="zh-CN"/>
              </w:rPr>
            </w:pPr>
            <w:r>
              <w:rPr>
                <w:rFonts w:hint="default" w:ascii="Times New Roman" w:hAnsi="Times New Roman" w:cs="Times New Roman"/>
                <w:color w:val="auto"/>
                <w:sz w:val="24"/>
              </w:rPr>
              <w:t>附件</w:t>
            </w:r>
            <w:r>
              <w:rPr>
                <w:rFonts w:hint="eastAsia" w:ascii="Times New Roman" w:hAnsi="Times New Roman" w:cs="Times New Roman"/>
                <w:color w:val="auto"/>
                <w:sz w:val="24"/>
                <w:lang w:val="en-US" w:eastAsia="zh-CN"/>
              </w:rPr>
              <w:t>行政处罚决定书</w:t>
            </w:r>
          </w:p>
          <w:p>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附件</w:t>
            </w:r>
            <w:r>
              <w:rPr>
                <w:rFonts w:hint="eastAsia" w:ascii="Times New Roman" w:hAnsi="Times New Roman" w:cs="Times New Roman"/>
                <w:color w:val="auto"/>
                <w:sz w:val="24"/>
                <w:lang w:val="en-US" w:eastAsia="zh-CN"/>
              </w:rPr>
              <w:t>罚款缴纳凭证</w:t>
            </w:r>
          </w:p>
          <w:p>
            <w:pPr>
              <w:pStyle w:val="2"/>
              <w:rPr>
                <w:rFonts w:hint="eastAsia"/>
                <w:color w:val="auto"/>
                <w:lang w:val="en-US" w:eastAsia="zh-CN"/>
              </w:rPr>
            </w:pP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附件公示</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附图1项目地理位置图</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附图2项目周边关系图</w:t>
            </w:r>
          </w:p>
          <w:p>
            <w:pPr>
              <w:spacing w:line="360" w:lineRule="auto"/>
              <w:ind w:firstLine="480" w:firstLineChars="200"/>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附图</w:t>
            </w: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规划图</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附图</w:t>
            </w:r>
            <w:r>
              <w:rPr>
                <w:rFonts w:hint="default" w:ascii="Times New Roman" w:hAnsi="Times New Roman" w:cs="Times New Roman"/>
                <w:color w:val="auto"/>
                <w:sz w:val="24"/>
                <w:lang w:val="en-US" w:eastAsia="zh-CN"/>
              </w:rPr>
              <w:t>4厂区平面布置图</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附图</w:t>
            </w:r>
            <w:r>
              <w:rPr>
                <w:rFonts w:hint="default" w:ascii="Times New Roman" w:hAnsi="Times New Roman" w:cs="Times New Roman"/>
                <w:color w:val="auto"/>
                <w:sz w:val="24"/>
                <w:lang w:val="en-US" w:eastAsia="zh-CN"/>
              </w:rPr>
              <w:t>5生态保护红线</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1、大气环境影响专项评价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2、水环境影响专项评价（包括地表水和地下水）</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3、生态影响专项评价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4、声影响专项评价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5、土壤影响专项评价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6、固体废弃物影响专项评价</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以上专项评价未包括的可另列专项，专项评价按照《环境影响评价技术导则》中的要求进行。</w:t>
            </w:r>
          </w:p>
        </w:tc>
      </w:tr>
    </w:tbl>
    <w:p>
      <w:pPr>
        <w:rPr>
          <w:rFonts w:hint="default" w:ascii="Times New Roman" w:hAnsi="Times New Roman"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4"/>
        <w:adjustRightInd w:val="0"/>
        <w:snapToGrid w:val="0"/>
        <w:spacing w:before="0" w:beforeAutospacing="0" w:after="0" w:afterAutospacing="0" w:line="648" w:lineRule="auto"/>
        <w:jc w:val="center"/>
        <w:outlineLvl w:val="0"/>
        <w:rPr>
          <w:rFonts w:hint="default" w:ascii="Times New Roman" w:hAnsi="Times New Roman" w:cs="Times New Roman"/>
          <w:b/>
          <w:bCs/>
          <w:snapToGrid w:val="0"/>
          <w:color w:val="auto"/>
          <w:sz w:val="32"/>
          <w:szCs w:val="32"/>
        </w:rPr>
      </w:pPr>
      <w:r>
        <w:rPr>
          <w:rFonts w:hint="default" w:ascii="Times New Roman" w:hAnsi="Times New Roman" w:cs="Times New Roman"/>
          <w:b/>
          <w:bCs/>
          <w:snapToGrid w:val="0"/>
          <w:color w:val="auto"/>
          <w:sz w:val="32"/>
          <w:szCs w:val="32"/>
        </w:rPr>
        <w:t>附表建设项目污染物排放量汇总表</w:t>
      </w:r>
    </w:p>
    <w:tbl>
      <w:tblPr>
        <w:tblStyle w:val="27"/>
        <w:tblpPr w:leftFromText="180" w:rightFromText="180" w:vertAnchor="text" w:horzAnchor="page" w:tblpX="2218" w:tblpY="750"/>
        <w:tblOverlap w:val="never"/>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552"/>
        <w:gridCol w:w="1385"/>
        <w:gridCol w:w="1664"/>
        <w:gridCol w:w="1248"/>
        <w:gridCol w:w="1664"/>
        <w:gridCol w:w="1526"/>
        <w:gridCol w:w="1350"/>
        <w:gridCol w:w="1526"/>
        <w:gridCol w:w="15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75" w:type="pct"/>
            <w:tcBorders>
              <w:tl2br w:val="single" w:color="auto" w:sz="4" w:space="0"/>
            </w:tcBorders>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项目</w:t>
            </w:r>
          </w:p>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分类</w:t>
            </w:r>
          </w:p>
        </w:tc>
        <w:tc>
          <w:tcPr>
            <w:tcW w:w="513"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污染物名称</w:t>
            </w:r>
          </w:p>
        </w:tc>
        <w:tc>
          <w:tcPr>
            <w:tcW w:w="616"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现有工程</w:t>
            </w:r>
          </w:p>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排放量（固体废物产生量）</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kern w:val="2"/>
                <w:szCs w:val="21"/>
              </w:rPr>
              <w:t>①</w:t>
            </w:r>
            <w:r>
              <w:rPr>
                <w:rFonts w:hint="default" w:ascii="Times New Roman" w:hAnsi="Times New Roman" w:cs="Times New Roman"/>
                <w:snapToGrid w:val="0"/>
                <w:color w:val="auto"/>
                <w:spacing w:val="-6"/>
                <w:kern w:val="21"/>
                <w:szCs w:val="21"/>
              </w:rPr>
              <w:fldChar w:fldCharType="end"/>
            </w:r>
          </w:p>
        </w:tc>
        <w:tc>
          <w:tcPr>
            <w:tcW w:w="462"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现有工程</w:t>
            </w:r>
          </w:p>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许可排放量</w:t>
            </w:r>
          </w:p>
          <w:p>
            <w:pPr>
              <w:pStyle w:val="53"/>
              <w:spacing w:beforeLines="0" w:afterLines="0"/>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2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snapToGrid w:val="0"/>
                <w:color w:val="auto"/>
                <w:spacing w:val="-6"/>
                <w:kern w:val="21"/>
                <w:szCs w:val="21"/>
              </w:rPr>
              <w:t>②</w:t>
            </w:r>
            <w:r>
              <w:rPr>
                <w:rFonts w:hint="default" w:ascii="Times New Roman" w:hAnsi="Times New Roman" w:cs="Times New Roman"/>
                <w:snapToGrid w:val="0"/>
                <w:color w:val="auto"/>
                <w:spacing w:val="-6"/>
                <w:kern w:val="21"/>
                <w:szCs w:val="21"/>
              </w:rPr>
              <w:fldChar w:fldCharType="end"/>
            </w:r>
          </w:p>
        </w:tc>
        <w:tc>
          <w:tcPr>
            <w:tcW w:w="616"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在建工程</w:t>
            </w:r>
          </w:p>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排放量（固体废物产生量）</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kern w:val="2"/>
                <w:szCs w:val="21"/>
              </w:rPr>
              <w:t>③</w:t>
            </w:r>
            <w:r>
              <w:rPr>
                <w:rFonts w:hint="default" w:ascii="Times New Roman" w:hAnsi="Times New Roman" w:cs="Times New Roman"/>
                <w:snapToGrid w:val="0"/>
                <w:color w:val="auto"/>
                <w:spacing w:val="-6"/>
                <w:kern w:val="21"/>
                <w:szCs w:val="21"/>
              </w:rPr>
              <w:fldChar w:fldCharType="end"/>
            </w:r>
          </w:p>
        </w:tc>
        <w:tc>
          <w:tcPr>
            <w:tcW w:w="565"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本项目</w:t>
            </w:r>
          </w:p>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排放量（固体废物产生量）</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kern w:val="2"/>
                <w:szCs w:val="21"/>
              </w:rPr>
              <w:t>④</w:t>
            </w:r>
            <w:r>
              <w:rPr>
                <w:rFonts w:hint="default" w:ascii="Times New Roman" w:hAnsi="Times New Roman" w:cs="Times New Roman"/>
                <w:snapToGrid w:val="0"/>
                <w:color w:val="auto"/>
                <w:spacing w:val="-6"/>
                <w:kern w:val="21"/>
                <w:szCs w:val="21"/>
              </w:rPr>
              <w:fldChar w:fldCharType="end"/>
            </w:r>
          </w:p>
        </w:tc>
        <w:tc>
          <w:tcPr>
            <w:tcW w:w="500"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16"/>
                <w:kern w:val="21"/>
                <w:szCs w:val="21"/>
              </w:rPr>
            </w:pPr>
            <w:r>
              <w:rPr>
                <w:rFonts w:hint="default" w:ascii="Times New Roman" w:hAnsi="Times New Roman" w:cs="Times New Roman"/>
                <w:snapToGrid w:val="0"/>
                <w:color w:val="auto"/>
                <w:spacing w:val="-16"/>
                <w:kern w:val="21"/>
                <w:szCs w:val="21"/>
              </w:rPr>
              <w:t>以新带老削减量</w:t>
            </w:r>
          </w:p>
          <w:p>
            <w:pPr>
              <w:pStyle w:val="53"/>
              <w:spacing w:beforeLines="0" w:afterLines="0" w:line="240" w:lineRule="auto"/>
              <w:rPr>
                <w:rFonts w:hint="default" w:ascii="Times New Roman" w:hAnsi="Times New Roman" w:cs="Times New Roman"/>
                <w:snapToGrid w:val="0"/>
                <w:color w:val="auto"/>
                <w:spacing w:val="-16"/>
                <w:kern w:val="21"/>
                <w:szCs w:val="21"/>
              </w:rPr>
            </w:pPr>
            <w:r>
              <w:rPr>
                <w:rFonts w:hint="default" w:ascii="Times New Roman" w:hAnsi="Times New Roman" w:cs="Times New Roman"/>
                <w:snapToGrid w:val="0"/>
                <w:color w:val="auto"/>
                <w:spacing w:val="-16"/>
                <w:kern w:val="21"/>
                <w:szCs w:val="21"/>
              </w:rPr>
              <w:t>（新建项目不填）</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kern w:val="2"/>
                <w:szCs w:val="21"/>
              </w:rPr>
              <w:t>⑤</w:t>
            </w:r>
            <w:r>
              <w:rPr>
                <w:rFonts w:hint="default" w:ascii="Times New Roman" w:hAnsi="Times New Roman" w:cs="Times New Roman"/>
                <w:snapToGrid w:val="0"/>
                <w:color w:val="auto"/>
                <w:spacing w:val="-16"/>
                <w:kern w:val="21"/>
                <w:szCs w:val="21"/>
              </w:rPr>
              <w:fldChar w:fldCharType="end"/>
            </w:r>
          </w:p>
        </w:tc>
        <w:tc>
          <w:tcPr>
            <w:tcW w:w="565"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16"/>
                <w:kern w:val="21"/>
                <w:szCs w:val="21"/>
              </w:rPr>
            </w:pPr>
            <w:r>
              <w:rPr>
                <w:rFonts w:hint="default" w:ascii="Times New Roman" w:hAnsi="Times New Roman" w:cs="Times New Roman"/>
                <w:snapToGrid w:val="0"/>
                <w:color w:val="auto"/>
                <w:spacing w:val="-16"/>
                <w:kern w:val="21"/>
                <w:szCs w:val="21"/>
              </w:rPr>
              <w:t>本项目建成后</w:t>
            </w:r>
          </w:p>
          <w:p>
            <w:pPr>
              <w:pStyle w:val="53"/>
              <w:spacing w:beforeLines="0" w:afterLines="0" w:line="240" w:lineRule="auto"/>
              <w:rPr>
                <w:rFonts w:hint="default" w:ascii="Times New Roman" w:hAnsi="Times New Roman" w:cs="Times New Roman"/>
                <w:snapToGrid w:val="0"/>
                <w:color w:val="auto"/>
                <w:spacing w:val="-16"/>
                <w:kern w:val="21"/>
                <w:szCs w:val="21"/>
              </w:rPr>
            </w:pPr>
            <w:r>
              <w:rPr>
                <w:rFonts w:hint="default" w:ascii="Times New Roman" w:hAnsi="Times New Roman" w:cs="Times New Roman"/>
                <w:snapToGrid w:val="0"/>
                <w:color w:val="auto"/>
                <w:spacing w:val="-16"/>
                <w:kern w:val="21"/>
                <w:szCs w:val="21"/>
              </w:rPr>
              <w:t>全厂排放量（固体废物产生量）</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kern w:val="2"/>
                <w:szCs w:val="21"/>
              </w:rPr>
              <w:t>⑥</w:t>
            </w:r>
            <w:r>
              <w:rPr>
                <w:rFonts w:hint="default" w:ascii="Times New Roman" w:hAnsi="Times New Roman" w:cs="Times New Roman"/>
                <w:snapToGrid w:val="0"/>
                <w:color w:val="auto"/>
                <w:spacing w:val="-16"/>
                <w:kern w:val="21"/>
                <w:szCs w:val="21"/>
              </w:rPr>
              <w:fldChar w:fldCharType="end"/>
            </w:r>
          </w:p>
        </w:tc>
        <w:tc>
          <w:tcPr>
            <w:tcW w:w="582" w:type="pct"/>
            <w:noWrap w:val="0"/>
            <w:tcMar>
              <w:left w:w="28" w:type="dxa"/>
              <w:right w:w="28" w:type="dxa"/>
            </w:tcMar>
            <w:vAlign w:val="center"/>
          </w:tcPr>
          <w:p>
            <w:pPr>
              <w:pStyle w:val="53"/>
              <w:spacing w:beforeLines="0" w:afterLines="0" w:line="240" w:lineRule="auto"/>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spacing w:val="-6"/>
                <w:kern w:val="21"/>
                <w:szCs w:val="21"/>
              </w:rPr>
              <w:t>变化量</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kern w:val="2"/>
                <w:szCs w:val="21"/>
              </w:rPr>
              <w:t>⑦</w:t>
            </w:r>
            <w:r>
              <w:rPr>
                <w:rFonts w:hint="default" w:ascii="Times New Roman" w:hAnsi="Times New Roman" w:cs="Times New Roman"/>
                <w:snapToGrid w:val="0"/>
                <w:color w:val="auto"/>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废气</w:t>
            </w:r>
          </w:p>
        </w:tc>
        <w:tc>
          <w:tcPr>
            <w:tcW w:w="513"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eastAsia="zh-CN"/>
              </w:rPr>
            </w:pPr>
            <w:r>
              <w:rPr>
                <w:rFonts w:hint="default" w:ascii="Times New Roman" w:hAnsi="Times New Roman" w:cs="Times New Roman"/>
                <w:snapToGrid w:val="0"/>
                <w:color w:val="auto"/>
                <w:kern w:val="21"/>
                <w:szCs w:val="21"/>
                <w:lang w:val="en-US" w:eastAsia="zh-CN"/>
              </w:rPr>
              <w:t>颗粒物</w:t>
            </w:r>
          </w:p>
        </w:tc>
        <w:tc>
          <w:tcPr>
            <w:tcW w:w="616" w:type="pct"/>
            <w:noWrap w:val="0"/>
            <w:vAlign w:val="center"/>
          </w:tcPr>
          <w:p>
            <w:pPr>
              <w:widowControl/>
              <w:jc w:val="center"/>
              <w:rPr>
                <w:rFonts w:hint="default" w:ascii="Times New Roman" w:hAnsi="Times New Roman" w:eastAsia="宋体" w:cs="Times New Roman"/>
                <w:b/>
                <w:bCs/>
                <w:color w:val="auto"/>
                <w:kern w:val="0"/>
                <w:sz w:val="20"/>
                <w:szCs w:val="20"/>
                <w:lang w:val="en-US" w:eastAsia="zh-CN"/>
              </w:rPr>
            </w:pPr>
            <w:r>
              <w:rPr>
                <w:rFonts w:hint="default" w:ascii="Times New Roman" w:hAnsi="Times New Roman" w:cs="Times New Roman"/>
                <w:b/>
                <w:bCs/>
                <w:color w:val="auto"/>
                <w:kern w:val="0"/>
                <w:sz w:val="20"/>
                <w:szCs w:val="20"/>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lang w:val="en-US"/>
              </w:rPr>
            </w:pPr>
            <w:r>
              <w:rPr>
                <w:rFonts w:hint="eastAsia" w:ascii="Times New Roman" w:cs="Times New Roman"/>
                <w:snapToGrid w:val="0"/>
                <w:color w:val="auto"/>
                <w:kern w:val="21"/>
                <w:szCs w:val="21"/>
                <w:lang w:val="en-US" w:eastAsia="zh-CN"/>
              </w:rPr>
              <w:t>0.5845</w:t>
            </w:r>
            <w:r>
              <w:rPr>
                <w:rFonts w:hint="default" w:ascii="Times New Roman" w:hAnsi="Times New Roman" w:cs="Times New Roman"/>
                <w:snapToGrid w:val="0"/>
                <w:color w:val="auto"/>
                <w:kern w:val="21"/>
                <w:szCs w:val="21"/>
                <w:lang w:val="en-US" w:eastAsia="zh-CN"/>
              </w:rPr>
              <w:t>t/a</w:t>
            </w:r>
          </w:p>
        </w:tc>
        <w:tc>
          <w:tcPr>
            <w:tcW w:w="500"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eastAsia" w:ascii="Times New Roman" w:cs="Times New Roman"/>
                <w:snapToGrid w:val="0"/>
                <w:color w:val="auto"/>
                <w:kern w:val="21"/>
                <w:szCs w:val="21"/>
                <w:lang w:val="en-US" w:eastAsia="zh-CN"/>
              </w:rPr>
              <w:t>0.5845</w:t>
            </w:r>
            <w:r>
              <w:rPr>
                <w:rFonts w:hint="default" w:ascii="Times New Roman" w:hAnsi="Times New Roman" w:cs="Times New Roman"/>
                <w:snapToGrid w:val="0"/>
                <w:color w:val="auto"/>
                <w:kern w:val="21"/>
                <w:szCs w:val="21"/>
                <w:lang w:val="en-US" w:eastAsia="zh-CN"/>
              </w:rPr>
              <w:t>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r>
              <w:rPr>
                <w:rFonts w:hint="eastAsia" w:ascii="Times New Roman" w:cs="Times New Roman"/>
                <w:snapToGrid w:val="0"/>
                <w:color w:val="auto"/>
                <w:kern w:val="21"/>
                <w:szCs w:val="21"/>
                <w:lang w:val="en-US" w:eastAsia="zh-CN"/>
              </w:rPr>
              <w:t>0.5845</w:t>
            </w:r>
            <w:r>
              <w:rPr>
                <w:rFonts w:hint="default" w:ascii="Times New Roman" w:hAnsi="Times New Roman" w:cs="Times New Roman"/>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restar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废水</w:t>
            </w: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color w:val="auto"/>
                <w:szCs w:val="21"/>
              </w:rPr>
              <w:t>pH</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00"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color w:val="auto"/>
                <w:szCs w:val="21"/>
              </w:rPr>
              <w:t>COD</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0.0714t/a</w:t>
            </w:r>
          </w:p>
        </w:tc>
        <w:tc>
          <w:tcPr>
            <w:tcW w:w="500"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0.0714t/a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+0.0714t/a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color w:val="auto"/>
                <w:szCs w:val="21"/>
              </w:rPr>
              <w:t>BOD</w:t>
            </w:r>
            <w:r>
              <w:rPr>
                <w:rFonts w:hint="default" w:ascii="Times New Roman" w:hAnsi="Times New Roman" w:cs="Times New Roman"/>
                <w:color w:val="auto"/>
                <w:szCs w:val="21"/>
                <w:vertAlign w:val="subscript"/>
              </w:rPr>
              <w:t>5</w:t>
            </w:r>
          </w:p>
        </w:tc>
        <w:tc>
          <w:tcPr>
            <w:tcW w:w="616" w:type="pct"/>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0.039t/a</w:t>
            </w:r>
          </w:p>
        </w:tc>
        <w:tc>
          <w:tcPr>
            <w:tcW w:w="500"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0.039t/a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+0.039t/a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color w:val="auto"/>
                <w:szCs w:val="21"/>
              </w:rPr>
              <w:t>SS</w:t>
            </w:r>
          </w:p>
        </w:tc>
        <w:tc>
          <w:tcPr>
            <w:tcW w:w="616"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0.0336t/a</w:t>
            </w:r>
          </w:p>
        </w:tc>
        <w:tc>
          <w:tcPr>
            <w:tcW w:w="500"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0.0336t/a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+0.0336t/a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color w:val="auto"/>
                <w:szCs w:val="21"/>
              </w:rPr>
              <w:t>氨氮</w:t>
            </w:r>
          </w:p>
        </w:tc>
        <w:tc>
          <w:tcPr>
            <w:tcW w:w="616"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0.007t/a</w:t>
            </w:r>
          </w:p>
        </w:tc>
        <w:tc>
          <w:tcPr>
            <w:tcW w:w="500"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0.007t/a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+0.007t/a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restart"/>
            <w:noWrap w:val="0"/>
            <w:vAlign w:val="center"/>
          </w:tcPr>
          <w:p>
            <w:pPr>
              <w:pStyle w:val="53"/>
              <w:spacing w:before="24" w:after="24" w:line="240" w:lineRule="auto"/>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一般固废</w:t>
            </w:r>
          </w:p>
        </w:tc>
        <w:tc>
          <w:tcPr>
            <w:tcW w:w="513" w:type="pct"/>
            <w:noWrap w:val="0"/>
            <w:vAlign w:val="center"/>
          </w:tcPr>
          <w:p>
            <w:pPr>
              <w:pStyle w:val="53"/>
              <w:spacing w:beforeLines="0" w:afterLines="0" w:line="240" w:lineRule="auto"/>
              <w:rPr>
                <w:rFonts w:hint="default" w:ascii="Times New Roman" w:hAnsi="Times New Roman" w:cs="Times New Roman"/>
                <w:color w:val="auto"/>
                <w:spacing w:val="4"/>
                <w:kern w:val="18"/>
                <w:szCs w:val="21"/>
              </w:rPr>
            </w:pPr>
            <w:r>
              <w:rPr>
                <w:rFonts w:hint="default" w:ascii="Times New Roman" w:hAnsi="Times New Roman" w:cs="Times New Roman"/>
                <w:color w:val="auto"/>
                <w:spacing w:val="4"/>
                <w:kern w:val="18"/>
                <w:szCs w:val="21"/>
              </w:rPr>
              <w:t>除尘设备收集粉尘</w:t>
            </w:r>
          </w:p>
        </w:tc>
        <w:tc>
          <w:tcPr>
            <w:tcW w:w="616"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8.55</w:t>
            </w:r>
            <w:r>
              <w:rPr>
                <w:rFonts w:hint="default" w:ascii="Times New Roman" w:hAnsi="Times New Roman" w:cs="Times New Roman"/>
                <w:snapToGrid w:val="0"/>
                <w:color w:val="auto"/>
                <w:kern w:val="21"/>
                <w:szCs w:val="21"/>
                <w:lang w:val="en-US" w:eastAsia="zh-CN"/>
              </w:rPr>
              <w:t>t/a</w:t>
            </w:r>
          </w:p>
        </w:tc>
        <w:tc>
          <w:tcPr>
            <w:tcW w:w="500"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8.55</w:t>
            </w:r>
            <w:r>
              <w:rPr>
                <w:rFonts w:hint="default" w:ascii="Times New Roman" w:hAnsi="Times New Roman" w:cs="Times New Roman"/>
                <w:snapToGrid w:val="0"/>
                <w:color w:val="auto"/>
                <w:kern w:val="21"/>
                <w:szCs w:val="21"/>
                <w:lang w:val="en-US" w:eastAsia="zh-CN"/>
              </w:rPr>
              <w:t>t/a</w:t>
            </w:r>
          </w:p>
        </w:tc>
        <w:tc>
          <w:tcPr>
            <w:tcW w:w="582" w:type="pct"/>
            <w:noWrap w:val="0"/>
            <w:vAlign w:val="center"/>
          </w:tcPr>
          <w:p>
            <w:pPr>
              <w:pStyle w:val="53"/>
              <w:spacing w:beforeLines="0" w:afterLines="0" w:line="240" w:lineRule="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+8.55</w:t>
            </w:r>
            <w:r>
              <w:rPr>
                <w:rFonts w:hint="default" w:ascii="Times New Roman" w:hAnsi="Times New Roman" w:cs="Times New Roman"/>
                <w:snapToGrid w:val="0"/>
                <w:color w:val="auto"/>
                <w:kern w:val="21"/>
                <w:szCs w:val="21"/>
                <w:lang w:val="en-US"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24" w:after="24"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沉淀池沉渣</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2t/a</w:t>
            </w:r>
          </w:p>
        </w:tc>
        <w:tc>
          <w:tcPr>
            <w:tcW w:w="500"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2t/a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75" w:type="pct"/>
            <w:vMerge w:val="continue"/>
            <w:noWrap w:val="0"/>
            <w:vAlign w:val="center"/>
          </w:tcPr>
          <w:p>
            <w:pPr>
              <w:pStyle w:val="53"/>
              <w:spacing w:before="24" w:after="24" w:line="240" w:lineRule="auto"/>
              <w:rPr>
                <w:rFonts w:hint="default" w:ascii="Times New Roman" w:hAnsi="Times New Roman" w:cs="Times New Roman"/>
                <w:snapToGrid w:val="0"/>
                <w:color w:val="auto"/>
                <w:kern w:val="21"/>
                <w:szCs w:val="21"/>
              </w:rPr>
            </w:pPr>
          </w:p>
        </w:tc>
        <w:tc>
          <w:tcPr>
            <w:tcW w:w="513"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生活垃圾</w:t>
            </w:r>
          </w:p>
        </w:tc>
        <w:tc>
          <w:tcPr>
            <w:tcW w:w="616"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w:t>
            </w:r>
          </w:p>
        </w:tc>
        <w:tc>
          <w:tcPr>
            <w:tcW w:w="462"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616"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5.25t/a</w:t>
            </w:r>
          </w:p>
        </w:tc>
        <w:tc>
          <w:tcPr>
            <w:tcW w:w="500" w:type="pct"/>
            <w:noWrap w:val="0"/>
            <w:vAlign w:val="center"/>
          </w:tcPr>
          <w:p>
            <w:pPr>
              <w:pStyle w:val="53"/>
              <w:spacing w:beforeLines="0" w:afterLines="0" w:line="240" w:lineRule="auto"/>
              <w:rPr>
                <w:rFonts w:hint="default" w:ascii="Times New Roman" w:hAnsi="Times New Roman" w:eastAsia="宋体" w:cs="Times New Roman"/>
                <w:b/>
                <w:bCs/>
                <w:snapToGrid w:val="0"/>
                <w:color w:val="auto"/>
                <w:kern w:val="21"/>
                <w:szCs w:val="21"/>
                <w:lang w:val="en-US" w:eastAsia="zh-CN"/>
              </w:rPr>
            </w:pPr>
            <w:r>
              <w:rPr>
                <w:rFonts w:hint="default" w:ascii="Times New Roman" w:hAnsi="Times New Roman" w:cs="Times New Roman"/>
                <w:b/>
                <w:bCs/>
                <w:snapToGrid w:val="0"/>
                <w:color w:val="auto"/>
                <w:kern w:val="21"/>
                <w:szCs w:val="21"/>
                <w:lang w:val="en-US" w:eastAsia="zh-CN"/>
              </w:rPr>
              <w:t>/</w:t>
            </w:r>
          </w:p>
        </w:tc>
        <w:tc>
          <w:tcPr>
            <w:tcW w:w="565" w:type="pct"/>
            <w:noWrap w:val="0"/>
            <w:vAlign w:val="center"/>
          </w:tcPr>
          <w:p>
            <w:pPr>
              <w:pStyle w:val="53"/>
              <w:spacing w:beforeLines="0" w:afterLines="0" w:line="240" w:lineRule="auto"/>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lang w:val="en-US" w:eastAsia="zh-CN"/>
              </w:rPr>
              <w:t>5.25t/a</w:t>
            </w:r>
          </w:p>
        </w:tc>
        <w:tc>
          <w:tcPr>
            <w:tcW w:w="582" w:type="pct"/>
            <w:noWrap w:val="0"/>
            <w:vAlign w:val="center"/>
          </w:tcPr>
          <w:p>
            <w:pPr>
              <w:pStyle w:val="53"/>
              <w:spacing w:beforeLines="0" w:afterLines="0" w:line="240" w:lineRule="auto"/>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+5.25t/a</w:t>
            </w:r>
          </w:p>
        </w:tc>
      </w:tr>
    </w:tbl>
    <w:p>
      <w:pPr>
        <w:pStyle w:val="53"/>
        <w:spacing w:before="192" w:beforeLines="80" w:after="24"/>
        <w:jc w:val="left"/>
        <w:rPr>
          <w:rFonts w:hint="default" w:ascii="Times New Roman" w:hAnsi="Times New Roman" w:cs="Times New Roman"/>
          <w:snapToGrid w:val="0"/>
          <w:color w:val="auto"/>
          <w:spacing w:val="-6"/>
          <w:kern w:val="21"/>
          <w:szCs w:val="21"/>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p>
      <w:pPr>
        <w:rPr>
          <w:rFonts w:hint="default" w:ascii="Times New Roman" w:hAnsi="Times New Roman" w:cs="Times New Roman"/>
          <w:color w:val="auto"/>
        </w:rPr>
        <w:sectPr>
          <w:footerReference r:id="rId4" w:type="default"/>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pPr>
        <w:spacing w:line="360" w:lineRule="auto"/>
        <w:ind w:firstLine="0" w:firstLineChars="0"/>
        <w:jc w:val="center"/>
        <w:outlineLvl w:val="0"/>
        <w:rPr>
          <w:rFonts w:hint="default" w:ascii="Times New Roman" w:hAnsi="Times New Roman" w:eastAsia="宋体" w:cs="Times New Roman"/>
          <w:b/>
          <w:color w:val="auto"/>
          <w:sz w:val="52"/>
          <w:szCs w:val="72"/>
        </w:rPr>
      </w:pPr>
      <w:r>
        <w:rPr>
          <w:rFonts w:hint="default" w:ascii="Times New Roman" w:hAnsi="Times New Roman" w:eastAsia="宋体" w:cs="Times New Roman"/>
          <w:b/>
          <w:color w:val="auto"/>
          <w:sz w:val="52"/>
          <w:szCs w:val="72"/>
        </w:rPr>
        <w:t>委托书</w:t>
      </w:r>
    </w:p>
    <w:p>
      <w:pPr>
        <w:spacing w:line="360" w:lineRule="auto"/>
        <w:ind w:firstLine="480" w:firstLineChars="200"/>
        <w:jc w:val="center"/>
        <w:rPr>
          <w:rFonts w:hint="default" w:ascii="Times New Roman" w:hAnsi="Times New Roman" w:eastAsia="微软雅黑" w:cs="Times New Roman"/>
          <w:color w:val="auto"/>
          <w:sz w:val="24"/>
        </w:rPr>
      </w:pPr>
    </w:p>
    <w:p>
      <w:pPr>
        <w:spacing w:line="360" w:lineRule="auto"/>
        <w:ind w:firstLine="440" w:firstLineChars="200"/>
        <w:jc w:val="center"/>
        <w:rPr>
          <w:rFonts w:hint="default" w:ascii="Times New Roman" w:hAnsi="Times New Roman" w:eastAsia="宋体" w:cs="Times New Roman"/>
          <w:color w:val="auto"/>
          <w:sz w:val="22"/>
          <w:szCs w:val="22"/>
        </w:rPr>
      </w:pPr>
    </w:p>
    <w:p>
      <w:pPr>
        <w:spacing w:line="360" w:lineRule="auto"/>
        <w:ind w:firstLine="440" w:firstLineChars="200"/>
        <w:jc w:val="center"/>
        <w:rPr>
          <w:rFonts w:hint="default" w:ascii="Times New Roman" w:hAnsi="Times New Roman" w:eastAsia="宋体" w:cs="Times New Roman"/>
          <w:color w:val="auto"/>
          <w:sz w:val="22"/>
          <w:szCs w:val="22"/>
        </w:rPr>
      </w:pPr>
    </w:p>
    <w:p>
      <w:pPr>
        <w:spacing w:line="360" w:lineRule="auto"/>
        <w:ind w:firstLine="440" w:firstLineChars="200"/>
        <w:jc w:val="center"/>
        <w:rPr>
          <w:rFonts w:hint="default" w:ascii="Times New Roman" w:hAnsi="Times New Roman" w:eastAsia="宋体" w:cs="Times New Roman"/>
          <w:color w:val="auto"/>
          <w:sz w:val="22"/>
          <w:szCs w:val="22"/>
        </w:rPr>
      </w:pPr>
    </w:p>
    <w:p>
      <w:pPr>
        <w:spacing w:line="360" w:lineRule="auto"/>
        <w:ind w:firstLine="0" w:firstLineChars="0"/>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rPr>
        <w:t>芜湖民宇环境科技有限</w:t>
      </w:r>
      <w:r>
        <w:rPr>
          <w:rFonts w:hint="default" w:ascii="Times New Roman" w:hAnsi="Times New Roman" w:eastAsia="宋体" w:cs="Times New Roman"/>
          <w:b/>
          <w:bCs/>
          <w:color w:val="auto"/>
          <w:sz w:val="32"/>
          <w:szCs w:val="32"/>
        </w:rPr>
        <w:t>公司</w:t>
      </w:r>
      <w:r>
        <w:rPr>
          <w:rFonts w:hint="default" w:ascii="Times New Roman" w:hAnsi="Times New Roman" w:eastAsia="宋体" w:cs="Times New Roman"/>
          <w:b/>
          <w:color w:val="auto"/>
          <w:sz w:val="32"/>
          <w:szCs w:val="32"/>
        </w:rPr>
        <w:t>：</w:t>
      </w:r>
    </w:p>
    <w:p>
      <w:pPr>
        <w:spacing w:line="360" w:lineRule="auto"/>
        <w:ind w:firstLine="643" w:firstLineChars="200"/>
        <w:rPr>
          <w:rFonts w:hint="default" w:ascii="Times New Roman" w:hAnsi="Times New Roman" w:eastAsia="宋体" w:cs="Times New Roman"/>
          <w:b/>
          <w:color w:val="auto"/>
          <w:sz w:val="32"/>
          <w:szCs w:val="32"/>
        </w:rPr>
      </w:pPr>
    </w:p>
    <w:p>
      <w:pPr>
        <w:spacing w:line="360" w:lineRule="auto"/>
        <w:ind w:firstLine="643" w:firstLineChars="200"/>
        <w:rPr>
          <w:rFonts w:hint="default" w:ascii="Times New Roman" w:hAnsi="Times New Roman" w:eastAsia="宋体" w:cs="Times New Roman"/>
          <w:b/>
          <w:color w:val="auto"/>
          <w:sz w:val="32"/>
          <w:szCs w:val="32"/>
        </w:rPr>
      </w:pPr>
    </w:p>
    <w:p>
      <w:pPr>
        <w:spacing w:line="600" w:lineRule="exact"/>
        <w:ind w:firstLine="640" w:firstLineChars="200"/>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sz w:val="32"/>
          <w:szCs w:val="32"/>
        </w:rPr>
        <w:t>根据《环境影响评价法》及《建设项目环境管理条例》等有关法律法规的要求，我单位现委托贵单位开展“高性能环保滤料研发及生产项目”的环评工作并出具环境影响报告表。</w:t>
      </w:r>
    </w:p>
    <w:p>
      <w:pPr>
        <w:spacing w:line="360" w:lineRule="auto"/>
        <w:ind w:firstLine="600" w:firstLineChars="200"/>
        <w:jc w:val="right"/>
        <w:rPr>
          <w:rFonts w:hint="default" w:ascii="Times New Roman" w:hAnsi="Times New Roman" w:eastAsia="宋体" w:cs="Times New Roman"/>
          <w:color w:val="auto"/>
          <w:sz w:val="30"/>
          <w:szCs w:val="30"/>
        </w:rPr>
      </w:pPr>
    </w:p>
    <w:p>
      <w:pPr>
        <w:spacing w:line="560" w:lineRule="exact"/>
        <w:ind w:firstLine="640" w:firstLineChars="200"/>
        <w:rPr>
          <w:rFonts w:hint="default" w:ascii="Times New Roman" w:hAnsi="Times New Roman" w:eastAsia="宋体" w:cs="Times New Roman"/>
          <w:color w:val="auto"/>
          <w:sz w:val="32"/>
          <w:szCs w:val="32"/>
        </w:rPr>
      </w:pPr>
    </w:p>
    <w:p>
      <w:pPr>
        <w:spacing w:line="560" w:lineRule="exact"/>
        <w:ind w:firstLine="640" w:firstLineChars="200"/>
        <w:rPr>
          <w:rFonts w:hint="default" w:ascii="Times New Roman" w:hAnsi="Times New Roman" w:eastAsia="宋体" w:cs="Times New Roman"/>
          <w:color w:val="auto"/>
          <w:sz w:val="32"/>
          <w:szCs w:val="32"/>
        </w:rPr>
      </w:pPr>
    </w:p>
    <w:p>
      <w:pPr>
        <w:spacing w:line="360" w:lineRule="auto"/>
        <w:ind w:firstLine="643" w:firstLineChars="200"/>
        <w:jc w:val="right"/>
        <w:rPr>
          <w:rFonts w:hint="default" w:ascii="Times New Roman" w:hAnsi="Times New Roman" w:eastAsia="宋体" w:cs="Times New Roman"/>
          <w:b/>
          <w:bCs/>
          <w:color w:val="auto"/>
          <w:sz w:val="32"/>
          <w:szCs w:val="32"/>
        </w:rPr>
      </w:pPr>
      <w:r>
        <w:rPr>
          <w:rFonts w:hint="default" w:ascii="Times New Roman" w:hAnsi="Times New Roman" w:eastAsia="宋体" w:cs="Times New Roman"/>
          <w:b/>
          <w:bCs/>
          <w:color w:val="auto"/>
          <w:sz w:val="32"/>
          <w:szCs w:val="32"/>
        </w:rPr>
        <w:t>芜湖荆峰建材销售有限公司</w:t>
      </w:r>
    </w:p>
    <w:p>
      <w:pPr>
        <w:spacing w:line="360" w:lineRule="auto"/>
        <w:ind w:firstLine="643" w:firstLineChars="200"/>
        <w:jc w:val="right"/>
        <w:rPr>
          <w:rFonts w:hint="default" w:ascii="Times New Roman" w:hAnsi="Times New Roman" w:eastAsia="宋体" w:cs="Times New Roman"/>
          <w:b/>
          <w:bCs/>
          <w:color w:val="auto"/>
          <w:sz w:val="32"/>
          <w:szCs w:val="32"/>
        </w:rPr>
      </w:pPr>
      <w:r>
        <w:rPr>
          <w:rFonts w:hint="default" w:ascii="Times New Roman" w:hAnsi="Times New Roman" w:eastAsia="宋体" w:cs="Times New Roman"/>
          <w:b/>
          <w:bCs/>
          <w:color w:val="auto"/>
          <w:sz w:val="32"/>
          <w:szCs w:val="32"/>
        </w:rPr>
        <w:t>2022年</w:t>
      </w:r>
      <w:r>
        <w:rPr>
          <w:rFonts w:hint="default" w:ascii="Times New Roman" w:hAnsi="Times New Roman" w:eastAsia="宋体" w:cs="Times New Roman"/>
          <w:b/>
          <w:bCs/>
          <w:color w:val="auto"/>
          <w:sz w:val="32"/>
          <w:szCs w:val="32"/>
          <w:lang w:val="en-US" w:eastAsia="zh-CN"/>
        </w:rPr>
        <w:t>5</w:t>
      </w:r>
      <w:r>
        <w:rPr>
          <w:rFonts w:hint="default" w:ascii="Times New Roman" w:hAnsi="Times New Roman" w:eastAsia="宋体" w:cs="Times New Roman"/>
          <w:b/>
          <w:bCs/>
          <w:color w:val="auto"/>
          <w:sz w:val="32"/>
          <w:szCs w:val="32"/>
        </w:rPr>
        <w:t>月</w:t>
      </w:r>
    </w:p>
    <w:p>
      <w:pPr>
        <w:rPr>
          <w:rFonts w:hint="default" w:ascii="Times New Roman" w:hAnsi="Times New Roman" w:cs="Times New Roman"/>
          <w:color w:val="auto"/>
        </w:rPr>
      </w:pPr>
    </w:p>
    <w:p>
      <w:pPr>
        <w:rPr>
          <w:rFonts w:hint="default" w:ascii="Times New Roman" w:hAnsi="Times New Roman" w:cs="Times New Roman"/>
          <w:color w:val="auto"/>
        </w:rPr>
      </w:pPr>
      <w:r>
        <w:rPr>
          <w:rFonts w:hint="default" w:ascii="Times New Roman" w:hAnsi="Times New Roman" w:cs="Times New Roman"/>
          <w:color w:val="auto"/>
        </w:rPr>
        <w:br w:type="page"/>
      </w:r>
    </w:p>
    <w:p>
      <w:pPr>
        <w:spacing w:line="360" w:lineRule="auto"/>
        <w:ind w:firstLine="0" w:firstLineChars="0"/>
        <w:jc w:val="center"/>
        <w:outlineLvl w:val="0"/>
        <w:rPr>
          <w:rFonts w:hint="default" w:ascii="Times New Roman" w:hAnsi="Times New Roman" w:eastAsia="楷体" w:cs="Times New Roman"/>
          <w:b/>
          <w:bCs/>
          <w:color w:val="auto"/>
          <w:sz w:val="44"/>
          <w:szCs w:val="44"/>
        </w:rPr>
      </w:pPr>
      <w:r>
        <w:rPr>
          <w:rFonts w:hint="default" w:ascii="Times New Roman" w:hAnsi="Times New Roman" w:eastAsia="楷体" w:cs="Times New Roman"/>
          <w:b/>
          <w:bCs/>
          <w:color w:val="auto"/>
          <w:sz w:val="44"/>
          <w:szCs w:val="44"/>
        </w:rPr>
        <w:t>环评资料真实性承诺</w:t>
      </w: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0" w:firstLineChars="0"/>
        <w:rPr>
          <w:rFonts w:hint="eastAsia" w:ascii="Times New Roman" w:hAnsi="Times New Roman" w:eastAsia="楷体" w:cs="Times New Roman"/>
          <w:color w:val="auto"/>
          <w:sz w:val="28"/>
          <w:szCs w:val="28"/>
          <w:lang w:eastAsia="zh-CN"/>
        </w:rPr>
      </w:pPr>
      <w:r>
        <w:rPr>
          <w:rFonts w:hint="default" w:ascii="Times New Roman" w:hAnsi="Times New Roman" w:eastAsia="楷体" w:cs="Times New Roman"/>
          <w:b/>
          <w:bCs/>
          <w:color w:val="auto"/>
          <w:sz w:val="28"/>
          <w:szCs w:val="28"/>
        </w:rPr>
        <w:t>芜湖市生态环境局</w:t>
      </w:r>
      <w:r>
        <w:rPr>
          <w:rFonts w:hint="default" w:ascii="Times New Roman" w:hAnsi="Times New Roman" w:eastAsia="楷体" w:cs="Times New Roman"/>
          <w:color w:val="auto"/>
          <w:sz w:val="28"/>
          <w:szCs w:val="28"/>
        </w:rPr>
        <w:t>：</w:t>
      </w:r>
    </w:p>
    <w:p>
      <w:pPr>
        <w:widowControl w:val="0"/>
        <w:tabs>
          <w:tab w:val="right" w:leader="dot" w:pos="8306"/>
        </w:tabs>
        <w:spacing w:before="120" w:after="120" w:line="360" w:lineRule="auto"/>
        <w:ind w:firstLine="0" w:firstLineChars="0"/>
        <w:jc w:val="both"/>
        <w:rPr>
          <w:rFonts w:hint="default" w:ascii="Times New Roman" w:hAnsi="Times New Roman" w:eastAsia="楷体" w:cs="Times New Roman"/>
          <w:b/>
          <w:bCs/>
          <w:caps/>
          <w:color w:val="auto"/>
          <w:kern w:val="2"/>
          <w:sz w:val="28"/>
          <w:szCs w:val="28"/>
          <w:lang w:val="en-US" w:eastAsia="zh-CN" w:bidi="ar-SA"/>
        </w:rPr>
      </w:pPr>
    </w:p>
    <w:p>
      <w:pPr>
        <w:widowControl w:val="0"/>
        <w:tabs>
          <w:tab w:val="right" w:leader="dot" w:pos="8306"/>
        </w:tabs>
        <w:spacing w:before="120" w:after="120" w:line="360" w:lineRule="auto"/>
        <w:ind w:firstLine="560" w:firstLineChars="200"/>
        <w:jc w:val="both"/>
        <w:rPr>
          <w:rFonts w:hint="default" w:ascii="Times New Roman" w:hAnsi="Times New Roman" w:eastAsia="楷体" w:cs="Times New Roman"/>
          <w:b/>
          <w:bCs/>
          <w:caps/>
          <w:color w:val="auto"/>
          <w:kern w:val="2"/>
          <w:sz w:val="28"/>
          <w:szCs w:val="28"/>
          <w:lang w:val="en-US" w:eastAsia="zh-CN" w:bidi="ar-SA"/>
        </w:rPr>
      </w:pPr>
      <w:r>
        <w:rPr>
          <w:rFonts w:hint="default" w:ascii="Times New Roman" w:hAnsi="Times New Roman" w:eastAsia="楷体" w:cs="Times New Roman"/>
          <w:b w:val="0"/>
          <w:bCs w:val="0"/>
          <w:caps/>
          <w:color w:val="auto"/>
          <w:kern w:val="2"/>
          <w:sz w:val="28"/>
          <w:szCs w:val="28"/>
          <w:lang w:val="en-US" w:eastAsia="zh-CN" w:bidi="ar-SA"/>
        </w:rPr>
        <w:t>我公司委托芜湖民宇环境科技有限公司编制的“高性能环保滤料研发及生产项目”，其中的项目建设内容（含生产设备、公建配套设施数量）、生产工艺、污染防治措施等，业经我公司核实无误，现上报贵局，并对其真实性负责，如在环评文件审核、评估、审批和项目环保验收过程中，出现不符情况，一切后果由我公司承担。</w:t>
      </w: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0" w:firstLineChars="200"/>
        <w:rPr>
          <w:rFonts w:hint="default" w:ascii="Times New Roman" w:hAnsi="Times New Roman" w:eastAsia="楷体" w:cs="Times New Roman"/>
          <w:color w:val="auto"/>
          <w:sz w:val="28"/>
          <w:szCs w:val="28"/>
        </w:rPr>
      </w:pPr>
    </w:p>
    <w:p>
      <w:pPr>
        <w:spacing w:line="360" w:lineRule="auto"/>
        <w:ind w:firstLine="562" w:firstLineChars="200"/>
        <w:jc w:val="right"/>
        <w:rPr>
          <w:rFonts w:hint="default" w:ascii="Times New Roman" w:hAnsi="Times New Roman" w:eastAsia="楷体" w:cs="Times New Roman"/>
          <w:b/>
          <w:bCs/>
          <w:caps/>
          <w:color w:val="auto"/>
          <w:sz w:val="28"/>
          <w:szCs w:val="28"/>
        </w:rPr>
      </w:pPr>
      <w:r>
        <w:rPr>
          <w:rFonts w:hint="default" w:ascii="Times New Roman" w:hAnsi="Times New Roman" w:eastAsia="楷体" w:cs="Times New Roman"/>
          <w:b/>
          <w:bCs/>
          <w:caps/>
          <w:color w:val="auto"/>
          <w:sz w:val="28"/>
          <w:szCs w:val="28"/>
        </w:rPr>
        <w:t>芜湖荆峰建材销售有限公司</w:t>
      </w:r>
    </w:p>
    <w:p>
      <w:pPr>
        <w:spacing w:line="360" w:lineRule="auto"/>
        <w:ind w:firstLine="562" w:firstLineChars="200"/>
        <w:jc w:val="right"/>
        <w:rPr>
          <w:rFonts w:hint="default" w:ascii="Times New Roman" w:hAnsi="Times New Roman" w:eastAsia="楷体" w:cs="Times New Roman"/>
          <w:b/>
          <w:bCs/>
          <w:caps/>
          <w:color w:val="auto"/>
          <w:sz w:val="28"/>
          <w:szCs w:val="28"/>
        </w:rPr>
      </w:pPr>
      <w:r>
        <w:rPr>
          <w:rFonts w:hint="default" w:ascii="Times New Roman" w:hAnsi="Times New Roman" w:eastAsia="楷体" w:cs="Times New Roman"/>
          <w:b/>
          <w:bCs/>
          <w:caps/>
          <w:color w:val="auto"/>
          <w:sz w:val="28"/>
          <w:szCs w:val="28"/>
        </w:rPr>
        <w:t>2022年</w:t>
      </w:r>
      <w:r>
        <w:rPr>
          <w:rFonts w:hint="default" w:ascii="Times New Roman" w:hAnsi="Times New Roman" w:eastAsia="楷体" w:cs="Times New Roman"/>
          <w:b/>
          <w:bCs/>
          <w:caps/>
          <w:color w:val="auto"/>
          <w:sz w:val="28"/>
          <w:szCs w:val="28"/>
          <w:lang w:val="en-US" w:eastAsia="zh-CN"/>
        </w:rPr>
        <w:t>5</w:t>
      </w:r>
      <w:r>
        <w:rPr>
          <w:rFonts w:hint="default" w:ascii="Times New Roman" w:hAnsi="Times New Roman" w:eastAsia="楷体" w:cs="Times New Roman"/>
          <w:b/>
          <w:bCs/>
          <w:caps/>
          <w:color w:val="auto"/>
          <w:sz w:val="28"/>
          <w:szCs w:val="28"/>
        </w:rPr>
        <w:t>月</w:t>
      </w:r>
    </w:p>
    <w:p>
      <w:pPr>
        <w:rPr>
          <w:rFonts w:hint="default" w:ascii="Times New Roman" w:hAnsi="Times New Roman" w:cs="Times New Roman"/>
          <w:color w:val="auto"/>
        </w:rPr>
      </w:pPr>
      <w:r>
        <w:rPr>
          <w:rFonts w:hint="default" w:ascii="Times New Roman" w:hAnsi="Times New Roman" w:cs="Times New Roman"/>
          <w:color w:val="auto"/>
        </w:rPr>
        <w:br w:type="page"/>
      </w: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0288" behindDoc="0" locked="0" layoutInCell="1" allowOverlap="1">
            <wp:simplePos x="0" y="0"/>
            <wp:positionH relativeFrom="column">
              <wp:posOffset>53975</wp:posOffset>
            </wp:positionH>
            <wp:positionV relativeFrom="paragraph">
              <wp:posOffset>396240</wp:posOffset>
            </wp:positionV>
            <wp:extent cx="5441950" cy="7717790"/>
            <wp:effectExtent l="0" t="0" r="6350" b="16510"/>
            <wp:wrapTopAndBottom/>
            <wp:docPr id="1" name="图片 17" descr="005f5cf8dd5031ece20245db4a7bc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descr="005f5cf8dd5031ece20245db4a7bcda"/>
                    <pic:cNvPicPr>
                      <a:picLocks noChangeAspect="1"/>
                    </pic:cNvPicPr>
                  </pic:nvPicPr>
                  <pic:blipFill>
                    <a:blip r:embed="rId11"/>
                    <a:stretch>
                      <a:fillRect/>
                    </a:stretch>
                  </pic:blipFill>
                  <pic:spPr>
                    <a:xfrm>
                      <a:off x="0" y="0"/>
                      <a:ext cx="5441950" cy="7717790"/>
                    </a:xfrm>
                    <a:prstGeom prst="rect">
                      <a:avLst/>
                    </a:prstGeom>
                    <a:noFill/>
                    <a:ln>
                      <a:noFill/>
                    </a:ln>
                  </pic:spPr>
                </pic:pic>
              </a:graphicData>
            </a:graphic>
          </wp:anchor>
        </w:drawing>
      </w:r>
      <w:r>
        <w:rPr>
          <w:rFonts w:hint="default" w:ascii="Times New Roman" w:hAnsi="Times New Roman" w:cs="Times New Roman"/>
          <w:b/>
          <w:bCs/>
          <w:color w:val="auto"/>
          <w:lang w:val="en-US" w:eastAsia="zh-CN"/>
        </w:rPr>
        <w:t>备案文件</w:t>
      </w:r>
    </w:p>
    <w:p>
      <w:pPr>
        <w:rPr>
          <w:rFonts w:hint="default" w:ascii="Times New Roman" w:hAnsi="Times New Roman" w:cs="Times New Roman"/>
          <w:b/>
          <w:bCs/>
          <w:color w:val="auto"/>
          <w:lang w:val="en-US" w:eastAsia="zh-CN"/>
        </w:rPr>
        <w:sectPr>
          <w:type w:val="continuous"/>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cs="Times New Roman"/>
          <w:b/>
          <w:bCs/>
          <w:color w:val="auto"/>
          <w:lang w:val="en-US" w:eastAsia="zh-CN"/>
        </w:rPr>
        <w:br w:type="page"/>
      </w:r>
    </w:p>
    <w:p>
      <w:pPr>
        <w:rPr>
          <w:rFonts w:hint="default"/>
          <w:color w:val="auto"/>
          <w:lang w:val="en-US" w:eastAsia="zh-CN"/>
        </w:rPr>
      </w:pPr>
      <w:r>
        <w:rPr>
          <w:rFonts w:hint="default" w:ascii="Times New Roman" w:hAnsi="Times New Roman" w:cs="Times New Roman"/>
          <w:b/>
          <w:bCs/>
          <w:color w:val="auto"/>
          <w:lang w:val="en-US" w:eastAsia="zh-CN"/>
        </w:rPr>
        <w:t>营业执照</w:t>
      </w:r>
    </w:p>
    <w:p>
      <w:pPr>
        <w:pStyle w:val="2"/>
        <w:rPr>
          <w:rFonts w:hint="default" w:ascii="Times New Roman" w:hAnsi="Times New Roman" w:cs="Times New Roman"/>
          <w:b/>
          <w:bCs/>
          <w:color w:val="auto"/>
          <w:lang w:val="en-US" w:eastAsia="zh-CN"/>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cs="Times New Roman"/>
          <w:b/>
          <w:bCs/>
          <w:color w:val="auto"/>
          <w:lang w:val="en-US" w:eastAsia="zh-CN"/>
        </w:rPr>
        <w:drawing>
          <wp:anchor distT="0" distB="0" distL="114300" distR="114300" simplePos="0" relativeHeight="251675648" behindDoc="0" locked="0" layoutInCell="1" allowOverlap="1">
            <wp:simplePos x="0" y="0"/>
            <wp:positionH relativeFrom="column">
              <wp:posOffset>222250</wp:posOffset>
            </wp:positionH>
            <wp:positionV relativeFrom="paragraph">
              <wp:posOffset>532765</wp:posOffset>
            </wp:positionV>
            <wp:extent cx="7717790" cy="4867275"/>
            <wp:effectExtent l="0" t="0" r="16510" b="9525"/>
            <wp:wrapTopAndBottom/>
            <wp:docPr id="17" name="图片 26" descr="b222bdbf8eae1e1c4c79cf2bca26c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6" descr="b222bdbf8eae1e1c4c79cf2bca26c6d"/>
                    <pic:cNvPicPr>
                      <a:picLocks noChangeAspect="1"/>
                    </pic:cNvPicPr>
                  </pic:nvPicPr>
                  <pic:blipFill>
                    <a:blip r:embed="rId12"/>
                    <a:stretch>
                      <a:fillRect/>
                    </a:stretch>
                  </pic:blipFill>
                  <pic:spPr>
                    <a:xfrm>
                      <a:off x="0" y="0"/>
                      <a:ext cx="7717790" cy="4867275"/>
                    </a:xfrm>
                    <a:prstGeom prst="rect">
                      <a:avLst/>
                    </a:prstGeom>
                    <a:noFill/>
                    <a:ln>
                      <a:noFill/>
                    </a:ln>
                  </pic:spPr>
                </pic:pic>
              </a:graphicData>
            </a:graphic>
          </wp:anchor>
        </w:drawing>
      </w:r>
    </w:p>
    <w:p>
      <w:pPr>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1312" behindDoc="0" locked="0" layoutInCell="1" allowOverlap="1">
            <wp:simplePos x="0" y="0"/>
            <wp:positionH relativeFrom="column">
              <wp:posOffset>170815</wp:posOffset>
            </wp:positionH>
            <wp:positionV relativeFrom="paragraph">
              <wp:posOffset>434340</wp:posOffset>
            </wp:positionV>
            <wp:extent cx="5611495" cy="7717790"/>
            <wp:effectExtent l="0" t="0" r="8255" b="16510"/>
            <wp:wrapSquare wrapText="bothSides"/>
            <wp:docPr id="2" name="图片 18" descr="0e683e6ead0c8200522fdf0829597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0e683e6ead0c8200522fdf0829597ce"/>
                    <pic:cNvPicPr>
                      <a:picLocks noChangeAspect="1"/>
                    </pic:cNvPicPr>
                  </pic:nvPicPr>
                  <pic:blipFill>
                    <a:blip r:embed="rId13"/>
                    <a:stretch>
                      <a:fillRect/>
                    </a:stretch>
                  </pic:blipFill>
                  <pic:spPr>
                    <a:xfrm>
                      <a:off x="0" y="0"/>
                      <a:ext cx="5611495" cy="7717790"/>
                    </a:xfrm>
                    <a:prstGeom prst="rect">
                      <a:avLst/>
                    </a:prstGeom>
                    <a:noFill/>
                    <a:ln>
                      <a:noFill/>
                    </a:ln>
                  </pic:spPr>
                </pic:pic>
              </a:graphicData>
            </a:graphic>
          </wp:anchor>
        </w:drawing>
      </w:r>
      <w:r>
        <w:rPr>
          <w:rFonts w:hint="default" w:ascii="Times New Roman" w:hAnsi="Times New Roman" w:cs="Times New Roman"/>
          <w:b/>
          <w:bCs/>
          <w:color w:val="auto"/>
          <w:lang w:val="en-US" w:eastAsia="zh-CN"/>
        </w:rPr>
        <w:t>厂房租赁协议及不动产权证</w:t>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72576" behindDoc="0" locked="0" layoutInCell="1" allowOverlap="1">
            <wp:simplePos x="0" y="0"/>
            <wp:positionH relativeFrom="column">
              <wp:posOffset>335915</wp:posOffset>
            </wp:positionH>
            <wp:positionV relativeFrom="paragraph">
              <wp:posOffset>348615</wp:posOffset>
            </wp:positionV>
            <wp:extent cx="4793615" cy="8159115"/>
            <wp:effectExtent l="0" t="0" r="6985" b="13335"/>
            <wp:wrapTopAndBottom/>
            <wp:docPr id="14" name="图片 39" descr="1653536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9" descr="1653536257"/>
                    <pic:cNvPicPr>
                      <a:picLocks noChangeAspect="1"/>
                    </pic:cNvPicPr>
                  </pic:nvPicPr>
                  <pic:blipFill>
                    <a:blip r:embed="rId14"/>
                    <a:stretch>
                      <a:fillRect/>
                    </a:stretch>
                  </pic:blipFill>
                  <pic:spPr>
                    <a:xfrm>
                      <a:off x="0" y="0"/>
                      <a:ext cx="4793615" cy="8159115"/>
                    </a:xfrm>
                    <a:prstGeom prst="rect">
                      <a:avLst/>
                    </a:prstGeom>
                    <a:noFill/>
                    <a:ln>
                      <a:noFill/>
                    </a:ln>
                  </pic:spPr>
                </pic:pic>
              </a:graphicData>
            </a:graphic>
          </wp:anchor>
        </w:drawing>
      </w:r>
      <w:r>
        <w:rPr>
          <w:rFonts w:hint="default" w:ascii="Times New Roman" w:hAnsi="Times New Roman" w:cs="Times New Roman"/>
          <w:b/>
          <w:bCs/>
          <w:color w:val="auto"/>
          <w:lang w:val="en-US" w:eastAsia="zh-CN"/>
        </w:rPr>
        <w:t>不动产权证</w:t>
      </w: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73600" behindDoc="0" locked="0" layoutInCell="1" allowOverlap="1">
            <wp:simplePos x="0" y="0"/>
            <wp:positionH relativeFrom="column">
              <wp:posOffset>274955</wp:posOffset>
            </wp:positionH>
            <wp:positionV relativeFrom="paragraph">
              <wp:posOffset>106045</wp:posOffset>
            </wp:positionV>
            <wp:extent cx="5608320" cy="7474585"/>
            <wp:effectExtent l="0" t="0" r="11430" b="12065"/>
            <wp:wrapTopAndBottom/>
            <wp:docPr id="15" name="图片 40" descr="57aa94e1595c783de54cabdd3952b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0" descr="57aa94e1595c783de54cabdd3952b77"/>
                    <pic:cNvPicPr>
                      <a:picLocks noChangeAspect="1"/>
                    </pic:cNvPicPr>
                  </pic:nvPicPr>
                  <pic:blipFill>
                    <a:blip r:embed="rId15"/>
                    <a:stretch>
                      <a:fillRect/>
                    </a:stretch>
                  </pic:blipFill>
                  <pic:spPr>
                    <a:xfrm>
                      <a:off x="0" y="0"/>
                      <a:ext cx="5608320" cy="7474585"/>
                    </a:xfrm>
                    <a:prstGeom prst="rect">
                      <a:avLst/>
                    </a:prstGeom>
                    <a:noFill/>
                    <a:ln>
                      <a:noFill/>
                    </a:ln>
                  </pic:spPr>
                </pic:pic>
              </a:graphicData>
            </a:graphic>
          </wp:anchor>
        </w:drawing>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74624" behindDoc="0" locked="0" layoutInCell="1" allowOverlap="1">
            <wp:simplePos x="0" y="0"/>
            <wp:positionH relativeFrom="column">
              <wp:posOffset>344170</wp:posOffset>
            </wp:positionH>
            <wp:positionV relativeFrom="paragraph">
              <wp:posOffset>668655</wp:posOffset>
            </wp:positionV>
            <wp:extent cx="5608320" cy="7474585"/>
            <wp:effectExtent l="0" t="0" r="11430" b="12065"/>
            <wp:wrapTopAndBottom/>
            <wp:docPr id="16" name="图片 41" descr="7821e1300f954108c6fa590b9c7ec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1" descr="7821e1300f954108c6fa590b9c7ec9b"/>
                    <pic:cNvPicPr>
                      <a:picLocks noChangeAspect="1"/>
                    </pic:cNvPicPr>
                  </pic:nvPicPr>
                  <pic:blipFill>
                    <a:blip r:embed="rId16"/>
                    <a:stretch>
                      <a:fillRect/>
                    </a:stretch>
                  </pic:blipFill>
                  <pic:spPr>
                    <a:xfrm>
                      <a:off x="0" y="0"/>
                      <a:ext cx="5608320" cy="7474585"/>
                    </a:xfrm>
                    <a:prstGeom prst="rect">
                      <a:avLst/>
                    </a:prstGeom>
                    <a:noFill/>
                    <a:ln>
                      <a:noFill/>
                    </a:ln>
                  </pic:spPr>
                </pic:pic>
              </a:graphicData>
            </a:graphic>
          </wp:anchor>
        </w:drawing>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固定污染源排污登记回执及登记表</w:t>
      </w:r>
    </w:p>
    <w:p>
      <w:pPr>
        <w:rPr>
          <w:rFonts w:hint="default" w:ascii="Times New Roman" w:hAnsi="Times New Roman" w:cs="Times New Roman"/>
          <w:b/>
          <w:bCs/>
          <w:color w:val="auto"/>
          <w:lang w:val="en-US" w:eastAsia="zh-CN"/>
        </w:rPr>
      </w:pPr>
      <w:r>
        <w:rPr>
          <w:color w:val="auto"/>
        </w:rPr>
        <w:drawing>
          <wp:inline distT="0" distB="0" distL="114300" distR="114300">
            <wp:extent cx="5615305" cy="6552565"/>
            <wp:effectExtent l="0" t="0" r="4445" b="635"/>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17"/>
                    <a:stretch>
                      <a:fillRect/>
                    </a:stretch>
                  </pic:blipFill>
                  <pic:spPr>
                    <a:xfrm>
                      <a:off x="0" y="0"/>
                      <a:ext cx="5615305" cy="6552565"/>
                    </a:xfrm>
                    <a:prstGeom prst="rect">
                      <a:avLst/>
                    </a:prstGeom>
                    <a:noFill/>
                    <a:ln>
                      <a:noFill/>
                    </a:ln>
                  </pic:spPr>
                </pic:pic>
              </a:graphicData>
            </a:graphic>
          </wp:inline>
        </w:drawing>
      </w:r>
      <w:r>
        <w:rPr>
          <w:rFonts w:hint="default" w:ascii="Times New Roman" w:hAnsi="Times New Roman" w:cs="Times New Roman"/>
          <w:b/>
          <w:bCs/>
          <w:color w:val="auto"/>
          <w:lang w:val="en-US" w:eastAsia="zh-CN"/>
        </w:rPr>
        <w:br w:type="page"/>
      </w: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本公示截图</w:t>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行政处罚决定书</w:t>
      </w: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8480" behindDoc="0" locked="0" layoutInCell="1" allowOverlap="1">
            <wp:simplePos x="0" y="0"/>
            <wp:positionH relativeFrom="column">
              <wp:posOffset>-19050</wp:posOffset>
            </wp:positionH>
            <wp:positionV relativeFrom="paragraph">
              <wp:posOffset>212725</wp:posOffset>
            </wp:positionV>
            <wp:extent cx="5608320" cy="7474585"/>
            <wp:effectExtent l="0" t="0" r="11430" b="12065"/>
            <wp:wrapTopAndBottom/>
            <wp:docPr id="10" name="图片 36" descr="58b5adb07611926b586e2d24555ec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6" descr="58b5adb07611926b586e2d24555ecf4"/>
                    <pic:cNvPicPr>
                      <a:picLocks noChangeAspect="1"/>
                    </pic:cNvPicPr>
                  </pic:nvPicPr>
                  <pic:blipFill>
                    <a:blip r:embed="rId18"/>
                    <a:stretch>
                      <a:fillRect/>
                    </a:stretch>
                  </pic:blipFill>
                  <pic:spPr>
                    <a:xfrm>
                      <a:off x="0" y="0"/>
                      <a:ext cx="5608320" cy="7474585"/>
                    </a:xfrm>
                    <a:prstGeom prst="rect">
                      <a:avLst/>
                    </a:prstGeom>
                    <a:noFill/>
                    <a:ln>
                      <a:noFill/>
                    </a:ln>
                  </pic:spPr>
                </pic:pic>
              </a:graphicData>
            </a:graphic>
          </wp:anchor>
        </w:drawing>
      </w: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9504" behindDoc="0" locked="0" layoutInCell="1" allowOverlap="1">
            <wp:simplePos x="0" y="0"/>
            <wp:positionH relativeFrom="column">
              <wp:posOffset>31750</wp:posOffset>
            </wp:positionH>
            <wp:positionV relativeFrom="paragraph">
              <wp:posOffset>126365</wp:posOffset>
            </wp:positionV>
            <wp:extent cx="5608320" cy="7474585"/>
            <wp:effectExtent l="0" t="0" r="11430" b="12065"/>
            <wp:wrapSquare wrapText="bothSides"/>
            <wp:docPr id="11" name="图片 37" descr="9d67448eb948fab1ef64ed4550551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7" descr="9d67448eb948fab1ef64ed45505511a"/>
                    <pic:cNvPicPr>
                      <a:picLocks noChangeAspect="1"/>
                    </pic:cNvPicPr>
                  </pic:nvPicPr>
                  <pic:blipFill>
                    <a:blip r:embed="rId19"/>
                    <a:stretch>
                      <a:fillRect/>
                    </a:stretch>
                  </pic:blipFill>
                  <pic:spPr>
                    <a:xfrm>
                      <a:off x="0" y="0"/>
                      <a:ext cx="5608320" cy="7474585"/>
                    </a:xfrm>
                    <a:prstGeom prst="rect">
                      <a:avLst/>
                    </a:prstGeom>
                    <a:noFill/>
                    <a:ln>
                      <a:noFill/>
                    </a:ln>
                  </pic:spPr>
                </pic:pic>
              </a:graphicData>
            </a:graphic>
          </wp:anchor>
        </w:drawing>
      </w:r>
    </w:p>
    <w:p>
      <w:pPr>
        <w:pStyle w:val="2"/>
        <w:ind w:left="0" w:leftChars="0" w:firstLine="0" w:firstLineChars="0"/>
        <w:jc w:val="left"/>
        <w:rPr>
          <w:rFonts w:hint="default" w:ascii="Times New Roman" w:hAnsi="Times New Roman" w:cs="Times New Roman"/>
          <w:b/>
          <w:bCs/>
          <w:color w:val="auto"/>
          <w:lang w:val="en-US" w:eastAsia="zh-CN"/>
        </w:rPr>
      </w:pPr>
    </w:p>
    <w:p>
      <w:pPr>
        <w:pStyle w:val="2"/>
        <w:ind w:left="0" w:leftChars="0" w:firstLine="0" w:firstLineChars="0"/>
        <w:jc w:val="left"/>
        <w:rPr>
          <w:rFonts w:hint="default" w:ascii="Times New Roman" w:hAnsi="Times New Roman" w:cs="Times New Roman"/>
          <w:b/>
          <w:bCs/>
          <w:color w:val="auto"/>
          <w:lang w:val="en-US" w:eastAsia="zh-CN"/>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罚款缴纳凭证</w:t>
      </w:r>
    </w:p>
    <w:p>
      <w:pPr>
        <w:pStyle w:val="2"/>
        <w:ind w:left="0" w:leftChars="0" w:firstLine="0" w:firstLineChars="0"/>
        <w:jc w:val="left"/>
        <w:rPr>
          <w:rFonts w:hint="default" w:ascii="Times New Roman" w:hAnsi="Times New Roman" w:cs="Times New Roman"/>
          <w:b/>
          <w:bCs/>
          <w:color w:val="auto"/>
          <w:lang w:val="en-US" w:eastAsia="zh-CN"/>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r>
        <w:rPr>
          <w:rFonts w:hint="default" w:ascii="Times New Roman" w:hAnsi="Times New Roman" w:cs="Times New Roman"/>
          <w:b/>
          <w:bCs/>
          <w:color w:val="auto"/>
          <w:lang w:val="en-US" w:eastAsia="zh-CN"/>
        </w:rPr>
        <w:drawing>
          <wp:anchor distT="0" distB="0" distL="114300" distR="114300" simplePos="0" relativeHeight="251671552" behindDoc="0" locked="0" layoutInCell="1" allowOverlap="1">
            <wp:simplePos x="0" y="0"/>
            <wp:positionH relativeFrom="column">
              <wp:posOffset>840740</wp:posOffset>
            </wp:positionH>
            <wp:positionV relativeFrom="paragraph">
              <wp:posOffset>151765</wp:posOffset>
            </wp:positionV>
            <wp:extent cx="6128385" cy="4371975"/>
            <wp:effectExtent l="0" t="0" r="5715" b="9525"/>
            <wp:wrapTopAndBottom/>
            <wp:docPr id="13" name="图片 38" descr="7f67e705a1d40bb37ca8bfa9901f81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8" descr="7f67e705a1d40bb37ca8bfa9901f81d"/>
                    <pic:cNvPicPr>
                      <a:picLocks noChangeAspect="1"/>
                    </pic:cNvPicPr>
                  </pic:nvPicPr>
                  <pic:blipFill>
                    <a:blip r:embed="rId20"/>
                    <a:stretch>
                      <a:fillRect/>
                    </a:stretch>
                  </pic:blipFill>
                  <pic:spPr>
                    <a:xfrm>
                      <a:off x="0" y="0"/>
                      <a:ext cx="6128385" cy="4371975"/>
                    </a:xfrm>
                    <a:prstGeom prst="rect">
                      <a:avLst/>
                    </a:prstGeom>
                    <a:noFill/>
                    <a:ln>
                      <a:noFill/>
                    </a:ln>
                  </pic:spPr>
                </pic:pic>
              </a:graphicData>
            </a:graphic>
          </wp:anchor>
        </w:drawing>
      </w:r>
    </w:p>
    <w:p>
      <w:pPr>
        <w:pStyle w:val="2"/>
        <w:ind w:left="0" w:leftChars="0" w:firstLine="0" w:firstLineChars="0"/>
        <w:jc w:val="left"/>
        <w:rPr>
          <w:rFonts w:hint="default" w:ascii="Times New Roman" w:hAnsi="Times New Roman" w:cs="Times New Roman"/>
          <w:b/>
          <w:bCs/>
          <w:color w:val="auto"/>
          <w:lang w:val="en-US" w:eastAsia="zh-CN"/>
        </w:rPr>
      </w:pPr>
    </w:p>
    <w:p>
      <w:pPr>
        <w:pStyle w:val="2"/>
        <w:ind w:left="0" w:leftChars="0" w:firstLine="0" w:firstLineChars="0"/>
        <w:jc w:val="left"/>
        <w:rPr>
          <w:rFonts w:hint="default" w:ascii="Times New Roman" w:hAnsi="Times New Roman" w:cs="Times New Roman"/>
          <w:b/>
          <w:bCs/>
          <w:color w:val="auto"/>
          <w:lang w:val="en-US" w:eastAsia="zh-CN"/>
        </w:rPr>
      </w:pPr>
    </w:p>
    <w:p>
      <w:pPr>
        <w:pStyle w:val="2"/>
        <w:ind w:left="0" w:leftChars="0" w:firstLine="0" w:firstLineChars="0"/>
        <w:jc w:val="left"/>
        <w:rPr>
          <w:rFonts w:hint="default" w:ascii="Times New Roman" w:hAnsi="Times New Roman" w:cs="Times New Roman"/>
          <w:b/>
          <w:bCs/>
          <w:color w:val="auto"/>
          <w:lang w:val="en-US" w:eastAsia="zh-CN"/>
        </w:rPr>
        <w:sectPr>
          <w:type w:val="continuous"/>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pPr>
        <w:rPr>
          <w:rFonts w:hint="default" w:ascii="Times New Roman" w:hAnsi="Times New Roman" w:cs="Times New Roman"/>
          <w:b/>
          <w:bCs/>
          <w:color w:val="auto"/>
          <w:sz w:val="24"/>
          <w:szCs w:val="24"/>
          <w:lang w:val="en-US" w:eastAsia="zh-CN"/>
        </w:rPr>
      </w:pPr>
    </w:p>
    <w:p>
      <w:pP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lang w:val="en-US" w:eastAsia="zh-CN"/>
        </w:rPr>
        <w:drawing>
          <wp:anchor distT="0" distB="0" distL="114300" distR="114300" simplePos="0" relativeHeight="251663360" behindDoc="0" locked="0" layoutInCell="1" allowOverlap="1">
            <wp:simplePos x="0" y="0"/>
            <wp:positionH relativeFrom="column">
              <wp:posOffset>377190</wp:posOffset>
            </wp:positionH>
            <wp:positionV relativeFrom="paragraph">
              <wp:posOffset>380365</wp:posOffset>
            </wp:positionV>
            <wp:extent cx="8583295" cy="4969510"/>
            <wp:effectExtent l="0" t="0" r="8255" b="2540"/>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21"/>
                    <a:stretch>
                      <a:fillRect/>
                    </a:stretch>
                  </pic:blipFill>
                  <pic:spPr>
                    <a:xfrm>
                      <a:off x="0" y="0"/>
                      <a:ext cx="8583295" cy="4969510"/>
                    </a:xfrm>
                    <a:prstGeom prst="rect">
                      <a:avLst/>
                    </a:prstGeom>
                    <a:noFill/>
                    <a:ln>
                      <a:noFill/>
                    </a:ln>
                  </pic:spPr>
                </pic:pic>
              </a:graphicData>
            </a:graphic>
          </wp:anchor>
        </w:drawing>
      </w:r>
      <w:r>
        <w:rPr>
          <w:rFonts w:hint="default" w:ascii="Times New Roman" w:hAnsi="Times New Roman" w:cs="Times New Roman"/>
          <w:b/>
          <w:bCs/>
          <w:color w:val="auto"/>
          <w:sz w:val="24"/>
          <w:szCs w:val="24"/>
          <w:lang w:val="en-US" w:eastAsia="zh-CN"/>
        </w:rPr>
        <w:t>项目地理位置图</w:t>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r>
        <w:rPr>
          <w:rFonts w:hint="default" w:ascii="Times New Roman" w:hAnsi="Times New Roman" w:eastAsia="宋体" w:cs="Times New Roman"/>
          <w:b/>
          <w:bCs/>
          <w:snapToGrid w:val="0"/>
          <w:color w:val="auto"/>
          <w:spacing w:val="-1"/>
          <w:kern w:val="0"/>
          <w:sz w:val="24"/>
          <w:szCs w:val="24"/>
        </w:rPr>
        <w:t>项</w:t>
      </w: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eastAsia="宋体" w:cs="Times New Roman"/>
          <w:b/>
          <w:bCs/>
          <w:snapToGrid w:val="0"/>
          <w:color w:val="auto"/>
          <w:spacing w:val="-1"/>
          <w:kern w:val="0"/>
          <w:sz w:val="24"/>
          <w:szCs w:val="24"/>
        </w:rPr>
      </w:pPr>
    </w:p>
    <w:p>
      <w:pPr>
        <w:pStyle w:val="2"/>
        <w:jc w:val="left"/>
        <w:rPr>
          <w:rFonts w:hint="default" w:ascii="Times New Roman" w:hAnsi="Times New Roman" w:cs="Times New Roman"/>
          <w:b/>
          <w:bCs/>
          <w:color w:val="auto"/>
          <w:lang w:val="en-US" w:eastAsia="zh-CN"/>
        </w:rPr>
      </w:pPr>
      <w:r>
        <w:rPr>
          <w:rFonts w:hint="eastAsia" w:ascii="Times New Roman" w:hAnsi="Times New Roman" w:cs="Times New Roman"/>
          <w:b/>
          <w:bCs/>
          <w:snapToGrid w:val="0"/>
          <w:color w:val="auto"/>
          <w:spacing w:val="-1"/>
          <w:kern w:val="0"/>
          <w:sz w:val="24"/>
          <w:szCs w:val="24"/>
          <w:lang w:val="en-US" w:eastAsia="zh-CN"/>
        </w:rPr>
        <w:t>项目周边环境</w:t>
      </w:r>
      <w:r>
        <w:rPr>
          <w:rFonts w:hint="default" w:ascii="Times New Roman" w:hAnsi="Times New Roman" w:eastAsia="宋体" w:cs="Times New Roman"/>
          <w:b/>
          <w:bCs/>
          <w:snapToGrid w:val="0"/>
          <w:color w:val="auto"/>
          <w:spacing w:val="-1"/>
          <w:kern w:val="0"/>
          <w:sz w:val="24"/>
          <w:szCs w:val="24"/>
        </w:rPr>
        <w:t>图</w:t>
      </w:r>
      <w:r>
        <w:rPr>
          <w:rFonts w:hint="default" w:ascii="Times New Roman" w:hAnsi="Times New Roman" w:cs="Times New Roman"/>
          <w:b/>
          <w:bCs/>
          <w:color w:val="auto"/>
          <w:lang w:val="en-US" w:eastAsia="zh-CN"/>
        </w:rPr>
        <w:drawing>
          <wp:anchor distT="0" distB="0" distL="114300" distR="114300" simplePos="0" relativeHeight="251662336" behindDoc="0" locked="0" layoutInCell="1" allowOverlap="1">
            <wp:simplePos x="0" y="0"/>
            <wp:positionH relativeFrom="column">
              <wp:posOffset>394970</wp:posOffset>
            </wp:positionH>
            <wp:positionV relativeFrom="paragraph">
              <wp:posOffset>379095</wp:posOffset>
            </wp:positionV>
            <wp:extent cx="8046085" cy="4982845"/>
            <wp:effectExtent l="0" t="0" r="12065" b="8255"/>
            <wp:wrapTopAndBottom/>
            <wp:docPr id="3" name="图片 19" descr="dd32e5cf2c3c7ec0c0e3e1b232aa13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descr="dd32e5cf2c3c7ec0c0e3e1b232aa13f"/>
                    <pic:cNvPicPr>
                      <a:picLocks noChangeAspect="1"/>
                    </pic:cNvPicPr>
                  </pic:nvPicPr>
                  <pic:blipFill>
                    <a:blip r:embed="rId22"/>
                    <a:stretch>
                      <a:fillRect/>
                    </a:stretch>
                  </pic:blipFill>
                  <pic:spPr>
                    <a:xfrm>
                      <a:off x="0" y="0"/>
                      <a:ext cx="8046085" cy="4982845"/>
                    </a:xfrm>
                    <a:prstGeom prst="rect">
                      <a:avLst/>
                    </a:prstGeom>
                    <a:noFill/>
                    <a:ln>
                      <a:noFill/>
                    </a:ln>
                  </pic:spPr>
                </pic:pic>
              </a:graphicData>
            </a:graphic>
          </wp:anchor>
        </w:drawing>
      </w:r>
    </w:p>
    <w:p>
      <w:pPr>
        <w:pStyle w:val="2"/>
        <w:jc w:val="left"/>
        <w:rPr>
          <w:rFonts w:hint="default" w:ascii="Times New Roman" w:hAnsi="Times New Roman" w:cs="Times New Roman"/>
          <w:b/>
          <w:bCs/>
          <w:color w:val="auto"/>
          <w:lang w:val="en-US" w:eastAsia="zh-CN"/>
        </w:rPr>
        <w:sectPr>
          <w:type w:val="continuous"/>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芜湖市规划图</w:t>
      </w: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5408" behindDoc="0" locked="0" layoutInCell="1" allowOverlap="1">
            <wp:simplePos x="0" y="0"/>
            <wp:positionH relativeFrom="column">
              <wp:posOffset>94615</wp:posOffset>
            </wp:positionH>
            <wp:positionV relativeFrom="paragraph">
              <wp:posOffset>249555</wp:posOffset>
            </wp:positionV>
            <wp:extent cx="7969250" cy="5343525"/>
            <wp:effectExtent l="0" t="0" r="12700" b="9525"/>
            <wp:wrapSquare wrapText="bothSides"/>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23"/>
                    <a:stretch>
                      <a:fillRect/>
                    </a:stretch>
                  </pic:blipFill>
                  <pic:spPr>
                    <a:xfrm>
                      <a:off x="0" y="0"/>
                      <a:ext cx="7969250" cy="5343525"/>
                    </a:xfrm>
                    <a:prstGeom prst="rect">
                      <a:avLst/>
                    </a:prstGeom>
                    <a:noFill/>
                    <a:ln>
                      <a:noFill/>
                    </a:ln>
                  </pic:spPr>
                </pic:pic>
              </a:graphicData>
            </a:graphic>
          </wp:anchor>
        </w:drawing>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6432" behindDoc="0" locked="0" layoutInCell="1" allowOverlap="1">
            <wp:simplePos x="0" y="0"/>
            <wp:positionH relativeFrom="column">
              <wp:posOffset>244475</wp:posOffset>
            </wp:positionH>
            <wp:positionV relativeFrom="paragraph">
              <wp:posOffset>348615</wp:posOffset>
            </wp:positionV>
            <wp:extent cx="5581015" cy="7532370"/>
            <wp:effectExtent l="0" t="0" r="635" b="11430"/>
            <wp:wrapTopAndBottom/>
            <wp:docPr id="8" name="图片 31" descr="5b14a2ec7168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1" descr="5b14a2ec7168f"/>
                    <pic:cNvPicPr>
                      <a:picLocks noChangeAspect="1"/>
                    </pic:cNvPicPr>
                  </pic:nvPicPr>
                  <pic:blipFill>
                    <a:blip r:embed="rId24"/>
                    <a:stretch>
                      <a:fillRect/>
                    </a:stretch>
                  </pic:blipFill>
                  <pic:spPr>
                    <a:xfrm>
                      <a:off x="0" y="0"/>
                      <a:ext cx="5581015" cy="7532370"/>
                    </a:xfrm>
                    <a:prstGeom prst="rect">
                      <a:avLst/>
                    </a:prstGeom>
                    <a:noFill/>
                    <a:ln>
                      <a:noFill/>
                    </a:ln>
                  </pic:spPr>
                </pic:pic>
              </a:graphicData>
            </a:graphic>
          </wp:anchor>
        </w:drawing>
      </w:r>
      <w:r>
        <w:rPr>
          <w:rFonts w:hint="default" w:ascii="Times New Roman" w:hAnsi="Times New Roman" w:cs="Times New Roman"/>
          <w:b/>
          <w:bCs/>
          <w:color w:val="auto"/>
          <w:lang w:val="en-US" w:eastAsia="zh-CN"/>
        </w:rPr>
        <w:t>清水街道土地利用规划图</w:t>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sectPr>
          <w:pgSz w:w="11906" w:h="16838"/>
          <w:pgMar w:top="1701" w:right="1531" w:bottom="1701" w:left="1531" w:header="851" w:footer="851" w:gutter="0"/>
          <w:pgBorders>
            <w:top w:val="none" w:sz="0" w:space="0"/>
            <w:left w:val="none" w:sz="0" w:space="0"/>
            <w:bottom w:val="none" w:sz="0" w:space="0"/>
            <w:right w:val="none" w:sz="0" w:space="0"/>
          </w:pgBorders>
          <w:cols w:space="720" w:num="1"/>
          <w:docGrid w:linePitch="312" w:charSpace="0"/>
        </w:sect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7456" behindDoc="0" locked="0" layoutInCell="1" allowOverlap="1">
            <wp:simplePos x="0" y="0"/>
            <wp:positionH relativeFrom="column">
              <wp:posOffset>535940</wp:posOffset>
            </wp:positionH>
            <wp:positionV relativeFrom="paragraph">
              <wp:posOffset>357505</wp:posOffset>
            </wp:positionV>
            <wp:extent cx="3526155" cy="4986020"/>
            <wp:effectExtent l="0" t="0" r="17145" b="5080"/>
            <wp:wrapTopAndBottom/>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0"/>
                    <pic:cNvPicPr>
                      <a:picLocks noChangeAspect="1"/>
                    </pic:cNvPicPr>
                  </pic:nvPicPr>
                  <pic:blipFill>
                    <a:blip r:embed="rId25"/>
                    <a:stretch>
                      <a:fillRect/>
                    </a:stretch>
                  </pic:blipFill>
                  <pic:spPr>
                    <a:xfrm>
                      <a:off x="0" y="0"/>
                      <a:ext cx="3526155" cy="4986020"/>
                    </a:xfrm>
                    <a:prstGeom prst="rect">
                      <a:avLst/>
                    </a:prstGeom>
                    <a:noFill/>
                    <a:ln>
                      <a:noFill/>
                    </a:ln>
                  </pic:spPr>
                </pic:pic>
              </a:graphicData>
            </a:graphic>
          </wp:anchor>
        </w:drawing>
      </w:r>
      <w:r>
        <w:rPr>
          <w:rFonts w:hint="default" w:ascii="Times New Roman" w:hAnsi="Times New Roman" w:cs="Times New Roman"/>
          <w:b/>
          <w:bCs/>
          <w:color w:val="auto"/>
          <w:lang w:val="en-US" w:eastAsia="zh-CN"/>
        </w:rPr>
        <w:drawing>
          <wp:anchor distT="0" distB="0" distL="114300" distR="114300" simplePos="0" relativeHeight="251670528" behindDoc="0" locked="0" layoutInCell="1" allowOverlap="1">
            <wp:simplePos x="0" y="0"/>
            <wp:positionH relativeFrom="column">
              <wp:posOffset>4086225</wp:posOffset>
            </wp:positionH>
            <wp:positionV relativeFrom="paragraph">
              <wp:posOffset>379095</wp:posOffset>
            </wp:positionV>
            <wp:extent cx="4087495" cy="4850130"/>
            <wp:effectExtent l="0" t="0" r="8255" b="7620"/>
            <wp:wrapTopAndBottom/>
            <wp:docPr id="1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a:blip r:embed="rId26"/>
                    <a:stretch>
                      <a:fillRect/>
                    </a:stretch>
                  </pic:blipFill>
                  <pic:spPr>
                    <a:xfrm>
                      <a:off x="0" y="0"/>
                      <a:ext cx="4087495" cy="4850130"/>
                    </a:xfrm>
                    <a:prstGeom prst="rect">
                      <a:avLst/>
                    </a:prstGeom>
                    <a:noFill/>
                    <a:ln>
                      <a:noFill/>
                    </a:ln>
                  </pic:spPr>
                </pic:pic>
              </a:graphicData>
            </a:graphic>
          </wp:anchor>
        </w:drawing>
      </w:r>
      <w:r>
        <w:rPr>
          <w:rFonts w:hint="default" w:ascii="Times New Roman" w:hAnsi="Times New Roman" w:cs="Times New Roman"/>
          <w:b/>
          <w:bCs/>
          <w:color w:val="auto"/>
          <w:lang w:val="en-US" w:eastAsia="zh-CN"/>
        </w:rPr>
        <w:t>清水街道规划图（局部放大）</w:t>
      </w: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76672" behindDoc="0" locked="0" layoutInCell="1" allowOverlap="1">
            <wp:simplePos x="0" y="0"/>
            <wp:positionH relativeFrom="column">
              <wp:posOffset>-30480</wp:posOffset>
            </wp:positionH>
            <wp:positionV relativeFrom="paragraph">
              <wp:posOffset>456565</wp:posOffset>
            </wp:positionV>
            <wp:extent cx="8528685" cy="5655945"/>
            <wp:effectExtent l="0" t="0" r="5715" b="1905"/>
            <wp:wrapTopAndBottom/>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27"/>
                    <a:stretch>
                      <a:fillRect/>
                    </a:stretch>
                  </pic:blipFill>
                  <pic:spPr>
                    <a:xfrm>
                      <a:off x="0" y="0"/>
                      <a:ext cx="8528685" cy="5655945"/>
                    </a:xfrm>
                    <a:prstGeom prst="rect">
                      <a:avLst/>
                    </a:prstGeom>
                    <a:noFill/>
                    <a:ln>
                      <a:noFill/>
                    </a:ln>
                  </pic:spPr>
                </pic:pic>
              </a:graphicData>
            </a:graphic>
          </wp:anchor>
        </w:drawing>
      </w:r>
      <w:r>
        <w:rPr>
          <w:rFonts w:hint="eastAsia" w:ascii="Times New Roman" w:hAnsi="Times New Roman" w:cs="Times New Roman"/>
          <w:b/>
          <w:bCs/>
          <w:color w:val="auto"/>
          <w:lang w:val="en-US" w:eastAsia="zh-CN"/>
        </w:rPr>
        <w:t>项目平面布置图</w:t>
      </w:r>
    </w:p>
    <w:p>
      <w:pPr>
        <w:pStyle w:val="2"/>
        <w:ind w:left="0" w:leftChars="0" w:firstLine="0" w:firstLineChars="0"/>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安徽省生态环境保护红线</w:t>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drawing>
          <wp:anchor distT="0" distB="0" distL="114300" distR="114300" simplePos="0" relativeHeight="251664384" behindDoc="0" locked="0" layoutInCell="1" allowOverlap="1">
            <wp:simplePos x="0" y="0"/>
            <wp:positionH relativeFrom="column">
              <wp:posOffset>381000</wp:posOffset>
            </wp:positionH>
            <wp:positionV relativeFrom="paragraph">
              <wp:posOffset>45720</wp:posOffset>
            </wp:positionV>
            <wp:extent cx="7664450" cy="5093335"/>
            <wp:effectExtent l="0" t="0" r="12700" b="12065"/>
            <wp:wrapSquare wrapText="bothSides"/>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28"/>
                    <a:stretch>
                      <a:fillRect/>
                    </a:stretch>
                  </pic:blipFill>
                  <pic:spPr>
                    <a:xfrm>
                      <a:off x="0" y="0"/>
                      <a:ext cx="7664450" cy="5093335"/>
                    </a:xfrm>
                    <a:prstGeom prst="rect">
                      <a:avLst/>
                    </a:prstGeom>
                    <a:noFill/>
                    <a:ln>
                      <a:noFill/>
                    </a:ln>
                  </pic:spPr>
                </pic:pic>
              </a:graphicData>
            </a:graphic>
          </wp:anchor>
        </w:drawing>
      </w: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p>
      <w:pPr>
        <w:pStyle w:val="2"/>
        <w:jc w:val="left"/>
        <w:rPr>
          <w:rFonts w:hint="default" w:ascii="Times New Roman" w:hAnsi="Times New Roman" w:cs="Times New Roman"/>
          <w:b/>
          <w:bCs/>
          <w:color w:val="auto"/>
          <w:lang w:val="en-US" w:eastAsia="zh-CN"/>
        </w:rPr>
      </w:pPr>
    </w:p>
    <w:sectPr>
      <w:pgSz w:w="16838" w:h="11906" w:orient="landscape"/>
      <w:pgMar w:top="1531" w:right="1701" w:bottom="1531" w:left="1701" w:header="851" w:footer="851" w:gutter="0"/>
      <w:pgBorders>
        <w:top w:val="none" w:sz="0" w:space="0"/>
        <w:left w:val="none" w:sz="0" w:space="0"/>
        <w:bottom w:val="none" w:sz="0" w:space="0"/>
        <w:right w:val="none" w:sz="0" w:space="0"/>
      </w:pgBorders>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TimesNewRomanPS-BoldMT">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fldChar w:fldCharType="begin"/>
    </w:r>
    <w:r>
      <w:instrText xml:space="preserve">PAGE   \* MERGEFORMAT</w:instrText>
    </w:r>
    <w:r>
      <w:fldChar w:fldCharType="separate"/>
    </w:r>
    <w:r>
      <w:rPr>
        <w:lang w:val="zh-CN"/>
      </w:rPr>
      <w:t>2</w:t>
    </w:r>
    <w:r>
      <w:fldChar w:fldCharType="end"/>
    </w:r>
  </w:p>
  <w:p>
    <w:pPr>
      <w:pStyle w:val="16"/>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1C077D"/>
    <w:multiLevelType w:val="multilevel"/>
    <w:tmpl w:val="711C077D"/>
    <w:lvl w:ilvl="0" w:tentative="0">
      <w:start w:val="1"/>
      <w:numFmt w:val="japaneseCounting"/>
      <w:lvlText w:val="%1、"/>
      <w:lvlJc w:val="left"/>
      <w:pPr>
        <w:ind w:left="510" w:hanging="51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74E32A5"/>
    <w:multiLevelType w:val="multilevel"/>
    <w:tmpl w:val="774E32A5"/>
    <w:lvl w:ilvl="0" w:tentative="0">
      <w:start w:val="1"/>
      <w:numFmt w:val="decimal"/>
      <w:lvlText w:val="%1、"/>
      <w:lvlJc w:val="left"/>
      <w:pPr>
        <w:ind w:left="360" w:hanging="360"/>
      </w:pPr>
      <w:rPr>
        <w:rFonts w:hint="default" w:ascii="宋体" w:hAnsi="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g0M2I0NmQwNzc1M2IyYTcwNTVhNjhjMmM4MzNkZTQifQ=="/>
  </w:docVars>
  <w:rsids>
    <w:rsidRoot w:val="00172A27"/>
    <w:rsid w:val="00000C77"/>
    <w:rsid w:val="00001225"/>
    <w:rsid w:val="000022C7"/>
    <w:rsid w:val="000060B3"/>
    <w:rsid w:val="0001724A"/>
    <w:rsid w:val="000304D3"/>
    <w:rsid w:val="00033419"/>
    <w:rsid w:val="00034C79"/>
    <w:rsid w:val="0004364B"/>
    <w:rsid w:val="00061B1F"/>
    <w:rsid w:val="00062F5A"/>
    <w:rsid w:val="000733C4"/>
    <w:rsid w:val="00074783"/>
    <w:rsid w:val="0008070B"/>
    <w:rsid w:val="000810AC"/>
    <w:rsid w:val="00081618"/>
    <w:rsid w:val="00081A02"/>
    <w:rsid w:val="00082231"/>
    <w:rsid w:val="00092D38"/>
    <w:rsid w:val="0009377B"/>
    <w:rsid w:val="00097206"/>
    <w:rsid w:val="00097EB8"/>
    <w:rsid w:val="000A20C9"/>
    <w:rsid w:val="000B058F"/>
    <w:rsid w:val="000B1938"/>
    <w:rsid w:val="000B4467"/>
    <w:rsid w:val="000B4DB9"/>
    <w:rsid w:val="000B5F20"/>
    <w:rsid w:val="000C0306"/>
    <w:rsid w:val="000C09AC"/>
    <w:rsid w:val="000C59DC"/>
    <w:rsid w:val="000C767F"/>
    <w:rsid w:val="000D37A6"/>
    <w:rsid w:val="000D5A44"/>
    <w:rsid w:val="000E3ED2"/>
    <w:rsid w:val="000E46FE"/>
    <w:rsid w:val="000E4D64"/>
    <w:rsid w:val="000F7121"/>
    <w:rsid w:val="0010105F"/>
    <w:rsid w:val="00105843"/>
    <w:rsid w:val="00106BCE"/>
    <w:rsid w:val="00107AA9"/>
    <w:rsid w:val="00117023"/>
    <w:rsid w:val="00125A13"/>
    <w:rsid w:val="00131F42"/>
    <w:rsid w:val="001340AE"/>
    <w:rsid w:val="001357F1"/>
    <w:rsid w:val="00140FA8"/>
    <w:rsid w:val="00142AF8"/>
    <w:rsid w:val="00142FEB"/>
    <w:rsid w:val="00143A2D"/>
    <w:rsid w:val="00145A41"/>
    <w:rsid w:val="00146ABF"/>
    <w:rsid w:val="00151675"/>
    <w:rsid w:val="00153CD5"/>
    <w:rsid w:val="00157435"/>
    <w:rsid w:val="00157B97"/>
    <w:rsid w:val="00163490"/>
    <w:rsid w:val="00171778"/>
    <w:rsid w:val="0017504D"/>
    <w:rsid w:val="00175E1F"/>
    <w:rsid w:val="0017671A"/>
    <w:rsid w:val="00176D58"/>
    <w:rsid w:val="00177422"/>
    <w:rsid w:val="00184590"/>
    <w:rsid w:val="001870D1"/>
    <w:rsid w:val="0018781E"/>
    <w:rsid w:val="0019262D"/>
    <w:rsid w:val="00194F12"/>
    <w:rsid w:val="001A1B35"/>
    <w:rsid w:val="001A48A2"/>
    <w:rsid w:val="001A699E"/>
    <w:rsid w:val="001A6F61"/>
    <w:rsid w:val="001B2418"/>
    <w:rsid w:val="001B5464"/>
    <w:rsid w:val="001B72B8"/>
    <w:rsid w:val="001C69B3"/>
    <w:rsid w:val="001D0AF1"/>
    <w:rsid w:val="001D5595"/>
    <w:rsid w:val="001D671D"/>
    <w:rsid w:val="001D7874"/>
    <w:rsid w:val="001D7F22"/>
    <w:rsid w:val="001E447A"/>
    <w:rsid w:val="001F0F17"/>
    <w:rsid w:val="001F3347"/>
    <w:rsid w:val="001F69E4"/>
    <w:rsid w:val="00203BDE"/>
    <w:rsid w:val="002125B4"/>
    <w:rsid w:val="002133DC"/>
    <w:rsid w:val="002155B8"/>
    <w:rsid w:val="00224839"/>
    <w:rsid w:val="002249B2"/>
    <w:rsid w:val="0022592E"/>
    <w:rsid w:val="00226574"/>
    <w:rsid w:val="002278EC"/>
    <w:rsid w:val="002321D6"/>
    <w:rsid w:val="0023280E"/>
    <w:rsid w:val="002377D1"/>
    <w:rsid w:val="002470BE"/>
    <w:rsid w:val="002506BC"/>
    <w:rsid w:val="00251CF5"/>
    <w:rsid w:val="0025342B"/>
    <w:rsid w:val="00254345"/>
    <w:rsid w:val="00254CC0"/>
    <w:rsid w:val="00260788"/>
    <w:rsid w:val="00264557"/>
    <w:rsid w:val="00275919"/>
    <w:rsid w:val="002805AB"/>
    <w:rsid w:val="00284204"/>
    <w:rsid w:val="00291773"/>
    <w:rsid w:val="002A168C"/>
    <w:rsid w:val="002A3DC7"/>
    <w:rsid w:val="002A70C1"/>
    <w:rsid w:val="002B0831"/>
    <w:rsid w:val="002B49E2"/>
    <w:rsid w:val="002B7B00"/>
    <w:rsid w:val="002B7C44"/>
    <w:rsid w:val="002C105C"/>
    <w:rsid w:val="002C2B17"/>
    <w:rsid w:val="002D3CB4"/>
    <w:rsid w:val="002D3DD0"/>
    <w:rsid w:val="002E1F3A"/>
    <w:rsid w:val="002E298A"/>
    <w:rsid w:val="002E526B"/>
    <w:rsid w:val="00301978"/>
    <w:rsid w:val="00301C18"/>
    <w:rsid w:val="00302654"/>
    <w:rsid w:val="0030332C"/>
    <w:rsid w:val="003043D4"/>
    <w:rsid w:val="003051C2"/>
    <w:rsid w:val="00312296"/>
    <w:rsid w:val="003134E7"/>
    <w:rsid w:val="003149D0"/>
    <w:rsid w:val="00314F0E"/>
    <w:rsid w:val="00321D8E"/>
    <w:rsid w:val="00322B1D"/>
    <w:rsid w:val="00325928"/>
    <w:rsid w:val="00332863"/>
    <w:rsid w:val="00335D3C"/>
    <w:rsid w:val="0033684D"/>
    <w:rsid w:val="00337B42"/>
    <w:rsid w:val="00341B42"/>
    <w:rsid w:val="0034348F"/>
    <w:rsid w:val="00345CC2"/>
    <w:rsid w:val="00356653"/>
    <w:rsid w:val="0035743F"/>
    <w:rsid w:val="00357BE2"/>
    <w:rsid w:val="0036170C"/>
    <w:rsid w:val="00366E0F"/>
    <w:rsid w:val="00377FD5"/>
    <w:rsid w:val="00380080"/>
    <w:rsid w:val="00381878"/>
    <w:rsid w:val="00381A72"/>
    <w:rsid w:val="00382D8D"/>
    <w:rsid w:val="00383421"/>
    <w:rsid w:val="00384676"/>
    <w:rsid w:val="00390857"/>
    <w:rsid w:val="00393B45"/>
    <w:rsid w:val="003A4BF3"/>
    <w:rsid w:val="003A58F0"/>
    <w:rsid w:val="003B099B"/>
    <w:rsid w:val="003B24DB"/>
    <w:rsid w:val="003B420D"/>
    <w:rsid w:val="003B48D4"/>
    <w:rsid w:val="003B7793"/>
    <w:rsid w:val="003C55DE"/>
    <w:rsid w:val="003C643D"/>
    <w:rsid w:val="003C6C16"/>
    <w:rsid w:val="003D16F1"/>
    <w:rsid w:val="003D5B4A"/>
    <w:rsid w:val="003D77D4"/>
    <w:rsid w:val="003D794D"/>
    <w:rsid w:val="003E3058"/>
    <w:rsid w:val="003E76A9"/>
    <w:rsid w:val="003F0809"/>
    <w:rsid w:val="003F6A8C"/>
    <w:rsid w:val="003F755C"/>
    <w:rsid w:val="00401D2A"/>
    <w:rsid w:val="00406F01"/>
    <w:rsid w:val="00416D50"/>
    <w:rsid w:val="00416FD5"/>
    <w:rsid w:val="00417772"/>
    <w:rsid w:val="00420E6A"/>
    <w:rsid w:val="00424507"/>
    <w:rsid w:val="00425A9E"/>
    <w:rsid w:val="00426D6B"/>
    <w:rsid w:val="004276BE"/>
    <w:rsid w:val="004315D0"/>
    <w:rsid w:val="00431E6C"/>
    <w:rsid w:val="00433CE7"/>
    <w:rsid w:val="00452738"/>
    <w:rsid w:val="00453500"/>
    <w:rsid w:val="00456091"/>
    <w:rsid w:val="00464712"/>
    <w:rsid w:val="00466321"/>
    <w:rsid w:val="00467477"/>
    <w:rsid w:val="0047130C"/>
    <w:rsid w:val="00475BD4"/>
    <w:rsid w:val="00484B9B"/>
    <w:rsid w:val="004855F6"/>
    <w:rsid w:val="0048661E"/>
    <w:rsid w:val="00494670"/>
    <w:rsid w:val="004A1EF7"/>
    <w:rsid w:val="004A3823"/>
    <w:rsid w:val="004A4EE6"/>
    <w:rsid w:val="004E6946"/>
    <w:rsid w:val="004F1AD8"/>
    <w:rsid w:val="00502C04"/>
    <w:rsid w:val="005039CB"/>
    <w:rsid w:val="0050558F"/>
    <w:rsid w:val="00506286"/>
    <w:rsid w:val="0050647C"/>
    <w:rsid w:val="00507595"/>
    <w:rsid w:val="00510813"/>
    <w:rsid w:val="00511990"/>
    <w:rsid w:val="00511DE0"/>
    <w:rsid w:val="00514870"/>
    <w:rsid w:val="00514B9B"/>
    <w:rsid w:val="005164A1"/>
    <w:rsid w:val="00517F02"/>
    <w:rsid w:val="00524303"/>
    <w:rsid w:val="005258A2"/>
    <w:rsid w:val="005401AE"/>
    <w:rsid w:val="00542B75"/>
    <w:rsid w:val="00542E07"/>
    <w:rsid w:val="005443C6"/>
    <w:rsid w:val="00545424"/>
    <w:rsid w:val="0055146A"/>
    <w:rsid w:val="005544FB"/>
    <w:rsid w:val="00554A7B"/>
    <w:rsid w:val="00554E26"/>
    <w:rsid w:val="0055572C"/>
    <w:rsid w:val="0056106A"/>
    <w:rsid w:val="00561985"/>
    <w:rsid w:val="005720AE"/>
    <w:rsid w:val="00572AAE"/>
    <w:rsid w:val="00581CA4"/>
    <w:rsid w:val="00586BBE"/>
    <w:rsid w:val="00591F32"/>
    <w:rsid w:val="00594D77"/>
    <w:rsid w:val="005969E4"/>
    <w:rsid w:val="005A06B7"/>
    <w:rsid w:val="005A1759"/>
    <w:rsid w:val="005A2808"/>
    <w:rsid w:val="005A68A7"/>
    <w:rsid w:val="005B237E"/>
    <w:rsid w:val="005C45CB"/>
    <w:rsid w:val="005D3087"/>
    <w:rsid w:val="005D36AB"/>
    <w:rsid w:val="005D46B4"/>
    <w:rsid w:val="005E085D"/>
    <w:rsid w:val="005F05A4"/>
    <w:rsid w:val="0061307C"/>
    <w:rsid w:val="00614B13"/>
    <w:rsid w:val="00617CC3"/>
    <w:rsid w:val="00631CAF"/>
    <w:rsid w:val="006377A6"/>
    <w:rsid w:val="00637A3D"/>
    <w:rsid w:val="006411EF"/>
    <w:rsid w:val="0064436A"/>
    <w:rsid w:val="0066050F"/>
    <w:rsid w:val="006741AA"/>
    <w:rsid w:val="006748B8"/>
    <w:rsid w:val="006775C3"/>
    <w:rsid w:val="0069290A"/>
    <w:rsid w:val="00696EA1"/>
    <w:rsid w:val="00697689"/>
    <w:rsid w:val="0069775A"/>
    <w:rsid w:val="00697813"/>
    <w:rsid w:val="006A3EE8"/>
    <w:rsid w:val="006A5CD1"/>
    <w:rsid w:val="006A72BF"/>
    <w:rsid w:val="006B03F2"/>
    <w:rsid w:val="006B2EA2"/>
    <w:rsid w:val="006B30D2"/>
    <w:rsid w:val="006B37DC"/>
    <w:rsid w:val="006B4C2A"/>
    <w:rsid w:val="006B4F68"/>
    <w:rsid w:val="006C0592"/>
    <w:rsid w:val="006C272E"/>
    <w:rsid w:val="006C51E2"/>
    <w:rsid w:val="006C5479"/>
    <w:rsid w:val="006C6CC4"/>
    <w:rsid w:val="006D13B5"/>
    <w:rsid w:val="006E12FF"/>
    <w:rsid w:val="006E607E"/>
    <w:rsid w:val="006F24FD"/>
    <w:rsid w:val="006F54BF"/>
    <w:rsid w:val="00706C5D"/>
    <w:rsid w:val="007146C9"/>
    <w:rsid w:val="00727DA2"/>
    <w:rsid w:val="00732922"/>
    <w:rsid w:val="00732C19"/>
    <w:rsid w:val="00740703"/>
    <w:rsid w:val="007456D5"/>
    <w:rsid w:val="00747C0A"/>
    <w:rsid w:val="0075162E"/>
    <w:rsid w:val="00754034"/>
    <w:rsid w:val="00754439"/>
    <w:rsid w:val="00754CD0"/>
    <w:rsid w:val="00756556"/>
    <w:rsid w:val="007618C4"/>
    <w:rsid w:val="00767980"/>
    <w:rsid w:val="00770B19"/>
    <w:rsid w:val="0077463F"/>
    <w:rsid w:val="007836EA"/>
    <w:rsid w:val="00784778"/>
    <w:rsid w:val="007848CC"/>
    <w:rsid w:val="00784CDA"/>
    <w:rsid w:val="007906C4"/>
    <w:rsid w:val="007940EA"/>
    <w:rsid w:val="007967E8"/>
    <w:rsid w:val="007A1F11"/>
    <w:rsid w:val="007A2170"/>
    <w:rsid w:val="007A22BF"/>
    <w:rsid w:val="007A3323"/>
    <w:rsid w:val="007B2045"/>
    <w:rsid w:val="007B72B8"/>
    <w:rsid w:val="007B7A58"/>
    <w:rsid w:val="007C21B5"/>
    <w:rsid w:val="007D1641"/>
    <w:rsid w:val="007D1DEC"/>
    <w:rsid w:val="007E3CCE"/>
    <w:rsid w:val="007E4BD2"/>
    <w:rsid w:val="007E7E61"/>
    <w:rsid w:val="007F3177"/>
    <w:rsid w:val="007F4715"/>
    <w:rsid w:val="00801393"/>
    <w:rsid w:val="00802F88"/>
    <w:rsid w:val="0080331D"/>
    <w:rsid w:val="008075CF"/>
    <w:rsid w:val="008076F8"/>
    <w:rsid w:val="0081293E"/>
    <w:rsid w:val="00813D3B"/>
    <w:rsid w:val="00815465"/>
    <w:rsid w:val="0081765C"/>
    <w:rsid w:val="00817E9A"/>
    <w:rsid w:val="008306BD"/>
    <w:rsid w:val="00831105"/>
    <w:rsid w:val="00831A80"/>
    <w:rsid w:val="00833743"/>
    <w:rsid w:val="008340A4"/>
    <w:rsid w:val="00841AA8"/>
    <w:rsid w:val="00847323"/>
    <w:rsid w:val="00856E05"/>
    <w:rsid w:val="00857DAC"/>
    <w:rsid w:val="0087135F"/>
    <w:rsid w:val="00872D94"/>
    <w:rsid w:val="00875351"/>
    <w:rsid w:val="00880364"/>
    <w:rsid w:val="00891592"/>
    <w:rsid w:val="00891E9E"/>
    <w:rsid w:val="0089573D"/>
    <w:rsid w:val="008A2F68"/>
    <w:rsid w:val="008A4934"/>
    <w:rsid w:val="008B4FA6"/>
    <w:rsid w:val="008B5282"/>
    <w:rsid w:val="008B5E3A"/>
    <w:rsid w:val="008B7C17"/>
    <w:rsid w:val="008C2D01"/>
    <w:rsid w:val="008C40E6"/>
    <w:rsid w:val="008C6159"/>
    <w:rsid w:val="008D0F7A"/>
    <w:rsid w:val="008D68E4"/>
    <w:rsid w:val="008E0506"/>
    <w:rsid w:val="008E0CFF"/>
    <w:rsid w:val="008E5D6B"/>
    <w:rsid w:val="008E76F0"/>
    <w:rsid w:val="008F15FE"/>
    <w:rsid w:val="008F2D29"/>
    <w:rsid w:val="008F5187"/>
    <w:rsid w:val="008F60D8"/>
    <w:rsid w:val="00901F81"/>
    <w:rsid w:val="00902727"/>
    <w:rsid w:val="00903109"/>
    <w:rsid w:val="0090312B"/>
    <w:rsid w:val="009104D9"/>
    <w:rsid w:val="00911504"/>
    <w:rsid w:val="0091736D"/>
    <w:rsid w:val="009240F8"/>
    <w:rsid w:val="0093037A"/>
    <w:rsid w:val="0094154D"/>
    <w:rsid w:val="009447C4"/>
    <w:rsid w:val="009449D4"/>
    <w:rsid w:val="009462A9"/>
    <w:rsid w:val="009470E5"/>
    <w:rsid w:val="00950DC5"/>
    <w:rsid w:val="0095155F"/>
    <w:rsid w:val="00954429"/>
    <w:rsid w:val="00955DAF"/>
    <w:rsid w:val="009563CE"/>
    <w:rsid w:val="00965E25"/>
    <w:rsid w:val="00976328"/>
    <w:rsid w:val="0097680D"/>
    <w:rsid w:val="009807A3"/>
    <w:rsid w:val="00982438"/>
    <w:rsid w:val="0098404C"/>
    <w:rsid w:val="00985283"/>
    <w:rsid w:val="00985DEC"/>
    <w:rsid w:val="00995173"/>
    <w:rsid w:val="00995992"/>
    <w:rsid w:val="00996597"/>
    <w:rsid w:val="009A03E5"/>
    <w:rsid w:val="009A0F3B"/>
    <w:rsid w:val="009A1BB4"/>
    <w:rsid w:val="009A2628"/>
    <w:rsid w:val="009A3200"/>
    <w:rsid w:val="009B0897"/>
    <w:rsid w:val="009B7BD9"/>
    <w:rsid w:val="009C38A1"/>
    <w:rsid w:val="009C49D3"/>
    <w:rsid w:val="009C7DD5"/>
    <w:rsid w:val="009E227D"/>
    <w:rsid w:val="009E3DA2"/>
    <w:rsid w:val="009E4FBC"/>
    <w:rsid w:val="009E5019"/>
    <w:rsid w:val="00A0269D"/>
    <w:rsid w:val="00A04C42"/>
    <w:rsid w:val="00A04F1B"/>
    <w:rsid w:val="00A0501B"/>
    <w:rsid w:val="00A070FF"/>
    <w:rsid w:val="00A14947"/>
    <w:rsid w:val="00A32A83"/>
    <w:rsid w:val="00A36063"/>
    <w:rsid w:val="00A368DB"/>
    <w:rsid w:val="00A423AA"/>
    <w:rsid w:val="00A53EC6"/>
    <w:rsid w:val="00A55C0F"/>
    <w:rsid w:val="00A56995"/>
    <w:rsid w:val="00A617CC"/>
    <w:rsid w:val="00A70BB1"/>
    <w:rsid w:val="00A77A4F"/>
    <w:rsid w:val="00A77CEE"/>
    <w:rsid w:val="00A8713F"/>
    <w:rsid w:val="00A90BA1"/>
    <w:rsid w:val="00A94BC8"/>
    <w:rsid w:val="00A95089"/>
    <w:rsid w:val="00A97A9A"/>
    <w:rsid w:val="00AA0671"/>
    <w:rsid w:val="00AA2531"/>
    <w:rsid w:val="00AB1E09"/>
    <w:rsid w:val="00AB4848"/>
    <w:rsid w:val="00AB5330"/>
    <w:rsid w:val="00AB7747"/>
    <w:rsid w:val="00AC14CE"/>
    <w:rsid w:val="00AC2A56"/>
    <w:rsid w:val="00AD055E"/>
    <w:rsid w:val="00AD47A7"/>
    <w:rsid w:val="00AF0CBF"/>
    <w:rsid w:val="00AF257F"/>
    <w:rsid w:val="00AF33CF"/>
    <w:rsid w:val="00AF4D50"/>
    <w:rsid w:val="00AF6179"/>
    <w:rsid w:val="00B1295A"/>
    <w:rsid w:val="00B20A45"/>
    <w:rsid w:val="00B22C5C"/>
    <w:rsid w:val="00B24F30"/>
    <w:rsid w:val="00B25169"/>
    <w:rsid w:val="00B2567C"/>
    <w:rsid w:val="00B26322"/>
    <w:rsid w:val="00B31ABF"/>
    <w:rsid w:val="00B33BE3"/>
    <w:rsid w:val="00B51F4A"/>
    <w:rsid w:val="00B53B5D"/>
    <w:rsid w:val="00B6055E"/>
    <w:rsid w:val="00B6317D"/>
    <w:rsid w:val="00B7065E"/>
    <w:rsid w:val="00B7723F"/>
    <w:rsid w:val="00B80534"/>
    <w:rsid w:val="00B83829"/>
    <w:rsid w:val="00B8433C"/>
    <w:rsid w:val="00B8445C"/>
    <w:rsid w:val="00B86379"/>
    <w:rsid w:val="00B87491"/>
    <w:rsid w:val="00B8754C"/>
    <w:rsid w:val="00B90C38"/>
    <w:rsid w:val="00BA29E9"/>
    <w:rsid w:val="00BA3B10"/>
    <w:rsid w:val="00BA7142"/>
    <w:rsid w:val="00BB237C"/>
    <w:rsid w:val="00BB41A3"/>
    <w:rsid w:val="00BC32DC"/>
    <w:rsid w:val="00BC35B6"/>
    <w:rsid w:val="00BC6AAD"/>
    <w:rsid w:val="00BD036E"/>
    <w:rsid w:val="00BD1B51"/>
    <w:rsid w:val="00BD2CDC"/>
    <w:rsid w:val="00BD3111"/>
    <w:rsid w:val="00BD37FC"/>
    <w:rsid w:val="00BD4596"/>
    <w:rsid w:val="00BE1405"/>
    <w:rsid w:val="00BE312D"/>
    <w:rsid w:val="00BE49F6"/>
    <w:rsid w:val="00BE4E9F"/>
    <w:rsid w:val="00BE52CB"/>
    <w:rsid w:val="00BF1C20"/>
    <w:rsid w:val="00BF7948"/>
    <w:rsid w:val="00C10578"/>
    <w:rsid w:val="00C10696"/>
    <w:rsid w:val="00C135BC"/>
    <w:rsid w:val="00C15C95"/>
    <w:rsid w:val="00C2596A"/>
    <w:rsid w:val="00C27537"/>
    <w:rsid w:val="00C30364"/>
    <w:rsid w:val="00C31A82"/>
    <w:rsid w:val="00C328FE"/>
    <w:rsid w:val="00C33507"/>
    <w:rsid w:val="00C4409D"/>
    <w:rsid w:val="00C447C6"/>
    <w:rsid w:val="00C44E72"/>
    <w:rsid w:val="00C45A06"/>
    <w:rsid w:val="00C47E5B"/>
    <w:rsid w:val="00C55838"/>
    <w:rsid w:val="00C606DD"/>
    <w:rsid w:val="00C61E4B"/>
    <w:rsid w:val="00C64BFF"/>
    <w:rsid w:val="00C704E9"/>
    <w:rsid w:val="00C73F6A"/>
    <w:rsid w:val="00C763C9"/>
    <w:rsid w:val="00C80057"/>
    <w:rsid w:val="00C82232"/>
    <w:rsid w:val="00C82913"/>
    <w:rsid w:val="00C95391"/>
    <w:rsid w:val="00C96688"/>
    <w:rsid w:val="00C972B1"/>
    <w:rsid w:val="00CA2CCE"/>
    <w:rsid w:val="00CA43FD"/>
    <w:rsid w:val="00CA7EF8"/>
    <w:rsid w:val="00CB00B2"/>
    <w:rsid w:val="00CB3937"/>
    <w:rsid w:val="00CB4290"/>
    <w:rsid w:val="00CC489B"/>
    <w:rsid w:val="00CC6C09"/>
    <w:rsid w:val="00CC7151"/>
    <w:rsid w:val="00CD2BCD"/>
    <w:rsid w:val="00CD3A4C"/>
    <w:rsid w:val="00CD7F1C"/>
    <w:rsid w:val="00CE10E9"/>
    <w:rsid w:val="00CE2910"/>
    <w:rsid w:val="00CE4056"/>
    <w:rsid w:val="00CE5393"/>
    <w:rsid w:val="00CF36BE"/>
    <w:rsid w:val="00CF6000"/>
    <w:rsid w:val="00D003F3"/>
    <w:rsid w:val="00D0364F"/>
    <w:rsid w:val="00D05D8F"/>
    <w:rsid w:val="00D065B2"/>
    <w:rsid w:val="00D06834"/>
    <w:rsid w:val="00D203B4"/>
    <w:rsid w:val="00D308ED"/>
    <w:rsid w:val="00D32A78"/>
    <w:rsid w:val="00D346F5"/>
    <w:rsid w:val="00D34A81"/>
    <w:rsid w:val="00D36D86"/>
    <w:rsid w:val="00D428AA"/>
    <w:rsid w:val="00D43146"/>
    <w:rsid w:val="00D46302"/>
    <w:rsid w:val="00D50A34"/>
    <w:rsid w:val="00D50DFB"/>
    <w:rsid w:val="00D53EFA"/>
    <w:rsid w:val="00D830B5"/>
    <w:rsid w:val="00D90E46"/>
    <w:rsid w:val="00D94A7C"/>
    <w:rsid w:val="00D94F57"/>
    <w:rsid w:val="00D95896"/>
    <w:rsid w:val="00D972E0"/>
    <w:rsid w:val="00DB1A49"/>
    <w:rsid w:val="00DB2983"/>
    <w:rsid w:val="00DB2CCA"/>
    <w:rsid w:val="00DB4B59"/>
    <w:rsid w:val="00DC1257"/>
    <w:rsid w:val="00DC2848"/>
    <w:rsid w:val="00DC3DC0"/>
    <w:rsid w:val="00DC5B2B"/>
    <w:rsid w:val="00DD0053"/>
    <w:rsid w:val="00DD318D"/>
    <w:rsid w:val="00DD5944"/>
    <w:rsid w:val="00DF2809"/>
    <w:rsid w:val="00DF2E12"/>
    <w:rsid w:val="00DF514A"/>
    <w:rsid w:val="00DF6690"/>
    <w:rsid w:val="00DF6804"/>
    <w:rsid w:val="00E0358D"/>
    <w:rsid w:val="00E04323"/>
    <w:rsid w:val="00E0525B"/>
    <w:rsid w:val="00E070A2"/>
    <w:rsid w:val="00E2656A"/>
    <w:rsid w:val="00E340FD"/>
    <w:rsid w:val="00E412D0"/>
    <w:rsid w:val="00E51F0B"/>
    <w:rsid w:val="00E52931"/>
    <w:rsid w:val="00E55723"/>
    <w:rsid w:val="00E56322"/>
    <w:rsid w:val="00E60982"/>
    <w:rsid w:val="00E62C62"/>
    <w:rsid w:val="00E654C1"/>
    <w:rsid w:val="00E65D97"/>
    <w:rsid w:val="00E72A5A"/>
    <w:rsid w:val="00E73354"/>
    <w:rsid w:val="00E75155"/>
    <w:rsid w:val="00E90681"/>
    <w:rsid w:val="00E9242D"/>
    <w:rsid w:val="00E95670"/>
    <w:rsid w:val="00EA177D"/>
    <w:rsid w:val="00EB5255"/>
    <w:rsid w:val="00EB5C47"/>
    <w:rsid w:val="00ED0639"/>
    <w:rsid w:val="00EF3DDC"/>
    <w:rsid w:val="00EF4755"/>
    <w:rsid w:val="00EF52D5"/>
    <w:rsid w:val="00EF7135"/>
    <w:rsid w:val="00F027DB"/>
    <w:rsid w:val="00F14A7A"/>
    <w:rsid w:val="00F22985"/>
    <w:rsid w:val="00F24485"/>
    <w:rsid w:val="00F27F8F"/>
    <w:rsid w:val="00F30C9C"/>
    <w:rsid w:val="00F3383E"/>
    <w:rsid w:val="00F4073C"/>
    <w:rsid w:val="00F41D78"/>
    <w:rsid w:val="00F465A7"/>
    <w:rsid w:val="00F50B7C"/>
    <w:rsid w:val="00F550E6"/>
    <w:rsid w:val="00F627B1"/>
    <w:rsid w:val="00F70383"/>
    <w:rsid w:val="00F737E8"/>
    <w:rsid w:val="00F74345"/>
    <w:rsid w:val="00F80A0A"/>
    <w:rsid w:val="00F82B19"/>
    <w:rsid w:val="00F9212D"/>
    <w:rsid w:val="00F965DA"/>
    <w:rsid w:val="00FA066A"/>
    <w:rsid w:val="00FA406A"/>
    <w:rsid w:val="00FB2278"/>
    <w:rsid w:val="00FB503A"/>
    <w:rsid w:val="00FB516C"/>
    <w:rsid w:val="00FC7A4B"/>
    <w:rsid w:val="00FD0236"/>
    <w:rsid w:val="00FD18F4"/>
    <w:rsid w:val="00FD54DB"/>
    <w:rsid w:val="00FD619F"/>
    <w:rsid w:val="00FF4FAB"/>
    <w:rsid w:val="01290F7E"/>
    <w:rsid w:val="015D1E09"/>
    <w:rsid w:val="01D20DA0"/>
    <w:rsid w:val="01D81EA2"/>
    <w:rsid w:val="02697903"/>
    <w:rsid w:val="02BC67C7"/>
    <w:rsid w:val="02F96569"/>
    <w:rsid w:val="0310054C"/>
    <w:rsid w:val="03384A2E"/>
    <w:rsid w:val="03601F05"/>
    <w:rsid w:val="03CA17E7"/>
    <w:rsid w:val="03EA7B21"/>
    <w:rsid w:val="03FE384A"/>
    <w:rsid w:val="052A7881"/>
    <w:rsid w:val="05964BC2"/>
    <w:rsid w:val="05B337F1"/>
    <w:rsid w:val="05F83EAE"/>
    <w:rsid w:val="063E7D85"/>
    <w:rsid w:val="06B26FE3"/>
    <w:rsid w:val="06C97D18"/>
    <w:rsid w:val="071A7061"/>
    <w:rsid w:val="07293586"/>
    <w:rsid w:val="07295285"/>
    <w:rsid w:val="07342561"/>
    <w:rsid w:val="07636392"/>
    <w:rsid w:val="07770C56"/>
    <w:rsid w:val="081345D7"/>
    <w:rsid w:val="0822060B"/>
    <w:rsid w:val="08CE5EA0"/>
    <w:rsid w:val="092217DD"/>
    <w:rsid w:val="093A7294"/>
    <w:rsid w:val="09B60FC9"/>
    <w:rsid w:val="09D13928"/>
    <w:rsid w:val="0A263993"/>
    <w:rsid w:val="0A2D3AC2"/>
    <w:rsid w:val="0A697A3A"/>
    <w:rsid w:val="0AA755DF"/>
    <w:rsid w:val="0B120D44"/>
    <w:rsid w:val="0BD27BF6"/>
    <w:rsid w:val="0C163EC2"/>
    <w:rsid w:val="0C3B3C7D"/>
    <w:rsid w:val="0C3C7E6E"/>
    <w:rsid w:val="0CAB2EAE"/>
    <w:rsid w:val="0D0666D5"/>
    <w:rsid w:val="0D313EE6"/>
    <w:rsid w:val="0D621C7D"/>
    <w:rsid w:val="0DF465A6"/>
    <w:rsid w:val="0E11755F"/>
    <w:rsid w:val="0E73034D"/>
    <w:rsid w:val="0E9D72FD"/>
    <w:rsid w:val="0F135043"/>
    <w:rsid w:val="0F13775A"/>
    <w:rsid w:val="0F555DBC"/>
    <w:rsid w:val="0F5F45FE"/>
    <w:rsid w:val="0F9A112B"/>
    <w:rsid w:val="0F9E1B4D"/>
    <w:rsid w:val="0FEE2B49"/>
    <w:rsid w:val="0FF5251F"/>
    <w:rsid w:val="106D2F64"/>
    <w:rsid w:val="10B63710"/>
    <w:rsid w:val="10F10820"/>
    <w:rsid w:val="10F60887"/>
    <w:rsid w:val="111C2F7A"/>
    <w:rsid w:val="11665CA1"/>
    <w:rsid w:val="12A165F0"/>
    <w:rsid w:val="1367621E"/>
    <w:rsid w:val="137C3678"/>
    <w:rsid w:val="13951726"/>
    <w:rsid w:val="13A00668"/>
    <w:rsid w:val="14396509"/>
    <w:rsid w:val="14DD2C3C"/>
    <w:rsid w:val="14E011B9"/>
    <w:rsid w:val="15AA55F6"/>
    <w:rsid w:val="16087E1D"/>
    <w:rsid w:val="165D1FEC"/>
    <w:rsid w:val="16C45A0D"/>
    <w:rsid w:val="17185D30"/>
    <w:rsid w:val="17701D14"/>
    <w:rsid w:val="17735226"/>
    <w:rsid w:val="178F5156"/>
    <w:rsid w:val="180A4C18"/>
    <w:rsid w:val="18285811"/>
    <w:rsid w:val="188051C7"/>
    <w:rsid w:val="189F624C"/>
    <w:rsid w:val="19B72F64"/>
    <w:rsid w:val="1A1C66C0"/>
    <w:rsid w:val="1A42393B"/>
    <w:rsid w:val="1A5A6A45"/>
    <w:rsid w:val="1AAD45DE"/>
    <w:rsid w:val="1B046F80"/>
    <w:rsid w:val="1B3267B5"/>
    <w:rsid w:val="1B40161D"/>
    <w:rsid w:val="1B441859"/>
    <w:rsid w:val="1B6606B1"/>
    <w:rsid w:val="1BA64472"/>
    <w:rsid w:val="1BAF1C90"/>
    <w:rsid w:val="1C5E7925"/>
    <w:rsid w:val="1CFD070F"/>
    <w:rsid w:val="1D5F6196"/>
    <w:rsid w:val="1D6132A5"/>
    <w:rsid w:val="1D8E56D5"/>
    <w:rsid w:val="1DC838B7"/>
    <w:rsid w:val="1E7A43DA"/>
    <w:rsid w:val="1E9B1487"/>
    <w:rsid w:val="1EDC3E00"/>
    <w:rsid w:val="1F6D11B4"/>
    <w:rsid w:val="1FB54E0E"/>
    <w:rsid w:val="1FE7539E"/>
    <w:rsid w:val="1FFD7B30"/>
    <w:rsid w:val="203E35C7"/>
    <w:rsid w:val="20671BE0"/>
    <w:rsid w:val="20963CB8"/>
    <w:rsid w:val="20A06C94"/>
    <w:rsid w:val="20A81A1B"/>
    <w:rsid w:val="20B07FB6"/>
    <w:rsid w:val="20B646FB"/>
    <w:rsid w:val="20FA015B"/>
    <w:rsid w:val="213B74B1"/>
    <w:rsid w:val="215A2310"/>
    <w:rsid w:val="21687F90"/>
    <w:rsid w:val="21A86CE7"/>
    <w:rsid w:val="21DE318A"/>
    <w:rsid w:val="21EF5B80"/>
    <w:rsid w:val="22187D9B"/>
    <w:rsid w:val="22576990"/>
    <w:rsid w:val="22D4319A"/>
    <w:rsid w:val="22F47480"/>
    <w:rsid w:val="2322550C"/>
    <w:rsid w:val="237370E1"/>
    <w:rsid w:val="23D23E14"/>
    <w:rsid w:val="23DE1C48"/>
    <w:rsid w:val="240210CD"/>
    <w:rsid w:val="24046D24"/>
    <w:rsid w:val="24120C5B"/>
    <w:rsid w:val="243D1C25"/>
    <w:rsid w:val="24BF09F7"/>
    <w:rsid w:val="252D53FE"/>
    <w:rsid w:val="25A539FD"/>
    <w:rsid w:val="25EC2D81"/>
    <w:rsid w:val="26985E00"/>
    <w:rsid w:val="26A235FA"/>
    <w:rsid w:val="27010B22"/>
    <w:rsid w:val="27173F7C"/>
    <w:rsid w:val="272E0D22"/>
    <w:rsid w:val="277057A2"/>
    <w:rsid w:val="27763688"/>
    <w:rsid w:val="29206EB8"/>
    <w:rsid w:val="29595666"/>
    <w:rsid w:val="29874881"/>
    <w:rsid w:val="29E325E0"/>
    <w:rsid w:val="2A452503"/>
    <w:rsid w:val="2A5F57BA"/>
    <w:rsid w:val="2A841F03"/>
    <w:rsid w:val="2AA93E47"/>
    <w:rsid w:val="2BA936A8"/>
    <w:rsid w:val="2C15449E"/>
    <w:rsid w:val="2C315A5A"/>
    <w:rsid w:val="2C4B1C25"/>
    <w:rsid w:val="2C803570"/>
    <w:rsid w:val="2D2170C3"/>
    <w:rsid w:val="2D6452AE"/>
    <w:rsid w:val="2D773B83"/>
    <w:rsid w:val="2D9E56F5"/>
    <w:rsid w:val="2DF81A85"/>
    <w:rsid w:val="2E667F96"/>
    <w:rsid w:val="2E8226AB"/>
    <w:rsid w:val="2E9A7EEC"/>
    <w:rsid w:val="2EE844F2"/>
    <w:rsid w:val="2FD065E6"/>
    <w:rsid w:val="2FD96870"/>
    <w:rsid w:val="30580BC9"/>
    <w:rsid w:val="311E2ED7"/>
    <w:rsid w:val="312077EC"/>
    <w:rsid w:val="314556E8"/>
    <w:rsid w:val="315619EE"/>
    <w:rsid w:val="315C449C"/>
    <w:rsid w:val="31B82709"/>
    <w:rsid w:val="31D05482"/>
    <w:rsid w:val="32400B34"/>
    <w:rsid w:val="32891BE4"/>
    <w:rsid w:val="329E6876"/>
    <w:rsid w:val="333015F2"/>
    <w:rsid w:val="334B6320"/>
    <w:rsid w:val="33D934D4"/>
    <w:rsid w:val="33FE2F6A"/>
    <w:rsid w:val="340E07E5"/>
    <w:rsid w:val="34235BF7"/>
    <w:rsid w:val="357D6FA7"/>
    <w:rsid w:val="358C5FA8"/>
    <w:rsid w:val="35C15DF1"/>
    <w:rsid w:val="35DB2483"/>
    <w:rsid w:val="35E946C7"/>
    <w:rsid w:val="35F34E98"/>
    <w:rsid w:val="36074A7F"/>
    <w:rsid w:val="3644435A"/>
    <w:rsid w:val="36663919"/>
    <w:rsid w:val="36923549"/>
    <w:rsid w:val="36B75FBF"/>
    <w:rsid w:val="36BD0C45"/>
    <w:rsid w:val="37E00298"/>
    <w:rsid w:val="37F3726C"/>
    <w:rsid w:val="37FA739A"/>
    <w:rsid w:val="38620BCC"/>
    <w:rsid w:val="38883C0B"/>
    <w:rsid w:val="38B302F9"/>
    <w:rsid w:val="38E66FC1"/>
    <w:rsid w:val="38F12CD3"/>
    <w:rsid w:val="38F94775"/>
    <w:rsid w:val="392971ED"/>
    <w:rsid w:val="39325651"/>
    <w:rsid w:val="3932648F"/>
    <w:rsid w:val="39564B1C"/>
    <w:rsid w:val="395F2FC7"/>
    <w:rsid w:val="39837ED1"/>
    <w:rsid w:val="39CF2BB6"/>
    <w:rsid w:val="39EB6573"/>
    <w:rsid w:val="39F459FB"/>
    <w:rsid w:val="3A02658C"/>
    <w:rsid w:val="3A244459"/>
    <w:rsid w:val="3A872856"/>
    <w:rsid w:val="3AD4466F"/>
    <w:rsid w:val="3B3763D1"/>
    <w:rsid w:val="3B3F347C"/>
    <w:rsid w:val="3C2F6E1E"/>
    <w:rsid w:val="3C4F64BA"/>
    <w:rsid w:val="3CDA245A"/>
    <w:rsid w:val="3D0E0B83"/>
    <w:rsid w:val="3D1E06B7"/>
    <w:rsid w:val="3D3F72F4"/>
    <w:rsid w:val="3D7945B2"/>
    <w:rsid w:val="3E6F378A"/>
    <w:rsid w:val="3E8A0788"/>
    <w:rsid w:val="3EB00F93"/>
    <w:rsid w:val="3EDA0523"/>
    <w:rsid w:val="3F8B5D89"/>
    <w:rsid w:val="40204350"/>
    <w:rsid w:val="407A6407"/>
    <w:rsid w:val="4200449D"/>
    <w:rsid w:val="423A3BCC"/>
    <w:rsid w:val="424E57D2"/>
    <w:rsid w:val="42B26C49"/>
    <w:rsid w:val="433A6FE6"/>
    <w:rsid w:val="43480868"/>
    <w:rsid w:val="4350713C"/>
    <w:rsid w:val="436653E0"/>
    <w:rsid w:val="43C4431A"/>
    <w:rsid w:val="441B18F1"/>
    <w:rsid w:val="442F1071"/>
    <w:rsid w:val="442F2936"/>
    <w:rsid w:val="44B951CC"/>
    <w:rsid w:val="44CD14E0"/>
    <w:rsid w:val="44F20B0B"/>
    <w:rsid w:val="45086BE5"/>
    <w:rsid w:val="452E5F4C"/>
    <w:rsid w:val="45612018"/>
    <w:rsid w:val="458946E9"/>
    <w:rsid w:val="45A47C0E"/>
    <w:rsid w:val="45E5525B"/>
    <w:rsid w:val="46577FD6"/>
    <w:rsid w:val="466900DF"/>
    <w:rsid w:val="46D955A7"/>
    <w:rsid w:val="46F72057"/>
    <w:rsid w:val="47133957"/>
    <w:rsid w:val="47301B63"/>
    <w:rsid w:val="474C3F1A"/>
    <w:rsid w:val="476D3E39"/>
    <w:rsid w:val="47A07E0C"/>
    <w:rsid w:val="4870272E"/>
    <w:rsid w:val="4881611D"/>
    <w:rsid w:val="493A4E52"/>
    <w:rsid w:val="49A52529"/>
    <w:rsid w:val="49DC7715"/>
    <w:rsid w:val="4A023139"/>
    <w:rsid w:val="4A7B576F"/>
    <w:rsid w:val="4AF561A9"/>
    <w:rsid w:val="4B450389"/>
    <w:rsid w:val="4C4A0649"/>
    <w:rsid w:val="4C5116B7"/>
    <w:rsid w:val="4C7E5ECA"/>
    <w:rsid w:val="4C866566"/>
    <w:rsid w:val="4C876AA5"/>
    <w:rsid w:val="4C9A13E4"/>
    <w:rsid w:val="4CFD5117"/>
    <w:rsid w:val="4D007DBA"/>
    <w:rsid w:val="4D0E00FB"/>
    <w:rsid w:val="4D117AF1"/>
    <w:rsid w:val="4D176606"/>
    <w:rsid w:val="4D7139F3"/>
    <w:rsid w:val="4DEC4FB0"/>
    <w:rsid w:val="4E075D8A"/>
    <w:rsid w:val="4EB807B8"/>
    <w:rsid w:val="4EC00FAD"/>
    <w:rsid w:val="4EC26035"/>
    <w:rsid w:val="4F1813D4"/>
    <w:rsid w:val="4F9843DC"/>
    <w:rsid w:val="4FAC0EB5"/>
    <w:rsid w:val="4FC62A8C"/>
    <w:rsid w:val="4FE20F0D"/>
    <w:rsid w:val="4FE51552"/>
    <w:rsid w:val="50342257"/>
    <w:rsid w:val="50504C4B"/>
    <w:rsid w:val="5057687E"/>
    <w:rsid w:val="509C6E7C"/>
    <w:rsid w:val="515835EF"/>
    <w:rsid w:val="5162104E"/>
    <w:rsid w:val="51DE64F0"/>
    <w:rsid w:val="52701145"/>
    <w:rsid w:val="5288086A"/>
    <w:rsid w:val="52B4420D"/>
    <w:rsid w:val="5314750E"/>
    <w:rsid w:val="534A1217"/>
    <w:rsid w:val="536B1418"/>
    <w:rsid w:val="536D3A6C"/>
    <w:rsid w:val="53A039CC"/>
    <w:rsid w:val="53A1505A"/>
    <w:rsid w:val="54063E08"/>
    <w:rsid w:val="543437E8"/>
    <w:rsid w:val="54505AC7"/>
    <w:rsid w:val="54B71E7B"/>
    <w:rsid w:val="54D45FBA"/>
    <w:rsid w:val="54F73313"/>
    <w:rsid w:val="54F80955"/>
    <w:rsid w:val="5510128C"/>
    <w:rsid w:val="555170A7"/>
    <w:rsid w:val="5587536D"/>
    <w:rsid w:val="559B174B"/>
    <w:rsid w:val="55CE0CF4"/>
    <w:rsid w:val="56B22A9C"/>
    <w:rsid w:val="57045F89"/>
    <w:rsid w:val="57213871"/>
    <w:rsid w:val="579D117D"/>
    <w:rsid w:val="57AE2779"/>
    <w:rsid w:val="57B72A76"/>
    <w:rsid w:val="57C3426C"/>
    <w:rsid w:val="57CE1F93"/>
    <w:rsid w:val="57EB271B"/>
    <w:rsid w:val="57F3795C"/>
    <w:rsid w:val="587A04AB"/>
    <w:rsid w:val="588743D1"/>
    <w:rsid w:val="5887701A"/>
    <w:rsid w:val="590E2AD5"/>
    <w:rsid w:val="593B5D71"/>
    <w:rsid w:val="59C0439F"/>
    <w:rsid w:val="5ABE2233"/>
    <w:rsid w:val="5B092F91"/>
    <w:rsid w:val="5BC86E08"/>
    <w:rsid w:val="5BDF5D95"/>
    <w:rsid w:val="5BFE7528"/>
    <w:rsid w:val="5C086DAC"/>
    <w:rsid w:val="5C803784"/>
    <w:rsid w:val="5CB41213"/>
    <w:rsid w:val="5CFE4FEA"/>
    <w:rsid w:val="5D0337BE"/>
    <w:rsid w:val="5D7652DF"/>
    <w:rsid w:val="5D9B5B96"/>
    <w:rsid w:val="5D9F1944"/>
    <w:rsid w:val="5DAB7F97"/>
    <w:rsid w:val="5E0B2CC7"/>
    <w:rsid w:val="5E2467F1"/>
    <w:rsid w:val="5E9E4DD0"/>
    <w:rsid w:val="5ECA1FD8"/>
    <w:rsid w:val="5F0E0117"/>
    <w:rsid w:val="5F1A2B43"/>
    <w:rsid w:val="5FB837BB"/>
    <w:rsid w:val="5FD11E2A"/>
    <w:rsid w:val="60083446"/>
    <w:rsid w:val="60563E58"/>
    <w:rsid w:val="605B2BE0"/>
    <w:rsid w:val="60CC405A"/>
    <w:rsid w:val="60D32F3F"/>
    <w:rsid w:val="60F15F42"/>
    <w:rsid w:val="60FC66BB"/>
    <w:rsid w:val="61254424"/>
    <w:rsid w:val="61DB6B8F"/>
    <w:rsid w:val="61E215D8"/>
    <w:rsid w:val="621B3775"/>
    <w:rsid w:val="62364782"/>
    <w:rsid w:val="6394356A"/>
    <w:rsid w:val="63C61B2C"/>
    <w:rsid w:val="63D40BE9"/>
    <w:rsid w:val="64102431"/>
    <w:rsid w:val="64203D55"/>
    <w:rsid w:val="64A5243A"/>
    <w:rsid w:val="64D62D2E"/>
    <w:rsid w:val="64F531DE"/>
    <w:rsid w:val="65373578"/>
    <w:rsid w:val="65BC25BF"/>
    <w:rsid w:val="66A35DD7"/>
    <w:rsid w:val="66E17A6F"/>
    <w:rsid w:val="671F124A"/>
    <w:rsid w:val="676E75CE"/>
    <w:rsid w:val="677A33C6"/>
    <w:rsid w:val="681F6961"/>
    <w:rsid w:val="682F5E90"/>
    <w:rsid w:val="68610A2F"/>
    <w:rsid w:val="687D08D3"/>
    <w:rsid w:val="68805514"/>
    <w:rsid w:val="68CE543E"/>
    <w:rsid w:val="68D02BEC"/>
    <w:rsid w:val="69316E2F"/>
    <w:rsid w:val="694E2071"/>
    <w:rsid w:val="69766163"/>
    <w:rsid w:val="697A3B33"/>
    <w:rsid w:val="69BD4DE0"/>
    <w:rsid w:val="69D44760"/>
    <w:rsid w:val="6A270FDC"/>
    <w:rsid w:val="6A2E3CFF"/>
    <w:rsid w:val="6A520EC7"/>
    <w:rsid w:val="6A5F0683"/>
    <w:rsid w:val="6ACB3627"/>
    <w:rsid w:val="6AEA64CC"/>
    <w:rsid w:val="6AF87E20"/>
    <w:rsid w:val="6B322639"/>
    <w:rsid w:val="6B6904DA"/>
    <w:rsid w:val="6BD207D0"/>
    <w:rsid w:val="6C50035F"/>
    <w:rsid w:val="6C636C38"/>
    <w:rsid w:val="6D26086E"/>
    <w:rsid w:val="6D3677E6"/>
    <w:rsid w:val="6D6E440F"/>
    <w:rsid w:val="6D830AD4"/>
    <w:rsid w:val="6DB34098"/>
    <w:rsid w:val="6DB545B6"/>
    <w:rsid w:val="6DE02FB4"/>
    <w:rsid w:val="6E3A6728"/>
    <w:rsid w:val="6E514CED"/>
    <w:rsid w:val="6EB563D5"/>
    <w:rsid w:val="6ED92677"/>
    <w:rsid w:val="6EFB3163"/>
    <w:rsid w:val="6F225983"/>
    <w:rsid w:val="6FD22638"/>
    <w:rsid w:val="6FD73CE7"/>
    <w:rsid w:val="6FFC5590"/>
    <w:rsid w:val="706D1DD0"/>
    <w:rsid w:val="70856B87"/>
    <w:rsid w:val="70D527EE"/>
    <w:rsid w:val="71111526"/>
    <w:rsid w:val="713A4252"/>
    <w:rsid w:val="714B78D5"/>
    <w:rsid w:val="715B5300"/>
    <w:rsid w:val="71764A5D"/>
    <w:rsid w:val="71841074"/>
    <w:rsid w:val="71D27F8A"/>
    <w:rsid w:val="7235347F"/>
    <w:rsid w:val="72553024"/>
    <w:rsid w:val="72DD23F6"/>
    <w:rsid w:val="73122968"/>
    <w:rsid w:val="731F5D5E"/>
    <w:rsid w:val="73C21CCA"/>
    <w:rsid w:val="73C51AD5"/>
    <w:rsid w:val="73DB3693"/>
    <w:rsid w:val="73EF5ABF"/>
    <w:rsid w:val="741E793C"/>
    <w:rsid w:val="745773D6"/>
    <w:rsid w:val="745E3944"/>
    <w:rsid w:val="749B5356"/>
    <w:rsid w:val="74E954B2"/>
    <w:rsid w:val="7635099D"/>
    <w:rsid w:val="77762421"/>
    <w:rsid w:val="77B56B1F"/>
    <w:rsid w:val="780F09F4"/>
    <w:rsid w:val="78547801"/>
    <w:rsid w:val="78963A0D"/>
    <w:rsid w:val="78A8100C"/>
    <w:rsid w:val="78A90480"/>
    <w:rsid w:val="7A364017"/>
    <w:rsid w:val="7A8265E1"/>
    <w:rsid w:val="7AEF1A3E"/>
    <w:rsid w:val="7B0D371A"/>
    <w:rsid w:val="7B186BFB"/>
    <w:rsid w:val="7B686D42"/>
    <w:rsid w:val="7B7A1E05"/>
    <w:rsid w:val="7B841746"/>
    <w:rsid w:val="7C137818"/>
    <w:rsid w:val="7C6C5AC7"/>
    <w:rsid w:val="7CC6544B"/>
    <w:rsid w:val="7D0239FF"/>
    <w:rsid w:val="7D04561C"/>
    <w:rsid w:val="7D132A72"/>
    <w:rsid w:val="7D411BBD"/>
    <w:rsid w:val="7D5E40CD"/>
    <w:rsid w:val="7DCD56F2"/>
    <w:rsid w:val="7F001CE7"/>
    <w:rsid w:val="7F2062D4"/>
    <w:rsid w:val="7F595759"/>
    <w:rsid w:val="7FE47E5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99" w:semiHidden="0" w:name="heading 2" w:locked="1"/>
    <w:lsdException w:qFormat="1"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ocked="1"/>
    <w:lsdException w:unhideWhenUsed="0" w:uiPriority="0" w:semiHidden="0" w:name="footnote text" w:locked="1"/>
    <w:lsdException w:qFormat="1" w:unhideWhenUsed="0" w:uiPriority="99" w:semiHidden="0" w:name="annotation text"/>
    <w:lsdException w:qFormat="1" w:unhideWhenUsed="0" w:uiPriority="0" w:semiHidden="0" w:name="header"/>
    <w:lsdException w:qFormat="1" w:unhideWhenUsed="0" w:uiPriority="99" w:semiHidden="0" w:name="footer"/>
    <w:lsdException w:qFormat="1" w:uiPriority="99" w:semiHidden="0" w:name="index heading" w:locked="1"/>
    <w:lsdException w:qFormat="1" w:unhideWhenUsed="0" w:uiPriority="99" w:semiHidden="0" w:name="caption" w:locked="1"/>
    <w:lsdException w:qFormat="1" w:uiPriority="99"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qFormat="1" w:uiPriority="99" w:semiHidden="0" w:name="Salutation" w:locked="1"/>
    <w:lsdException w:qFormat="1" w:unhideWhenUsed="0" w:uiPriority="0" w:semiHidden="0" w:name="Date"/>
    <w:lsdException w:unhideWhenUsed="0" w:uiPriority="0" w:semiHidden="0" w:name="Body Text First Indent" w:locked="1"/>
    <w:lsdException w:qFormat="1" w:uiPriority="0" w:semiHidden="0" w:name="Body Text First Indent 2" w:locked="1"/>
    <w:lsdException w:unhideWhenUsed="0" w:uiPriority="0" w:semiHidden="0" w:name="Note Heading" w:locked="1"/>
    <w:lsdException w:qFormat="1" w:uiPriority="99" w:semiHidden="0" w:name="Body Text 2" w:locked="1"/>
    <w:lsdException w:unhideWhenUsed="0" w:uiPriority="0" w:semiHidden="0" w:name="Body Text 3" w:locked="1"/>
    <w:lsdException w:qFormat="1" w:uiPriority="99" w:semiHidden="0" w:name="Body Text Indent 2" w:locked="1"/>
    <w:lsdException w:qFormat="1" w:unhideWhenUsed="0" w:uiPriority="0" w:semiHidden="0" w:name="Body Text Indent 3" w:locked="1"/>
    <w:lsdException w:unhideWhenUsed="0" w:uiPriority="0" w:semiHidden="0" w:name="Block Text" w:locked="1"/>
    <w:lsdException w:qFormat="1" w:unhideWhenUsed="0" w:uiPriority="0" w:semiHidden="0" w:name="Hyperlink" w:locked="1"/>
    <w:lsdException w:unhideWhenUsed="0" w:uiPriority="0" w:semiHidden="0" w:name="FollowedHyperlink" w:locked="1"/>
    <w:lsdException w:qFormat="1" w:unhideWhenUsed="0" w:uiPriority="0" w:semiHidden="0" w:name="Strong" w:locked="1"/>
    <w:lsdException w:qFormat="1" w:unhideWhenUsed="0" w:uiPriority="0" w:semiHidden="0" w:name="Emphasis" w:locked="1"/>
    <w:lsdException w:unhideWhenUsed="0" w:uiPriority="0" w:semiHidden="0" w:name="Document Map" w:locked="1"/>
    <w:lsdException w:qFormat="1" w:uiPriority="99"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iPriority="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semiHidden="0"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99"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33"/>
    <w:unhideWhenUsed/>
    <w:qFormat/>
    <w:locked/>
    <w:uiPriority w:val="99"/>
    <w:pPr>
      <w:keepNext/>
      <w:keepLines/>
      <w:spacing w:before="260" w:after="260" w:line="416" w:lineRule="auto"/>
      <w:outlineLvl w:val="1"/>
    </w:pPr>
    <w:rPr>
      <w:rFonts w:ascii="等线 Light" w:hAnsi="等线 Light" w:eastAsia="等线 Light" w:cs="Times New Roman"/>
      <w:b/>
      <w:bCs/>
      <w:sz w:val="32"/>
      <w:szCs w:val="32"/>
    </w:rPr>
  </w:style>
  <w:style w:type="paragraph" w:styleId="5">
    <w:name w:val="heading 3"/>
    <w:basedOn w:val="1"/>
    <w:next w:val="1"/>
    <w:link w:val="34"/>
    <w:unhideWhenUsed/>
    <w:qFormat/>
    <w:locked/>
    <w:uiPriority w:val="0"/>
    <w:pPr>
      <w:keepNext/>
      <w:keepLines/>
      <w:spacing w:before="260" w:after="260" w:line="416" w:lineRule="auto"/>
      <w:outlineLvl w:val="2"/>
    </w:pPr>
    <w:rPr>
      <w:b/>
      <w:bCs/>
      <w:sz w:val="32"/>
      <w:szCs w:val="32"/>
    </w:rPr>
  </w:style>
  <w:style w:type="character" w:default="1" w:styleId="29">
    <w:name w:val="Default Paragraph Font"/>
    <w:unhideWhenUsed/>
    <w:qFormat/>
    <w:uiPriority w:val="1"/>
  </w:style>
  <w:style w:type="table" w:default="1" w:styleId="27">
    <w:name w:val="Normal Table"/>
    <w:unhideWhenUsed/>
    <w:qFormat/>
    <w:uiPriority w:val="99"/>
    <w:tblPr>
      <w:tblStyle w:val="27"/>
      <w:tblCellMar>
        <w:top w:w="0" w:type="dxa"/>
        <w:left w:w="108" w:type="dxa"/>
        <w:bottom w:w="0" w:type="dxa"/>
        <w:right w:w="108" w:type="dxa"/>
      </w:tblCellMar>
    </w:tblPr>
  </w:style>
  <w:style w:type="paragraph" w:styleId="2">
    <w:name w:val="Normal Indent"/>
    <w:basedOn w:val="1"/>
    <w:unhideWhenUsed/>
    <w:qFormat/>
    <w:locked/>
    <w:uiPriority w:val="99"/>
    <w:pPr>
      <w:spacing w:line="440" w:lineRule="exact"/>
      <w:ind w:firstLine="652"/>
    </w:pPr>
    <w:rPr>
      <w:rFonts w:ascii="Calibri" w:hAnsi="Calibri"/>
      <w:spacing w:val="20"/>
      <w:sz w:val="24"/>
    </w:rPr>
  </w:style>
  <w:style w:type="paragraph" w:styleId="6">
    <w:name w:val="caption"/>
    <w:basedOn w:val="1"/>
    <w:next w:val="1"/>
    <w:qFormat/>
    <w:locked/>
    <w:uiPriority w:val="99"/>
    <w:rPr>
      <w:rFonts w:ascii="Arial" w:hAnsi="Arial" w:eastAsia="黑体" w:cs="Arial"/>
      <w:sz w:val="20"/>
      <w:szCs w:val="20"/>
    </w:rPr>
  </w:style>
  <w:style w:type="paragraph" w:styleId="7">
    <w:name w:val="annotation text"/>
    <w:basedOn w:val="1"/>
    <w:link w:val="35"/>
    <w:qFormat/>
    <w:uiPriority w:val="99"/>
    <w:pPr>
      <w:jc w:val="left"/>
    </w:pPr>
    <w:rPr>
      <w:kern w:val="0"/>
      <w:sz w:val="24"/>
      <w:szCs w:val="20"/>
    </w:rPr>
  </w:style>
  <w:style w:type="paragraph" w:styleId="8">
    <w:name w:val="Salutation"/>
    <w:basedOn w:val="1"/>
    <w:next w:val="1"/>
    <w:link w:val="36"/>
    <w:unhideWhenUsed/>
    <w:qFormat/>
    <w:locked/>
    <w:uiPriority w:val="99"/>
    <w:rPr>
      <w:rFonts w:ascii="Calibri" w:hAnsi="Calibri"/>
      <w:sz w:val="28"/>
      <w:szCs w:val="28"/>
    </w:rPr>
  </w:style>
  <w:style w:type="paragraph" w:styleId="9">
    <w:name w:val="Body Text"/>
    <w:basedOn w:val="1"/>
    <w:next w:val="8"/>
    <w:link w:val="37"/>
    <w:qFormat/>
    <w:uiPriority w:val="99"/>
    <w:pPr>
      <w:widowControl/>
      <w:snapToGrid w:val="0"/>
      <w:spacing w:before="60" w:after="160" w:line="259" w:lineRule="auto"/>
      <w:ind w:right="113"/>
    </w:pPr>
    <w:rPr>
      <w:kern w:val="0"/>
      <w:sz w:val="18"/>
      <w:szCs w:val="20"/>
    </w:rPr>
  </w:style>
  <w:style w:type="paragraph" w:styleId="10">
    <w:name w:val="Body Text Indent"/>
    <w:basedOn w:val="1"/>
    <w:link w:val="38"/>
    <w:qFormat/>
    <w:uiPriority w:val="99"/>
    <w:pPr>
      <w:spacing w:after="120"/>
      <w:ind w:left="420" w:leftChars="200"/>
    </w:pPr>
    <w:rPr>
      <w:kern w:val="0"/>
      <w:sz w:val="24"/>
      <w:szCs w:val="20"/>
    </w:rPr>
  </w:style>
  <w:style w:type="paragraph" w:styleId="11">
    <w:name w:val="Plain Text"/>
    <w:basedOn w:val="1"/>
    <w:next w:val="8"/>
    <w:link w:val="39"/>
    <w:unhideWhenUsed/>
    <w:qFormat/>
    <w:locked/>
    <w:uiPriority w:val="99"/>
    <w:rPr>
      <w:rFonts w:ascii="宋体" w:hAnsi="Courier New"/>
      <w:szCs w:val="21"/>
    </w:rPr>
  </w:style>
  <w:style w:type="paragraph" w:styleId="12">
    <w:name w:val="Date"/>
    <w:basedOn w:val="1"/>
    <w:next w:val="1"/>
    <w:link w:val="40"/>
    <w:qFormat/>
    <w:uiPriority w:val="0"/>
    <w:pPr>
      <w:ind w:left="100" w:leftChars="2500"/>
    </w:pPr>
    <w:rPr>
      <w:kern w:val="0"/>
      <w:sz w:val="24"/>
      <w:szCs w:val="20"/>
    </w:rPr>
  </w:style>
  <w:style w:type="paragraph" w:styleId="13">
    <w:name w:val="Body Text Indent 2"/>
    <w:basedOn w:val="1"/>
    <w:next w:val="14"/>
    <w:link w:val="41"/>
    <w:unhideWhenUsed/>
    <w:qFormat/>
    <w:locked/>
    <w:uiPriority w:val="99"/>
    <w:pPr>
      <w:spacing w:before="100" w:beforeAutospacing="1" w:after="120" w:line="480" w:lineRule="auto"/>
      <w:ind w:left="420" w:leftChars="200"/>
    </w:pPr>
    <w:rPr>
      <w:szCs w:val="21"/>
    </w:rPr>
  </w:style>
  <w:style w:type="paragraph" w:customStyle="1" w:styleId="14">
    <w:name w:val="正文首行缩进 21"/>
    <w:basedOn w:val="10"/>
    <w:next w:val="1"/>
    <w:qFormat/>
    <w:uiPriority w:val="0"/>
    <w:pPr>
      <w:spacing w:before="100" w:beforeAutospacing="1" w:after="100" w:afterAutospacing="1"/>
      <w:ind w:firstLine="420" w:firstLineChars="200"/>
    </w:pPr>
    <w:rPr>
      <w:rFonts w:ascii="宋体"/>
      <w:kern w:val="2"/>
      <w:sz w:val="21"/>
      <w:szCs w:val="21"/>
    </w:rPr>
  </w:style>
  <w:style w:type="paragraph" w:styleId="15">
    <w:name w:val="Balloon Text"/>
    <w:basedOn w:val="1"/>
    <w:link w:val="42"/>
    <w:semiHidden/>
    <w:qFormat/>
    <w:uiPriority w:val="0"/>
    <w:rPr>
      <w:kern w:val="0"/>
      <w:sz w:val="18"/>
      <w:szCs w:val="20"/>
    </w:rPr>
  </w:style>
  <w:style w:type="paragraph" w:styleId="16">
    <w:name w:val="footer"/>
    <w:basedOn w:val="1"/>
    <w:link w:val="43"/>
    <w:qFormat/>
    <w:uiPriority w:val="99"/>
    <w:pPr>
      <w:tabs>
        <w:tab w:val="center" w:pos="4153"/>
        <w:tab w:val="right" w:pos="8306"/>
      </w:tabs>
      <w:snapToGrid w:val="0"/>
      <w:jc w:val="left"/>
    </w:pPr>
    <w:rPr>
      <w:kern w:val="0"/>
      <w:sz w:val="18"/>
      <w:szCs w:val="20"/>
    </w:rPr>
  </w:style>
  <w:style w:type="paragraph" w:styleId="17">
    <w:name w:val="header"/>
    <w:basedOn w:val="1"/>
    <w:link w:val="44"/>
    <w:qFormat/>
    <w:uiPriority w:val="0"/>
    <w:pPr>
      <w:pBdr>
        <w:bottom w:val="single" w:color="auto" w:sz="6" w:space="1"/>
      </w:pBdr>
      <w:tabs>
        <w:tab w:val="center" w:pos="4153"/>
        <w:tab w:val="right" w:pos="8306"/>
      </w:tabs>
      <w:snapToGrid w:val="0"/>
      <w:jc w:val="center"/>
    </w:pPr>
    <w:rPr>
      <w:kern w:val="0"/>
      <w:sz w:val="18"/>
      <w:szCs w:val="20"/>
    </w:rPr>
  </w:style>
  <w:style w:type="paragraph" w:styleId="18">
    <w:name w:val="index heading"/>
    <w:basedOn w:val="1"/>
    <w:next w:val="19"/>
    <w:unhideWhenUsed/>
    <w:qFormat/>
    <w:locked/>
    <w:uiPriority w:val="99"/>
    <w:rPr>
      <w:rFonts w:ascii="Arial" w:hAnsi="Arial" w:cs="Arial"/>
      <w:b/>
      <w:bCs/>
      <w:sz w:val="28"/>
      <w:szCs w:val="28"/>
    </w:rPr>
  </w:style>
  <w:style w:type="paragraph" w:styleId="19">
    <w:name w:val="index 1"/>
    <w:basedOn w:val="1"/>
    <w:next w:val="1"/>
    <w:qFormat/>
    <w:locked/>
    <w:uiPriority w:val="0"/>
  </w:style>
  <w:style w:type="paragraph" w:styleId="20">
    <w:name w:val="Subtitle"/>
    <w:basedOn w:val="1"/>
    <w:next w:val="1"/>
    <w:qFormat/>
    <w:locked/>
    <w:uiPriority w:val="0"/>
    <w:pPr>
      <w:spacing w:line="480" w:lineRule="exact"/>
      <w:jc w:val="center"/>
      <w:outlineLvl w:val="4"/>
    </w:pPr>
    <w:rPr>
      <w:rFonts w:ascii="Cambria" w:hAnsi="Cambria"/>
      <w:kern w:val="0"/>
      <w:lang w:val="zh-CN" w:eastAsia="en-US" w:bidi="en-US"/>
    </w:rPr>
  </w:style>
  <w:style w:type="paragraph" w:styleId="21">
    <w:name w:val="Body Text Indent 3"/>
    <w:basedOn w:val="1"/>
    <w:link w:val="45"/>
    <w:qFormat/>
    <w:locked/>
    <w:uiPriority w:val="0"/>
    <w:pPr>
      <w:spacing w:after="120"/>
      <w:ind w:left="420" w:leftChars="200"/>
    </w:pPr>
    <w:rPr>
      <w:sz w:val="16"/>
      <w:szCs w:val="16"/>
    </w:rPr>
  </w:style>
  <w:style w:type="paragraph" w:styleId="22">
    <w:name w:val="table of figures"/>
    <w:basedOn w:val="1"/>
    <w:next w:val="1"/>
    <w:unhideWhenUsed/>
    <w:qFormat/>
    <w:locked/>
    <w:uiPriority w:val="99"/>
    <w:pPr>
      <w:spacing w:before="100" w:beforeAutospacing="1" w:after="100" w:afterAutospacing="1"/>
      <w:ind w:left="200" w:leftChars="200" w:hanging="200" w:hangingChars="200"/>
    </w:pPr>
    <w:rPr>
      <w:rFonts w:ascii="Calibri" w:hAnsi="Calibri"/>
      <w:szCs w:val="21"/>
    </w:rPr>
  </w:style>
  <w:style w:type="paragraph" w:styleId="23">
    <w:name w:val="Body Text 2"/>
    <w:basedOn w:val="1"/>
    <w:link w:val="46"/>
    <w:unhideWhenUsed/>
    <w:qFormat/>
    <w:locked/>
    <w:uiPriority w:val="99"/>
    <w:pPr>
      <w:spacing w:before="100" w:beforeAutospacing="1" w:after="120" w:line="480" w:lineRule="auto"/>
    </w:pPr>
    <w:rPr>
      <w:szCs w:val="21"/>
    </w:rPr>
  </w:style>
  <w:style w:type="paragraph" w:styleId="24">
    <w:name w:val="Normal (Web)"/>
    <w:basedOn w:val="1"/>
    <w:link w:val="47"/>
    <w:qFormat/>
    <w:uiPriority w:val="99"/>
    <w:pPr>
      <w:widowControl/>
      <w:spacing w:before="100" w:beforeAutospacing="1" w:after="100" w:afterAutospacing="1"/>
      <w:jc w:val="left"/>
    </w:pPr>
    <w:rPr>
      <w:rFonts w:ascii="宋体" w:hAnsi="宋体"/>
      <w:kern w:val="0"/>
      <w:sz w:val="24"/>
      <w:szCs w:val="20"/>
    </w:rPr>
  </w:style>
  <w:style w:type="paragraph" w:styleId="25">
    <w:name w:val="annotation subject"/>
    <w:basedOn w:val="7"/>
    <w:next w:val="7"/>
    <w:link w:val="48"/>
    <w:semiHidden/>
    <w:qFormat/>
    <w:uiPriority w:val="0"/>
    <w:rPr>
      <w:b/>
    </w:rPr>
  </w:style>
  <w:style w:type="paragraph" w:styleId="26">
    <w:name w:val="Body Text First Indent 2"/>
    <w:basedOn w:val="10"/>
    <w:next w:val="1"/>
    <w:unhideWhenUsed/>
    <w:qFormat/>
    <w:locked/>
    <w:uiPriority w:val="0"/>
    <w:pPr>
      <w:widowControl/>
      <w:spacing w:beforeLines="0" w:afterLines="0"/>
      <w:ind w:firstLine="420" w:firstLineChars="200"/>
      <w:jc w:val="left"/>
    </w:pPr>
    <w:rPr>
      <w:rFonts w:hint="default"/>
      <w:sz w:val="20"/>
      <w:szCs w:val="20"/>
    </w:rPr>
  </w:style>
  <w:style w:type="table" w:styleId="28">
    <w:name w:val="Table Grid"/>
    <w:basedOn w:val="27"/>
    <w:qFormat/>
    <w:uiPriority w:val="99"/>
    <w:tblPr>
      <w:tblStyle w:val="2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page number"/>
    <w:basedOn w:val="29"/>
    <w:qFormat/>
    <w:locked/>
    <w:uiPriority w:val="0"/>
  </w:style>
  <w:style w:type="character" w:styleId="31">
    <w:name w:val="Hyperlink"/>
    <w:basedOn w:val="29"/>
    <w:qFormat/>
    <w:locked/>
    <w:uiPriority w:val="0"/>
    <w:rPr>
      <w:color w:val="0000FF"/>
      <w:u w:val="single"/>
    </w:rPr>
  </w:style>
  <w:style w:type="character" w:styleId="32">
    <w:name w:val="annotation reference"/>
    <w:semiHidden/>
    <w:qFormat/>
    <w:uiPriority w:val="0"/>
    <w:rPr>
      <w:sz w:val="21"/>
    </w:rPr>
  </w:style>
  <w:style w:type="character" w:customStyle="1" w:styleId="33">
    <w:name w:val="标题 2 字符"/>
    <w:basedOn w:val="29"/>
    <w:link w:val="4"/>
    <w:qFormat/>
    <w:uiPriority w:val="99"/>
    <w:rPr>
      <w:rFonts w:ascii="等线 Light" w:hAnsi="等线 Light" w:eastAsia="等线 Light" w:cs="Times New Roman"/>
      <w:b/>
      <w:bCs/>
      <w:kern w:val="2"/>
      <w:sz w:val="32"/>
      <w:szCs w:val="32"/>
    </w:rPr>
  </w:style>
  <w:style w:type="character" w:customStyle="1" w:styleId="34">
    <w:name w:val="标题 3 字符"/>
    <w:basedOn w:val="29"/>
    <w:link w:val="5"/>
    <w:semiHidden/>
    <w:qFormat/>
    <w:uiPriority w:val="0"/>
    <w:rPr>
      <w:b/>
      <w:bCs/>
      <w:kern w:val="2"/>
      <w:sz w:val="32"/>
      <w:szCs w:val="32"/>
    </w:rPr>
  </w:style>
  <w:style w:type="character" w:customStyle="1" w:styleId="35">
    <w:name w:val="批注文字 字符"/>
    <w:link w:val="7"/>
    <w:qFormat/>
    <w:locked/>
    <w:uiPriority w:val="99"/>
    <w:rPr>
      <w:rFonts w:ascii="Times New Roman" w:hAnsi="Times New Roman" w:eastAsia="宋体"/>
      <w:sz w:val="24"/>
    </w:rPr>
  </w:style>
  <w:style w:type="character" w:customStyle="1" w:styleId="36">
    <w:name w:val="称呼 字符"/>
    <w:basedOn w:val="29"/>
    <w:link w:val="8"/>
    <w:qFormat/>
    <w:uiPriority w:val="99"/>
    <w:rPr>
      <w:rFonts w:ascii="Calibri" w:hAnsi="Calibri"/>
      <w:kern w:val="2"/>
      <w:sz w:val="28"/>
      <w:szCs w:val="28"/>
    </w:rPr>
  </w:style>
  <w:style w:type="character" w:customStyle="1" w:styleId="37">
    <w:name w:val="正文文本 字符"/>
    <w:link w:val="9"/>
    <w:qFormat/>
    <w:locked/>
    <w:uiPriority w:val="99"/>
    <w:rPr>
      <w:sz w:val="18"/>
    </w:rPr>
  </w:style>
  <w:style w:type="character" w:customStyle="1" w:styleId="38">
    <w:name w:val="正文文本缩进 字符"/>
    <w:link w:val="10"/>
    <w:qFormat/>
    <w:locked/>
    <w:uiPriority w:val="99"/>
    <w:rPr>
      <w:rFonts w:ascii="Times New Roman" w:hAnsi="Times New Roman" w:eastAsia="宋体"/>
      <w:sz w:val="24"/>
    </w:rPr>
  </w:style>
  <w:style w:type="character" w:customStyle="1" w:styleId="39">
    <w:name w:val="纯文本 字符"/>
    <w:basedOn w:val="29"/>
    <w:link w:val="11"/>
    <w:qFormat/>
    <w:uiPriority w:val="99"/>
    <w:rPr>
      <w:rFonts w:ascii="宋体" w:hAnsi="Courier New"/>
      <w:kern w:val="2"/>
      <w:sz w:val="21"/>
      <w:szCs w:val="21"/>
    </w:rPr>
  </w:style>
  <w:style w:type="character" w:customStyle="1" w:styleId="40">
    <w:name w:val="日期 字符1"/>
    <w:link w:val="12"/>
    <w:qFormat/>
    <w:locked/>
    <w:uiPriority w:val="0"/>
    <w:rPr>
      <w:rFonts w:ascii="Times New Roman" w:hAnsi="Times New Roman" w:eastAsia="宋体"/>
      <w:sz w:val="24"/>
    </w:rPr>
  </w:style>
  <w:style w:type="character" w:customStyle="1" w:styleId="41">
    <w:name w:val="正文文本缩进 2 字符"/>
    <w:basedOn w:val="29"/>
    <w:link w:val="13"/>
    <w:qFormat/>
    <w:uiPriority w:val="99"/>
    <w:rPr>
      <w:kern w:val="2"/>
      <w:sz w:val="21"/>
      <w:szCs w:val="21"/>
    </w:rPr>
  </w:style>
  <w:style w:type="character" w:customStyle="1" w:styleId="42">
    <w:name w:val="批注框文本 字符"/>
    <w:link w:val="15"/>
    <w:semiHidden/>
    <w:qFormat/>
    <w:locked/>
    <w:uiPriority w:val="0"/>
    <w:rPr>
      <w:rFonts w:ascii="Times New Roman" w:hAnsi="Times New Roman" w:eastAsia="宋体"/>
      <w:sz w:val="18"/>
    </w:rPr>
  </w:style>
  <w:style w:type="character" w:customStyle="1" w:styleId="43">
    <w:name w:val="页脚 字符1"/>
    <w:link w:val="16"/>
    <w:qFormat/>
    <w:locked/>
    <w:uiPriority w:val="99"/>
    <w:rPr>
      <w:sz w:val="18"/>
    </w:rPr>
  </w:style>
  <w:style w:type="character" w:customStyle="1" w:styleId="44">
    <w:name w:val="页眉 字符"/>
    <w:link w:val="17"/>
    <w:qFormat/>
    <w:locked/>
    <w:uiPriority w:val="0"/>
    <w:rPr>
      <w:sz w:val="18"/>
    </w:rPr>
  </w:style>
  <w:style w:type="character" w:customStyle="1" w:styleId="45">
    <w:name w:val="正文文本缩进 3 字符"/>
    <w:basedOn w:val="29"/>
    <w:link w:val="21"/>
    <w:qFormat/>
    <w:uiPriority w:val="0"/>
    <w:rPr>
      <w:kern w:val="2"/>
      <w:sz w:val="16"/>
      <w:szCs w:val="16"/>
    </w:rPr>
  </w:style>
  <w:style w:type="character" w:customStyle="1" w:styleId="46">
    <w:name w:val="正文文本 2 字符"/>
    <w:basedOn w:val="29"/>
    <w:link w:val="23"/>
    <w:qFormat/>
    <w:uiPriority w:val="99"/>
    <w:rPr>
      <w:kern w:val="2"/>
      <w:sz w:val="21"/>
      <w:szCs w:val="21"/>
    </w:rPr>
  </w:style>
  <w:style w:type="character" w:customStyle="1" w:styleId="47">
    <w:name w:val="普通(网站) 字符"/>
    <w:link w:val="24"/>
    <w:qFormat/>
    <w:locked/>
    <w:uiPriority w:val="0"/>
    <w:rPr>
      <w:rFonts w:ascii="宋体" w:hAnsi="宋体" w:eastAsia="宋体"/>
      <w:sz w:val="24"/>
    </w:rPr>
  </w:style>
  <w:style w:type="character" w:customStyle="1" w:styleId="48">
    <w:name w:val="批注主题 字符"/>
    <w:link w:val="25"/>
    <w:semiHidden/>
    <w:qFormat/>
    <w:locked/>
    <w:uiPriority w:val="0"/>
    <w:rPr>
      <w:rFonts w:ascii="Times New Roman" w:hAnsi="Times New Roman" w:eastAsia="宋体"/>
      <w:b/>
      <w:kern w:val="2"/>
      <w:sz w:val="24"/>
    </w:rPr>
  </w:style>
  <w:style w:type="paragraph" w:customStyle="1" w:styleId="49">
    <w:name w:val="Default"/>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character" w:customStyle="1" w:styleId="50">
    <w:name w:val="页脚 字符"/>
    <w:basedOn w:val="29"/>
    <w:qFormat/>
    <w:uiPriority w:val="99"/>
  </w:style>
  <w:style w:type="character" w:customStyle="1" w:styleId="51">
    <w:name w:val="正文文本 字符1"/>
    <w:semiHidden/>
    <w:qFormat/>
    <w:uiPriority w:val="0"/>
    <w:rPr>
      <w:rFonts w:ascii="Times New Roman" w:hAnsi="Times New Roman" w:eastAsia="宋体"/>
      <w:sz w:val="24"/>
    </w:rPr>
  </w:style>
  <w:style w:type="character" w:customStyle="1" w:styleId="52">
    <w:name w:val="表格 Char"/>
    <w:link w:val="53"/>
    <w:qFormat/>
    <w:locked/>
    <w:uiPriority w:val="0"/>
    <w:rPr>
      <w:rFonts w:ascii="宋体"/>
      <w:sz w:val="21"/>
    </w:rPr>
  </w:style>
  <w:style w:type="paragraph" w:customStyle="1" w:styleId="53">
    <w:name w:val="表格"/>
    <w:basedOn w:val="1"/>
    <w:next w:val="1"/>
    <w:link w:val="52"/>
    <w:qFormat/>
    <w:uiPriority w:val="0"/>
    <w:pPr>
      <w:adjustRightInd w:val="0"/>
      <w:snapToGrid w:val="0"/>
      <w:spacing w:beforeLines="10" w:afterLines="10" w:line="259" w:lineRule="auto"/>
      <w:jc w:val="center"/>
    </w:pPr>
    <w:rPr>
      <w:rFonts w:ascii="宋体"/>
      <w:kern w:val="0"/>
      <w:szCs w:val="20"/>
    </w:rPr>
  </w:style>
  <w:style w:type="character" w:customStyle="1" w:styleId="54">
    <w:name w:val="日期 字符"/>
    <w:semiHidden/>
    <w:qFormat/>
    <w:uiPriority w:val="0"/>
    <w:rPr>
      <w:rFonts w:ascii="Times New Roman" w:hAnsi="Times New Roman" w:eastAsia="宋体"/>
      <w:sz w:val="24"/>
    </w:rPr>
  </w:style>
  <w:style w:type="character" w:customStyle="1" w:styleId="55">
    <w:name w:val="批注文字 字符1"/>
    <w:semiHidden/>
    <w:qFormat/>
    <w:uiPriority w:val="0"/>
    <w:rPr>
      <w:rFonts w:ascii="Times New Roman" w:hAnsi="Times New Roman" w:eastAsia="宋体"/>
      <w:sz w:val="24"/>
    </w:rPr>
  </w:style>
  <w:style w:type="paragraph" w:customStyle="1" w:styleId="56">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7">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8">
    <w:name w:val="样式 标题 3 + 段前: 0.5 行"/>
    <w:basedOn w:val="5"/>
    <w:qFormat/>
    <w:uiPriority w:val="0"/>
    <w:pPr>
      <w:keepNext w:val="0"/>
      <w:keepLines w:val="0"/>
      <w:tabs>
        <w:tab w:val="left" w:pos="142"/>
        <w:tab w:val="left" w:pos="1080"/>
      </w:tabs>
      <w:autoSpaceDE w:val="0"/>
      <w:autoSpaceDN w:val="0"/>
      <w:spacing w:before="50" w:beforeLines="100" w:after="0" w:line="360" w:lineRule="auto"/>
      <w:ind w:left="227" w:hanging="227"/>
      <w:textAlignment w:val="baseline"/>
    </w:pPr>
    <w:rPr>
      <w:rFonts w:hAnsi="Calibri" w:eastAsia="黑体" w:cs="宋体"/>
      <w:bCs w:val="0"/>
      <w:kern w:val="0"/>
      <w:szCs w:val="30"/>
    </w:rPr>
  </w:style>
  <w:style w:type="paragraph" w:customStyle="1" w:styleId="59">
    <w:name w:val="样式 五号 居中"/>
    <w:basedOn w:val="1"/>
    <w:qFormat/>
    <w:uiPriority w:val="0"/>
    <w:pPr>
      <w:jc w:val="center"/>
    </w:pPr>
    <w:rPr>
      <w:rFonts w:cs="宋体"/>
      <w:szCs w:val="21"/>
    </w:rPr>
  </w:style>
  <w:style w:type="paragraph" w:customStyle="1" w:styleId="60">
    <w:name w:val="样式35"/>
    <w:basedOn w:val="1"/>
    <w:qFormat/>
    <w:uiPriority w:val="0"/>
    <w:pPr>
      <w:adjustRightInd w:val="0"/>
      <w:spacing w:line="312" w:lineRule="auto"/>
      <w:ind w:firstLine="567"/>
    </w:pPr>
    <w:rPr>
      <w:rFonts w:ascii="宋体" w:hAnsi="Calibri"/>
      <w:kern w:val="0"/>
      <w:sz w:val="28"/>
      <w:szCs w:val="28"/>
    </w:rPr>
  </w:style>
  <w:style w:type="paragraph" w:customStyle="1" w:styleId="61">
    <w:name w:val="Table Paragraph"/>
    <w:basedOn w:val="1"/>
    <w:qFormat/>
    <w:uiPriority w:val="0"/>
    <w:pPr>
      <w:jc w:val="left"/>
    </w:pPr>
    <w:rPr>
      <w:rFonts w:ascii="Calibri" w:hAnsi="Calibri"/>
      <w:kern w:val="0"/>
      <w:sz w:val="22"/>
      <w:szCs w:val="22"/>
    </w:rPr>
  </w:style>
  <w:style w:type="paragraph" w:customStyle="1" w:styleId="62">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63">
    <w:name w:val="表格内部"/>
    <w:basedOn w:val="1"/>
    <w:qFormat/>
    <w:uiPriority w:val="0"/>
    <w:pPr>
      <w:jc w:val="center"/>
    </w:pPr>
    <w:rPr>
      <w:kern w:val="0"/>
      <w:szCs w:val="21"/>
    </w:rPr>
  </w:style>
  <w:style w:type="paragraph" w:customStyle="1" w:styleId="64">
    <w:name w:val="表内容"/>
    <w:basedOn w:val="1"/>
    <w:next w:val="1"/>
    <w:qFormat/>
    <w:uiPriority w:val="0"/>
    <w:pPr>
      <w:jc w:val="center"/>
    </w:pPr>
    <w:rPr>
      <w:szCs w:val="21"/>
    </w:rPr>
  </w:style>
  <w:style w:type="character" w:customStyle="1" w:styleId="65">
    <w:name w:val="10"/>
    <w:basedOn w:val="29"/>
    <w:qFormat/>
    <w:uiPriority w:val="0"/>
    <w:rPr>
      <w:rFonts w:hint="default" w:ascii="Times New Roman" w:hAnsi="Times New Roman" w:cs="Times New Roman"/>
    </w:rPr>
  </w:style>
  <w:style w:type="character" w:customStyle="1" w:styleId="66">
    <w:name w:val="15"/>
    <w:basedOn w:val="29"/>
    <w:qFormat/>
    <w:uiPriority w:val="0"/>
    <w:rPr>
      <w:rFonts w:hint="default" w:ascii="Times New Roman" w:hAnsi="Times New Roman" w:cs="Times New Roman"/>
    </w:rPr>
  </w:style>
  <w:style w:type="paragraph" w:customStyle="1" w:styleId="67">
    <w:name w:val="正文 + 仿宋_GB2312"/>
    <w:basedOn w:val="1"/>
    <w:qFormat/>
    <w:uiPriority w:val="0"/>
    <w:pPr>
      <w:ind w:firstLine="480" w:firstLineChars="200"/>
    </w:pPr>
    <w:rPr>
      <w:rFonts w:ascii="仿宋_GB2312" w:hAnsi="Calibri" w:eastAsia="仿宋_GB2312"/>
      <w:sz w:val="24"/>
    </w:rPr>
  </w:style>
  <w:style w:type="paragraph" w:customStyle="1" w:styleId="68">
    <w:name w:val="List Paragraph1"/>
    <w:basedOn w:val="1"/>
    <w:qFormat/>
    <w:uiPriority w:val="0"/>
    <w:pPr>
      <w:ind w:firstLine="420" w:firstLineChars="200"/>
    </w:pPr>
    <w:rPr>
      <w:szCs w:val="21"/>
    </w:rPr>
  </w:style>
  <w:style w:type="paragraph" w:styleId="69">
    <w:name w:val="List Paragraph"/>
    <w:basedOn w:val="1"/>
    <w:qFormat/>
    <w:uiPriority w:val="99"/>
    <w:pPr>
      <w:ind w:firstLine="420" w:firstLineChars="200"/>
    </w:pPr>
  </w:style>
  <w:style w:type="paragraph" w:customStyle="1" w:styleId="70">
    <w:name w:val="目录22222222"/>
    <w:basedOn w:val="1"/>
    <w:qFormat/>
    <w:uiPriority w:val="0"/>
    <w:pPr>
      <w:keepNext/>
      <w:keepLines/>
      <w:spacing w:line="480" w:lineRule="exact"/>
      <w:jc w:val="left"/>
      <w:outlineLvl w:val="1"/>
    </w:pPr>
    <w:rPr>
      <w:rFonts w:ascii="Arial" w:hAnsi="Arial" w:eastAsia="黑体"/>
      <w:bCs/>
      <w:sz w:val="28"/>
      <w:szCs w:val="28"/>
    </w:rPr>
  </w:style>
  <w:style w:type="paragraph" w:customStyle="1" w:styleId="71">
    <w:name w:val="表内文字"/>
    <w:basedOn w:val="1"/>
    <w:qFormat/>
    <w:uiPriority w:val="0"/>
    <w:pPr>
      <w:adjustRightInd w:val="0"/>
      <w:jc w:val="center"/>
      <w:textAlignment w:val="baseline"/>
    </w:pPr>
    <w:rPr>
      <w:szCs w:val="21"/>
    </w:rPr>
  </w:style>
  <w:style w:type="paragraph" w:customStyle="1" w:styleId="72">
    <w:name w:val="Lux 正文"/>
    <w:basedOn w:val="1"/>
    <w:qFormat/>
    <w:uiPriority w:val="0"/>
    <w:pPr>
      <w:ind w:firstLine="200"/>
    </w:pPr>
    <w:rPr>
      <w:kern w:val="0"/>
      <w:szCs w:val="21"/>
    </w:rPr>
  </w:style>
  <w:style w:type="paragraph" w:customStyle="1" w:styleId="73">
    <w:name w:val="表头"/>
    <w:basedOn w:val="1"/>
    <w:next w:val="1"/>
    <w:qFormat/>
    <w:uiPriority w:val="0"/>
    <w:pPr>
      <w:spacing w:line="420" w:lineRule="exact"/>
      <w:jc w:val="center"/>
    </w:pPr>
    <w:rPr>
      <w:rFonts w:ascii="Calibri" w:hAnsi="宋体"/>
      <w:b/>
      <w:color w:val="000000"/>
      <w:position w:val="2"/>
      <w:sz w:val="24"/>
    </w:rPr>
  </w:style>
  <w:style w:type="paragraph" w:customStyle="1" w:styleId="74">
    <w:name w:val="列表段落1"/>
    <w:basedOn w:val="1"/>
    <w:qFormat/>
    <w:uiPriority w:val="0"/>
    <w:pPr>
      <w:spacing w:before="1" w:after="100" w:afterAutospacing="1"/>
      <w:ind w:left="285" w:hanging="602"/>
    </w:pPr>
    <w:rPr>
      <w:rFonts w:ascii="宋体" w:hAnsi="宋体" w:cs="宋体"/>
      <w:sz w:val="28"/>
      <w:szCs w:val="28"/>
    </w:rPr>
  </w:style>
  <w:style w:type="paragraph" w:customStyle="1" w:styleId="75">
    <w:name w:val="_Style 2"/>
    <w:basedOn w:val="1"/>
    <w:next w:val="1"/>
    <w:qFormat/>
    <w:uiPriority w:val="0"/>
    <w:pPr>
      <w:spacing w:line="360" w:lineRule="exact"/>
      <w:jc w:val="center"/>
    </w:pPr>
    <w:rPr>
      <w:rFonts w:ascii="Calibri" w:hAnsi="Calibri" w:cs="Calibri"/>
      <w:iCs/>
      <w:color w:val="000000"/>
      <w:szCs w:val="21"/>
    </w:rPr>
  </w:style>
  <w:style w:type="paragraph" w:customStyle="1" w:styleId="76">
    <w:name w:val="列出段落"/>
    <w:basedOn w:val="1"/>
    <w:qFormat/>
    <w:uiPriority w:val="0"/>
    <w:pPr>
      <w:ind w:firstLine="420" w:firstLineChars="200"/>
    </w:pPr>
    <w:rPr>
      <w:rFonts w:ascii="Calibri" w:hAnsi="Calibri" w:cs="Calibri"/>
      <w:szCs w:val="21"/>
    </w:rPr>
  </w:style>
  <w:style w:type="paragraph" w:customStyle="1" w:styleId="77">
    <w:name w:val="正文首行缩进 22"/>
    <w:basedOn w:val="10"/>
    <w:next w:val="1"/>
    <w:qFormat/>
    <w:uiPriority w:val="0"/>
    <w:pPr>
      <w:spacing w:before="100" w:beforeAutospacing="1"/>
      <w:ind w:firstLine="420" w:firstLineChars="200"/>
    </w:pPr>
    <w:rPr>
      <w:rFonts w:ascii="Calibri" w:hAnsi="Calibri" w:cs="Calibri"/>
      <w:kern w:val="2"/>
      <w:sz w:val="21"/>
      <w:szCs w:val="21"/>
    </w:rPr>
  </w:style>
  <w:style w:type="paragraph" w:customStyle="1" w:styleId="78">
    <w:name w:val="1"/>
    <w:basedOn w:val="1"/>
    <w:next w:val="2"/>
    <w:qFormat/>
    <w:uiPriority w:val="0"/>
    <w:pPr>
      <w:ind w:firstLine="420"/>
    </w:pPr>
    <w:rPr>
      <w:rFonts w:ascii="宋体" w:hAnsi="宋体" w:cs="宋体"/>
      <w:sz w:val="26"/>
      <w:szCs w:val="26"/>
    </w:rPr>
  </w:style>
  <w:style w:type="paragraph" w:customStyle="1" w:styleId="79">
    <w:name w:val="表文字"/>
    <w:basedOn w:val="1"/>
    <w:qFormat/>
    <w:uiPriority w:val="0"/>
    <w:pPr>
      <w:topLinePunct/>
      <w:adjustRightInd w:val="0"/>
      <w:spacing w:line="360" w:lineRule="exact"/>
      <w:jc w:val="center"/>
      <w:textAlignment w:val="baseline"/>
    </w:pPr>
    <w:rPr>
      <w:rFonts w:ascii="Calibri" w:hAnsi="Calibri" w:cs="Calibri"/>
      <w:kern w:val="0"/>
      <w:szCs w:val="21"/>
    </w:rPr>
  </w:style>
  <w:style w:type="paragraph" w:customStyle="1" w:styleId="80">
    <w:name w:val="表格内容自定"/>
    <w:basedOn w:val="1"/>
    <w:qFormat/>
    <w:uiPriority w:val="0"/>
    <w:pPr>
      <w:spacing w:line="280" w:lineRule="exact"/>
      <w:jc w:val="center"/>
    </w:pPr>
    <w:rPr>
      <w:rFonts w:ascii="Calibri" w:hAnsi="Calibri" w:cs="Calibri"/>
      <w:kern w:val="0"/>
      <w:sz w:val="18"/>
      <w:szCs w:val="18"/>
    </w:rPr>
  </w:style>
  <w:style w:type="paragraph" w:customStyle="1" w:styleId="81">
    <w:name w:val="中文报告书样式"/>
    <w:basedOn w:val="1"/>
    <w:qFormat/>
    <w:uiPriority w:val="0"/>
    <w:pPr>
      <w:adjustRightInd w:val="0"/>
      <w:spacing w:line="480" w:lineRule="atLeast"/>
      <w:ind w:firstLine="482"/>
      <w:textAlignment w:val="baseline"/>
    </w:pPr>
    <w:rPr>
      <w:rFonts w:ascii="仿宋_GB2312" w:hAnsi="宋体" w:eastAsia="仿宋_GB2312" w:cs="宋体"/>
      <w:kern w:val="24"/>
      <w:sz w:val="24"/>
    </w:rPr>
  </w:style>
  <w:style w:type="paragraph" w:customStyle="1" w:styleId="82">
    <w:name w:val="样式 12.5 磅 行距: 固定值 22 磅 首行缩进:  2 字符"/>
    <w:basedOn w:val="1"/>
    <w:qFormat/>
    <w:uiPriority w:val="0"/>
    <w:pPr>
      <w:spacing w:line="440" w:lineRule="exact"/>
      <w:ind w:firstLine="200" w:firstLineChars="200"/>
    </w:pPr>
    <w:rPr>
      <w:rFonts w:ascii="仿宋_GB2312" w:hAnsi="宋体" w:eastAsia="仿宋_GB2312" w:cs="宋体"/>
      <w:sz w:val="25"/>
      <w:szCs w:val="25"/>
    </w:rPr>
  </w:style>
  <w:style w:type="paragraph" w:customStyle="1" w:styleId="83">
    <w:name w:val="p0"/>
    <w:basedOn w:val="1"/>
    <w:qFormat/>
    <w:uiPriority w:val="0"/>
    <w:pPr>
      <w:widowControl/>
    </w:pPr>
    <w:rPr>
      <w:rFonts w:ascii="仿宋_GB2312" w:hAnsi="宋体" w:eastAsia="仿宋_GB2312" w:cs="宋体"/>
      <w:kern w:val="0"/>
      <w:szCs w:val="21"/>
    </w:rPr>
  </w:style>
  <w:style w:type="paragraph" w:customStyle="1" w:styleId="84">
    <w:name w:val="_Style 1036"/>
    <w:basedOn w:val="1"/>
    <w:next w:val="1"/>
    <w:qFormat/>
    <w:uiPriority w:val="0"/>
    <w:pPr>
      <w:widowControl/>
      <w:ind w:firstLine="420" w:firstLineChars="200"/>
      <w:jc w:val="left"/>
    </w:pPr>
    <w:rPr>
      <w:spacing w:val="-2"/>
      <w:kern w:val="0"/>
      <w:sz w:val="28"/>
      <w:szCs w:val="28"/>
    </w:rPr>
  </w:style>
  <w:style w:type="paragraph" w:customStyle="1" w:styleId="85">
    <w:name w:val="p15"/>
    <w:basedOn w:val="1"/>
    <w:qFormat/>
    <w:uiPriority w:val="0"/>
    <w:pPr>
      <w:widowControl/>
      <w:jc w:val="left"/>
    </w:pPr>
    <w:rPr>
      <w:rFonts w:ascii="仿宋_GB2312" w:hAnsi="宋体" w:eastAsia="仿宋_GB2312" w:cs="宋体"/>
      <w:kern w:val="0"/>
      <w:sz w:val="20"/>
      <w:szCs w:val="20"/>
    </w:rPr>
  </w:style>
  <w:style w:type="paragraph" w:customStyle="1" w:styleId="86">
    <w:name w:val="！正文"/>
    <w:basedOn w:val="1"/>
    <w:qFormat/>
    <w:uiPriority w:val="0"/>
    <w:pPr>
      <w:spacing w:line="360" w:lineRule="auto"/>
      <w:ind w:firstLine="480" w:firstLineChars="200"/>
    </w:pPr>
    <w:rPr>
      <w:rFonts w:ascii="宋体" w:cs="宋体"/>
      <w:kern w:val="0"/>
      <w:sz w:val="24"/>
    </w:rPr>
  </w:style>
  <w:style w:type="paragraph" w:customStyle="1" w:styleId="87">
    <w:name w:val="表格内容"/>
    <w:basedOn w:val="1"/>
    <w:qFormat/>
    <w:uiPriority w:val="0"/>
    <w:pPr>
      <w:widowControl/>
      <w:jc w:val="center"/>
    </w:pPr>
    <w:rPr>
      <w:kern w:val="0"/>
      <w:szCs w:val="21"/>
    </w:rPr>
  </w:style>
  <w:style w:type="paragraph" w:customStyle="1" w:styleId="88">
    <w:name w:val="样式 标题 2 + 自动设置"/>
    <w:basedOn w:val="4"/>
    <w:qFormat/>
    <w:uiPriority w:val="0"/>
    <w:pPr>
      <w:adjustRightInd w:val="0"/>
      <w:snapToGrid w:val="0"/>
      <w:spacing w:before="0" w:beforeLines="50" w:after="0" w:afterLines="50" w:line="240" w:lineRule="auto"/>
      <w:ind w:firstLine="540" w:firstLineChars="168"/>
    </w:pPr>
    <w:rPr>
      <w:rFonts w:ascii="Times New Roman" w:hAnsi="Times New Roman" w:eastAsia="黑体" w:cs="Times New Roman"/>
      <w:b w:val="0"/>
      <w:sz w:val="28"/>
      <w:szCs w:val="28"/>
    </w:rPr>
  </w:style>
  <w:style w:type="paragraph" w:customStyle="1" w:styleId="89">
    <w:name w:val="表格名称"/>
    <w:basedOn w:val="1"/>
    <w:qFormat/>
    <w:uiPriority w:val="0"/>
    <w:pPr>
      <w:spacing w:before="100" w:beforeAutospacing="1" w:after="100" w:afterAutospacing="1"/>
      <w:jc w:val="center"/>
    </w:pPr>
    <w:rPr>
      <w:b/>
      <w:sz w:val="28"/>
      <w:szCs w:val="28"/>
    </w:rPr>
  </w:style>
  <w:style w:type="paragraph" w:customStyle="1" w:styleId="90">
    <w:name w:val="A正文"/>
    <w:basedOn w:val="1"/>
    <w:qFormat/>
    <w:uiPriority w:val="0"/>
    <w:pPr>
      <w:adjustRightInd w:val="0"/>
      <w:snapToGrid w:val="0"/>
      <w:spacing w:line="360" w:lineRule="auto"/>
      <w:ind w:firstLine="480" w:firstLineChars="200"/>
    </w:pPr>
    <w:rPr>
      <w:rFonts w:ascii="Calibri" w:hAnsi="Calibri"/>
      <w:kern w:val="0"/>
      <w:sz w:val="24"/>
    </w:rPr>
  </w:style>
  <w:style w:type="paragraph" w:customStyle="1" w:styleId="91">
    <w:name w:val="表格标题"/>
    <w:basedOn w:val="6"/>
    <w:link w:val="92"/>
    <w:qFormat/>
    <w:uiPriority w:val="0"/>
    <w:pPr>
      <w:keepNext/>
      <w:spacing w:line="440" w:lineRule="exact"/>
      <w:jc w:val="center"/>
    </w:pPr>
    <w:rPr>
      <w:rFonts w:ascii="Times New Roman" w:hAnsi="宋体" w:eastAsia="宋体" w:cs="Times New Roman"/>
      <w:sz w:val="24"/>
      <w:szCs w:val="24"/>
    </w:rPr>
  </w:style>
  <w:style w:type="character" w:customStyle="1" w:styleId="92">
    <w:name w:val="表格标题 Char"/>
    <w:link w:val="91"/>
    <w:qFormat/>
    <w:uiPriority w:val="0"/>
    <w:rPr>
      <w:rFonts w:ascii="Times New Roman" w:hAnsi="宋体" w:eastAsia="宋体" w:cs="Times New Roman"/>
      <w:sz w:val="24"/>
      <w:szCs w:val="24"/>
    </w:rPr>
  </w:style>
  <w:style w:type="table" w:customStyle="1" w:styleId="93">
    <w:name w:val="Table Normal"/>
    <w:basedOn w:val="27"/>
    <w:qFormat/>
    <w:uiPriority w:val="0"/>
    <w:pPr>
      <w:widowControl w:val="0"/>
    </w:pPr>
    <w:rPr>
      <w:rFonts w:eastAsia="Times New Roman"/>
      <w:sz w:val="22"/>
      <w:szCs w:val="22"/>
      <w:lang w:eastAsia="en-US"/>
    </w:rPr>
    <w:tblPr>
      <w:tblStyle w:val="27"/>
      <w:tblCellMar>
        <w:left w:w="0" w:type="dxa"/>
        <w:right w:w="0" w:type="dxa"/>
      </w:tblCellMar>
    </w:tblPr>
  </w:style>
  <w:style w:type="paragraph" w:customStyle="1" w:styleId="94">
    <w:name w:val="列表段落2"/>
    <w:basedOn w:val="1"/>
    <w:qFormat/>
    <w:uiPriority w:val="0"/>
    <w:pPr>
      <w:ind w:firstLine="420" w:firstLineChars="200"/>
    </w:pPr>
    <w:rPr>
      <w:szCs w:val="21"/>
    </w:rPr>
  </w:style>
  <w:style w:type="paragraph" w:customStyle="1" w:styleId="95">
    <w:name w:val="1正文"/>
    <w:basedOn w:val="1"/>
    <w:qFormat/>
    <w:uiPriority w:val="0"/>
    <w:pPr>
      <w:widowControl/>
      <w:spacing w:line="360" w:lineRule="auto"/>
      <w:ind w:firstLine="200" w:firstLineChars="200"/>
    </w:pPr>
    <w:rPr>
      <w:rFonts w:ascii="Calibri" w:hAnsi="Calibri"/>
      <w:kern w:val="0"/>
      <w:sz w:val="24"/>
    </w:rPr>
  </w:style>
  <w:style w:type="character" w:customStyle="1" w:styleId="96">
    <w:name w:val="16"/>
    <w:basedOn w:val="29"/>
    <w:qFormat/>
    <w:uiPriority w:val="0"/>
    <w:rPr>
      <w:rFonts w:hint="default" w:ascii="Times New Roman" w:hAnsi="Times New Roman" w:cs="Times New Roman"/>
      <w:color w:val="000000"/>
      <w:sz w:val="22"/>
      <w:szCs w:val="22"/>
    </w:rPr>
  </w:style>
  <w:style w:type="paragraph" w:customStyle="1" w:styleId="97">
    <w:name w:val="正文001"/>
    <w:basedOn w:val="1"/>
    <w:qFormat/>
    <w:uiPriority w:val="0"/>
    <w:pPr>
      <w:spacing w:before="60" w:after="100" w:afterAutospacing="1" w:line="420" w:lineRule="exact"/>
      <w:ind w:firstLine="482"/>
    </w:pPr>
    <w:rPr>
      <w:rFonts w:ascii="Calibri" w:hAnsi="Calibri"/>
      <w:sz w:val="24"/>
    </w:rPr>
  </w:style>
  <w:style w:type="paragraph" w:customStyle="1" w:styleId="98">
    <w:name w:val="List Paragraph2"/>
    <w:basedOn w:val="1"/>
    <w:qFormat/>
    <w:uiPriority w:val="0"/>
    <w:pPr>
      <w:spacing w:before="1" w:after="100" w:afterAutospacing="1"/>
      <w:ind w:left="285" w:hanging="602"/>
    </w:pPr>
    <w:rPr>
      <w:rFonts w:ascii="宋体" w:hAnsi="宋体" w:cs="宋体"/>
      <w:sz w:val="28"/>
      <w:szCs w:val="28"/>
    </w:rPr>
  </w:style>
  <w:style w:type="paragraph" w:customStyle="1" w:styleId="99">
    <w:name w:val="Other|1"/>
    <w:basedOn w:val="1"/>
    <w:unhideWhenUsed/>
    <w:qFormat/>
    <w:uiPriority w:val="0"/>
    <w:pPr>
      <w:spacing w:beforeLines="0" w:afterLines="0"/>
      <w:ind w:firstLine="180"/>
    </w:pPr>
    <w:rPr>
      <w:rFonts w:hint="eastAsia"/>
      <w:sz w:val="20"/>
      <w:szCs w:val="20"/>
    </w:rPr>
  </w:style>
  <w:style w:type="paragraph" w:customStyle="1" w:styleId="100">
    <w:name w:val="表标题"/>
    <w:basedOn w:val="1"/>
    <w:qFormat/>
    <w:uiPriority w:val="0"/>
    <w:pPr>
      <w:spacing w:before="50" w:beforeLines="50" w:line="240" w:lineRule="auto"/>
      <w:ind w:firstLine="0" w:firstLineChars="0"/>
      <w:jc w:val="center"/>
    </w:pPr>
    <w:rPr>
      <w:b/>
      <w:bCs/>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jpe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69</Pages>
  <Words>24692</Words>
  <Characters>28125</Characters>
  <Lines>1</Lines>
  <Paragraphs>1</Paragraphs>
  <TotalTime>22</TotalTime>
  <ScaleCrop>false</ScaleCrop>
  <LinksUpToDate>false</LinksUpToDate>
  <CharactersWithSpaces>28129</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2021-03-18T01:35:00Z</dcterms:created>
  <dc:creator>lhj</dc:creator>
  <cp:lastModifiedBy>wybll</cp:lastModifiedBy>
  <cp:lastPrinted>2021-08-06T10:14:00Z</cp:lastPrinted>
  <dcterms:modified xsi:type="dcterms:W3CDTF">2022-06-06T00:29:24Z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0C13DC8DD8804762AD9FCA5FB6A3D61A</vt:lpwstr>
  </property>
</Properties>
</file>