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cs="仿宋_GB2312"/>
          <w:color w:val="000000"/>
          <w:sz w:val="36"/>
          <w:szCs w:val="36"/>
          <w:lang w:eastAsia="zh-CN"/>
        </w:rPr>
      </w:pPr>
    </w:p>
    <w:p>
      <w:pPr>
        <w:rPr>
          <w:rFonts w:cs="仿宋_GB2312"/>
          <w:color w:val="000000"/>
          <w:sz w:val="36"/>
          <w:szCs w:val="36"/>
        </w:rPr>
      </w:pPr>
    </w:p>
    <w:p>
      <w:pPr>
        <w:rPr>
          <w:rFonts w:cs="仿宋_GB2312"/>
          <w:color w:val="000000"/>
          <w:sz w:val="36"/>
          <w:szCs w:val="36"/>
        </w:rPr>
      </w:pPr>
    </w:p>
    <w:p>
      <w:pPr>
        <w:rPr>
          <w:rFonts w:cs="仿宋_GB2312"/>
          <w:color w:val="000000"/>
          <w:sz w:val="36"/>
          <w:szCs w:val="36"/>
        </w:rPr>
      </w:pPr>
    </w:p>
    <w:p>
      <w:pPr>
        <w:rPr>
          <w:rFonts w:cs="仿宋_GB2312"/>
          <w:color w:val="000000"/>
          <w:sz w:val="36"/>
          <w:szCs w:val="36"/>
        </w:rPr>
      </w:pPr>
    </w:p>
    <w:p>
      <w:pPr>
        <w:adjustRightInd w:val="0"/>
        <w:snapToGrid w:val="0"/>
        <w:jc w:val="center"/>
        <w:outlineLvl w:val="0"/>
        <w:rPr>
          <w:bCs/>
          <w:color w:val="000000"/>
          <w:sz w:val="72"/>
          <w:szCs w:val="72"/>
        </w:rPr>
      </w:pPr>
      <w:r>
        <w:rPr>
          <w:rFonts w:hint="eastAsia"/>
          <w:bCs/>
          <w:color w:val="000000"/>
          <w:sz w:val="72"/>
          <w:szCs w:val="72"/>
        </w:rPr>
        <w:t>建设项目环境影响报告表</w:t>
      </w:r>
    </w:p>
    <w:p>
      <w:pPr>
        <w:adjustRightInd w:val="0"/>
        <w:snapToGrid w:val="0"/>
        <w:spacing w:before="192" w:beforeLines="80"/>
        <w:jc w:val="center"/>
        <w:rPr>
          <w:bCs/>
          <w:color w:val="000000"/>
          <w:sz w:val="48"/>
          <w:szCs w:val="48"/>
        </w:rPr>
      </w:pPr>
      <w:r>
        <w:rPr>
          <w:rFonts w:hint="eastAsia"/>
          <w:bCs/>
          <w:color w:val="000000"/>
          <w:sz w:val="48"/>
          <w:szCs w:val="48"/>
        </w:rPr>
        <w:t>（污染影响类）</w:t>
      </w:r>
    </w:p>
    <w:p>
      <w:pPr>
        <w:jc w:val="center"/>
        <w:rPr>
          <w:color w:val="000000"/>
          <w:sz w:val="52"/>
          <w:szCs w:val="52"/>
        </w:rPr>
      </w:pPr>
    </w:p>
    <w:p>
      <w:pPr>
        <w:ind w:firstLine="1040"/>
        <w:rPr>
          <w:color w:val="000000"/>
          <w:sz w:val="44"/>
          <w:szCs w:val="44"/>
        </w:rPr>
      </w:pPr>
    </w:p>
    <w:p>
      <w:pPr>
        <w:ind w:firstLine="1040"/>
        <w:rPr>
          <w:color w:val="000000"/>
          <w:sz w:val="44"/>
          <w:szCs w:val="44"/>
        </w:rPr>
      </w:pPr>
    </w:p>
    <w:p/>
    <w:p/>
    <w:p/>
    <w:p/>
    <w:p/>
    <w:p>
      <w:pPr>
        <w:ind w:firstLine="1040"/>
        <w:rPr>
          <w:color w:val="000000"/>
          <w:sz w:val="44"/>
          <w:szCs w:val="44"/>
        </w:rPr>
      </w:pPr>
    </w:p>
    <w:p>
      <w:pPr>
        <w:ind w:firstLine="1040"/>
        <w:rPr>
          <w:color w:val="000000"/>
          <w:sz w:val="44"/>
          <w:szCs w:val="44"/>
        </w:rPr>
      </w:pPr>
    </w:p>
    <w:p>
      <w:pPr>
        <w:ind w:firstLine="1040"/>
        <w:rPr>
          <w:rFonts w:asciiTheme="minorEastAsia" w:hAnsiTheme="minorEastAsia" w:eastAsiaTheme="minorEastAsia" w:cstheme="minorEastAsia"/>
          <w:color w:val="000000"/>
          <w:sz w:val="30"/>
          <w:szCs w:val="30"/>
        </w:rPr>
      </w:pPr>
    </w:p>
    <w:p>
      <w:pPr>
        <w:adjustRightInd w:val="0"/>
        <w:snapToGrid w:val="0"/>
        <w:spacing w:before="100" w:after="100" w:line="360" w:lineRule="auto"/>
        <w:ind w:right="765" w:firstLine="300" w:firstLineChars="100"/>
        <w:jc w:val="both"/>
        <w:rPr>
          <w:rFonts w:hint="eastAsia" w:asciiTheme="minorEastAsia" w:hAnsiTheme="minorEastAsia" w:eastAsiaTheme="minorEastAsia" w:cstheme="minorEastAsia"/>
          <w:b/>
          <w:bCs/>
          <w:color w:val="000000"/>
          <w:sz w:val="30"/>
          <w:szCs w:val="30"/>
          <w:u w:val="single"/>
          <w:lang w:val="en-US" w:eastAsia="zh-CN"/>
        </w:rPr>
      </w:pPr>
      <w:r>
        <w:rPr>
          <w:rFonts w:hint="eastAsia" w:asciiTheme="minorEastAsia" w:hAnsiTheme="minorEastAsia" w:eastAsiaTheme="minorEastAsia" w:cstheme="minorEastAsia"/>
          <w:color w:val="000000"/>
          <w:sz w:val="30"/>
          <w:szCs w:val="30"/>
        </w:rPr>
        <w:t>项目名称：</w:t>
      </w:r>
      <w:r>
        <w:rPr>
          <w:rFonts w:hint="eastAsia" w:asciiTheme="minorEastAsia" w:hAnsiTheme="minorEastAsia" w:eastAsiaTheme="minorEastAsia" w:cstheme="minorEastAsia"/>
          <w:color w:val="000000"/>
          <w:sz w:val="30"/>
          <w:szCs w:val="30"/>
          <w:u w:val="single"/>
        </w:rPr>
        <w:t xml:space="preserve"> </w:t>
      </w:r>
      <w:r>
        <w:rPr>
          <w:rFonts w:hint="eastAsia" w:asciiTheme="minorEastAsia" w:hAnsiTheme="minorEastAsia" w:eastAsiaTheme="minorEastAsia" w:cstheme="minorEastAsia"/>
          <w:color w:val="000000"/>
          <w:sz w:val="30"/>
          <w:szCs w:val="30"/>
          <w:u w:val="single"/>
          <w:lang w:val="en-US" w:eastAsia="zh-CN"/>
        </w:rPr>
        <w:t xml:space="preserve">     </w:t>
      </w:r>
      <w:r>
        <w:rPr>
          <w:rFonts w:hint="eastAsia" w:asciiTheme="minorEastAsia" w:hAnsiTheme="minorEastAsia" w:eastAsiaTheme="minorEastAsia" w:cstheme="minorEastAsia"/>
          <w:b/>
          <w:bCs/>
          <w:color w:val="000000"/>
          <w:sz w:val="30"/>
          <w:szCs w:val="30"/>
          <w:u w:val="single"/>
          <w:lang w:val="en-US" w:eastAsia="zh-CN"/>
        </w:rPr>
        <w:t>汽车内、外饰智能化生产线</w:t>
      </w:r>
      <w:r>
        <w:rPr>
          <w:rFonts w:hint="eastAsia" w:asciiTheme="minorEastAsia" w:hAnsiTheme="minorEastAsia" w:eastAsiaTheme="minorEastAsia" w:cstheme="minorEastAsia"/>
          <w:b/>
          <w:bCs/>
          <w:color w:val="000000"/>
          <w:sz w:val="30"/>
          <w:szCs w:val="30"/>
          <w:u w:val="single"/>
        </w:rPr>
        <w:t>项目</w:t>
      </w:r>
      <w:r>
        <w:rPr>
          <w:rFonts w:hint="eastAsia" w:asciiTheme="minorEastAsia" w:hAnsiTheme="minorEastAsia" w:eastAsiaTheme="minorEastAsia" w:cstheme="minorEastAsia"/>
          <w:b/>
          <w:bCs/>
          <w:color w:val="000000"/>
          <w:sz w:val="30"/>
          <w:szCs w:val="30"/>
          <w:u w:val="single"/>
          <w:lang w:val="en-US" w:eastAsia="zh-CN"/>
        </w:rPr>
        <w:t xml:space="preserve">     </w:t>
      </w:r>
    </w:p>
    <w:p>
      <w:pPr>
        <w:adjustRightInd w:val="0"/>
        <w:snapToGrid w:val="0"/>
        <w:spacing w:before="100" w:after="100" w:line="360" w:lineRule="auto"/>
        <w:ind w:right="765" w:firstLine="300" w:firstLineChars="100"/>
        <w:jc w:val="both"/>
        <w:rPr>
          <w:rFonts w:asciiTheme="minorEastAsia" w:hAnsiTheme="minorEastAsia" w:eastAsiaTheme="minorEastAsia" w:cstheme="minorEastAsia"/>
          <w:color w:val="000000"/>
          <w:sz w:val="30"/>
          <w:szCs w:val="30"/>
          <w:u w:val="single"/>
        </w:rPr>
      </w:pPr>
      <w:r>
        <w:rPr>
          <w:rFonts w:hint="eastAsia" w:asciiTheme="minorEastAsia" w:hAnsiTheme="minorEastAsia" w:eastAsiaTheme="minorEastAsia" w:cstheme="minorEastAsia"/>
          <w:color w:val="000000"/>
          <w:sz w:val="30"/>
          <w:szCs w:val="30"/>
        </w:rPr>
        <w:t>建设单位（盖章）：</w:t>
      </w:r>
      <w:r>
        <w:rPr>
          <w:rFonts w:hint="eastAsia" w:asciiTheme="minorEastAsia" w:hAnsiTheme="minorEastAsia" w:eastAsiaTheme="minorEastAsia" w:cstheme="minorEastAsia"/>
          <w:color w:val="000000"/>
          <w:sz w:val="30"/>
          <w:szCs w:val="30"/>
          <w:u w:val="single"/>
        </w:rPr>
        <w:t xml:space="preserve"> </w:t>
      </w:r>
      <w:r>
        <w:rPr>
          <w:rFonts w:hint="eastAsia" w:asciiTheme="minorEastAsia" w:hAnsiTheme="minorEastAsia" w:eastAsiaTheme="minorEastAsia" w:cstheme="minorEastAsia"/>
          <w:b/>
          <w:bCs/>
          <w:color w:val="000000"/>
          <w:sz w:val="30"/>
          <w:szCs w:val="30"/>
          <w:u w:val="single"/>
          <w:lang w:val="en-US" w:eastAsia="zh-CN"/>
        </w:rPr>
        <w:t xml:space="preserve">  芜湖宇创汽车科技</w:t>
      </w:r>
      <w:r>
        <w:rPr>
          <w:rFonts w:hint="eastAsia" w:asciiTheme="minorEastAsia" w:hAnsiTheme="minorEastAsia" w:eastAsiaTheme="minorEastAsia" w:cstheme="minorEastAsia"/>
          <w:b/>
          <w:bCs/>
          <w:color w:val="000000"/>
          <w:sz w:val="30"/>
          <w:szCs w:val="30"/>
          <w:u w:val="single"/>
        </w:rPr>
        <w:t>有限公司</w:t>
      </w:r>
      <w:r>
        <w:rPr>
          <w:rFonts w:hint="eastAsia" w:asciiTheme="minorEastAsia" w:hAnsiTheme="minorEastAsia" w:eastAsiaTheme="minorEastAsia" w:cstheme="minorEastAsia"/>
          <w:color w:val="000000"/>
          <w:sz w:val="30"/>
          <w:szCs w:val="30"/>
          <w:u w:val="single"/>
        </w:rPr>
        <w:t xml:space="preserve"> </w:t>
      </w:r>
      <w:r>
        <w:rPr>
          <w:rFonts w:hint="eastAsia" w:asciiTheme="minorEastAsia" w:hAnsiTheme="minorEastAsia" w:eastAsiaTheme="minorEastAsia" w:cstheme="minorEastAsia"/>
          <w:color w:val="000000"/>
          <w:sz w:val="30"/>
          <w:szCs w:val="30"/>
          <w:u w:val="single"/>
          <w:lang w:val="en-US" w:eastAsia="zh-CN"/>
        </w:rPr>
        <w:t xml:space="preserve"> </w:t>
      </w:r>
      <w:r>
        <w:rPr>
          <w:rFonts w:hint="eastAsia" w:asciiTheme="minorEastAsia" w:hAnsiTheme="minorEastAsia" w:eastAsiaTheme="minorEastAsia" w:cstheme="minorEastAsia"/>
          <w:color w:val="000000"/>
          <w:sz w:val="30"/>
          <w:szCs w:val="30"/>
          <w:u w:val="single"/>
        </w:rPr>
        <w:t xml:space="preserve">  </w:t>
      </w:r>
    </w:p>
    <w:p>
      <w:pPr>
        <w:adjustRightInd w:val="0"/>
        <w:snapToGrid w:val="0"/>
        <w:spacing w:before="100" w:after="100" w:line="360" w:lineRule="auto"/>
        <w:ind w:right="765" w:firstLine="300" w:firstLineChars="100"/>
        <w:jc w:val="both"/>
        <w:rPr>
          <w:rFonts w:hint="default" w:eastAsiaTheme="minorEastAsia"/>
          <w:color w:val="000000"/>
          <w:sz w:val="36"/>
          <w:szCs w:val="36"/>
          <w:u w:val="single"/>
          <w:lang w:val="en-US" w:eastAsia="zh-CN"/>
        </w:rPr>
      </w:pPr>
      <w:r>
        <w:rPr>
          <w:rFonts w:hint="eastAsia" w:asciiTheme="minorEastAsia" w:hAnsiTheme="minorEastAsia" w:eastAsiaTheme="minorEastAsia" w:cstheme="minorEastAsia"/>
          <w:color w:val="000000"/>
          <w:sz w:val="30"/>
          <w:szCs w:val="30"/>
        </w:rPr>
        <w:t>编制日期：</w:t>
      </w:r>
      <w:r>
        <w:rPr>
          <w:rFonts w:hint="eastAsia" w:asciiTheme="minorEastAsia" w:hAnsiTheme="minorEastAsia" w:eastAsiaTheme="minorEastAsia" w:cstheme="minorEastAsia"/>
          <w:color w:val="000000"/>
          <w:sz w:val="30"/>
          <w:szCs w:val="30"/>
          <w:u w:val="single"/>
        </w:rPr>
        <w:t xml:space="preserve">       </w:t>
      </w:r>
      <w:r>
        <w:rPr>
          <w:rFonts w:hint="eastAsia" w:asciiTheme="minorEastAsia" w:hAnsiTheme="minorEastAsia" w:eastAsiaTheme="minorEastAsia" w:cstheme="minorEastAsia"/>
          <w:color w:val="000000"/>
          <w:sz w:val="30"/>
          <w:szCs w:val="30"/>
          <w:u w:val="single"/>
          <w:lang w:val="en-US" w:eastAsia="zh-CN"/>
        </w:rPr>
        <w:t xml:space="preserve">      </w:t>
      </w:r>
      <w:r>
        <w:rPr>
          <w:rFonts w:hint="eastAsia" w:asciiTheme="minorEastAsia" w:hAnsiTheme="minorEastAsia" w:eastAsiaTheme="minorEastAsia" w:cstheme="minorEastAsia"/>
          <w:color w:val="000000"/>
          <w:sz w:val="30"/>
          <w:szCs w:val="30"/>
          <w:u w:val="single"/>
        </w:rPr>
        <w:t xml:space="preserve"> </w:t>
      </w:r>
      <w:r>
        <w:rPr>
          <w:rFonts w:hint="eastAsia" w:asciiTheme="minorEastAsia" w:hAnsiTheme="minorEastAsia" w:eastAsiaTheme="minorEastAsia" w:cstheme="minorEastAsia"/>
          <w:b/>
          <w:bCs/>
          <w:color w:val="000000"/>
          <w:sz w:val="30"/>
          <w:szCs w:val="30"/>
          <w:u w:val="single"/>
        </w:rPr>
        <w:t>202</w:t>
      </w:r>
      <w:r>
        <w:rPr>
          <w:rFonts w:hint="eastAsia" w:asciiTheme="minorEastAsia" w:hAnsiTheme="minorEastAsia" w:eastAsiaTheme="minorEastAsia" w:cstheme="minorEastAsia"/>
          <w:b/>
          <w:bCs/>
          <w:color w:val="000000"/>
          <w:sz w:val="30"/>
          <w:szCs w:val="30"/>
          <w:u w:val="single"/>
          <w:lang w:val="en-US" w:eastAsia="zh-CN"/>
        </w:rPr>
        <w:t>2</w:t>
      </w:r>
      <w:r>
        <w:rPr>
          <w:rFonts w:hint="eastAsia" w:asciiTheme="minorEastAsia" w:hAnsiTheme="minorEastAsia" w:eastAsiaTheme="minorEastAsia" w:cstheme="minorEastAsia"/>
          <w:b/>
          <w:bCs/>
          <w:color w:val="000000"/>
          <w:sz w:val="30"/>
          <w:szCs w:val="30"/>
          <w:u w:val="single"/>
        </w:rPr>
        <w:t>年</w:t>
      </w:r>
      <w:r>
        <w:rPr>
          <w:rFonts w:hint="eastAsia" w:asciiTheme="minorEastAsia" w:hAnsiTheme="minorEastAsia" w:eastAsiaTheme="minorEastAsia" w:cstheme="minorEastAsia"/>
          <w:b/>
          <w:bCs/>
          <w:color w:val="000000"/>
          <w:sz w:val="30"/>
          <w:szCs w:val="30"/>
          <w:u w:val="single"/>
          <w:lang w:val="en-US" w:eastAsia="zh-CN"/>
        </w:rPr>
        <w:t>4</w:t>
      </w:r>
      <w:r>
        <w:rPr>
          <w:rFonts w:hint="eastAsia" w:asciiTheme="minorEastAsia" w:hAnsiTheme="minorEastAsia" w:eastAsiaTheme="minorEastAsia" w:cstheme="minorEastAsia"/>
          <w:b/>
          <w:bCs/>
          <w:color w:val="000000"/>
          <w:sz w:val="30"/>
          <w:szCs w:val="30"/>
          <w:u w:val="single"/>
        </w:rPr>
        <w:t>月</w:t>
      </w:r>
      <w:r>
        <w:rPr>
          <w:rFonts w:hint="eastAsia" w:asciiTheme="minorEastAsia" w:hAnsiTheme="minorEastAsia" w:eastAsiaTheme="minorEastAsia" w:cstheme="minorEastAsia"/>
          <w:b/>
          <w:bCs/>
          <w:color w:val="000000"/>
          <w:sz w:val="30"/>
          <w:szCs w:val="30"/>
          <w:u w:val="single"/>
          <w:lang w:val="en-US" w:eastAsia="zh-CN"/>
        </w:rPr>
        <w:t xml:space="preserve">               </w:t>
      </w:r>
    </w:p>
    <w:p>
      <w:pPr>
        <w:adjustRightInd w:val="0"/>
        <w:snapToGrid w:val="0"/>
        <w:spacing w:line="288" w:lineRule="auto"/>
        <w:ind w:firstLine="1040"/>
        <w:rPr>
          <w:color w:val="000000"/>
          <w:sz w:val="36"/>
          <w:szCs w:val="36"/>
          <w:u w:val="single"/>
        </w:rPr>
      </w:pPr>
      <w:bookmarkStart w:id="0" w:name="_Hlk57884087"/>
    </w:p>
    <w:p>
      <w:pPr>
        <w:adjustRightInd w:val="0"/>
        <w:snapToGrid w:val="0"/>
        <w:spacing w:line="288" w:lineRule="auto"/>
        <w:rPr>
          <w:color w:val="000000"/>
          <w:sz w:val="36"/>
          <w:szCs w:val="36"/>
        </w:rPr>
      </w:pPr>
    </w:p>
    <w:p>
      <w:pPr>
        <w:adjustRightInd w:val="0"/>
        <w:snapToGrid w:val="0"/>
        <w:spacing w:line="288" w:lineRule="auto"/>
        <w:ind w:firstLine="1040"/>
        <w:rPr>
          <w:color w:val="000000"/>
          <w:sz w:val="36"/>
          <w:szCs w:val="36"/>
        </w:rPr>
      </w:pPr>
    </w:p>
    <w:p>
      <w:pPr>
        <w:adjustRightInd w:val="0"/>
        <w:snapToGrid w:val="0"/>
        <w:spacing w:line="288" w:lineRule="auto"/>
        <w:rPr>
          <w:color w:val="000000"/>
          <w:sz w:val="36"/>
          <w:szCs w:val="36"/>
        </w:rPr>
      </w:pPr>
    </w:p>
    <w:bookmarkEnd w:id="0"/>
    <w:p>
      <w:pPr>
        <w:adjustRightInd w:val="0"/>
        <w:snapToGrid w:val="0"/>
        <w:spacing w:line="288" w:lineRule="auto"/>
        <w:jc w:val="center"/>
        <w:rPr>
          <w:color w:val="000000"/>
          <w:sz w:val="36"/>
          <w:szCs w:val="36"/>
        </w:rPr>
        <w:sectPr>
          <w:footerReference r:id="rId3" w:type="default"/>
          <w:footerReference r:id="rId4" w:type="even"/>
          <w:pgSz w:w="11906" w:h="16838"/>
          <w:pgMar w:top="1701" w:right="1531" w:bottom="1701" w:left="1531" w:header="851" w:footer="1077" w:gutter="0"/>
          <w:pgNumType w:start="3"/>
          <w:cols w:space="720" w:num="1"/>
          <w:docGrid w:linePitch="312" w:charSpace="0"/>
        </w:sectPr>
      </w:pPr>
      <w:r>
        <w:rPr>
          <w:rFonts w:hint="eastAsia"/>
          <w:color w:val="000000"/>
          <w:sz w:val="36"/>
          <w:szCs w:val="36"/>
        </w:rPr>
        <w:t xml:space="preserve">中华人民共和国生态环境部制 </w:t>
      </w:r>
    </w:p>
    <w:p>
      <w:pPr>
        <w:pStyle w:val="54"/>
        <w:jc w:val="center"/>
        <w:outlineLvl w:val="0"/>
        <w:rPr>
          <w:rFonts w:ascii="Times New Roman" w:hAnsi="Times New Roman"/>
          <w:b/>
          <w:snapToGrid w:val="0"/>
          <w:color w:val="000000"/>
          <w:sz w:val="30"/>
          <w:szCs w:val="30"/>
        </w:rPr>
      </w:pPr>
      <w:r>
        <w:rPr>
          <w:rFonts w:hint="eastAsia" w:ascii="Times New Roman" w:hAnsi="Times New Roman"/>
          <w:b/>
          <w:snapToGrid w:val="0"/>
          <w:color w:val="000000"/>
          <w:sz w:val="30"/>
          <w:szCs w:val="30"/>
        </w:rPr>
        <w:t>一、建设项目基本情况</w:t>
      </w:r>
    </w:p>
    <w:tbl>
      <w:tblPr>
        <w:tblStyle w:val="5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138"/>
        <w:gridCol w:w="2646"/>
        <w:gridCol w:w="2194"/>
        <w:gridCol w:w="289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8"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建设项目名称</w:t>
            </w:r>
          </w:p>
        </w:tc>
        <w:tc>
          <w:tcPr>
            <w:tcW w:w="7737" w:type="dxa"/>
            <w:gridSpan w:val="3"/>
            <w:vAlign w:val="center"/>
          </w:tcPr>
          <w:p>
            <w:pPr>
              <w:adjustRightInd w:val="0"/>
              <w:snapToGrid w:val="0"/>
              <w:jc w:val="center"/>
              <w:rPr>
                <w:rFonts w:cs="宋体"/>
                <w:color w:val="000000"/>
                <w:sz w:val="24"/>
              </w:rPr>
            </w:pPr>
            <w:r>
              <w:rPr>
                <w:rFonts w:hint="eastAsia"/>
                <w:sz w:val="24"/>
              </w:rPr>
              <w:t>汽车内、外饰智能化生产线项目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8"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项目代码</w:t>
            </w:r>
          </w:p>
        </w:tc>
        <w:tc>
          <w:tcPr>
            <w:tcW w:w="7737" w:type="dxa"/>
            <w:gridSpan w:val="3"/>
            <w:vAlign w:val="center"/>
          </w:tcPr>
          <w:p>
            <w:pPr>
              <w:adjustRightInd w:val="0"/>
              <w:snapToGrid w:val="0"/>
              <w:jc w:val="center"/>
              <w:rPr>
                <w:rFonts w:hint="default" w:eastAsia="宋体" w:cs="宋体"/>
                <w:sz w:val="24"/>
                <w:lang w:val="en-US" w:eastAsia="zh-CN"/>
              </w:rPr>
            </w:pPr>
            <w:r>
              <w:rPr>
                <w:rFonts w:hint="eastAsia" w:cs="宋体"/>
                <w:color w:val="auto"/>
                <w:sz w:val="24"/>
                <w:lang w:val="en-US" w:eastAsia="zh-CN"/>
              </w:rPr>
              <w:t>2204-340207-04-05-502290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8"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建设单位联系人</w:t>
            </w:r>
          </w:p>
        </w:tc>
        <w:tc>
          <w:tcPr>
            <w:tcW w:w="2646" w:type="dxa"/>
            <w:vAlign w:val="center"/>
          </w:tcPr>
          <w:p>
            <w:pPr>
              <w:adjustRightInd w:val="0"/>
              <w:snapToGrid w:val="0"/>
              <w:jc w:val="center"/>
              <w:rPr>
                <w:rFonts w:hint="default" w:eastAsia="宋体"/>
                <w:color w:val="auto"/>
                <w:sz w:val="24"/>
                <w:lang w:val="en-US" w:eastAsia="zh-CN"/>
              </w:rPr>
            </w:pPr>
            <w:r>
              <w:rPr>
                <w:rFonts w:hint="eastAsia"/>
                <w:color w:val="auto"/>
                <w:sz w:val="24"/>
              </w:rPr>
              <w:t>张</w:t>
            </w:r>
            <w:r>
              <w:rPr>
                <w:rFonts w:hint="eastAsia"/>
                <w:color w:val="auto"/>
                <w:sz w:val="24"/>
                <w:lang w:val="en-US" w:eastAsia="zh-CN"/>
              </w:rPr>
              <w:t>**</w:t>
            </w:r>
          </w:p>
        </w:tc>
        <w:tc>
          <w:tcPr>
            <w:tcW w:w="2194" w:type="dxa"/>
            <w:vAlign w:val="center"/>
          </w:tcPr>
          <w:p>
            <w:pPr>
              <w:adjustRightInd w:val="0"/>
              <w:snapToGrid w:val="0"/>
              <w:jc w:val="center"/>
              <w:rPr>
                <w:color w:val="auto"/>
                <w:sz w:val="24"/>
              </w:rPr>
            </w:pPr>
            <w:r>
              <w:rPr>
                <w:rFonts w:hint="eastAsia"/>
                <w:color w:val="auto"/>
                <w:sz w:val="24"/>
              </w:rPr>
              <w:t>联系方式</w:t>
            </w:r>
          </w:p>
        </w:tc>
        <w:tc>
          <w:tcPr>
            <w:tcW w:w="2897" w:type="dxa"/>
            <w:vAlign w:val="center"/>
          </w:tcPr>
          <w:p>
            <w:pPr>
              <w:adjustRightInd w:val="0"/>
              <w:snapToGrid w:val="0"/>
              <w:jc w:val="center"/>
              <w:rPr>
                <w:color w:val="auto"/>
                <w:sz w:val="24"/>
              </w:rPr>
            </w:pPr>
            <w:r>
              <w:rPr>
                <w:rFonts w:hint="eastAsia"/>
                <w:color w:val="auto"/>
                <w:sz w:val="24"/>
              </w:rPr>
              <w:t>181</w:t>
            </w:r>
            <w:r>
              <w:rPr>
                <w:rFonts w:hint="eastAsia"/>
                <w:color w:val="auto"/>
                <w:sz w:val="24"/>
                <w:lang w:val="en-US" w:eastAsia="zh-CN"/>
              </w:rPr>
              <w:t>****</w:t>
            </w:r>
            <w:bookmarkStart w:id="14" w:name="_GoBack"/>
            <w:bookmarkEnd w:id="14"/>
            <w:r>
              <w:rPr>
                <w:rFonts w:hint="eastAsia"/>
                <w:color w:val="auto"/>
                <w:sz w:val="24"/>
              </w:rPr>
              <w:t>1542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8"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建设地点</w:t>
            </w:r>
          </w:p>
        </w:tc>
        <w:tc>
          <w:tcPr>
            <w:tcW w:w="7737" w:type="dxa"/>
            <w:gridSpan w:val="3"/>
            <w:vAlign w:val="center"/>
          </w:tcPr>
          <w:p>
            <w:pPr>
              <w:adjustRightInd w:val="0"/>
              <w:snapToGrid w:val="0"/>
              <w:jc w:val="center"/>
              <w:rPr>
                <w:rFonts w:hint="default" w:eastAsia="宋体" w:cs="宋体"/>
                <w:color w:val="000000"/>
                <w:sz w:val="24"/>
                <w:lang w:val="en-US" w:eastAsia="zh-CN"/>
              </w:rPr>
            </w:pPr>
            <w:r>
              <w:rPr>
                <w:rFonts w:hint="eastAsia" w:cs="宋体"/>
                <w:color w:val="auto"/>
                <w:sz w:val="24"/>
                <w:lang w:val="en-US" w:eastAsia="zh-CN"/>
              </w:rPr>
              <w:t>中国（安徽）自由贸易试验区芜湖片区官陡门路101号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8"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地理坐标</w:t>
            </w:r>
          </w:p>
        </w:tc>
        <w:tc>
          <w:tcPr>
            <w:tcW w:w="7737" w:type="dxa"/>
            <w:gridSpan w:val="3"/>
            <w:vAlign w:val="center"/>
          </w:tcPr>
          <w:p>
            <w:pPr>
              <w:jc w:val="center"/>
              <w:rPr>
                <w:rFonts w:cs="宋体"/>
                <w:color w:val="000000"/>
                <w:sz w:val="24"/>
              </w:rPr>
            </w:pPr>
            <w:r>
              <w:rPr>
                <w:rFonts w:hint="eastAsia" w:cs="宋体"/>
                <w:bCs/>
                <w:sz w:val="24"/>
              </w:rPr>
              <w:t>北纬N31°</w:t>
            </w:r>
            <w:r>
              <w:rPr>
                <w:rFonts w:hint="eastAsia" w:cs="宋体"/>
                <w:bCs/>
                <w:sz w:val="24"/>
                <w:lang w:val="en-US" w:eastAsia="zh-CN"/>
              </w:rPr>
              <w:t>23</w:t>
            </w:r>
            <w:r>
              <w:rPr>
                <w:rFonts w:hint="eastAsia" w:cs="宋体"/>
                <w:bCs/>
                <w:sz w:val="24"/>
              </w:rPr>
              <w:t>′</w:t>
            </w:r>
            <w:r>
              <w:rPr>
                <w:rFonts w:hint="eastAsia" w:cs="宋体"/>
                <w:bCs/>
                <w:sz w:val="24"/>
                <w:lang w:val="en-US" w:eastAsia="zh-CN"/>
              </w:rPr>
              <w:t>28.070</w:t>
            </w:r>
            <w:r>
              <w:rPr>
                <w:rFonts w:hint="eastAsia" w:cs="宋体"/>
                <w:bCs/>
                <w:sz w:val="24"/>
              </w:rPr>
              <w:t>″ 东经E118°2</w:t>
            </w:r>
            <w:r>
              <w:rPr>
                <w:rFonts w:hint="eastAsia" w:cs="宋体"/>
                <w:bCs/>
                <w:sz w:val="24"/>
                <w:lang w:val="en-US" w:eastAsia="zh-CN"/>
              </w:rPr>
              <w:t>6</w:t>
            </w:r>
            <w:r>
              <w:rPr>
                <w:rFonts w:hint="eastAsia" w:cs="宋体"/>
                <w:bCs/>
                <w:sz w:val="24"/>
              </w:rPr>
              <w:t>′</w:t>
            </w:r>
            <w:r>
              <w:rPr>
                <w:rFonts w:hint="eastAsia" w:cs="宋体"/>
                <w:bCs/>
                <w:sz w:val="24"/>
                <w:lang w:val="en-US" w:eastAsia="zh-CN"/>
              </w:rPr>
              <w:t>41.402</w:t>
            </w:r>
            <w:r>
              <w:rPr>
                <w:rFonts w:hint="eastAsia" w:cs="宋体"/>
                <w:bCs/>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138"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国民经济</w:t>
            </w:r>
          </w:p>
          <w:p>
            <w:pPr>
              <w:adjustRightInd w:val="0"/>
              <w:snapToGrid w:val="0"/>
              <w:jc w:val="center"/>
              <w:rPr>
                <w:rFonts w:cs="宋体"/>
                <w:color w:val="000000"/>
                <w:sz w:val="24"/>
              </w:rPr>
            </w:pPr>
            <w:r>
              <w:rPr>
                <w:rFonts w:hint="eastAsia" w:cs="宋体"/>
                <w:color w:val="000000"/>
                <w:sz w:val="24"/>
              </w:rPr>
              <w:t>行业类别</w:t>
            </w:r>
          </w:p>
        </w:tc>
        <w:tc>
          <w:tcPr>
            <w:tcW w:w="2646" w:type="dxa"/>
            <w:vAlign w:val="center"/>
          </w:tcPr>
          <w:p>
            <w:pPr>
              <w:keepNext w:val="0"/>
              <w:keepLines w:val="0"/>
              <w:widowControl/>
              <w:suppressLineNumbers w:val="0"/>
              <w:jc w:val="left"/>
              <w:rPr>
                <w:rFonts w:cs="宋体"/>
                <w:color w:val="000000"/>
                <w:sz w:val="24"/>
              </w:rPr>
            </w:pPr>
            <w:r>
              <w:rPr>
                <w:rFonts w:hint="eastAsia" w:ascii="宋体" w:hAnsi="宋体" w:eastAsia="宋体" w:cs="宋体"/>
                <w:color w:val="000000"/>
                <w:kern w:val="0"/>
                <w:sz w:val="24"/>
                <w:szCs w:val="24"/>
                <w:lang w:val="en-US" w:eastAsia="zh-CN" w:bidi="ar"/>
              </w:rPr>
              <w:t>塑料零件及其他塑料制品制造</w:t>
            </w:r>
            <w:r>
              <w:rPr>
                <w:rFonts w:hint="eastAsia"/>
                <w:kern w:val="0"/>
                <w:sz w:val="24"/>
              </w:rPr>
              <w:t>（C</w:t>
            </w:r>
            <w:r>
              <w:rPr>
                <w:rFonts w:hint="eastAsia"/>
                <w:kern w:val="0"/>
                <w:sz w:val="24"/>
                <w:lang w:val="en-US" w:eastAsia="zh-CN"/>
              </w:rPr>
              <w:t>2929</w:t>
            </w:r>
            <w:r>
              <w:rPr>
                <w:rFonts w:hint="eastAsia"/>
                <w:kern w:val="0"/>
                <w:sz w:val="24"/>
              </w:rPr>
              <w:t>）</w:t>
            </w:r>
          </w:p>
        </w:tc>
        <w:tc>
          <w:tcPr>
            <w:tcW w:w="2194" w:type="dxa"/>
            <w:vAlign w:val="center"/>
          </w:tcPr>
          <w:p>
            <w:pPr>
              <w:adjustRightInd w:val="0"/>
              <w:snapToGrid w:val="0"/>
              <w:jc w:val="center"/>
              <w:rPr>
                <w:rFonts w:cs="宋体"/>
                <w:color w:val="000000"/>
                <w:sz w:val="24"/>
              </w:rPr>
            </w:pPr>
            <w:bookmarkStart w:id="1" w:name="_Hlk49843745"/>
            <w:r>
              <w:rPr>
                <w:rFonts w:hint="eastAsia" w:cs="宋体"/>
                <w:color w:val="000000"/>
                <w:sz w:val="24"/>
              </w:rPr>
              <w:t>建设项目</w:t>
            </w:r>
          </w:p>
          <w:p>
            <w:pPr>
              <w:adjustRightInd w:val="0"/>
              <w:snapToGrid w:val="0"/>
              <w:jc w:val="center"/>
              <w:rPr>
                <w:rFonts w:cs="宋体"/>
                <w:color w:val="000000"/>
                <w:sz w:val="24"/>
              </w:rPr>
            </w:pPr>
            <w:r>
              <w:rPr>
                <w:rFonts w:hint="eastAsia" w:cs="宋体"/>
                <w:color w:val="000000"/>
                <w:sz w:val="24"/>
              </w:rPr>
              <w:t>行业类别</w:t>
            </w:r>
            <w:bookmarkEnd w:id="1"/>
          </w:p>
        </w:tc>
        <w:tc>
          <w:tcPr>
            <w:tcW w:w="2897" w:type="dxa"/>
            <w:vAlign w:val="center"/>
          </w:tcPr>
          <w:p>
            <w:pPr>
              <w:numPr>
                <w:ilvl w:val="0"/>
                <w:numId w:val="0"/>
              </w:numPr>
              <w:adjustRightInd w:val="0"/>
              <w:snapToGrid w:val="0"/>
              <w:jc w:val="both"/>
              <w:rPr>
                <w:rFonts w:cs="宋体"/>
                <w:color w:val="000000"/>
                <w:sz w:val="24"/>
              </w:rPr>
            </w:pPr>
            <w:r>
              <w:rPr>
                <w:rFonts w:hint="eastAsia" w:cs="宋体"/>
                <w:color w:val="000000"/>
                <w:sz w:val="24"/>
              </w:rPr>
              <w:t>二十六</w:t>
            </w:r>
            <w:r>
              <w:rPr>
                <w:rFonts w:cs="宋体"/>
                <w:color w:val="000000"/>
                <w:sz w:val="24"/>
              </w:rPr>
              <w:t xml:space="preserve"> “</w:t>
            </w:r>
            <w:r>
              <w:rPr>
                <w:rFonts w:hint="eastAsia" w:cs="宋体"/>
                <w:color w:val="000000"/>
                <w:sz w:val="24"/>
              </w:rPr>
              <w:t>橡胶和塑料制品</w:t>
            </w:r>
            <w:r>
              <w:rPr>
                <w:rFonts w:cs="宋体"/>
                <w:color w:val="000000"/>
                <w:sz w:val="24"/>
              </w:rPr>
              <w:t>业</w:t>
            </w:r>
            <w:r>
              <w:rPr>
                <w:rFonts w:hint="eastAsia" w:cs="宋体"/>
                <w:color w:val="000000"/>
                <w:sz w:val="24"/>
              </w:rPr>
              <w:t>29</w:t>
            </w:r>
            <w:r>
              <w:rPr>
                <w:rFonts w:cs="宋体"/>
                <w:color w:val="000000"/>
                <w:sz w:val="24"/>
              </w:rPr>
              <w:t>”中第</w:t>
            </w:r>
            <w:r>
              <w:rPr>
                <w:rFonts w:hint="eastAsia" w:cs="宋体"/>
                <w:color w:val="000000"/>
                <w:sz w:val="24"/>
              </w:rPr>
              <w:t>53塑料</w:t>
            </w:r>
            <w:r>
              <w:rPr>
                <w:rFonts w:cs="宋体"/>
                <w:color w:val="000000"/>
                <w:sz w:val="24"/>
              </w:rPr>
              <w:t>制品业</w:t>
            </w:r>
            <w:r>
              <w:rPr>
                <w:rFonts w:hint="eastAsia" w:cs="宋体"/>
                <w:color w:val="000000"/>
                <w:sz w:val="24"/>
              </w:rPr>
              <w:t>292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138"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建设性质</w:t>
            </w:r>
          </w:p>
        </w:tc>
        <w:tc>
          <w:tcPr>
            <w:tcW w:w="2646" w:type="dxa"/>
            <w:vAlign w:val="center"/>
          </w:tcPr>
          <w:p>
            <w:pPr>
              <w:jc w:val="left"/>
              <w:rPr>
                <w:rFonts w:cs="宋体"/>
                <w:color w:val="000000"/>
                <w:sz w:val="24"/>
              </w:rPr>
            </w:pPr>
            <w:r>
              <w:rPr>
                <w:rFonts w:hint="eastAsia" w:cs="宋体"/>
                <w:color w:val="000000"/>
                <w:sz w:val="24"/>
              </w:rPr>
              <w:t>☑新建（迁建）</w:t>
            </w:r>
          </w:p>
          <w:p>
            <w:pPr>
              <w:jc w:val="left"/>
              <w:rPr>
                <w:rFonts w:cs="宋体"/>
                <w:color w:val="000000"/>
                <w:sz w:val="24"/>
              </w:rPr>
            </w:pPr>
            <w:r>
              <w:rPr>
                <w:rFonts w:hint="eastAsia" w:cs="宋体"/>
                <w:color w:val="000000"/>
                <w:sz w:val="24"/>
              </w:rPr>
              <w:t>□改建</w:t>
            </w:r>
          </w:p>
          <w:p>
            <w:pPr>
              <w:jc w:val="left"/>
              <w:rPr>
                <w:rFonts w:cs="宋体"/>
                <w:color w:val="000000"/>
                <w:sz w:val="24"/>
              </w:rPr>
            </w:pPr>
            <w:r>
              <w:rPr>
                <w:rFonts w:hint="eastAsia" w:cs="宋体"/>
                <w:color w:val="000000"/>
                <w:sz w:val="24"/>
              </w:rPr>
              <w:t>□扩建</w:t>
            </w:r>
          </w:p>
          <w:p>
            <w:pPr>
              <w:jc w:val="left"/>
              <w:rPr>
                <w:rFonts w:cs="宋体"/>
                <w:color w:val="000000"/>
                <w:sz w:val="24"/>
              </w:rPr>
            </w:pPr>
            <w:r>
              <w:rPr>
                <w:rFonts w:hint="eastAsia" w:cs="宋体"/>
                <w:color w:val="000000"/>
                <w:sz w:val="24"/>
              </w:rPr>
              <w:t>□技术改造</w:t>
            </w:r>
          </w:p>
        </w:tc>
        <w:tc>
          <w:tcPr>
            <w:tcW w:w="2194" w:type="dxa"/>
            <w:vAlign w:val="center"/>
          </w:tcPr>
          <w:p>
            <w:pPr>
              <w:adjustRightInd w:val="0"/>
              <w:snapToGrid w:val="0"/>
              <w:jc w:val="center"/>
              <w:rPr>
                <w:rFonts w:cs="宋体"/>
                <w:color w:val="000000"/>
                <w:sz w:val="24"/>
              </w:rPr>
            </w:pPr>
            <w:r>
              <w:rPr>
                <w:rFonts w:hint="eastAsia" w:cs="宋体"/>
                <w:color w:val="000000"/>
                <w:sz w:val="24"/>
              </w:rPr>
              <w:t>建设项目</w:t>
            </w:r>
          </w:p>
          <w:p>
            <w:pPr>
              <w:adjustRightInd w:val="0"/>
              <w:snapToGrid w:val="0"/>
              <w:jc w:val="center"/>
              <w:rPr>
                <w:rFonts w:cs="宋体"/>
                <w:color w:val="000000"/>
                <w:sz w:val="24"/>
              </w:rPr>
            </w:pPr>
            <w:r>
              <w:rPr>
                <w:rFonts w:hint="eastAsia" w:cs="宋体"/>
                <w:color w:val="000000"/>
                <w:sz w:val="24"/>
              </w:rPr>
              <w:t>申报情形</w:t>
            </w:r>
          </w:p>
        </w:tc>
        <w:tc>
          <w:tcPr>
            <w:tcW w:w="2897" w:type="dxa"/>
            <w:vAlign w:val="center"/>
          </w:tcPr>
          <w:p>
            <w:pPr>
              <w:jc w:val="left"/>
              <w:rPr>
                <w:rFonts w:cs="宋体"/>
                <w:color w:val="000000"/>
                <w:sz w:val="24"/>
              </w:rPr>
            </w:pPr>
            <w:r>
              <w:rPr>
                <w:rFonts w:hint="eastAsia" w:cs="宋体"/>
                <w:color w:val="000000"/>
                <w:sz w:val="24"/>
              </w:rPr>
              <w:t>☑首次申报项目</w:t>
            </w:r>
            <w:r>
              <w:rPr>
                <w:rFonts w:cs="宋体"/>
                <w:color w:val="000000"/>
                <w:sz w:val="24"/>
              </w:rPr>
              <w:t xml:space="preserve">             </w:t>
            </w:r>
          </w:p>
          <w:p>
            <w:pPr>
              <w:jc w:val="left"/>
              <w:rPr>
                <w:rFonts w:cs="宋体"/>
                <w:color w:val="000000"/>
                <w:sz w:val="24"/>
              </w:rPr>
            </w:pPr>
            <w:r>
              <w:rPr>
                <w:rFonts w:hint="eastAsia" w:cs="宋体"/>
                <w:color w:val="000000"/>
                <w:sz w:val="24"/>
              </w:rPr>
              <w:t>□不予批准后再次申报项目</w:t>
            </w:r>
          </w:p>
          <w:p>
            <w:pPr>
              <w:jc w:val="left"/>
              <w:rPr>
                <w:rFonts w:cs="宋体"/>
                <w:color w:val="000000"/>
                <w:sz w:val="24"/>
              </w:rPr>
            </w:pPr>
            <w:r>
              <w:rPr>
                <w:rFonts w:hint="eastAsia" w:cs="宋体"/>
                <w:color w:val="000000"/>
                <w:sz w:val="24"/>
              </w:rPr>
              <w:t>□超五年重新审核项目</w:t>
            </w:r>
            <w:r>
              <w:rPr>
                <w:rFonts w:cs="宋体"/>
                <w:color w:val="000000"/>
                <w:sz w:val="24"/>
              </w:rPr>
              <w:t xml:space="preserve">     </w:t>
            </w:r>
          </w:p>
          <w:p>
            <w:pPr>
              <w:jc w:val="left"/>
              <w:rPr>
                <w:rFonts w:cs="宋体"/>
                <w:color w:val="000000"/>
                <w:sz w:val="24"/>
              </w:rPr>
            </w:pPr>
            <w:r>
              <w:rPr>
                <w:rFonts w:hint="eastAsia" w:cs="宋体"/>
                <w:color w:val="000000"/>
                <w:sz w:val="24"/>
              </w:rPr>
              <w:t>□重大变动重新报批项目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38" w:type="dxa"/>
            <w:tcMar>
              <w:top w:w="16" w:type="dxa"/>
              <w:left w:w="16" w:type="dxa"/>
              <w:right w:w="16" w:type="dxa"/>
            </w:tcMar>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项目审批（核准</w:t>
            </w:r>
            <w:r>
              <w:rPr>
                <w:rFonts w:cs="宋体"/>
                <w:color w:val="0D0D0D" w:themeColor="text1" w:themeTint="F2"/>
                <w:sz w:val="24"/>
                <w14:textFill>
                  <w14:solidFill>
                    <w14:schemeClr w14:val="tx1">
                      <w14:lumMod w14:val="95000"/>
                      <w14:lumOff w14:val="5000"/>
                    </w14:schemeClr>
                  </w14:solidFill>
                </w14:textFill>
              </w:rPr>
              <w:t>/</w:t>
            </w:r>
          </w:p>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备案）部门（选填）</w:t>
            </w:r>
          </w:p>
        </w:tc>
        <w:tc>
          <w:tcPr>
            <w:tcW w:w="2646" w:type="dxa"/>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sz w:val="24"/>
              </w:rPr>
              <w:t>芜湖市鸠江区发展和改革委员会</w:t>
            </w:r>
          </w:p>
        </w:tc>
        <w:tc>
          <w:tcPr>
            <w:tcW w:w="2194" w:type="dxa"/>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项目审批（核准</w:t>
            </w:r>
            <w:r>
              <w:rPr>
                <w:rFonts w:cs="宋体"/>
                <w:color w:val="0D0D0D" w:themeColor="text1" w:themeTint="F2"/>
                <w:sz w:val="24"/>
                <w14:textFill>
                  <w14:solidFill>
                    <w14:schemeClr w14:val="tx1">
                      <w14:lumMod w14:val="95000"/>
                      <w14:lumOff w14:val="5000"/>
                    </w14:schemeClr>
                  </w14:solidFill>
                </w14:textFill>
              </w:rPr>
              <w:t>/</w:t>
            </w:r>
          </w:p>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备案）文号（选填）</w:t>
            </w:r>
          </w:p>
        </w:tc>
        <w:tc>
          <w:tcPr>
            <w:tcW w:w="2897" w:type="dxa"/>
            <w:vAlign w:val="center"/>
          </w:tcPr>
          <w:p>
            <w:pPr>
              <w:adjustRightInd w:val="0"/>
              <w:snapToGrid w:val="0"/>
              <w:jc w:val="center"/>
              <w:rPr>
                <w:rFonts w:hint="default" w:eastAsia="宋体" w:cs="宋体"/>
                <w:color w:val="0D0D0D" w:themeColor="text1" w:themeTint="F2"/>
                <w:sz w:val="24"/>
                <w:lang w:val="en-US" w:eastAsia="zh-CN"/>
                <w14:textFill>
                  <w14:solidFill>
                    <w14:schemeClr w14:val="tx1">
                      <w14:lumMod w14:val="95000"/>
                      <w14:lumOff w14:val="5000"/>
                    </w14:schemeClr>
                  </w14:solidFill>
                </w14:textFill>
              </w:rPr>
            </w:pPr>
            <w:r>
              <w:rPr>
                <w:rFonts w:hint="default" w:eastAsia="宋体" w:cs="宋体"/>
                <w:color w:val="0D0D0D" w:themeColor="text1" w:themeTint="F2"/>
                <w:sz w:val="24"/>
                <w:lang w:val="en-US" w:eastAsia="zh-CN"/>
                <w14:textFill>
                  <w14:solidFill>
                    <w14:schemeClr w14:val="tx1">
                      <w14:lumMod w14:val="95000"/>
                      <w14:lumOff w14:val="5000"/>
                    </w14:schemeClr>
                  </w14:solidFill>
                </w14:textFill>
              </w:rPr>
              <w:t>鸠发改告〔202</w:t>
            </w:r>
            <w:r>
              <w:rPr>
                <w:rFonts w:hint="eastAsia" w:cs="宋体"/>
                <w:color w:val="0D0D0D" w:themeColor="text1" w:themeTint="F2"/>
                <w:sz w:val="24"/>
                <w:lang w:val="en-US" w:eastAsia="zh-CN"/>
                <w14:textFill>
                  <w14:solidFill>
                    <w14:schemeClr w14:val="tx1">
                      <w14:lumMod w14:val="95000"/>
                      <w14:lumOff w14:val="5000"/>
                    </w14:schemeClr>
                  </w14:solidFill>
                </w14:textFill>
              </w:rPr>
              <w:t>2</w:t>
            </w:r>
            <w:r>
              <w:rPr>
                <w:rFonts w:hint="default" w:eastAsia="宋体" w:cs="宋体"/>
                <w:color w:val="0D0D0D" w:themeColor="text1" w:themeTint="F2"/>
                <w:sz w:val="24"/>
                <w:lang w:val="en-US" w:eastAsia="zh-CN"/>
                <w14:textFill>
                  <w14:solidFill>
                    <w14:schemeClr w14:val="tx1">
                      <w14:lumMod w14:val="95000"/>
                      <w14:lumOff w14:val="5000"/>
                    </w14:schemeClr>
                  </w14:solidFill>
                </w14:textFill>
              </w:rPr>
              <w:t>〕1</w:t>
            </w:r>
            <w:r>
              <w:rPr>
                <w:rFonts w:hint="eastAsia" w:cs="宋体"/>
                <w:color w:val="0D0D0D" w:themeColor="text1" w:themeTint="F2"/>
                <w:sz w:val="24"/>
                <w:lang w:val="en-US" w:eastAsia="zh-CN"/>
                <w14:textFill>
                  <w14:solidFill>
                    <w14:schemeClr w14:val="tx1">
                      <w14:lumMod w14:val="95000"/>
                      <w14:lumOff w14:val="5000"/>
                    </w14:schemeClr>
                  </w14:solidFill>
                </w14:textFill>
              </w:rPr>
              <w:t>9</w:t>
            </w:r>
            <w:r>
              <w:rPr>
                <w:rFonts w:hint="default" w:eastAsia="宋体" w:cs="宋体"/>
                <w:color w:val="0D0D0D" w:themeColor="text1" w:themeTint="F2"/>
                <w:sz w:val="24"/>
                <w:lang w:val="en-US" w:eastAsia="zh-CN"/>
                <w14:textFill>
                  <w14:solidFill>
                    <w14:schemeClr w14:val="tx1">
                      <w14:lumMod w14:val="95000"/>
                      <w14:lumOff w14:val="5000"/>
                    </w14:schemeClr>
                  </w14:solidFill>
                </w14:textFill>
              </w:rPr>
              <w:t xml:space="preserve"> 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8"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总投资</w:t>
            </w:r>
          </w:p>
          <w:p>
            <w:pPr>
              <w:adjustRightInd w:val="0"/>
              <w:snapToGrid w:val="0"/>
              <w:jc w:val="center"/>
              <w:rPr>
                <w:rFonts w:cs="宋体"/>
                <w:color w:val="000000"/>
                <w:sz w:val="24"/>
              </w:rPr>
            </w:pPr>
            <w:r>
              <w:rPr>
                <w:rFonts w:hint="eastAsia" w:cs="宋体"/>
                <w:color w:val="000000"/>
                <w:sz w:val="24"/>
              </w:rPr>
              <w:t>（万元）</w:t>
            </w:r>
          </w:p>
        </w:tc>
        <w:tc>
          <w:tcPr>
            <w:tcW w:w="2646" w:type="dxa"/>
            <w:vAlign w:val="center"/>
          </w:tcPr>
          <w:p>
            <w:pPr>
              <w:adjustRightInd w:val="0"/>
              <w:snapToGrid w:val="0"/>
              <w:jc w:val="center"/>
              <w:rPr>
                <w:rFonts w:hint="default" w:eastAsia="宋体" w:cs="宋体"/>
                <w:color w:val="1E1C11" w:themeColor="background2" w:themeShade="1A"/>
                <w:sz w:val="24"/>
                <w:lang w:val="en-US" w:eastAsia="zh-CN"/>
              </w:rPr>
            </w:pPr>
            <w:r>
              <w:rPr>
                <w:rFonts w:hint="eastAsia" w:cs="宋体"/>
                <w:color w:val="1E1C11" w:themeColor="background2" w:themeShade="1A"/>
                <w:sz w:val="24"/>
              </w:rPr>
              <w:t>2</w:t>
            </w:r>
            <w:r>
              <w:rPr>
                <w:rFonts w:hint="eastAsia" w:cs="宋体"/>
                <w:color w:val="1E1C11" w:themeColor="background2" w:themeShade="1A"/>
                <w:sz w:val="24"/>
                <w:lang w:val="en-US" w:eastAsia="zh-CN"/>
              </w:rPr>
              <w:t>500</w:t>
            </w:r>
          </w:p>
        </w:tc>
        <w:tc>
          <w:tcPr>
            <w:tcW w:w="2194" w:type="dxa"/>
            <w:tcMar>
              <w:top w:w="16" w:type="dxa"/>
              <w:left w:w="16" w:type="dxa"/>
              <w:right w:w="16" w:type="dxa"/>
            </w:tcMar>
            <w:vAlign w:val="center"/>
          </w:tcPr>
          <w:p>
            <w:pPr>
              <w:adjustRightInd w:val="0"/>
              <w:snapToGrid w:val="0"/>
              <w:jc w:val="center"/>
              <w:rPr>
                <w:rFonts w:cs="宋体"/>
                <w:color w:val="1E1C11" w:themeColor="background2" w:themeShade="1A"/>
                <w:sz w:val="24"/>
              </w:rPr>
            </w:pPr>
            <w:r>
              <w:rPr>
                <w:rFonts w:hint="eastAsia" w:cs="宋体"/>
                <w:color w:val="1E1C11" w:themeColor="background2" w:themeShade="1A"/>
                <w:sz w:val="24"/>
              </w:rPr>
              <w:t>环保投资（万元）</w:t>
            </w:r>
          </w:p>
        </w:tc>
        <w:tc>
          <w:tcPr>
            <w:tcW w:w="2897" w:type="dxa"/>
            <w:vAlign w:val="center"/>
          </w:tcPr>
          <w:p>
            <w:pPr>
              <w:adjustRightInd w:val="0"/>
              <w:snapToGrid w:val="0"/>
              <w:jc w:val="center"/>
              <w:rPr>
                <w:rFonts w:hint="default" w:eastAsia="宋体" w:cs="宋体"/>
                <w:color w:val="0D0D0D" w:themeColor="text1" w:themeTint="F2"/>
                <w:sz w:val="24"/>
                <w:lang w:val="en-US" w:eastAsia="zh-CN"/>
                <w14:textFill>
                  <w14:solidFill>
                    <w14:schemeClr w14:val="tx1">
                      <w14:lumMod w14:val="95000"/>
                      <w14:lumOff w14:val="5000"/>
                    </w14:schemeClr>
                  </w14:solidFill>
                </w14:textFill>
              </w:rPr>
            </w:pPr>
            <w:r>
              <w:rPr>
                <w:rFonts w:hint="eastAsia"/>
                <w:bCs/>
                <w:color w:val="auto"/>
                <w:sz w:val="24"/>
                <w:lang w:val="en-US" w:eastAsia="zh-CN"/>
              </w:rPr>
              <w:t>61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8"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环保投资占比（</w:t>
            </w:r>
            <w:r>
              <w:rPr>
                <w:rFonts w:cs="宋体"/>
                <w:color w:val="000000"/>
                <w:sz w:val="24"/>
              </w:rPr>
              <w:t>%</w:t>
            </w:r>
            <w:r>
              <w:rPr>
                <w:rFonts w:hint="eastAsia" w:cs="宋体"/>
                <w:color w:val="000000"/>
                <w:sz w:val="24"/>
              </w:rPr>
              <w:t>）</w:t>
            </w:r>
          </w:p>
        </w:tc>
        <w:tc>
          <w:tcPr>
            <w:tcW w:w="2646" w:type="dxa"/>
            <w:vAlign w:val="center"/>
          </w:tcPr>
          <w:p>
            <w:pPr>
              <w:adjustRightInd w:val="0"/>
              <w:snapToGrid w:val="0"/>
              <w:jc w:val="center"/>
              <w:rPr>
                <w:rFonts w:hint="default" w:eastAsia="宋体" w:cs="宋体"/>
                <w:color w:val="1E1C11" w:themeColor="background2" w:themeShade="1A"/>
                <w:sz w:val="24"/>
                <w:lang w:val="en-US" w:eastAsia="zh-CN"/>
              </w:rPr>
            </w:pPr>
            <w:r>
              <w:rPr>
                <w:rFonts w:hint="eastAsia" w:cs="宋体"/>
                <w:color w:val="auto"/>
                <w:sz w:val="24"/>
                <w:lang w:val="en-US" w:eastAsia="zh-CN"/>
              </w:rPr>
              <w:t>2.4</w:t>
            </w:r>
          </w:p>
        </w:tc>
        <w:tc>
          <w:tcPr>
            <w:tcW w:w="2194" w:type="dxa"/>
            <w:tcMar>
              <w:top w:w="16" w:type="dxa"/>
              <w:left w:w="16" w:type="dxa"/>
              <w:right w:w="16" w:type="dxa"/>
            </w:tcMar>
            <w:vAlign w:val="center"/>
          </w:tcPr>
          <w:p>
            <w:pPr>
              <w:adjustRightInd w:val="0"/>
              <w:snapToGrid w:val="0"/>
              <w:jc w:val="center"/>
              <w:rPr>
                <w:rFonts w:cs="宋体"/>
                <w:color w:val="1E1C11" w:themeColor="background2" w:themeShade="1A"/>
                <w:sz w:val="24"/>
              </w:rPr>
            </w:pPr>
            <w:r>
              <w:rPr>
                <w:rFonts w:hint="eastAsia" w:cs="宋体"/>
                <w:color w:val="1E1C11" w:themeColor="background2" w:themeShade="1A"/>
                <w:sz w:val="24"/>
              </w:rPr>
              <w:t>施工工期</w:t>
            </w:r>
          </w:p>
        </w:tc>
        <w:tc>
          <w:tcPr>
            <w:tcW w:w="2897" w:type="dxa"/>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s="宋体"/>
                <w:sz w:val="24"/>
                <w:lang w:val="en-US" w:eastAsia="zh-CN"/>
              </w:rPr>
              <w:t>3</w:t>
            </w:r>
            <w:r>
              <w:rPr>
                <w:rFonts w:hint="eastAsia" w:cs="宋体"/>
                <w:sz w:val="24"/>
              </w:rPr>
              <w:t>个月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8"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是否开工建设</w:t>
            </w:r>
          </w:p>
        </w:tc>
        <w:tc>
          <w:tcPr>
            <w:tcW w:w="2646" w:type="dxa"/>
            <w:vAlign w:val="center"/>
          </w:tcPr>
          <w:p>
            <w:pPr>
              <w:adjustRightInd w:val="0"/>
              <w:snapToGrid w:val="0"/>
              <w:rPr>
                <w:rFonts w:cs="宋体"/>
                <w:color w:val="000000"/>
                <w:sz w:val="24"/>
              </w:rPr>
            </w:pPr>
            <w:r>
              <w:rPr>
                <w:rFonts w:hint="eastAsia" w:cs="宋体"/>
                <w:color w:val="000000"/>
                <w:sz w:val="24"/>
              </w:rPr>
              <w:t>☑否</w:t>
            </w:r>
          </w:p>
          <w:p>
            <w:pPr>
              <w:adjustRightInd w:val="0"/>
              <w:snapToGrid w:val="0"/>
              <w:rPr>
                <w:rFonts w:cs="宋体"/>
                <w:color w:val="000000"/>
                <w:sz w:val="24"/>
              </w:rPr>
            </w:pPr>
            <w:r>
              <w:rPr>
                <w:rFonts w:hint="eastAsia" w:cs="宋体"/>
                <w:color w:val="000000"/>
                <w:sz w:val="24"/>
              </w:rPr>
              <w:t>□是</w:t>
            </w:r>
          </w:p>
        </w:tc>
        <w:tc>
          <w:tcPr>
            <w:tcW w:w="2194" w:type="dxa"/>
            <w:tcMar>
              <w:top w:w="16" w:type="dxa"/>
              <w:left w:w="16" w:type="dxa"/>
              <w:right w:w="16" w:type="dxa"/>
            </w:tcMar>
            <w:vAlign w:val="center"/>
          </w:tcPr>
          <w:p>
            <w:pPr>
              <w:adjustRightInd w:val="0"/>
              <w:snapToGrid w:val="0"/>
              <w:jc w:val="center"/>
              <w:rPr>
                <w:rFonts w:cs="宋体"/>
                <w:color w:val="000000"/>
                <w:spacing w:val="-6"/>
                <w:sz w:val="24"/>
              </w:rPr>
            </w:pPr>
            <w:r>
              <w:rPr>
                <w:rFonts w:hint="eastAsia" w:cs="宋体"/>
                <w:color w:val="000000"/>
                <w:spacing w:val="-6"/>
                <w:sz w:val="24"/>
              </w:rPr>
              <w:t>用地（用海）</w:t>
            </w:r>
          </w:p>
          <w:p>
            <w:pPr>
              <w:adjustRightInd w:val="0"/>
              <w:snapToGrid w:val="0"/>
              <w:jc w:val="center"/>
              <w:rPr>
                <w:rFonts w:cs="宋体"/>
                <w:color w:val="000000"/>
                <w:sz w:val="24"/>
              </w:rPr>
            </w:pPr>
            <w:r>
              <w:rPr>
                <w:rFonts w:hint="eastAsia" w:cs="宋体"/>
                <w:color w:val="000000"/>
                <w:spacing w:val="-6"/>
                <w:sz w:val="24"/>
              </w:rPr>
              <w:t>面积（</w:t>
            </w:r>
            <w:r>
              <w:rPr>
                <w:rFonts w:cs="宋体"/>
                <w:color w:val="000000"/>
                <w:spacing w:val="-6"/>
                <w:sz w:val="24"/>
              </w:rPr>
              <w:t>m</w:t>
            </w:r>
            <w:r>
              <w:rPr>
                <w:rFonts w:cs="宋体"/>
                <w:color w:val="000000"/>
                <w:spacing w:val="-6"/>
                <w:sz w:val="24"/>
                <w:vertAlign w:val="superscript"/>
              </w:rPr>
              <w:t>2</w:t>
            </w:r>
            <w:r>
              <w:rPr>
                <w:rFonts w:hint="eastAsia" w:cs="宋体"/>
                <w:color w:val="000000"/>
                <w:spacing w:val="-6"/>
                <w:sz w:val="24"/>
              </w:rPr>
              <w:t>）</w:t>
            </w:r>
          </w:p>
        </w:tc>
        <w:tc>
          <w:tcPr>
            <w:tcW w:w="2897" w:type="dxa"/>
            <w:vAlign w:val="center"/>
          </w:tcPr>
          <w:p>
            <w:pPr>
              <w:adjustRightInd w:val="0"/>
              <w:snapToGrid w:val="0"/>
              <w:jc w:val="center"/>
              <w:rPr>
                <w:rFonts w:hint="default" w:eastAsia="宋体" w:cs="宋体"/>
                <w:color w:val="0D0D0D" w:themeColor="text1" w:themeTint="F2"/>
                <w:sz w:val="24"/>
                <w:lang w:val="en-US" w:eastAsia="zh-CN"/>
                <w14:textFill>
                  <w14:solidFill>
                    <w14:schemeClr w14:val="tx1">
                      <w14:lumMod w14:val="95000"/>
                      <w14:lumOff w14:val="5000"/>
                    </w14:schemeClr>
                  </w14:solidFill>
                </w14:textFill>
              </w:rPr>
            </w:pPr>
            <w:r>
              <w:rPr>
                <w:rFonts w:hint="eastAsia"/>
                <w:color w:val="0D0D0D" w:themeColor="text1" w:themeTint="F2"/>
                <w:kern w:val="0"/>
                <w:sz w:val="24"/>
                <w:lang w:val="en-US" w:eastAsia="zh-CN"/>
                <w14:textFill>
                  <w14:solidFill>
                    <w14:schemeClr w14:val="tx1">
                      <w14:lumMod w14:val="95000"/>
                      <w14:lumOff w14:val="5000"/>
                    </w14:schemeClr>
                  </w14:solidFill>
                </w14:textFill>
              </w:rPr>
              <w:t>1878.78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138"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专项评价设置情况</w:t>
            </w:r>
          </w:p>
        </w:tc>
        <w:tc>
          <w:tcPr>
            <w:tcW w:w="7737" w:type="dxa"/>
            <w:gridSpan w:val="3"/>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138"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规划情况</w:t>
            </w:r>
          </w:p>
        </w:tc>
        <w:tc>
          <w:tcPr>
            <w:tcW w:w="7737" w:type="dxa"/>
            <w:gridSpan w:val="3"/>
            <w:vAlign w:val="center"/>
          </w:tcPr>
          <w:p>
            <w:pPr>
              <w:autoSpaceDE w:val="0"/>
              <w:autoSpaceDN w:val="0"/>
              <w:adjustRightInd w:val="0"/>
              <w:snapToGrid w:val="0"/>
              <w:spacing w:line="360" w:lineRule="auto"/>
              <w:jc w:val="left"/>
              <w:rPr>
                <w:rFonts w:hint="eastAsia" w:cs="宋体"/>
                <w:color w:val="000000"/>
                <w:kern w:val="0"/>
                <w:sz w:val="24"/>
              </w:rPr>
            </w:pPr>
            <w:r>
              <w:rPr>
                <w:rFonts w:hint="eastAsia" w:cs="宋体"/>
                <w:b/>
                <w:bCs/>
                <w:color w:val="000000"/>
                <w:kern w:val="0"/>
                <w:sz w:val="24"/>
              </w:rPr>
              <w:t>规划名称：</w:t>
            </w:r>
            <w:r>
              <w:rPr>
                <w:rFonts w:hint="eastAsia" w:cs="宋体"/>
                <w:color w:val="000000"/>
                <w:kern w:val="0"/>
                <w:sz w:val="24"/>
              </w:rPr>
              <w:t>《安徽芜湖鸠江经济开发区总体发展规划（2012~2020）》</w:t>
            </w:r>
          </w:p>
          <w:p>
            <w:pPr>
              <w:autoSpaceDE w:val="0"/>
              <w:autoSpaceDN w:val="0"/>
              <w:adjustRightInd w:val="0"/>
              <w:snapToGrid w:val="0"/>
              <w:spacing w:line="360" w:lineRule="auto"/>
              <w:jc w:val="left"/>
              <w:rPr>
                <w:rFonts w:hint="eastAsia" w:cs="宋体"/>
                <w:color w:val="000000"/>
                <w:kern w:val="0"/>
                <w:sz w:val="24"/>
              </w:rPr>
            </w:pPr>
            <w:r>
              <w:rPr>
                <w:rFonts w:hint="eastAsia" w:cs="宋体"/>
                <w:b/>
                <w:bCs/>
                <w:color w:val="000000"/>
                <w:kern w:val="0"/>
                <w:sz w:val="24"/>
              </w:rPr>
              <w:t>规划审批机关：</w:t>
            </w:r>
            <w:r>
              <w:rPr>
                <w:rFonts w:hint="eastAsia" w:cs="宋体"/>
                <w:color w:val="000000"/>
                <w:kern w:val="0"/>
                <w:sz w:val="24"/>
              </w:rPr>
              <w:t>安徽省人民政府</w:t>
            </w:r>
          </w:p>
          <w:p>
            <w:pPr>
              <w:autoSpaceDE w:val="0"/>
              <w:autoSpaceDN w:val="0"/>
              <w:adjustRightInd w:val="0"/>
              <w:snapToGrid w:val="0"/>
              <w:spacing w:line="360" w:lineRule="auto"/>
              <w:jc w:val="left"/>
              <w:rPr>
                <w:rFonts w:hint="eastAsia" w:cs="宋体"/>
                <w:color w:val="000000"/>
                <w:kern w:val="0"/>
                <w:sz w:val="24"/>
              </w:rPr>
            </w:pPr>
            <w:r>
              <w:rPr>
                <w:rFonts w:hint="eastAsia" w:cs="宋体"/>
                <w:b/>
                <w:bCs/>
                <w:color w:val="000000"/>
                <w:kern w:val="0"/>
                <w:sz w:val="24"/>
              </w:rPr>
              <w:t>规划审批文件名称及文号：</w:t>
            </w:r>
            <w:r>
              <w:rPr>
                <w:rFonts w:hint="eastAsia" w:cs="宋体"/>
                <w:color w:val="000000"/>
                <w:kern w:val="0"/>
                <w:sz w:val="24"/>
              </w:rPr>
              <w:t>《关于同意安徽芜湖鸠江经济开发区扩区的批复》（皖政秘〔2014〕13 号）</w:t>
            </w:r>
          </w:p>
          <w:p>
            <w:pPr>
              <w:autoSpaceDE w:val="0"/>
              <w:autoSpaceDN w:val="0"/>
              <w:adjustRightInd w:val="0"/>
              <w:snapToGrid w:val="0"/>
              <w:spacing w:line="360" w:lineRule="auto"/>
              <w:jc w:val="left"/>
              <w:rPr>
                <w:rFonts w:hint="eastAsia" w:cs="宋体"/>
                <w:color w:val="000000"/>
                <w:kern w:val="0"/>
                <w:sz w:val="24"/>
              </w:rPr>
            </w:pPr>
            <w:r>
              <w:rPr>
                <w:rFonts w:hint="eastAsia" w:cs="宋体"/>
                <w:b/>
                <w:bCs/>
                <w:color w:val="000000"/>
                <w:kern w:val="0"/>
                <w:sz w:val="24"/>
              </w:rPr>
              <w:t>规划范围：</w:t>
            </w:r>
            <w:r>
              <w:rPr>
                <w:rFonts w:hint="eastAsia" w:cs="宋体"/>
                <w:color w:val="000000"/>
                <w:kern w:val="0"/>
                <w:sz w:val="24"/>
              </w:rPr>
              <w:t>“一区两园”</w:t>
            </w:r>
          </w:p>
          <w:p>
            <w:pPr>
              <w:autoSpaceDE w:val="0"/>
              <w:autoSpaceDN w:val="0"/>
              <w:adjustRightInd w:val="0"/>
              <w:snapToGrid w:val="0"/>
              <w:spacing w:line="360" w:lineRule="auto"/>
              <w:ind w:firstLine="480" w:firstLineChars="200"/>
              <w:jc w:val="left"/>
              <w:rPr>
                <w:rFonts w:hint="eastAsia" w:cs="宋体"/>
                <w:color w:val="000000"/>
                <w:kern w:val="0"/>
                <w:sz w:val="24"/>
              </w:rPr>
            </w:pPr>
            <w:r>
              <w:rPr>
                <w:rFonts w:hint="eastAsia" w:cs="宋体"/>
                <w:color w:val="000000"/>
                <w:kern w:val="0"/>
                <w:sz w:val="24"/>
              </w:rPr>
              <w:t>鸠江经济开发区东区：四至范围为东至青山河；南至万春路；西至</w:t>
            </w:r>
          </w:p>
          <w:p>
            <w:pPr>
              <w:autoSpaceDE w:val="0"/>
              <w:autoSpaceDN w:val="0"/>
              <w:adjustRightInd w:val="0"/>
              <w:snapToGrid w:val="0"/>
              <w:spacing w:line="360" w:lineRule="auto"/>
              <w:jc w:val="left"/>
              <w:rPr>
                <w:rFonts w:hint="eastAsia" w:cs="宋体"/>
                <w:color w:val="000000"/>
                <w:kern w:val="0"/>
                <w:sz w:val="24"/>
              </w:rPr>
            </w:pPr>
            <w:r>
              <w:rPr>
                <w:rFonts w:hint="eastAsia" w:cs="宋体"/>
                <w:color w:val="000000"/>
                <w:kern w:val="0"/>
                <w:sz w:val="24"/>
              </w:rPr>
              <w:t>九华北路；北至官陡门路、飞翔路一线，用地面积 15.7 km</w:t>
            </w:r>
            <w:r>
              <w:rPr>
                <w:rFonts w:hint="eastAsia" w:cs="宋体"/>
                <w:color w:val="000000"/>
                <w:kern w:val="0"/>
                <w:sz w:val="24"/>
                <w:vertAlign w:val="superscript"/>
              </w:rPr>
              <w:t>2</w:t>
            </w:r>
            <w:r>
              <w:rPr>
                <w:rFonts w:hint="eastAsia" w:cs="宋体"/>
                <w:color w:val="000000"/>
                <w:kern w:val="0"/>
                <w:sz w:val="24"/>
              </w:rPr>
              <w:t>；</w:t>
            </w:r>
          </w:p>
          <w:p>
            <w:pPr>
              <w:autoSpaceDE w:val="0"/>
              <w:autoSpaceDN w:val="0"/>
              <w:adjustRightInd w:val="0"/>
              <w:snapToGrid w:val="0"/>
              <w:spacing w:line="360" w:lineRule="auto"/>
              <w:ind w:firstLine="480" w:firstLineChars="200"/>
              <w:jc w:val="left"/>
              <w:rPr>
                <w:rFonts w:hint="eastAsia" w:cs="宋体"/>
                <w:color w:val="000000"/>
                <w:kern w:val="0"/>
                <w:sz w:val="24"/>
              </w:rPr>
            </w:pPr>
            <w:r>
              <w:rPr>
                <w:rFonts w:hint="eastAsia" w:cs="宋体"/>
                <w:color w:val="000000"/>
                <w:kern w:val="0"/>
                <w:sz w:val="24"/>
              </w:rPr>
              <w:t>桥北工业园：紧邻马鞍山市当涂县，四至范围为：东至秦王路，南</w:t>
            </w:r>
          </w:p>
          <w:p>
            <w:pPr>
              <w:autoSpaceDE w:val="0"/>
              <w:autoSpaceDN w:val="0"/>
              <w:adjustRightInd w:val="0"/>
              <w:snapToGrid w:val="0"/>
              <w:spacing w:line="360" w:lineRule="auto"/>
              <w:jc w:val="left"/>
              <w:rPr>
                <w:rFonts w:hint="eastAsia" w:cs="宋体"/>
                <w:color w:val="000000"/>
                <w:kern w:val="0"/>
                <w:sz w:val="24"/>
              </w:rPr>
            </w:pPr>
            <w:r>
              <w:rPr>
                <w:rFonts w:hint="eastAsia" w:cs="宋体"/>
                <w:color w:val="000000"/>
                <w:kern w:val="0"/>
                <w:sz w:val="24"/>
              </w:rPr>
              <w:t>至和平路，西至红星路，北至东梁路，用地面积为 1.83 km</w:t>
            </w:r>
            <w:r>
              <w:rPr>
                <w:rFonts w:hint="eastAsia" w:cs="宋体"/>
                <w:color w:val="000000"/>
                <w:kern w:val="0"/>
                <w:sz w:val="24"/>
                <w:vertAlign w:val="superscript"/>
              </w:rPr>
              <w:t>2</w:t>
            </w:r>
            <w:r>
              <w:rPr>
                <w:rFonts w:hint="eastAsia" w:cs="宋体"/>
                <w:color w:val="000000"/>
                <w:kern w:val="0"/>
                <w:sz w:val="24"/>
              </w:rPr>
              <w:t>；</w:t>
            </w:r>
          </w:p>
          <w:p>
            <w:pPr>
              <w:autoSpaceDE w:val="0"/>
              <w:autoSpaceDN w:val="0"/>
              <w:adjustRightInd w:val="0"/>
              <w:snapToGrid w:val="0"/>
              <w:spacing w:line="360" w:lineRule="auto"/>
              <w:ind w:firstLine="480" w:firstLineChars="200"/>
              <w:jc w:val="left"/>
              <w:rPr>
                <w:rFonts w:hint="eastAsia" w:cs="宋体"/>
                <w:color w:val="000000"/>
                <w:kern w:val="0"/>
                <w:sz w:val="24"/>
              </w:rPr>
            </w:pPr>
            <w:r>
              <w:rPr>
                <w:rFonts w:hint="eastAsia" w:cs="宋体"/>
                <w:color w:val="000000"/>
                <w:kern w:val="0"/>
                <w:sz w:val="24"/>
              </w:rPr>
              <w:t>电器部件工业园：四至范围为：北至芜湖市界；东至宁芜铁路；西</w:t>
            </w:r>
          </w:p>
          <w:p>
            <w:pPr>
              <w:autoSpaceDE w:val="0"/>
              <w:autoSpaceDN w:val="0"/>
              <w:adjustRightInd w:val="0"/>
              <w:snapToGrid w:val="0"/>
              <w:spacing w:line="360" w:lineRule="auto"/>
              <w:jc w:val="left"/>
              <w:rPr>
                <w:rFonts w:hint="eastAsia" w:cs="宋体"/>
                <w:color w:val="000000"/>
                <w:kern w:val="0"/>
                <w:sz w:val="24"/>
              </w:rPr>
            </w:pPr>
            <w:r>
              <w:rPr>
                <w:rFonts w:hint="eastAsia" w:cs="宋体"/>
                <w:color w:val="000000"/>
                <w:kern w:val="0"/>
                <w:sz w:val="24"/>
              </w:rPr>
              <w:t>至九华北路；南至经济技术开发区，用地面积 0.616 km</w:t>
            </w:r>
            <w:r>
              <w:rPr>
                <w:rFonts w:hint="eastAsia" w:cs="宋体"/>
                <w:color w:val="000000"/>
                <w:kern w:val="0"/>
                <w:sz w:val="24"/>
                <w:vertAlign w:val="superscript"/>
              </w:rPr>
              <w:t>2</w:t>
            </w:r>
            <w:r>
              <w:rPr>
                <w:rFonts w:hint="eastAsia" w:cs="宋体"/>
                <w:color w:val="000000"/>
                <w:kern w:val="0"/>
                <w:sz w:val="24"/>
              </w:rPr>
              <w:t>。</w:t>
            </w:r>
          </w:p>
          <w:p>
            <w:pPr>
              <w:autoSpaceDE w:val="0"/>
              <w:autoSpaceDN w:val="0"/>
              <w:adjustRightInd w:val="0"/>
              <w:snapToGrid w:val="0"/>
              <w:spacing w:line="360" w:lineRule="auto"/>
              <w:jc w:val="left"/>
              <w:rPr>
                <w:rFonts w:hint="eastAsia" w:cs="宋体"/>
                <w:color w:val="000000"/>
                <w:kern w:val="0"/>
                <w:sz w:val="24"/>
              </w:rPr>
            </w:pPr>
            <w:r>
              <w:rPr>
                <w:rFonts w:hint="eastAsia" w:cs="宋体"/>
                <w:b/>
                <w:bCs/>
                <w:color w:val="000000"/>
                <w:kern w:val="0"/>
                <w:sz w:val="24"/>
              </w:rPr>
              <w:t>规划主导产业</w:t>
            </w:r>
            <w:r>
              <w:rPr>
                <w:rFonts w:hint="eastAsia" w:cs="宋体"/>
                <w:b w:val="0"/>
                <w:bCs w:val="0"/>
                <w:color w:val="000000"/>
                <w:kern w:val="0"/>
                <w:sz w:val="24"/>
              </w:rPr>
              <w:t>：</w:t>
            </w:r>
            <w:r>
              <w:rPr>
                <w:rFonts w:hint="eastAsia" w:cs="宋体"/>
                <w:color w:val="000000"/>
                <w:kern w:val="0"/>
                <w:sz w:val="24"/>
              </w:rPr>
              <w:t>汽车及零部件产业、装备制造业、电子信息。其中鸠江</w:t>
            </w:r>
          </w:p>
          <w:p>
            <w:pPr>
              <w:autoSpaceDE w:val="0"/>
              <w:autoSpaceDN w:val="0"/>
              <w:adjustRightInd w:val="0"/>
              <w:snapToGrid w:val="0"/>
              <w:spacing w:line="360" w:lineRule="auto"/>
              <w:jc w:val="left"/>
              <w:rPr>
                <w:rFonts w:hint="eastAsia" w:cs="宋体"/>
                <w:color w:val="000000"/>
                <w:kern w:val="0"/>
                <w:sz w:val="24"/>
              </w:rPr>
            </w:pPr>
            <w:r>
              <w:rPr>
                <w:rFonts w:hint="eastAsia" w:cs="宋体"/>
                <w:color w:val="000000"/>
                <w:kern w:val="0"/>
                <w:sz w:val="24"/>
              </w:rPr>
              <w:t>经济开发区东区重点发展重点发展汽车及零部件产业、装备制造业、电</w:t>
            </w:r>
          </w:p>
          <w:p>
            <w:pPr>
              <w:autoSpaceDE w:val="0"/>
              <w:autoSpaceDN w:val="0"/>
              <w:adjustRightInd w:val="0"/>
              <w:snapToGrid w:val="0"/>
              <w:spacing w:line="360" w:lineRule="auto"/>
              <w:jc w:val="left"/>
              <w:rPr>
                <w:rFonts w:cs="宋体"/>
                <w:color w:val="000000"/>
                <w:kern w:val="0"/>
                <w:sz w:val="24"/>
              </w:rPr>
            </w:pPr>
            <w:r>
              <w:rPr>
                <w:rFonts w:hint="eastAsia" w:cs="宋体"/>
                <w:color w:val="000000"/>
                <w:kern w:val="0"/>
                <w:sz w:val="24"/>
              </w:rPr>
              <w:t>子信息。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1138"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规划环境影响</w:t>
            </w:r>
          </w:p>
          <w:p>
            <w:pPr>
              <w:autoSpaceDE w:val="0"/>
              <w:autoSpaceDN w:val="0"/>
              <w:adjustRightInd w:val="0"/>
              <w:snapToGrid w:val="0"/>
              <w:jc w:val="center"/>
              <w:rPr>
                <w:rFonts w:cs="宋体"/>
                <w:color w:val="000000"/>
                <w:kern w:val="0"/>
                <w:sz w:val="24"/>
              </w:rPr>
            </w:pPr>
            <w:r>
              <w:rPr>
                <w:rFonts w:hint="eastAsia" w:cs="宋体"/>
                <w:color w:val="000000"/>
                <w:kern w:val="0"/>
                <w:sz w:val="24"/>
              </w:rPr>
              <w:t>评价情况</w:t>
            </w:r>
          </w:p>
        </w:tc>
        <w:tc>
          <w:tcPr>
            <w:tcW w:w="7737" w:type="dxa"/>
            <w:gridSpan w:val="3"/>
            <w:vAlign w:val="center"/>
          </w:tcPr>
          <w:p>
            <w:pPr>
              <w:autoSpaceDE w:val="0"/>
              <w:autoSpaceDN w:val="0"/>
              <w:adjustRightInd w:val="0"/>
              <w:snapToGrid w:val="0"/>
              <w:spacing w:line="360" w:lineRule="auto"/>
              <w:rPr>
                <w:rFonts w:hint="eastAsia" w:cs="宋体"/>
                <w:color w:val="000000"/>
                <w:kern w:val="0"/>
                <w:sz w:val="24"/>
              </w:rPr>
            </w:pPr>
            <w:r>
              <w:rPr>
                <w:rFonts w:hint="eastAsia" w:cs="宋体"/>
                <w:b/>
                <w:bCs/>
                <w:color w:val="000000"/>
                <w:kern w:val="0"/>
                <w:sz w:val="24"/>
              </w:rPr>
              <w:t>规划环境影响评价文件名称：</w:t>
            </w:r>
            <w:r>
              <w:rPr>
                <w:rFonts w:hint="eastAsia" w:cs="宋体"/>
                <w:color w:val="000000"/>
                <w:kern w:val="0"/>
                <w:sz w:val="24"/>
              </w:rPr>
              <w:t>《安徽芜湖鸠江经济开发区总体发展规划</w:t>
            </w:r>
          </w:p>
          <w:p>
            <w:pPr>
              <w:autoSpaceDE w:val="0"/>
              <w:autoSpaceDN w:val="0"/>
              <w:adjustRightInd w:val="0"/>
              <w:snapToGrid w:val="0"/>
              <w:spacing w:line="360" w:lineRule="auto"/>
              <w:rPr>
                <w:rFonts w:hint="eastAsia" w:cs="宋体"/>
                <w:color w:val="000000"/>
                <w:kern w:val="0"/>
                <w:sz w:val="24"/>
              </w:rPr>
            </w:pPr>
            <w:r>
              <w:rPr>
                <w:rFonts w:hint="eastAsia" w:cs="宋体"/>
                <w:color w:val="000000"/>
                <w:kern w:val="0"/>
                <w:sz w:val="24"/>
              </w:rPr>
              <w:t>环境影响报告书》</w:t>
            </w:r>
          </w:p>
          <w:p>
            <w:pPr>
              <w:autoSpaceDE w:val="0"/>
              <w:autoSpaceDN w:val="0"/>
              <w:adjustRightInd w:val="0"/>
              <w:snapToGrid w:val="0"/>
              <w:spacing w:line="360" w:lineRule="auto"/>
              <w:rPr>
                <w:rFonts w:hint="eastAsia" w:cs="宋体"/>
                <w:color w:val="000000"/>
                <w:kern w:val="0"/>
                <w:sz w:val="24"/>
              </w:rPr>
            </w:pPr>
            <w:r>
              <w:rPr>
                <w:rFonts w:hint="eastAsia" w:cs="宋体"/>
                <w:b/>
                <w:bCs/>
                <w:color w:val="000000"/>
                <w:kern w:val="0"/>
                <w:sz w:val="24"/>
              </w:rPr>
              <w:t>规划环评审查机关：</w:t>
            </w:r>
            <w:r>
              <w:rPr>
                <w:rFonts w:hint="eastAsia" w:cs="宋体"/>
                <w:color w:val="000000"/>
                <w:kern w:val="0"/>
                <w:sz w:val="24"/>
              </w:rPr>
              <w:t>原安徽省环境保护厅</w:t>
            </w:r>
          </w:p>
          <w:p>
            <w:pPr>
              <w:autoSpaceDE w:val="0"/>
              <w:autoSpaceDN w:val="0"/>
              <w:adjustRightInd w:val="0"/>
              <w:snapToGrid w:val="0"/>
              <w:spacing w:line="360" w:lineRule="auto"/>
              <w:rPr>
                <w:rFonts w:hint="eastAsia" w:cs="宋体"/>
                <w:color w:val="000000"/>
                <w:kern w:val="0"/>
                <w:sz w:val="24"/>
              </w:rPr>
            </w:pPr>
            <w:r>
              <w:rPr>
                <w:rFonts w:hint="eastAsia" w:cs="宋体"/>
                <w:b/>
                <w:bCs/>
                <w:color w:val="000000"/>
                <w:kern w:val="0"/>
                <w:sz w:val="24"/>
              </w:rPr>
              <w:t>规划环评审查文件名称及文号：</w:t>
            </w:r>
            <w:r>
              <w:rPr>
                <w:rFonts w:hint="eastAsia" w:cs="宋体"/>
                <w:color w:val="000000"/>
                <w:kern w:val="0"/>
                <w:sz w:val="24"/>
              </w:rPr>
              <w:t>《关于安徽芜湖鸠江经济开发区总体发</w:t>
            </w:r>
          </w:p>
          <w:p>
            <w:pPr>
              <w:autoSpaceDE w:val="0"/>
              <w:autoSpaceDN w:val="0"/>
              <w:adjustRightInd w:val="0"/>
              <w:snapToGrid w:val="0"/>
              <w:spacing w:line="360" w:lineRule="auto"/>
              <w:rPr>
                <w:rFonts w:hint="eastAsia" w:cs="宋体"/>
                <w:color w:val="000000"/>
                <w:kern w:val="0"/>
                <w:sz w:val="24"/>
              </w:rPr>
            </w:pPr>
            <w:r>
              <w:rPr>
                <w:rFonts w:hint="eastAsia" w:cs="宋体"/>
                <w:color w:val="000000"/>
                <w:kern w:val="0"/>
                <w:sz w:val="24"/>
              </w:rPr>
              <w:t>展规划环境影响评价报告书审查意见的函》（皖环函[2013]999 号）</w:t>
            </w:r>
          </w:p>
          <w:p>
            <w:pPr>
              <w:autoSpaceDE w:val="0"/>
              <w:autoSpaceDN w:val="0"/>
              <w:adjustRightInd w:val="0"/>
              <w:snapToGrid w:val="0"/>
              <w:spacing w:line="360" w:lineRule="auto"/>
              <w:rPr>
                <w:rFonts w:hint="eastAsia" w:cs="宋体"/>
                <w:color w:val="000000"/>
                <w:kern w:val="0"/>
                <w:sz w:val="24"/>
              </w:rPr>
            </w:pPr>
            <w:r>
              <w:rPr>
                <w:rFonts w:hint="eastAsia" w:cs="宋体"/>
                <w:b/>
                <w:bCs/>
                <w:color w:val="000000"/>
                <w:kern w:val="0"/>
                <w:sz w:val="24"/>
              </w:rPr>
              <w:t>规划环境影响跟踪评价文件名称：</w:t>
            </w:r>
            <w:r>
              <w:rPr>
                <w:rFonts w:hint="eastAsia" w:cs="宋体"/>
                <w:color w:val="000000"/>
                <w:kern w:val="0"/>
                <w:sz w:val="24"/>
              </w:rPr>
              <w:t>《安徽芜湖鸠江经济开发区总体发展</w:t>
            </w:r>
          </w:p>
          <w:p>
            <w:pPr>
              <w:autoSpaceDE w:val="0"/>
              <w:autoSpaceDN w:val="0"/>
              <w:adjustRightInd w:val="0"/>
              <w:snapToGrid w:val="0"/>
              <w:spacing w:line="360" w:lineRule="auto"/>
              <w:rPr>
                <w:rFonts w:hint="eastAsia" w:cs="宋体"/>
                <w:color w:val="000000"/>
                <w:kern w:val="0"/>
                <w:sz w:val="24"/>
              </w:rPr>
            </w:pPr>
            <w:r>
              <w:rPr>
                <w:rFonts w:hint="eastAsia" w:cs="宋体"/>
                <w:color w:val="000000"/>
                <w:kern w:val="0"/>
                <w:sz w:val="24"/>
              </w:rPr>
              <w:t>规划环境影响跟踪评价报告书》</w:t>
            </w:r>
          </w:p>
          <w:p>
            <w:pPr>
              <w:autoSpaceDE w:val="0"/>
              <w:autoSpaceDN w:val="0"/>
              <w:adjustRightInd w:val="0"/>
              <w:snapToGrid w:val="0"/>
              <w:spacing w:line="360" w:lineRule="auto"/>
              <w:rPr>
                <w:rFonts w:hint="eastAsia" w:cs="宋体"/>
                <w:color w:val="000000"/>
                <w:kern w:val="0"/>
                <w:sz w:val="24"/>
              </w:rPr>
            </w:pPr>
            <w:r>
              <w:rPr>
                <w:rFonts w:hint="eastAsia" w:cs="宋体"/>
                <w:b/>
                <w:bCs/>
                <w:color w:val="000000"/>
                <w:kern w:val="0"/>
                <w:sz w:val="24"/>
              </w:rPr>
              <w:t>规划环境影响跟踪评价审查机关：</w:t>
            </w:r>
            <w:r>
              <w:rPr>
                <w:rFonts w:hint="eastAsia" w:cs="宋体"/>
                <w:color w:val="000000"/>
                <w:kern w:val="0"/>
                <w:sz w:val="24"/>
              </w:rPr>
              <w:t>芜湖市生态环境局</w:t>
            </w:r>
          </w:p>
          <w:p>
            <w:pPr>
              <w:autoSpaceDE w:val="0"/>
              <w:autoSpaceDN w:val="0"/>
              <w:adjustRightInd w:val="0"/>
              <w:snapToGrid w:val="0"/>
              <w:spacing w:line="360" w:lineRule="auto"/>
              <w:rPr>
                <w:rFonts w:hint="eastAsia" w:cs="宋体"/>
                <w:color w:val="000000"/>
                <w:kern w:val="0"/>
                <w:sz w:val="24"/>
              </w:rPr>
            </w:pPr>
            <w:r>
              <w:rPr>
                <w:rFonts w:hint="eastAsia" w:cs="宋体"/>
                <w:b/>
                <w:bCs/>
                <w:color w:val="000000"/>
                <w:kern w:val="0"/>
                <w:sz w:val="24"/>
              </w:rPr>
              <w:t>规划环境影响跟踪评价审查文件名称：</w:t>
            </w:r>
            <w:r>
              <w:rPr>
                <w:rFonts w:hint="eastAsia" w:cs="宋体"/>
                <w:color w:val="000000"/>
                <w:kern w:val="0"/>
                <w:sz w:val="24"/>
              </w:rPr>
              <w:t>关于印发《安徽芜湖鸠江经济开</w:t>
            </w:r>
          </w:p>
          <w:p>
            <w:pPr>
              <w:autoSpaceDE w:val="0"/>
              <w:autoSpaceDN w:val="0"/>
              <w:adjustRightInd w:val="0"/>
              <w:snapToGrid w:val="0"/>
              <w:spacing w:line="360" w:lineRule="auto"/>
              <w:rPr>
                <w:rFonts w:cs="宋体"/>
                <w:color w:val="000000"/>
                <w:kern w:val="0"/>
                <w:sz w:val="24"/>
              </w:rPr>
            </w:pPr>
            <w:r>
              <w:rPr>
                <w:rFonts w:hint="eastAsia" w:cs="宋体"/>
                <w:color w:val="000000"/>
                <w:kern w:val="0"/>
                <w:sz w:val="24"/>
              </w:rPr>
              <w:t>发区总体发展规划环境影响跟踪评价报告书技术审查意见》的函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138"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规划及规划环境影响评价符合性分析</w:t>
            </w:r>
          </w:p>
        </w:tc>
        <w:tc>
          <w:tcPr>
            <w:tcW w:w="7737" w:type="dxa"/>
            <w:gridSpan w:val="3"/>
            <w:vAlign w:val="center"/>
          </w:tcPr>
          <w:p>
            <w:pPr>
              <w:spacing w:before="120" w:beforeLines="50" w:line="360" w:lineRule="auto"/>
              <w:ind w:firstLine="540" w:firstLineChars="224"/>
              <w:rPr>
                <w:b/>
                <w:color w:val="000000"/>
                <w:sz w:val="24"/>
              </w:rPr>
            </w:pPr>
            <w:r>
              <w:rPr>
                <w:rFonts w:hint="eastAsia"/>
                <w:b/>
                <w:color w:val="000000"/>
                <w:sz w:val="24"/>
              </w:rPr>
              <w:t>1、</w:t>
            </w:r>
            <w:r>
              <w:rPr>
                <w:b/>
                <w:color w:val="000000"/>
                <w:sz w:val="24"/>
              </w:rPr>
              <w:t>规划用地相符性分析</w:t>
            </w:r>
          </w:p>
          <w:p>
            <w:pPr>
              <w:spacing w:line="360" w:lineRule="auto"/>
              <w:ind w:firstLine="540" w:firstLineChars="225"/>
              <w:rPr>
                <w:color w:val="000000" w:themeColor="text1"/>
                <w:sz w:val="24"/>
                <w14:textFill>
                  <w14:solidFill>
                    <w14:schemeClr w14:val="tx1"/>
                  </w14:solidFill>
                </w14:textFill>
              </w:rPr>
            </w:pPr>
            <w:r>
              <w:rPr>
                <w:color w:val="000000"/>
                <w:sz w:val="24"/>
              </w:rPr>
              <w:t>本项目位于</w:t>
            </w:r>
            <w:r>
              <w:rPr>
                <w:rFonts w:hint="eastAsia"/>
                <w:color w:val="000000"/>
                <w:sz w:val="24"/>
              </w:rPr>
              <w:t>芜湖鸠江经济开发区</w:t>
            </w:r>
            <w:r>
              <w:rPr>
                <w:rFonts w:hint="eastAsia"/>
                <w:color w:val="auto"/>
                <w:sz w:val="24"/>
                <w:lang w:val="en-US" w:eastAsia="zh-CN"/>
              </w:rPr>
              <w:t>东区</w:t>
            </w:r>
            <w:r>
              <w:rPr>
                <w:color w:val="auto"/>
                <w:sz w:val="24"/>
              </w:rPr>
              <w:t>。</w:t>
            </w:r>
            <w:r>
              <w:rPr>
                <w:rFonts w:hint="eastAsia"/>
                <w:color w:val="auto"/>
                <w:sz w:val="24"/>
                <w:lang w:val="en-US" w:eastAsia="zh-CN"/>
              </w:rPr>
              <w:t>企业购置芜湖联东金江实业有限公司厂房总建筑面积为3766.56㎡，购置合同及土地证见附件5</w:t>
            </w:r>
            <w:r>
              <w:rPr>
                <w:rFonts w:hint="eastAsia"/>
                <w:color w:val="0D0D0D" w:themeColor="text1" w:themeTint="F2"/>
                <w:sz w:val="24"/>
                <w:lang w:val="en-US" w:eastAsia="zh-CN"/>
                <w14:textFill>
                  <w14:solidFill>
                    <w14:schemeClr w14:val="tx1">
                      <w14:lumMod w14:val="95000"/>
                      <w14:lumOff w14:val="5000"/>
                    </w14:schemeClr>
                  </w14:solidFill>
                </w14:textFill>
              </w:rPr>
              <w:t>。</w:t>
            </w:r>
            <w:r>
              <w:rPr>
                <w:color w:val="auto"/>
                <w:sz w:val="24"/>
              </w:rPr>
              <w:t>项目东侧为芜湖</w:t>
            </w:r>
            <w:r>
              <w:rPr>
                <w:rFonts w:hint="eastAsia"/>
                <w:color w:val="auto"/>
                <w:sz w:val="24"/>
                <w:lang w:val="en-US" w:eastAsia="zh-CN"/>
              </w:rPr>
              <w:t>市欣安建材科技有限公司</w:t>
            </w:r>
            <w:r>
              <w:rPr>
                <w:rFonts w:hint="eastAsia"/>
                <w:color w:val="auto"/>
                <w:sz w:val="24"/>
              </w:rPr>
              <w:t>，</w:t>
            </w:r>
            <w:r>
              <w:rPr>
                <w:color w:val="auto"/>
                <w:sz w:val="24"/>
              </w:rPr>
              <w:t>南侧</w:t>
            </w:r>
            <w:r>
              <w:rPr>
                <w:rFonts w:hint="eastAsia"/>
                <w:color w:val="auto"/>
                <w:sz w:val="24"/>
                <w:lang w:eastAsia="zh-CN"/>
              </w:rPr>
              <w:t>、</w:t>
            </w:r>
            <w:r>
              <w:rPr>
                <w:color w:val="auto"/>
                <w:sz w:val="24"/>
              </w:rPr>
              <w:t>西侧</w:t>
            </w:r>
            <w:r>
              <w:rPr>
                <w:rFonts w:hint="eastAsia"/>
                <w:color w:val="auto"/>
                <w:sz w:val="24"/>
                <w:lang w:eastAsia="zh-CN"/>
              </w:rPr>
              <w:t>、</w:t>
            </w:r>
            <w:r>
              <w:rPr>
                <w:color w:val="auto"/>
                <w:sz w:val="24"/>
              </w:rPr>
              <w:t>北侧</w:t>
            </w:r>
            <w:r>
              <w:rPr>
                <w:rFonts w:hint="eastAsia"/>
                <w:color w:val="auto"/>
                <w:sz w:val="24"/>
                <w:lang w:val="en-US" w:eastAsia="zh-CN"/>
              </w:rPr>
              <w:t>均为空置厂房</w:t>
            </w:r>
            <w:r>
              <w:rPr>
                <w:rFonts w:hint="eastAsia"/>
                <w:color w:val="auto"/>
                <w:sz w:val="24"/>
              </w:rPr>
              <w:t>。</w:t>
            </w:r>
            <w:r>
              <w:rPr>
                <w:color w:val="0D0D0D" w:themeColor="text1" w:themeTint="F2"/>
                <w:sz w:val="24"/>
                <w14:textFill>
                  <w14:solidFill>
                    <w14:schemeClr w14:val="tx1">
                      <w14:lumMod w14:val="95000"/>
                      <w14:lumOff w14:val="5000"/>
                    </w14:schemeClr>
                  </w14:solidFill>
                </w14:textFill>
              </w:rPr>
              <w:t>根据《</w:t>
            </w:r>
            <w:r>
              <w:rPr>
                <w:rFonts w:hint="eastAsia" w:cs="宋体"/>
                <w:color w:val="0D0D0D" w:themeColor="text1" w:themeTint="F2"/>
                <w:kern w:val="0"/>
                <w:sz w:val="24"/>
                <w14:textFill>
                  <w14:solidFill>
                    <w14:schemeClr w14:val="tx1">
                      <w14:lumMod w14:val="95000"/>
                      <w14:lumOff w14:val="5000"/>
                    </w14:schemeClr>
                  </w14:solidFill>
                </w14:textFill>
              </w:rPr>
              <w:t>安徽芜湖鸠江经济开发区总体发展规划环境影响报告书</w:t>
            </w:r>
            <w:r>
              <w:rPr>
                <w:color w:val="0D0D0D" w:themeColor="text1" w:themeTint="F2"/>
                <w:sz w:val="24"/>
                <w14:textFill>
                  <w14:solidFill>
                    <w14:schemeClr w14:val="tx1">
                      <w14:lumMod w14:val="95000"/>
                      <w14:lumOff w14:val="5000"/>
                    </w14:schemeClr>
                  </w14:solidFill>
                </w14:textFill>
              </w:rPr>
              <w:t>》可知</w:t>
            </w:r>
            <w:r>
              <w:rPr>
                <w:rFonts w:hint="eastAsia"/>
                <w:color w:val="0D0D0D" w:themeColor="text1" w:themeTint="F2"/>
                <w:sz w:val="24"/>
                <w14:textFill>
                  <w14:solidFill>
                    <w14:schemeClr w14:val="tx1">
                      <w14:lumMod w14:val="95000"/>
                      <w14:lumOff w14:val="5000"/>
                    </w14:schemeClr>
                  </w14:solidFill>
                </w14:textFill>
              </w:rPr>
              <w:t>，项目区土地性质为工业用地，且</w:t>
            </w:r>
            <w:r>
              <w:rPr>
                <w:rFonts w:hint="eastAsia"/>
                <w:color w:val="000000"/>
                <w:sz w:val="24"/>
              </w:rPr>
              <w:t>项目区周边无环境敏感区，</w:t>
            </w:r>
            <w:r>
              <w:rPr>
                <w:bCs/>
                <w:color w:val="000000"/>
                <w:sz w:val="24"/>
              </w:rPr>
              <w:t>且本项目未被列入国土资源部国家发展和改革委员会关于发布实施《限制用地项目目录（2012年本）》和《禁止用地项目目录（2012年本）》。</w:t>
            </w:r>
            <w:r>
              <w:rPr>
                <w:rFonts w:hint="eastAsia"/>
                <w:color w:val="000000"/>
                <w:sz w:val="24"/>
              </w:rPr>
              <w:t>因此</w:t>
            </w:r>
            <w:r>
              <w:rPr>
                <w:color w:val="000000"/>
                <w:sz w:val="24"/>
              </w:rPr>
              <w:t>，建设项目与区域规划相符，与用地性质相符。</w:t>
            </w:r>
            <w:r>
              <w:rPr>
                <w:rFonts w:hint="eastAsia" w:cs="宋体"/>
                <w:color w:val="000000"/>
                <w:kern w:val="0"/>
                <w:sz w:val="24"/>
              </w:rPr>
              <w:t>芜湖鸠江经济开发区</w:t>
            </w:r>
            <w:r>
              <w:rPr>
                <w:rFonts w:hint="eastAsia"/>
                <w:color w:val="000000"/>
                <w:kern w:val="0"/>
                <w:sz w:val="24"/>
              </w:rPr>
              <w:t>发展</w:t>
            </w:r>
            <w:r>
              <w:rPr>
                <w:rFonts w:hint="eastAsia"/>
                <w:color w:val="000000"/>
                <w:sz w:val="24"/>
              </w:rPr>
              <w:t>规划</w:t>
            </w:r>
            <w:r>
              <w:rPr>
                <w:rFonts w:hint="eastAsia"/>
                <w:color w:val="000000" w:themeColor="text1"/>
                <w:sz w:val="24"/>
                <w14:textFill>
                  <w14:solidFill>
                    <w14:schemeClr w14:val="tx1"/>
                  </w14:solidFill>
                </w14:textFill>
              </w:rPr>
              <w:t>图见</w:t>
            </w:r>
            <w:r>
              <w:rPr>
                <w:rFonts w:hint="eastAsia"/>
                <w:color w:val="auto"/>
                <w:sz w:val="24"/>
              </w:rPr>
              <w:t>附图</w:t>
            </w:r>
            <w:r>
              <w:rPr>
                <w:rFonts w:hint="eastAsia"/>
                <w:color w:val="auto"/>
                <w:sz w:val="24"/>
                <w:lang w:val="en-US" w:eastAsia="zh-CN"/>
              </w:rPr>
              <w:t>4</w:t>
            </w:r>
            <w:r>
              <w:rPr>
                <w:rFonts w:hint="eastAsia"/>
                <w:color w:val="000000" w:themeColor="text1"/>
                <w:sz w:val="24"/>
                <w14:textFill>
                  <w14:solidFill>
                    <w14:schemeClr w14:val="tx1"/>
                  </w14:solidFill>
                </w14:textFill>
              </w:rPr>
              <w:t>。</w:t>
            </w:r>
          </w:p>
          <w:p>
            <w:pPr>
              <w:spacing w:before="120" w:beforeLines="50" w:line="360" w:lineRule="auto"/>
              <w:ind w:firstLine="540" w:firstLineChars="224"/>
              <w:rPr>
                <w:rFonts w:hint="eastAsia"/>
                <w:b/>
                <w:color w:val="000000"/>
                <w:sz w:val="24"/>
              </w:rPr>
            </w:pPr>
            <w:r>
              <w:rPr>
                <w:rFonts w:hint="eastAsia"/>
                <w:b/>
                <w:color w:val="000000"/>
                <w:sz w:val="24"/>
                <w:lang w:val="en-US" w:eastAsia="zh-CN"/>
              </w:rPr>
              <w:t>2、</w:t>
            </w:r>
            <w:r>
              <w:rPr>
                <w:rFonts w:hint="eastAsia"/>
                <w:b/>
                <w:color w:val="000000"/>
                <w:sz w:val="24"/>
              </w:rPr>
              <w:t>与规划环评及其审查意见相符性分析</w:t>
            </w:r>
          </w:p>
          <w:p>
            <w:pPr>
              <w:pStyle w:val="22"/>
              <w:spacing w:line="360" w:lineRule="auto"/>
              <w:ind w:firstLine="480" w:firstLineChars="200"/>
            </w:pPr>
            <w:r>
              <w:rPr>
                <w:rFonts w:hint="eastAsia"/>
              </w:rPr>
              <w:t>《安徽芜湖鸠江经济开发区总体发展规划环境影响跟踪评价报告书》对开发区后续规划实施提出了产业发展负面清单及环境准入要求。</w:t>
            </w:r>
          </w:p>
          <w:p>
            <w:pPr>
              <w:jc w:val="center"/>
            </w:pPr>
            <w:r>
              <w:rPr>
                <w:rFonts w:hint="eastAsia" w:ascii="宋体" w:hAnsi="宋体" w:eastAsia="宋体" w:cs="宋体"/>
                <w:b/>
                <w:bCs/>
                <w:sz w:val="24"/>
                <w:szCs w:val="24"/>
              </w:rPr>
              <w:t xml:space="preserve">表 </w:t>
            </w:r>
            <w:r>
              <w:rPr>
                <w:rFonts w:hint="eastAsia" w:ascii="宋体" w:hAnsi="宋体" w:eastAsia="宋体" w:cs="宋体"/>
                <w:b/>
                <w:bCs/>
                <w:sz w:val="24"/>
                <w:szCs w:val="24"/>
                <w:lang w:val="en-US" w:eastAsia="zh-CN"/>
              </w:rPr>
              <w:t xml:space="preserve">1-1  </w:t>
            </w:r>
            <w:r>
              <w:rPr>
                <w:rFonts w:hint="eastAsia" w:ascii="宋体" w:hAnsi="宋体" w:eastAsia="宋体" w:cs="宋体"/>
                <w:b/>
                <w:bCs/>
                <w:sz w:val="24"/>
                <w:szCs w:val="24"/>
              </w:rPr>
              <w:t>规划跟踪环评对开发区提出的产业发展负面清单</w:t>
            </w:r>
          </w:p>
          <w:tbl>
            <w:tblPr>
              <w:tblStyle w:val="58"/>
              <w:tblW w:w="477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8"/>
              <w:gridCol w:w="63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 w:hRule="atLeast"/>
                <w:tblHeader/>
                <w:jc w:val="center"/>
              </w:trPr>
              <w:tc>
                <w:tcPr>
                  <w:tcW w:w="597" w:type="pct"/>
                  <w:vAlign w:val="center"/>
                </w:tcPr>
                <w:p>
                  <w:pPr>
                    <w:snapToGrid w:val="0"/>
                    <w:jc w:val="center"/>
                    <w:rPr>
                      <w:rFonts w:hint="eastAsia"/>
                      <w:lang w:eastAsia="zh-CN"/>
                    </w:rPr>
                  </w:pPr>
                  <w:r>
                    <w:rPr>
                      <w:rFonts w:hint="eastAsia"/>
                      <w:lang w:val="en-US" w:eastAsia="zh-CN"/>
                    </w:rPr>
                    <w:t>类别</w:t>
                  </w:r>
                </w:p>
              </w:tc>
              <w:tc>
                <w:tcPr>
                  <w:tcW w:w="4402" w:type="pct"/>
                  <w:vAlign w:val="center"/>
                </w:tcPr>
                <w:p>
                  <w:pPr>
                    <w:snapToGrid w:val="0"/>
                    <w:jc w:val="center"/>
                    <w:rPr>
                      <w:rFonts w:hint="default"/>
                      <w:lang w:val="en-US" w:eastAsia="zh-CN"/>
                    </w:rPr>
                  </w:pPr>
                  <w:r>
                    <w:rPr>
                      <w:rFonts w:hint="eastAsia"/>
                      <w:lang w:val="en-US" w:eastAsia="zh-CN"/>
                    </w:rPr>
                    <w:t>发展要求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7" w:type="pct"/>
                  <w:vMerge w:val="restart"/>
                  <w:vAlign w:val="center"/>
                </w:tcPr>
                <w:p>
                  <w:pPr>
                    <w:snapToGrid w:val="0"/>
                    <w:jc w:val="center"/>
                  </w:pPr>
                  <w:r>
                    <w:rPr>
                      <w:rFonts w:hint="eastAsia"/>
                      <w:lang w:val="en-US" w:eastAsia="zh-CN"/>
                    </w:rPr>
                    <w:t>禁止类</w:t>
                  </w:r>
                  <w:r>
                    <w:t xml:space="preserve"> </w:t>
                  </w:r>
                </w:p>
              </w:tc>
              <w:tc>
                <w:tcPr>
                  <w:tcW w:w="4402" w:type="pct"/>
                  <w:vAlign w:val="center"/>
                </w:tcPr>
                <w:p>
                  <w:pPr>
                    <w:snapToGrid w:val="0"/>
                    <w:jc w:val="both"/>
                    <w:rPr>
                      <w:rFonts w:hint="eastAsia"/>
                    </w:rPr>
                  </w:pPr>
                  <w:r>
                    <w:rPr>
                      <w:rFonts w:hint="eastAsia"/>
                    </w:rPr>
                    <w:t>①《产业结构调整指导目录（2019 年本）》中落后生产工艺装备、落后产品生产项目；</w:t>
                  </w:r>
                </w:p>
                <w:p>
                  <w:pPr>
                    <w:snapToGrid w:val="0"/>
                    <w:jc w:val="both"/>
                    <w:rPr>
                      <w:rFonts w:hint="eastAsia"/>
                    </w:rPr>
                  </w:pPr>
                  <w:r>
                    <w:rPr>
                      <w:rFonts w:hint="eastAsia"/>
                    </w:rPr>
                    <w:t>②不符合国家和安徽省产业政策的项目；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7" w:type="pct"/>
                  <w:vMerge w:val="continue"/>
                  <w:vAlign w:val="center"/>
                </w:tcPr>
                <w:p>
                  <w:pPr>
                    <w:snapToGrid w:val="0"/>
                    <w:jc w:val="center"/>
                  </w:pPr>
                </w:p>
              </w:tc>
              <w:tc>
                <w:tcPr>
                  <w:tcW w:w="4402" w:type="pct"/>
                  <w:vAlign w:val="center"/>
                </w:tcPr>
                <w:p>
                  <w:pPr>
                    <w:snapToGrid w:val="0"/>
                    <w:jc w:val="both"/>
                    <w:rPr>
                      <w:rFonts w:hint="eastAsia"/>
                    </w:rPr>
                  </w:pPr>
                  <w:r>
                    <w:rPr>
                      <w:rFonts w:hint="eastAsia"/>
                    </w:rPr>
                    <w:t>①煤化工、冶金、钢铁、铁合金等行业项目；</w:t>
                  </w:r>
                </w:p>
                <w:p>
                  <w:pPr>
                    <w:snapToGrid w:val="0"/>
                    <w:jc w:val="both"/>
                    <w:rPr>
                      <w:rFonts w:hint="eastAsia"/>
                    </w:rPr>
                  </w:pPr>
                  <w:r>
                    <w:rPr>
                      <w:rFonts w:hint="eastAsia"/>
                    </w:rPr>
                    <w:t>②水泥、焦炭、有色冶炼、工业硅、金刚砂等高耗能、高污染项目；</w:t>
                  </w:r>
                </w:p>
                <w:p>
                  <w:pPr>
                    <w:snapToGrid w:val="0"/>
                    <w:jc w:val="both"/>
                    <w:rPr>
                      <w:rFonts w:hint="eastAsia"/>
                    </w:rPr>
                  </w:pPr>
                  <w:r>
                    <w:rPr>
                      <w:rFonts w:hint="eastAsia"/>
                    </w:rPr>
                    <w:t>③使用燃煤、重油、生物质燃料等高污染燃料设施；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7" w:type="pct"/>
                  <w:vMerge w:val="continue"/>
                  <w:vAlign w:val="center"/>
                </w:tcPr>
                <w:p>
                  <w:pPr>
                    <w:snapToGrid w:val="0"/>
                    <w:jc w:val="center"/>
                  </w:pPr>
                </w:p>
              </w:tc>
              <w:tc>
                <w:tcPr>
                  <w:tcW w:w="4402" w:type="pct"/>
                  <w:vAlign w:val="center"/>
                </w:tcPr>
                <w:p>
                  <w:pPr>
                    <w:snapToGrid w:val="0"/>
                    <w:jc w:val="left"/>
                    <w:rPr>
                      <w:rFonts w:hint="eastAsia"/>
                    </w:rPr>
                  </w:pPr>
                  <w:r>
                    <w:rPr>
                      <w:rFonts w:hint="eastAsia"/>
                    </w:rPr>
                    <w:t>制浆造纸、制革及毛皮鞣制、印染等项目；涉及铅、铬、镉、汞、</w:t>
                  </w:r>
                </w:p>
                <w:p>
                  <w:pPr>
                    <w:snapToGrid w:val="0"/>
                    <w:jc w:val="left"/>
                    <w:rPr>
                      <w:rFonts w:hint="eastAsia"/>
                    </w:rPr>
                  </w:pPr>
                  <w:r>
                    <w:rPr>
                      <w:rFonts w:hint="eastAsia"/>
                    </w:rPr>
                    <w:t>砷等重金属污染物排放的相关项目；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7" w:type="pct"/>
                  <w:vMerge w:val="continue"/>
                  <w:vAlign w:val="center"/>
                </w:tcPr>
                <w:p>
                  <w:pPr>
                    <w:snapToGrid w:val="0"/>
                    <w:jc w:val="center"/>
                  </w:pPr>
                </w:p>
              </w:tc>
              <w:tc>
                <w:tcPr>
                  <w:tcW w:w="4402" w:type="pct"/>
                  <w:vAlign w:val="center"/>
                </w:tcPr>
                <w:p>
                  <w:pPr>
                    <w:snapToGrid w:val="0"/>
                    <w:jc w:val="both"/>
                    <w:rPr>
                      <w:rFonts w:hint="eastAsia"/>
                    </w:rPr>
                  </w:pPr>
                  <w:r>
                    <w:rPr>
                      <w:rFonts w:hint="eastAsia"/>
                    </w:rPr>
                    <w:t>易燃、易爆和剧毒等危险品物流项目，重大危险源项目。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7" w:type="pct"/>
                  <w:vAlign w:val="center"/>
                </w:tcPr>
                <w:p>
                  <w:pPr>
                    <w:snapToGrid w:val="0"/>
                    <w:jc w:val="both"/>
                    <w:rPr>
                      <w:rFonts w:hint="eastAsia"/>
                    </w:rPr>
                  </w:pPr>
                  <w:r>
                    <w:rPr>
                      <w:rFonts w:hint="eastAsia"/>
                    </w:rPr>
                    <w:t>限制类</w:t>
                  </w:r>
                </w:p>
              </w:tc>
              <w:tc>
                <w:tcPr>
                  <w:tcW w:w="4402" w:type="pct"/>
                  <w:vAlign w:val="center"/>
                </w:tcPr>
                <w:p>
                  <w:pPr>
                    <w:snapToGrid w:val="0"/>
                    <w:jc w:val="both"/>
                    <w:rPr>
                      <w:rFonts w:hint="eastAsia"/>
                      <w:lang w:val="en-US" w:eastAsia="zh-CN"/>
                    </w:rPr>
                  </w:pPr>
                  <w:r>
                    <w:rPr>
                      <w:rFonts w:hint="eastAsia"/>
                      <w:lang w:val="en-US" w:eastAsia="zh-CN"/>
                    </w:rPr>
                    <w:t>①限制用水效益低、耗水高的产业发展；</w:t>
                  </w:r>
                </w:p>
                <w:p>
                  <w:pPr>
                    <w:snapToGrid w:val="0"/>
                    <w:jc w:val="both"/>
                    <w:rPr>
                      <w:rFonts w:hint="eastAsia"/>
                      <w:lang w:val="en-US" w:eastAsia="zh-CN"/>
                    </w:rPr>
                  </w:pPr>
                  <w:r>
                    <w:rPr>
                      <w:rFonts w:hint="eastAsia"/>
                      <w:lang w:val="en-US" w:eastAsia="zh-CN"/>
                    </w:rPr>
                    <w:t>②污染较重，对城区大气环境造成较大影响的项目。</w:t>
                  </w:r>
                </w:p>
              </w:tc>
            </w:tr>
          </w:tbl>
          <w:p/>
          <w:p>
            <w:pPr>
              <w:widowControl/>
              <w:numPr>
                <w:ilvl w:val="0"/>
                <w:numId w:val="0"/>
              </w:numPr>
              <w:spacing w:line="360" w:lineRule="auto"/>
              <w:ind w:firstLine="480" w:firstLineChars="200"/>
              <w:jc w:val="left"/>
              <w:rPr>
                <w:rFonts w:hint="eastAsia"/>
                <w:sz w:val="24"/>
                <w:szCs w:val="24"/>
              </w:rPr>
            </w:pPr>
            <w:r>
              <w:rPr>
                <w:rFonts w:hint="eastAsia"/>
                <w:sz w:val="24"/>
                <w:szCs w:val="24"/>
              </w:rPr>
              <w:t>本项目位于安徽芜湖鸠江经济开发区</w:t>
            </w:r>
            <w:r>
              <w:rPr>
                <w:rFonts w:hint="eastAsia"/>
                <w:sz w:val="24"/>
                <w:szCs w:val="24"/>
                <w:lang w:val="en-US" w:eastAsia="zh-CN"/>
              </w:rPr>
              <w:t>东区</w:t>
            </w:r>
            <w:r>
              <w:rPr>
                <w:rFonts w:hint="eastAsia"/>
                <w:sz w:val="24"/>
                <w:szCs w:val="24"/>
              </w:rPr>
              <w:t>，根据规划环境影响跟踪评价报告书提出的产业发展负面清单，该区禁止使用燃煤、重油、生物质燃料项目入园，禁止发展煤化工、冶金、钢铁、铁合金、水泥、焦炭、有色冶炼、工业硅、金刚砂、制浆造纸、制革及毛皮鞣制、印染等高耗能、高污染项目，禁止涉及铅、铬、镉、汞、砷等重金属污染物排放的相关项目，禁止易燃、易爆和剧毒等危险品物流项目及不符合国家及安徽省产业政策的项目。本项目的生产不使用燃煤、重油和生物质燃料；运营期主要是生活用水和冷却用水，用水量小，不属于高水耗行业；运营期注塑废气经集气罩收集后</w:t>
            </w:r>
            <w:r>
              <w:rPr>
                <w:rFonts w:hint="eastAsia"/>
                <w:sz w:val="24"/>
                <w:szCs w:val="24"/>
                <w:lang w:val="en-US" w:eastAsia="zh-CN"/>
              </w:rPr>
              <w:t>经</w:t>
            </w:r>
            <w:r>
              <w:rPr>
                <w:rFonts w:hint="eastAsia"/>
                <w:sz w:val="24"/>
                <w:szCs w:val="24"/>
              </w:rPr>
              <w:t>两级活性炭吸附处理后达标排放，</w:t>
            </w:r>
            <w:r>
              <w:rPr>
                <w:rFonts w:hint="eastAsia"/>
                <w:sz w:val="24"/>
                <w:szCs w:val="24"/>
                <w:lang w:val="en-US" w:eastAsia="zh-CN"/>
              </w:rPr>
              <w:t>破碎粉尘经集气罩收集后经布袋除尘</w:t>
            </w:r>
            <w:r>
              <w:rPr>
                <w:rFonts w:hint="eastAsia"/>
                <w:sz w:val="24"/>
                <w:szCs w:val="24"/>
              </w:rPr>
              <w:t>器处理，生活污水、噪声经合理处理后达标排放，对环境影响较小。本项目不属于开发区规划跟踪环评禁止和限制发展的产业类别，符合鸠江经济开发区规划跟踪评价要求。</w:t>
            </w:r>
          </w:p>
          <w:p>
            <w:pPr>
              <w:widowControl/>
              <w:spacing w:line="360" w:lineRule="auto"/>
              <w:ind w:firstLine="480" w:firstLineChars="200"/>
              <w:jc w:val="left"/>
            </w:pPr>
            <w:r>
              <w:rPr>
                <w:rFonts w:hint="eastAsia"/>
                <w:sz w:val="24"/>
                <w:szCs w:val="24"/>
              </w:rPr>
              <w:t>本项目与安徽芜湖鸠江经济开发区总体发展规划环境影响跟踪评价报告书审查意见符合性分析如下：</w:t>
            </w:r>
            <w:r>
              <w:t xml:space="preserve"> </w:t>
            </w:r>
          </w:p>
          <w:p>
            <w:pPr>
              <w:jc w:val="center"/>
              <w:rPr>
                <w:rFonts w:hint="eastAsia" w:ascii="宋体" w:hAnsi="宋体" w:eastAsia="宋体" w:cs="宋体"/>
                <w:b/>
                <w:bCs/>
                <w:sz w:val="24"/>
                <w:szCs w:val="24"/>
              </w:rPr>
            </w:pPr>
            <w:r>
              <w:rPr>
                <w:rFonts w:hint="eastAsia" w:ascii="宋体" w:hAnsi="宋体" w:eastAsia="宋体" w:cs="宋体"/>
                <w:b/>
                <w:bCs/>
                <w:sz w:val="24"/>
                <w:szCs w:val="24"/>
              </w:rPr>
              <w:t>表</w:t>
            </w: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 xml:space="preserve">2 </w:t>
            </w:r>
            <w:r>
              <w:rPr>
                <w:rFonts w:hint="eastAsia" w:ascii="宋体" w:hAnsi="宋体" w:cs="宋体"/>
                <w:b/>
                <w:bCs/>
                <w:sz w:val="24"/>
                <w:szCs w:val="24"/>
                <w:lang w:val="en-US" w:eastAsia="zh-CN"/>
              </w:rPr>
              <w:t xml:space="preserve"> </w:t>
            </w:r>
            <w:r>
              <w:rPr>
                <w:rFonts w:hint="eastAsia" w:ascii="宋体" w:hAnsi="宋体" w:eastAsia="宋体" w:cs="宋体"/>
                <w:b/>
                <w:bCs/>
                <w:sz w:val="24"/>
                <w:szCs w:val="24"/>
              </w:rPr>
              <w:t>项目与开发区规划跟踪环评审查意见相符性分析</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23"/>
              <w:gridCol w:w="2289"/>
              <w:gridCol w:w="9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2873" w:type="pct"/>
                  <w:shd w:val="clear" w:color="auto" w:fill="auto"/>
                  <w:vAlign w:val="center"/>
                </w:tcPr>
                <w:p>
                  <w:pPr>
                    <w:pStyle w:val="312"/>
                    <w:spacing w:line="240" w:lineRule="auto"/>
                    <w:jc w:val="center"/>
                    <w:rPr>
                      <w:rFonts w:hint="eastAsia" w:ascii="宋体" w:hAnsi="宋体" w:eastAsia="宋体" w:cs="宋体"/>
                      <w:b/>
                      <w:bCs/>
                      <w:sz w:val="21"/>
                      <w:szCs w:val="21"/>
                    </w:rPr>
                  </w:pPr>
                  <w:r>
                    <w:rPr>
                      <w:rFonts w:hint="eastAsia" w:ascii="宋体" w:hAnsi="宋体" w:eastAsia="宋体" w:cs="宋体"/>
                      <w:b/>
                      <w:bCs/>
                      <w:sz w:val="21"/>
                      <w:szCs w:val="21"/>
                    </w:rPr>
                    <w:t>规划跟踪环评审查意见内容</w:t>
                  </w:r>
                </w:p>
              </w:tc>
              <w:tc>
                <w:tcPr>
                  <w:tcW w:w="1521" w:type="pct"/>
                  <w:shd w:val="clear" w:color="auto" w:fill="auto"/>
                  <w:vAlign w:val="center"/>
                </w:tcPr>
                <w:p>
                  <w:pPr>
                    <w:pStyle w:val="312"/>
                    <w:spacing w:line="240" w:lineRule="auto"/>
                    <w:jc w:val="center"/>
                    <w:rPr>
                      <w:rFonts w:hint="eastAsia" w:ascii="宋体" w:hAnsi="宋体" w:eastAsia="宋体" w:cs="宋体"/>
                      <w:b/>
                      <w:bCs/>
                      <w:sz w:val="21"/>
                      <w:szCs w:val="21"/>
                    </w:rPr>
                  </w:pPr>
                  <w:r>
                    <w:rPr>
                      <w:rFonts w:hint="eastAsia" w:ascii="宋体" w:hAnsi="宋体" w:eastAsia="宋体" w:cs="宋体"/>
                      <w:b/>
                      <w:bCs/>
                      <w:sz w:val="21"/>
                      <w:szCs w:val="21"/>
                    </w:rPr>
                    <w:t>本项目情况</w:t>
                  </w:r>
                </w:p>
              </w:tc>
              <w:tc>
                <w:tcPr>
                  <w:tcW w:w="604" w:type="pct"/>
                  <w:shd w:val="clear" w:color="auto" w:fill="auto"/>
                  <w:vAlign w:val="center"/>
                </w:tcPr>
                <w:p>
                  <w:pPr>
                    <w:pStyle w:val="312"/>
                    <w:spacing w:line="240" w:lineRule="auto"/>
                    <w:jc w:val="center"/>
                    <w:rPr>
                      <w:rFonts w:hint="eastAsia" w:ascii="宋体" w:hAnsi="宋体" w:eastAsia="宋体" w:cs="宋体"/>
                      <w:b/>
                      <w:bCs/>
                      <w:sz w:val="21"/>
                      <w:szCs w:val="21"/>
                      <w:lang w:eastAsia="zh-CN"/>
                    </w:rPr>
                  </w:pPr>
                  <w:r>
                    <w:rPr>
                      <w:rFonts w:hint="eastAsia" w:ascii="宋体" w:hAnsi="宋体" w:eastAsia="宋体" w:cs="宋体"/>
                      <w:b/>
                      <w:bCs/>
                      <w:sz w:val="21"/>
                      <w:szCs w:val="21"/>
                      <w:lang w:val="en-US" w:eastAsia="zh-CN"/>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2" w:hRule="atLeast"/>
                <w:jc w:val="center"/>
              </w:trPr>
              <w:tc>
                <w:tcPr>
                  <w:tcW w:w="2873" w:type="pct"/>
                  <w:shd w:val="clear" w:color="auto" w:fill="auto"/>
                  <w:vAlign w:val="center"/>
                </w:tcPr>
                <w:p>
                  <w:pPr>
                    <w:pStyle w:val="312"/>
                    <w:spacing w:line="240" w:lineRule="auto"/>
                    <w:jc w:val="left"/>
                    <w:rPr>
                      <w:rFonts w:hint="eastAsia" w:ascii="宋体" w:hAnsi="宋体" w:eastAsia="宋体" w:cs="宋体"/>
                      <w:sz w:val="21"/>
                      <w:szCs w:val="21"/>
                    </w:rPr>
                  </w:pPr>
                  <w:r>
                    <w:rPr>
                      <w:rFonts w:hint="eastAsia" w:ascii="宋体" w:hAnsi="宋体" w:eastAsia="宋体" w:cs="宋体"/>
                      <w:sz w:val="21"/>
                      <w:szCs w:val="21"/>
                    </w:rPr>
                    <w:t>对《规划》优化调整和实施过程中的意见：</w:t>
                  </w:r>
                </w:p>
                <w:p>
                  <w:pPr>
                    <w:pStyle w:val="312"/>
                    <w:spacing w:line="240" w:lineRule="auto"/>
                    <w:jc w:val="left"/>
                    <w:rPr>
                      <w:rFonts w:hint="eastAsia" w:ascii="宋体" w:hAnsi="宋体" w:eastAsia="宋体" w:cs="宋体"/>
                      <w:sz w:val="21"/>
                      <w:szCs w:val="21"/>
                    </w:rPr>
                  </w:pPr>
                  <w:r>
                    <w:rPr>
                      <w:rFonts w:hint="eastAsia" w:ascii="宋体" w:hAnsi="宋体" w:eastAsia="宋体" w:cs="宋体"/>
                      <w:sz w:val="21"/>
                      <w:szCs w:val="21"/>
                    </w:rPr>
                    <w:t>（1）《规划》应坚持高质量发展、协调发展理念，进一步优化用地布局，合理、集约、</w:t>
                  </w:r>
                </w:p>
                <w:p>
                  <w:pPr>
                    <w:pStyle w:val="312"/>
                    <w:spacing w:line="240" w:lineRule="auto"/>
                    <w:jc w:val="left"/>
                    <w:rPr>
                      <w:rFonts w:hint="eastAsia" w:ascii="宋体" w:hAnsi="宋体" w:eastAsia="宋体" w:cs="宋体"/>
                      <w:sz w:val="21"/>
                      <w:szCs w:val="21"/>
                    </w:rPr>
                  </w:pPr>
                  <w:r>
                    <w:rPr>
                      <w:rFonts w:hint="eastAsia" w:ascii="宋体" w:hAnsi="宋体" w:eastAsia="宋体" w:cs="宋体"/>
                      <w:sz w:val="21"/>
                      <w:szCs w:val="21"/>
                    </w:rPr>
                    <w:t>高效利用土地资源。着力拖动开发区产业转</w:t>
                  </w:r>
                </w:p>
                <w:p>
                  <w:pPr>
                    <w:pStyle w:val="312"/>
                    <w:spacing w:line="240" w:lineRule="auto"/>
                    <w:jc w:val="left"/>
                    <w:rPr>
                      <w:rFonts w:hint="eastAsia" w:ascii="宋体" w:hAnsi="宋体" w:eastAsia="宋体" w:cs="宋体"/>
                      <w:sz w:val="21"/>
                      <w:szCs w:val="21"/>
                    </w:rPr>
                  </w:pPr>
                  <w:r>
                    <w:rPr>
                      <w:rFonts w:hint="eastAsia" w:ascii="宋体" w:hAnsi="宋体" w:eastAsia="宋体" w:cs="宋体"/>
                      <w:sz w:val="21"/>
                      <w:szCs w:val="21"/>
                    </w:rPr>
                    <w:t>型升级，促进实现产业发展与生态环境保护、人居环境安全相协调。</w:t>
                  </w:r>
                </w:p>
                <w:p>
                  <w:pPr>
                    <w:pStyle w:val="312"/>
                    <w:spacing w:line="240" w:lineRule="auto"/>
                    <w:jc w:val="left"/>
                    <w:rPr>
                      <w:rFonts w:hint="eastAsia" w:ascii="宋体" w:hAnsi="宋体" w:eastAsia="宋体" w:cs="宋体"/>
                      <w:sz w:val="21"/>
                      <w:szCs w:val="21"/>
                    </w:rPr>
                  </w:pPr>
                  <w:r>
                    <w:rPr>
                      <w:rFonts w:hint="eastAsia" w:ascii="宋体" w:hAnsi="宋体" w:eastAsia="宋体" w:cs="宋体"/>
                      <w:sz w:val="21"/>
                      <w:szCs w:val="21"/>
                    </w:rPr>
                    <w:t>（2）严格空间管控，强化生态系统整体性保护，进一步优化开发区内的空间布局，加强区内河道、绿地等生态空间保护，加快落实外居住与工业布局管控要求。</w:t>
                  </w:r>
                </w:p>
                <w:p>
                  <w:pPr>
                    <w:pStyle w:val="312"/>
                    <w:spacing w:line="240" w:lineRule="auto"/>
                    <w:jc w:val="left"/>
                    <w:rPr>
                      <w:rFonts w:hint="eastAsia" w:ascii="宋体" w:hAnsi="宋体" w:eastAsia="宋体" w:cs="宋体"/>
                      <w:sz w:val="21"/>
                      <w:szCs w:val="21"/>
                    </w:rPr>
                  </w:pPr>
                  <w:r>
                    <w:rPr>
                      <w:rFonts w:hint="eastAsia" w:ascii="宋体" w:hAnsi="宋体" w:eastAsia="宋体" w:cs="宋体"/>
                      <w:sz w:val="21"/>
                      <w:szCs w:val="21"/>
                    </w:rPr>
                    <w:t>（3）严守环境质量底线。根据大气、水、土壤污染防治攻坚战及相关要求，明确开发区环境质量改善的阶段目标，制定区域污染物允许排放总量管控要求及污染减排方案，</w:t>
                  </w:r>
                  <w:r>
                    <w:rPr>
                      <w:rFonts w:hint="eastAsia" w:ascii="宋体" w:hAnsi="宋体" w:eastAsia="宋体" w:cs="宋体"/>
                      <w:sz w:val="21"/>
                      <w:szCs w:val="21"/>
                      <w:highlight w:val="none"/>
                    </w:rPr>
                    <w:t>采取有效措施减少主要污染物和挥发性有机物等特征污染物的排放总量，</w:t>
                  </w:r>
                  <w:r>
                    <w:rPr>
                      <w:rFonts w:hint="eastAsia" w:ascii="宋体" w:hAnsi="宋体" w:eastAsia="宋体" w:cs="宋体"/>
                      <w:sz w:val="21"/>
                      <w:szCs w:val="21"/>
                    </w:rPr>
                    <w:t>确保实现区域环境质量持续改善的目标。</w:t>
                  </w:r>
                </w:p>
                <w:p>
                  <w:pPr>
                    <w:pStyle w:val="312"/>
                    <w:spacing w:line="240" w:lineRule="auto"/>
                    <w:jc w:val="left"/>
                    <w:rPr>
                      <w:rFonts w:hint="eastAsia" w:ascii="宋体" w:hAnsi="宋体" w:eastAsia="宋体" w:cs="宋体"/>
                      <w:sz w:val="21"/>
                      <w:szCs w:val="21"/>
                    </w:rPr>
                  </w:pPr>
                  <w:r>
                    <w:rPr>
                      <w:rFonts w:hint="eastAsia" w:ascii="宋体" w:hAnsi="宋体" w:eastAsia="宋体" w:cs="宋体"/>
                      <w:sz w:val="21"/>
                      <w:szCs w:val="21"/>
                    </w:rPr>
                    <w:t>（4）推动产业绿色转型、高质量发展。严格控制开发区规模和范围，限期淘汰、整改不符合区域发展定位和环境保护要求的企业。</w:t>
                  </w:r>
                </w:p>
                <w:p>
                  <w:pPr>
                    <w:pStyle w:val="312"/>
                    <w:spacing w:line="240" w:lineRule="auto"/>
                    <w:jc w:val="left"/>
                    <w:rPr>
                      <w:rFonts w:hint="eastAsia" w:ascii="宋体" w:hAnsi="宋体" w:eastAsia="宋体" w:cs="宋体"/>
                      <w:sz w:val="21"/>
                      <w:szCs w:val="21"/>
                    </w:rPr>
                  </w:pPr>
                  <w:r>
                    <w:rPr>
                      <w:rFonts w:hint="eastAsia" w:ascii="宋体" w:hAnsi="宋体" w:eastAsia="宋体" w:cs="宋体"/>
                      <w:sz w:val="21"/>
                      <w:szCs w:val="21"/>
                    </w:rPr>
                    <w:t>（5）严格入区项目的环境准入。</w:t>
                  </w:r>
                </w:p>
                <w:p>
                  <w:pPr>
                    <w:pStyle w:val="312"/>
                    <w:spacing w:line="240" w:lineRule="auto"/>
                    <w:jc w:val="left"/>
                    <w:rPr>
                      <w:rFonts w:hint="eastAsia" w:ascii="宋体" w:hAnsi="宋体" w:eastAsia="宋体" w:cs="宋体"/>
                      <w:sz w:val="21"/>
                      <w:szCs w:val="21"/>
                    </w:rPr>
                  </w:pPr>
                  <w:r>
                    <w:rPr>
                      <w:rFonts w:hint="eastAsia" w:ascii="宋体" w:hAnsi="宋体" w:eastAsia="宋体" w:cs="宋体"/>
                      <w:sz w:val="21"/>
                      <w:szCs w:val="21"/>
                    </w:rPr>
                    <w:t>（6）完善生态环境保护规划，统筹考虑区内外污染防治、生态恢复与建设、环境风险防范、环境管理等事宜，按照污染地块土壤环境管理的有关规定，做好污染企业退出地块的管控、调查与修复。</w:t>
                  </w:r>
                </w:p>
                <w:p>
                  <w:pPr>
                    <w:pStyle w:val="312"/>
                    <w:spacing w:line="240" w:lineRule="auto"/>
                    <w:jc w:val="left"/>
                    <w:rPr>
                      <w:rFonts w:hint="eastAsia" w:ascii="宋体" w:hAnsi="宋体" w:eastAsia="宋体" w:cs="宋体"/>
                      <w:sz w:val="21"/>
                      <w:szCs w:val="21"/>
                    </w:rPr>
                  </w:pPr>
                  <w:r>
                    <w:rPr>
                      <w:rFonts w:hint="eastAsia" w:ascii="宋体" w:hAnsi="宋体" w:eastAsia="宋体" w:cs="宋体"/>
                      <w:sz w:val="21"/>
                      <w:szCs w:val="21"/>
                    </w:rPr>
                    <w:t>（7）完善区域环境监测体系。根据开发区功能分区、产业布局、重点企业分布、特征污染物的排放种类和状况、环境敏感目标分布等情况，建立包括环境空气、地表水、地下水、噪声、土壤等环境要素的监控体系，做好长期跟踪监测与管理。</w:t>
                  </w:r>
                </w:p>
                <w:p>
                  <w:pPr>
                    <w:pStyle w:val="312"/>
                    <w:spacing w:line="240" w:lineRule="auto"/>
                    <w:jc w:val="left"/>
                    <w:rPr>
                      <w:rFonts w:hint="eastAsia" w:ascii="宋体" w:hAnsi="宋体" w:eastAsia="宋体" w:cs="宋体"/>
                      <w:sz w:val="21"/>
                      <w:szCs w:val="21"/>
                    </w:rPr>
                  </w:pPr>
                  <w:r>
                    <w:rPr>
                      <w:rFonts w:hint="eastAsia" w:ascii="宋体" w:hAnsi="宋体" w:eastAsia="宋体" w:cs="宋体"/>
                      <w:sz w:val="21"/>
                      <w:szCs w:val="21"/>
                    </w:rPr>
                    <w:t>（8）完善开发区环境基础设施建设。采取再生水回用等有效措施，提高水资源利用率。固体废物、危险废物应依法依规集中收集、处理处置。</w:t>
                  </w:r>
                </w:p>
              </w:tc>
              <w:tc>
                <w:tcPr>
                  <w:tcW w:w="1521" w:type="pct"/>
                  <w:shd w:val="clear" w:color="auto" w:fill="auto"/>
                  <w:vAlign w:val="center"/>
                </w:tcPr>
                <w:p>
                  <w:pPr>
                    <w:pStyle w:val="312"/>
                    <w:spacing w:line="240" w:lineRule="auto"/>
                    <w:jc w:val="both"/>
                    <w:rPr>
                      <w:rFonts w:hint="eastAsia" w:ascii="宋体" w:hAnsi="宋体" w:eastAsia="宋体" w:cs="宋体"/>
                      <w:sz w:val="21"/>
                      <w:szCs w:val="21"/>
                    </w:rPr>
                  </w:pPr>
                  <w:r>
                    <w:rPr>
                      <w:rFonts w:hint="eastAsia" w:ascii="宋体" w:hAnsi="宋体" w:eastAsia="宋体" w:cs="宋体"/>
                      <w:sz w:val="21"/>
                      <w:szCs w:val="21"/>
                    </w:rPr>
                    <w:t>（1）本项目位于安徽芜湖鸠江经济开发区用地范围内，属于规划的工业用地；</w:t>
                  </w:r>
                </w:p>
                <w:p>
                  <w:pPr>
                    <w:pStyle w:val="312"/>
                    <w:spacing w:line="240" w:lineRule="auto"/>
                    <w:jc w:val="both"/>
                    <w:rPr>
                      <w:rFonts w:hint="eastAsia" w:ascii="宋体" w:hAnsi="宋体" w:eastAsia="宋体" w:cs="宋体"/>
                      <w:color w:val="auto"/>
                      <w:sz w:val="21"/>
                      <w:szCs w:val="21"/>
                    </w:rPr>
                  </w:pPr>
                  <w:r>
                    <w:rPr>
                      <w:rFonts w:hint="eastAsia" w:ascii="宋体" w:hAnsi="宋体" w:eastAsia="宋体" w:cs="宋体"/>
                      <w:color w:val="auto"/>
                      <w:sz w:val="21"/>
                      <w:szCs w:val="21"/>
                    </w:rPr>
                    <w:t>（2）本项目</w:t>
                  </w:r>
                  <w:r>
                    <w:rPr>
                      <w:rFonts w:hint="eastAsia" w:ascii="宋体" w:hAnsi="宋体" w:cs="宋体"/>
                      <w:color w:val="auto"/>
                      <w:sz w:val="21"/>
                      <w:szCs w:val="21"/>
                      <w:lang w:val="en-US" w:eastAsia="zh-CN"/>
                    </w:rPr>
                    <w:t>不涉及</w:t>
                  </w:r>
                  <w:r>
                    <w:rPr>
                      <w:rFonts w:hint="eastAsia" w:ascii="宋体" w:hAnsi="宋体" w:eastAsia="宋体" w:cs="宋体"/>
                      <w:color w:val="auto"/>
                      <w:sz w:val="21"/>
                      <w:szCs w:val="21"/>
                    </w:rPr>
                    <w:t>河道、绿地等生态保护空间；</w:t>
                  </w:r>
                </w:p>
                <w:p>
                  <w:pPr>
                    <w:pStyle w:val="312"/>
                    <w:spacing w:line="240" w:lineRule="auto"/>
                    <w:jc w:val="both"/>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eastAsia="宋体" w:cs="宋体"/>
                      <w:color w:val="auto"/>
                      <w:sz w:val="21"/>
                      <w:szCs w:val="21"/>
                    </w:rPr>
                    <w:t>）本项目运营期注塑废气</w:t>
                  </w:r>
                  <w:r>
                    <w:rPr>
                      <w:rFonts w:hint="eastAsia" w:ascii="宋体" w:hAnsi="宋体" w:cs="宋体"/>
                      <w:color w:val="auto"/>
                      <w:sz w:val="21"/>
                      <w:szCs w:val="21"/>
                      <w:lang w:val="en-US" w:eastAsia="zh-CN"/>
                    </w:rPr>
                    <w:t>采取集气罩收集＋两级活性炭</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破碎粉尘</w:t>
                  </w:r>
                  <w:r>
                    <w:rPr>
                      <w:rFonts w:hint="eastAsia" w:ascii="宋体" w:hAnsi="宋体" w:cs="宋体"/>
                      <w:color w:val="auto"/>
                      <w:sz w:val="21"/>
                      <w:szCs w:val="21"/>
                      <w:lang w:val="en-US" w:eastAsia="zh-CN"/>
                    </w:rPr>
                    <w:t>采取集气罩+布袋除尘器处理后均能达标处理</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生活污水、噪声、固废采取有效措施治理后，对环境质量影响较小</w:t>
                  </w:r>
                  <w:r>
                    <w:rPr>
                      <w:rFonts w:hint="eastAsia" w:ascii="宋体" w:hAnsi="宋体" w:eastAsia="宋体" w:cs="宋体"/>
                      <w:sz w:val="21"/>
                      <w:szCs w:val="21"/>
                    </w:rPr>
                    <w:t>；</w:t>
                  </w:r>
                </w:p>
                <w:p>
                  <w:pPr>
                    <w:pStyle w:val="312"/>
                    <w:spacing w:line="240" w:lineRule="auto"/>
                    <w:jc w:val="both"/>
                    <w:rPr>
                      <w:rFonts w:hint="eastAsia" w:ascii="宋体" w:hAnsi="宋体" w:eastAsia="宋体" w:cs="宋体"/>
                      <w:sz w:val="21"/>
                      <w:szCs w:val="21"/>
                    </w:rPr>
                  </w:pPr>
                  <w:r>
                    <w:rPr>
                      <w:rFonts w:hint="eastAsia" w:ascii="宋体" w:hAnsi="宋体" w:eastAsia="宋体" w:cs="宋体"/>
                      <w:sz w:val="21"/>
                      <w:szCs w:val="21"/>
                    </w:rPr>
                    <w:t>（4）本项目不属于规划跟踪评价提出的限期淘汰、整改的企业清单内；</w:t>
                  </w:r>
                </w:p>
                <w:p>
                  <w:pPr>
                    <w:pStyle w:val="312"/>
                    <w:spacing w:line="240" w:lineRule="auto"/>
                    <w:jc w:val="both"/>
                    <w:rPr>
                      <w:rFonts w:hint="eastAsia" w:ascii="宋体" w:hAnsi="宋体" w:eastAsia="宋体" w:cs="宋体"/>
                      <w:sz w:val="21"/>
                      <w:szCs w:val="21"/>
                    </w:rPr>
                  </w:pPr>
                  <w:r>
                    <w:rPr>
                      <w:rFonts w:hint="eastAsia" w:ascii="宋体" w:hAnsi="宋体" w:eastAsia="宋体" w:cs="宋体"/>
                      <w:sz w:val="21"/>
                      <w:szCs w:val="21"/>
                    </w:rPr>
                    <w:t>（5）本项目符合开发区环境准入要求；</w:t>
                  </w:r>
                </w:p>
                <w:p>
                  <w:pPr>
                    <w:pStyle w:val="312"/>
                    <w:spacing w:line="240" w:lineRule="auto"/>
                    <w:jc w:val="both"/>
                    <w:rPr>
                      <w:rFonts w:hint="eastAsia" w:ascii="宋体" w:hAnsi="宋体" w:eastAsia="宋体" w:cs="宋体"/>
                      <w:sz w:val="21"/>
                      <w:szCs w:val="21"/>
                    </w:rPr>
                  </w:pPr>
                  <w:r>
                    <w:rPr>
                      <w:rFonts w:hint="eastAsia" w:ascii="宋体" w:hAnsi="宋体" w:eastAsia="宋体" w:cs="宋体"/>
                      <w:sz w:val="21"/>
                      <w:szCs w:val="21"/>
                    </w:rPr>
                    <w:t>（6）本项目运营对土壤影响较小；</w:t>
                  </w:r>
                </w:p>
                <w:p>
                  <w:pPr>
                    <w:pStyle w:val="312"/>
                    <w:spacing w:line="240" w:lineRule="auto"/>
                    <w:jc w:val="both"/>
                    <w:rPr>
                      <w:rFonts w:hint="eastAsia" w:ascii="宋体" w:hAnsi="宋体" w:eastAsia="宋体" w:cs="宋体"/>
                      <w:sz w:val="21"/>
                      <w:szCs w:val="21"/>
                    </w:rPr>
                  </w:pPr>
                  <w:r>
                    <w:rPr>
                      <w:rFonts w:hint="eastAsia" w:ascii="宋体" w:hAnsi="宋体" w:eastAsia="宋体" w:cs="宋体"/>
                      <w:sz w:val="21"/>
                      <w:szCs w:val="21"/>
                    </w:rPr>
                    <w:t>（7）本项目不属于污染排放重点管控企业，周边50米无敏感点分布；</w:t>
                  </w:r>
                </w:p>
                <w:p>
                  <w:pPr>
                    <w:pStyle w:val="312"/>
                    <w:spacing w:line="240" w:lineRule="auto"/>
                    <w:jc w:val="both"/>
                    <w:rPr>
                      <w:rFonts w:hint="eastAsia" w:ascii="宋体" w:hAnsi="宋体" w:eastAsia="宋体" w:cs="宋体"/>
                      <w:sz w:val="21"/>
                      <w:szCs w:val="21"/>
                    </w:rPr>
                  </w:pPr>
                  <w:r>
                    <w:rPr>
                      <w:rFonts w:hint="eastAsia" w:ascii="宋体" w:hAnsi="宋体" w:eastAsia="宋体" w:cs="宋体"/>
                      <w:sz w:val="21"/>
                      <w:szCs w:val="21"/>
                    </w:rPr>
                    <w:t>（8）本项目运营期用水主要是员工生活用水及冷却用水，水耗少。一般工业固体及危险废物采取集中收集、外售综合利用或委托资质单位处置方式，合理处理处置。</w:t>
                  </w:r>
                </w:p>
              </w:tc>
              <w:tc>
                <w:tcPr>
                  <w:tcW w:w="604" w:type="pct"/>
                  <w:shd w:val="clear" w:color="auto" w:fill="auto"/>
                  <w:vAlign w:val="center"/>
                </w:tcPr>
                <w:p>
                  <w:pPr>
                    <w:pStyle w:val="312"/>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873" w:type="pct"/>
                  <w:shd w:val="clear" w:color="auto" w:fill="auto"/>
                  <w:vAlign w:val="center"/>
                </w:tcPr>
                <w:p>
                  <w:pPr>
                    <w:pStyle w:val="312"/>
                    <w:spacing w:line="240" w:lineRule="auto"/>
                    <w:jc w:val="center"/>
                    <w:rPr>
                      <w:rFonts w:hint="eastAsia" w:ascii="宋体" w:hAnsi="宋体" w:eastAsia="宋体" w:cs="宋体"/>
                      <w:sz w:val="21"/>
                      <w:szCs w:val="21"/>
                    </w:rPr>
                  </w:pPr>
                  <w:r>
                    <w:rPr>
                      <w:rFonts w:hint="eastAsia" w:ascii="宋体" w:hAnsi="宋体" w:eastAsia="宋体" w:cs="宋体"/>
                      <w:sz w:val="21"/>
                      <w:szCs w:val="21"/>
                    </w:rPr>
                    <w:t>对后续入区建设项目的指导意见：近期拟入区建设项目，应结合《规划》跟踪评价提出的指导意见做好环境影响评价工作，落实相关要求，加强与规划跟踪环评的联动，重点开展工程分析、污染物允许排放量测算和环保措施的可行性论证等内容，强化环境监测和环境保护相关措施的落实。</w:t>
                  </w:r>
                </w:p>
              </w:tc>
              <w:tc>
                <w:tcPr>
                  <w:tcW w:w="1521" w:type="pct"/>
                  <w:shd w:val="clear" w:color="auto" w:fill="auto"/>
                  <w:vAlign w:val="center"/>
                </w:tcPr>
                <w:p>
                  <w:pPr>
                    <w:pStyle w:val="312"/>
                    <w:spacing w:line="240" w:lineRule="auto"/>
                    <w:ind w:firstLine="420" w:firstLineChars="200"/>
                    <w:jc w:val="both"/>
                    <w:rPr>
                      <w:rFonts w:hint="eastAsia" w:ascii="宋体" w:hAnsi="宋体" w:eastAsia="宋体" w:cs="宋体"/>
                      <w:sz w:val="21"/>
                      <w:szCs w:val="21"/>
                    </w:rPr>
                  </w:pPr>
                  <w:r>
                    <w:rPr>
                      <w:rFonts w:hint="eastAsia" w:ascii="宋体" w:hAnsi="宋体" w:eastAsia="宋体" w:cs="宋体"/>
                      <w:sz w:val="21"/>
                      <w:szCs w:val="21"/>
                    </w:rPr>
                    <w:t>本项目为拟入区新建项目，已结合规划跟踪环评及审查意见分析了规划符合性。本次评价针对工程分析、污染物排放量、环保措施论证进行了重点分析论证，制定了监测计划，强化相关环保措施的落实。</w:t>
                  </w:r>
                </w:p>
              </w:tc>
              <w:tc>
                <w:tcPr>
                  <w:tcW w:w="604" w:type="pct"/>
                  <w:shd w:val="clear" w:color="auto" w:fill="auto"/>
                  <w:vAlign w:val="center"/>
                </w:tcPr>
                <w:p>
                  <w:pPr>
                    <w:pStyle w:val="312"/>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符合</w:t>
                  </w:r>
                </w:p>
              </w:tc>
            </w:tr>
          </w:tbl>
          <w:p>
            <w:pPr>
              <w:tabs>
                <w:tab w:val="left" w:pos="7350"/>
              </w:tabs>
              <w:spacing w:before="120" w:beforeLines="50" w:line="360" w:lineRule="auto"/>
              <w:ind w:firstLine="480" w:firstLineChars="200"/>
              <w:rPr>
                <w:bCs/>
                <w:kern w:val="0"/>
                <w:sz w:val="24"/>
              </w:rPr>
            </w:pPr>
            <w:r>
              <w:rPr>
                <w:rFonts w:hint="eastAsia"/>
                <w:sz w:val="24"/>
                <w:szCs w:val="24"/>
              </w:rPr>
              <w:t>综上所述，</w:t>
            </w:r>
            <w:r>
              <w:rPr>
                <w:rFonts w:hint="eastAsia"/>
                <w:sz w:val="24"/>
                <w:szCs w:val="24"/>
                <w:lang w:val="en-US" w:eastAsia="zh-CN"/>
              </w:rPr>
              <w:t>本</w:t>
            </w:r>
            <w:r>
              <w:rPr>
                <w:rFonts w:hint="eastAsia"/>
                <w:sz w:val="24"/>
                <w:szCs w:val="24"/>
              </w:rPr>
              <w:t>项目</w:t>
            </w:r>
            <w:r>
              <w:rPr>
                <w:rFonts w:hint="eastAsia"/>
                <w:sz w:val="24"/>
                <w:szCs w:val="24"/>
                <w:lang w:val="en-US" w:eastAsia="zh-CN"/>
              </w:rPr>
              <w:t>建设</w:t>
            </w:r>
            <w:r>
              <w:rPr>
                <w:rFonts w:hint="eastAsia"/>
                <w:sz w:val="24"/>
                <w:szCs w:val="24"/>
              </w:rPr>
              <w:t>符合安徽芜湖鸠江经济开发区总体发展规划，满足开发区规划环评及审查意见要求。</w:t>
            </w:r>
          </w:p>
        </w:tc>
      </w:tr>
    </w:tbl>
    <w:p>
      <w:pPr>
        <w:spacing w:line="60" w:lineRule="exact"/>
        <w:rPr>
          <w:rFonts w:hint="eastAsia"/>
        </w:rPr>
      </w:pPr>
      <w:r>
        <w:rPr>
          <w:rFonts w:hint="eastAsia"/>
        </w:rPr>
        <w:t xml:space="preserve"> </w:t>
      </w:r>
    </w:p>
    <w:tbl>
      <w:tblPr>
        <w:tblStyle w:val="5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28"/>
        <w:gridCol w:w="76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3208" w:hRule="atLeast"/>
          <w:jc w:val="center"/>
        </w:trPr>
        <w:tc>
          <w:tcPr>
            <w:tcW w:w="1228"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其他符合性分析</w:t>
            </w:r>
          </w:p>
        </w:tc>
        <w:tc>
          <w:tcPr>
            <w:tcW w:w="7647" w:type="dxa"/>
            <w:vAlign w:val="center"/>
          </w:tcPr>
          <w:p>
            <w:pPr>
              <w:spacing w:before="120" w:beforeLines="50" w:line="343" w:lineRule="auto"/>
              <w:ind w:firstLine="482" w:firstLineChars="200"/>
              <w:rPr>
                <w:b/>
                <w:bCs/>
                <w:sz w:val="24"/>
              </w:rPr>
            </w:pPr>
            <w:r>
              <w:rPr>
                <w:rFonts w:hint="eastAsia"/>
                <w:b/>
                <w:bCs/>
                <w:sz w:val="24"/>
              </w:rPr>
              <w:t>1、</w:t>
            </w:r>
            <w:r>
              <w:rPr>
                <w:b/>
                <w:bCs/>
                <w:sz w:val="24"/>
              </w:rPr>
              <w:t>产业政策符合性分析</w:t>
            </w:r>
          </w:p>
          <w:p>
            <w:pPr>
              <w:widowControl/>
              <w:spacing w:line="360" w:lineRule="auto"/>
              <w:ind w:firstLine="424" w:firstLineChars="177"/>
              <w:jc w:val="left"/>
              <w:rPr>
                <w:rFonts w:hint="eastAsia" w:hAnsi="宋体"/>
                <w:kern w:val="24"/>
                <w:sz w:val="24"/>
                <w:szCs w:val="20"/>
              </w:rPr>
            </w:pPr>
            <w:r>
              <w:rPr>
                <w:rFonts w:hint="eastAsia" w:hAnsi="宋体"/>
                <w:kern w:val="24"/>
                <w:sz w:val="24"/>
                <w:szCs w:val="20"/>
              </w:rPr>
              <w:t>该项目已经取得了芜湖市</w:t>
            </w:r>
            <w:r>
              <w:rPr>
                <w:rFonts w:hint="eastAsia" w:hAnsi="宋体"/>
                <w:kern w:val="24"/>
                <w:sz w:val="24"/>
                <w:szCs w:val="20"/>
                <w:lang w:val="en-US" w:eastAsia="zh-CN"/>
              </w:rPr>
              <w:t>鸠江</w:t>
            </w:r>
            <w:r>
              <w:rPr>
                <w:rFonts w:hint="eastAsia" w:hAnsi="宋体"/>
                <w:kern w:val="24"/>
                <w:sz w:val="24"/>
                <w:szCs w:val="20"/>
              </w:rPr>
              <w:t>区发展和改革委员会“</w:t>
            </w:r>
            <w:r>
              <w:rPr>
                <w:rFonts w:hint="eastAsia" w:hAnsi="宋体"/>
                <w:color w:val="auto"/>
                <w:kern w:val="24"/>
                <w:sz w:val="24"/>
                <w:szCs w:val="20"/>
                <w:lang w:val="en-US" w:eastAsia="zh-CN"/>
              </w:rPr>
              <w:t>汽车内、外饰智能化生产线</w:t>
            </w:r>
            <w:r>
              <w:rPr>
                <w:rFonts w:hint="eastAsia" w:hAnsi="宋体"/>
                <w:color w:val="auto"/>
                <w:kern w:val="24"/>
                <w:sz w:val="24"/>
                <w:szCs w:val="20"/>
              </w:rPr>
              <w:t>项目</w:t>
            </w:r>
            <w:r>
              <w:rPr>
                <w:rFonts w:hint="eastAsia" w:hAnsi="宋体"/>
                <w:kern w:val="24"/>
                <w:sz w:val="24"/>
                <w:szCs w:val="20"/>
              </w:rPr>
              <w:t>”备案，项目代码</w:t>
            </w:r>
            <w:r>
              <w:rPr>
                <w:rFonts w:hint="eastAsia" w:cs="宋体"/>
                <w:color w:val="auto"/>
                <w:sz w:val="24"/>
                <w:lang w:val="en-US" w:eastAsia="zh-CN"/>
              </w:rPr>
              <w:t>2204-340207-04-05-502290</w:t>
            </w:r>
            <w:r>
              <w:rPr>
                <w:rFonts w:hint="eastAsia" w:hAnsi="宋体"/>
                <w:kern w:val="24"/>
                <w:sz w:val="24"/>
                <w:szCs w:val="20"/>
              </w:rPr>
              <w:t>。本项目汽车</w:t>
            </w:r>
            <w:r>
              <w:rPr>
                <w:rFonts w:hint="eastAsia" w:hAnsi="宋体"/>
                <w:kern w:val="24"/>
                <w:sz w:val="24"/>
                <w:szCs w:val="20"/>
                <w:lang w:val="en-US" w:eastAsia="zh-CN"/>
              </w:rPr>
              <w:t>内、外饰</w:t>
            </w:r>
            <w:r>
              <w:rPr>
                <w:rFonts w:hint="eastAsia" w:hAnsi="宋体"/>
                <w:kern w:val="24"/>
                <w:sz w:val="24"/>
                <w:szCs w:val="20"/>
              </w:rPr>
              <w:t>生产属于《国民经济行业分类》（GB/T 4754-2017）中的【C2929】塑料零件及其他塑料制品制造。对照《产业结构调整指导目录（2019 年本）》，本项目不属于其中“鼓励类”、“限值类”、“禁止类”，符合国家产业政策要求。</w:t>
            </w:r>
          </w:p>
          <w:p>
            <w:pPr>
              <w:widowControl/>
              <w:spacing w:line="360" w:lineRule="auto"/>
              <w:ind w:firstLine="424" w:firstLineChars="177"/>
              <w:jc w:val="left"/>
              <w:rPr>
                <w:rFonts w:hint="eastAsia" w:hAnsi="宋体"/>
                <w:kern w:val="24"/>
                <w:sz w:val="24"/>
                <w:szCs w:val="20"/>
              </w:rPr>
            </w:pPr>
            <w:r>
              <w:rPr>
                <w:rFonts w:hint="eastAsia" w:hAnsi="宋体"/>
                <w:kern w:val="24"/>
                <w:sz w:val="24"/>
                <w:szCs w:val="20"/>
              </w:rPr>
              <w:t>综上，本项目的建设符合国家和地方现行产业政策。</w:t>
            </w:r>
          </w:p>
          <w:p>
            <w:pPr>
              <w:spacing w:before="120" w:beforeLines="50" w:line="360" w:lineRule="auto"/>
              <w:ind w:firstLine="482" w:firstLineChars="200"/>
              <w:rPr>
                <w:b/>
                <w:color w:val="000000"/>
                <w:sz w:val="24"/>
              </w:rPr>
            </w:pPr>
            <w:r>
              <w:rPr>
                <w:rFonts w:hint="eastAsia"/>
                <w:b/>
                <w:color w:val="000000"/>
                <w:sz w:val="24"/>
                <w:lang w:val="en-US" w:eastAsia="zh-CN"/>
              </w:rPr>
              <w:t>2</w:t>
            </w:r>
            <w:r>
              <w:rPr>
                <w:rFonts w:hint="eastAsia"/>
                <w:b/>
                <w:color w:val="000000"/>
                <w:sz w:val="24"/>
              </w:rPr>
              <w:t>、与“三线一单”相符性分析</w:t>
            </w:r>
          </w:p>
          <w:p>
            <w:pPr>
              <w:autoSpaceDE w:val="0"/>
              <w:autoSpaceDN w:val="0"/>
              <w:spacing w:line="360" w:lineRule="auto"/>
              <w:ind w:firstLine="480" w:firstLineChars="200"/>
              <w:jc w:val="left"/>
              <w:rPr>
                <w:rFonts w:hAnsi="宋体"/>
                <w:kern w:val="24"/>
                <w:sz w:val="24"/>
              </w:rPr>
            </w:pPr>
            <w:r>
              <w:rPr>
                <w:rFonts w:hAnsi="宋体"/>
                <w:kern w:val="24"/>
                <w:sz w:val="24"/>
              </w:rPr>
              <w:t>“三线一单”是以改善环境质量为核心，将生态保护红线、环境质量底线、资源利用上线落实到不同的环境管控单元，并建立环境准入负面清单的环境分区管控体系。“三线一单”是推动生态环境保护管理系统化、科学化</w:t>
            </w:r>
            <w:r>
              <w:rPr>
                <w:rFonts w:hint="eastAsia" w:hAnsi="宋体"/>
                <w:kern w:val="24"/>
                <w:sz w:val="24"/>
              </w:rPr>
              <w:t>、</w:t>
            </w:r>
            <w:r>
              <w:rPr>
                <w:rFonts w:hAnsi="宋体"/>
                <w:kern w:val="24"/>
                <w:sz w:val="24"/>
              </w:rPr>
              <w:t>法治化、精细化、信息化的重要抓手，是推进战略和规划环评落地、环境保护参与空间规划和优化国土空间格局的基础支撑，是实施环境空间管控、强化源头预防和过程监管的重要手段。</w:t>
            </w:r>
            <w:r>
              <w:rPr>
                <w:rFonts w:hint="eastAsia" w:hAnsi="宋体"/>
                <w:kern w:val="24"/>
                <w:sz w:val="24"/>
              </w:rPr>
              <w:t xml:space="preserve">                                       </w:t>
            </w:r>
          </w:p>
          <w:p>
            <w:pPr>
              <w:autoSpaceDE w:val="0"/>
              <w:autoSpaceDN w:val="0"/>
              <w:spacing w:line="360" w:lineRule="auto"/>
              <w:ind w:firstLine="480" w:firstLineChars="200"/>
              <w:jc w:val="left"/>
              <w:rPr>
                <w:rFonts w:hAnsi="宋体"/>
                <w:color w:val="000000"/>
                <w:kern w:val="0"/>
                <w:sz w:val="24"/>
              </w:rPr>
            </w:pPr>
            <w:r>
              <w:rPr>
                <w:rFonts w:hint="eastAsia" w:hAnsi="宋体"/>
                <w:color w:val="000000"/>
                <w:kern w:val="0"/>
                <w:sz w:val="24"/>
              </w:rPr>
              <w:t>判定本项目与“三线一单”相符性如下表。</w:t>
            </w:r>
          </w:p>
          <w:p>
            <w:pPr>
              <w:autoSpaceDE w:val="0"/>
              <w:autoSpaceDN w:val="0"/>
              <w:spacing w:before="120" w:beforeLines="50"/>
              <w:ind w:firstLine="482" w:firstLineChars="200"/>
              <w:jc w:val="center"/>
              <w:rPr>
                <w:rFonts w:hAnsi="宋体"/>
                <w:b/>
                <w:color w:val="000000"/>
                <w:kern w:val="0"/>
                <w:sz w:val="24"/>
              </w:rPr>
            </w:pPr>
            <w:r>
              <w:rPr>
                <w:rFonts w:hint="eastAsia" w:hAnsi="宋体"/>
                <w:b/>
                <w:color w:val="000000"/>
                <w:kern w:val="0"/>
                <w:sz w:val="24"/>
              </w:rPr>
              <w:t>表1-3</w:t>
            </w:r>
            <w:r>
              <w:rPr>
                <w:rFonts w:hint="eastAsia" w:hAnsi="宋体"/>
                <w:b/>
                <w:color w:val="000000"/>
                <w:kern w:val="0"/>
                <w:sz w:val="24"/>
                <w:lang w:val="en-US" w:eastAsia="zh-CN"/>
              </w:rPr>
              <w:t xml:space="preserve">  </w:t>
            </w:r>
            <w:r>
              <w:rPr>
                <w:rFonts w:hint="eastAsia" w:hAnsi="宋体"/>
                <w:b/>
                <w:color w:val="000000"/>
                <w:kern w:val="0"/>
                <w:sz w:val="24"/>
              </w:rPr>
              <w:t>本项目与“三线一单”相符性分析</w:t>
            </w:r>
          </w:p>
          <w:tbl>
            <w:tblPr>
              <w:tblStyle w:val="58"/>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825"/>
              <w:gridCol w:w="2625"/>
              <w:gridCol w:w="2355"/>
              <w:gridCol w:w="91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825"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内容</w:t>
                  </w:r>
                </w:p>
              </w:tc>
              <w:tc>
                <w:tcPr>
                  <w:tcW w:w="2625"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要求</w:t>
                  </w:r>
                </w:p>
              </w:tc>
              <w:tc>
                <w:tcPr>
                  <w:tcW w:w="2355"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本项目情况</w:t>
                  </w:r>
                </w:p>
              </w:tc>
              <w:tc>
                <w:tcPr>
                  <w:tcW w:w="910"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6" w:hRule="atLeast"/>
              </w:trPr>
              <w:tc>
                <w:tcPr>
                  <w:tcW w:w="718" w:type="dxa"/>
                  <w:vAlign w:val="center"/>
                </w:tcPr>
                <w:p>
                  <w:pPr>
                    <w:autoSpaceDE w:val="0"/>
                    <w:autoSpaceDN w:val="0"/>
                    <w:jc w:val="center"/>
                    <w:rPr>
                      <w:rFonts w:hAnsi="宋体"/>
                      <w:color w:val="000000"/>
                      <w:kern w:val="0"/>
                      <w:szCs w:val="21"/>
                    </w:rPr>
                  </w:pPr>
                  <w:r>
                    <w:rPr>
                      <w:rFonts w:hint="eastAsia" w:hAnsi="宋体"/>
                      <w:color w:val="000000"/>
                      <w:kern w:val="0"/>
                      <w:szCs w:val="21"/>
                    </w:rPr>
                    <w:t>1</w:t>
                  </w:r>
                </w:p>
              </w:tc>
              <w:tc>
                <w:tcPr>
                  <w:tcW w:w="825" w:type="dxa"/>
                  <w:vAlign w:val="center"/>
                </w:tcPr>
                <w:p>
                  <w:pPr>
                    <w:autoSpaceDE w:val="0"/>
                    <w:autoSpaceDN w:val="0"/>
                    <w:jc w:val="center"/>
                    <w:rPr>
                      <w:rFonts w:hAnsi="宋体"/>
                      <w:color w:val="000000"/>
                      <w:kern w:val="0"/>
                      <w:szCs w:val="21"/>
                    </w:rPr>
                  </w:pPr>
                  <w:r>
                    <w:rPr>
                      <w:rFonts w:hAnsi="宋体"/>
                      <w:color w:val="000000"/>
                      <w:kern w:val="0"/>
                      <w:szCs w:val="21"/>
                    </w:rPr>
                    <w:t>生态保护红线</w:t>
                  </w:r>
                </w:p>
              </w:tc>
              <w:tc>
                <w:tcPr>
                  <w:tcW w:w="2625" w:type="dxa"/>
                  <w:vAlign w:val="center"/>
                </w:tcPr>
                <w:p>
                  <w:pPr>
                    <w:autoSpaceDE w:val="0"/>
                    <w:autoSpaceDN w:val="0"/>
                    <w:jc w:val="center"/>
                    <w:rPr>
                      <w:rFonts w:hAnsi="宋体"/>
                      <w:color w:val="000000"/>
                      <w:kern w:val="0"/>
                      <w:szCs w:val="21"/>
                    </w:rPr>
                  </w:pPr>
                  <w:r>
                    <w:rPr>
                      <w:rFonts w:hAnsi="宋体"/>
                      <w:color w:val="000000"/>
                      <w:kern w:val="0"/>
                      <w:szCs w:val="21"/>
                    </w:rPr>
                    <w:t>生态保护红线是生态空间范围内具有特殊重要生态功能必须实行强制性严格保护的区域</w:t>
                  </w:r>
                  <w:r>
                    <w:rPr>
                      <w:rFonts w:hint="eastAsia" w:hAnsi="宋体"/>
                      <w:color w:val="000000"/>
                      <w:kern w:val="0"/>
                      <w:szCs w:val="21"/>
                    </w:rPr>
                    <w:t>。</w:t>
                  </w:r>
                  <w:r>
                    <w:rPr>
                      <w:rFonts w:hAnsi="宋体"/>
                      <w:color w:val="000000"/>
                      <w:kern w:val="0"/>
                      <w:szCs w:val="21"/>
                    </w:rPr>
                    <w:t>在生态保护红线范围内</w:t>
                  </w:r>
                  <w:r>
                    <w:rPr>
                      <w:rFonts w:hint="eastAsia" w:hAnsi="宋体"/>
                      <w:color w:val="000000"/>
                      <w:kern w:val="0"/>
                      <w:szCs w:val="21"/>
                    </w:rPr>
                    <w:t>，</w:t>
                  </w:r>
                  <w:r>
                    <w:rPr>
                      <w:rFonts w:hAnsi="宋体"/>
                      <w:color w:val="000000"/>
                      <w:kern w:val="0"/>
                      <w:szCs w:val="21"/>
                    </w:rPr>
                    <w:t>严控各类开发建设活动</w:t>
                  </w:r>
                  <w:r>
                    <w:rPr>
                      <w:rFonts w:hint="eastAsia" w:hAnsi="宋体"/>
                      <w:color w:val="000000"/>
                      <w:kern w:val="0"/>
                      <w:szCs w:val="21"/>
                    </w:rPr>
                    <w:t>，</w:t>
                  </w:r>
                  <w:r>
                    <w:rPr>
                      <w:rFonts w:hAnsi="宋体"/>
                      <w:color w:val="000000"/>
                      <w:kern w:val="0"/>
                      <w:szCs w:val="21"/>
                    </w:rPr>
                    <w:t>依法不予审批新建工业项目和矿产开发项目的环评文件</w:t>
                  </w:r>
                </w:p>
              </w:tc>
              <w:tc>
                <w:tcPr>
                  <w:tcW w:w="2355" w:type="dxa"/>
                  <w:vAlign w:val="center"/>
                </w:tcPr>
                <w:p>
                  <w:pPr>
                    <w:autoSpaceDE w:val="0"/>
                    <w:autoSpaceDN w:val="0"/>
                    <w:jc w:val="center"/>
                    <w:rPr>
                      <w:rFonts w:hAnsi="宋体"/>
                      <w:color w:val="000000"/>
                      <w:kern w:val="0"/>
                      <w:szCs w:val="21"/>
                    </w:rPr>
                  </w:pPr>
                  <w:r>
                    <w:rPr>
                      <w:rFonts w:hint="eastAsia" w:hAnsi="宋体"/>
                      <w:color w:val="000000"/>
                      <w:kern w:val="0"/>
                      <w:szCs w:val="21"/>
                    </w:rPr>
                    <w:t>本项目选址位于安徽芜湖鸠江经济开发区工业用地范围内，不涉及自然保护区、饮用水源保护区、森林公园等生态保护区，不属于生态红线管控范围内。因此，本项目建设符合生态保护红线要求。</w:t>
                  </w:r>
                </w:p>
              </w:tc>
              <w:tc>
                <w:tcPr>
                  <w:tcW w:w="910" w:type="dxa"/>
                  <w:vAlign w:val="center"/>
                </w:tcPr>
                <w:p>
                  <w:pPr>
                    <w:autoSpaceDE w:val="0"/>
                    <w:autoSpaceDN w:val="0"/>
                    <w:spacing w:line="360" w:lineRule="auto"/>
                    <w:jc w:val="center"/>
                    <w:rPr>
                      <w:rFonts w:hAnsi="宋体"/>
                      <w:color w:val="000000"/>
                      <w:kern w:val="0"/>
                      <w:szCs w:val="21"/>
                    </w:rPr>
                  </w:pPr>
                  <w:r>
                    <w:rPr>
                      <w:rFonts w:hint="eastAsia" w:hAnsi="宋体"/>
                      <w:kern w:val="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pPr>
                    <w:autoSpaceDE w:val="0"/>
                    <w:autoSpaceDN w:val="0"/>
                    <w:jc w:val="center"/>
                    <w:rPr>
                      <w:rFonts w:hAnsi="宋体"/>
                      <w:color w:val="000000"/>
                      <w:kern w:val="0"/>
                      <w:szCs w:val="21"/>
                    </w:rPr>
                  </w:pPr>
                  <w:r>
                    <w:rPr>
                      <w:rFonts w:hint="eastAsia" w:hAnsi="宋体"/>
                      <w:color w:val="000000"/>
                      <w:kern w:val="0"/>
                      <w:szCs w:val="21"/>
                    </w:rPr>
                    <w:t>2</w:t>
                  </w:r>
                </w:p>
              </w:tc>
              <w:tc>
                <w:tcPr>
                  <w:tcW w:w="825" w:type="dxa"/>
                  <w:vAlign w:val="center"/>
                </w:tcPr>
                <w:p>
                  <w:pPr>
                    <w:autoSpaceDE w:val="0"/>
                    <w:autoSpaceDN w:val="0"/>
                    <w:jc w:val="center"/>
                    <w:rPr>
                      <w:rFonts w:hAnsi="宋体"/>
                      <w:color w:val="000000"/>
                      <w:kern w:val="0"/>
                      <w:szCs w:val="21"/>
                    </w:rPr>
                  </w:pPr>
                  <w:r>
                    <w:rPr>
                      <w:rFonts w:hAnsi="宋体"/>
                      <w:color w:val="000000"/>
                      <w:kern w:val="0"/>
                      <w:szCs w:val="21"/>
                    </w:rPr>
                    <w:t>环境质量底线</w:t>
                  </w:r>
                </w:p>
              </w:tc>
              <w:tc>
                <w:tcPr>
                  <w:tcW w:w="2625" w:type="dxa"/>
                  <w:vAlign w:val="center"/>
                </w:tcPr>
                <w:p>
                  <w:pPr>
                    <w:autoSpaceDE w:val="0"/>
                    <w:autoSpaceDN w:val="0"/>
                    <w:jc w:val="center"/>
                    <w:rPr>
                      <w:rFonts w:hAnsi="宋体"/>
                      <w:color w:val="000000"/>
                      <w:kern w:val="0"/>
                      <w:szCs w:val="21"/>
                    </w:rPr>
                  </w:pPr>
                  <w:r>
                    <w:rPr>
                      <w:rFonts w:hAnsi="宋体"/>
                      <w:color w:val="000000"/>
                      <w:kern w:val="0"/>
                      <w:szCs w:val="21"/>
                    </w:rPr>
                    <w:t>环境质量现状超标地区以及未达到环境质量目标考核要求的地区上新项目将受到限制</w:t>
                  </w:r>
                  <w:r>
                    <w:rPr>
                      <w:rFonts w:hint="eastAsia" w:hAnsi="宋体"/>
                      <w:color w:val="000000"/>
                      <w:kern w:val="0"/>
                      <w:szCs w:val="21"/>
                    </w:rPr>
                    <w:t>；</w:t>
                  </w:r>
                  <w:r>
                    <w:rPr>
                      <w:rFonts w:hAnsi="宋体"/>
                      <w:color w:val="000000"/>
                      <w:kern w:val="0"/>
                      <w:szCs w:val="21"/>
                    </w:rPr>
                    <w:t>对环境质量现状超标的地区</w:t>
                  </w:r>
                  <w:r>
                    <w:rPr>
                      <w:rFonts w:hint="eastAsia" w:hAnsi="宋体"/>
                      <w:color w:val="000000"/>
                      <w:kern w:val="0"/>
                      <w:szCs w:val="21"/>
                    </w:rPr>
                    <w:t>，</w:t>
                  </w:r>
                  <w:r>
                    <w:rPr>
                      <w:rFonts w:hAnsi="宋体"/>
                      <w:color w:val="000000"/>
                      <w:kern w:val="0"/>
                      <w:szCs w:val="21"/>
                    </w:rPr>
                    <w:t>项目拟采取的措施不能满足区域环境质量改善目标管理要求的</w:t>
                  </w:r>
                  <w:r>
                    <w:rPr>
                      <w:rFonts w:hint="eastAsia" w:hAnsi="宋体"/>
                      <w:color w:val="000000"/>
                      <w:kern w:val="0"/>
                      <w:szCs w:val="21"/>
                    </w:rPr>
                    <w:t>，</w:t>
                  </w:r>
                  <w:r>
                    <w:rPr>
                      <w:rFonts w:hAnsi="宋体"/>
                      <w:color w:val="000000"/>
                      <w:kern w:val="0"/>
                      <w:szCs w:val="21"/>
                    </w:rPr>
                    <w:t>依法不予审批其环评文件</w:t>
                  </w:r>
                </w:p>
              </w:tc>
              <w:tc>
                <w:tcPr>
                  <w:tcW w:w="2355" w:type="dxa"/>
                  <w:vAlign w:val="center"/>
                </w:tcPr>
                <w:p>
                  <w:pPr>
                    <w:autoSpaceDE w:val="0"/>
                    <w:autoSpaceDN w:val="0"/>
                    <w:jc w:val="center"/>
                    <w:rPr>
                      <w:rFonts w:hint="eastAsia"/>
                      <w:color w:val="000000"/>
                      <w:szCs w:val="16"/>
                    </w:rPr>
                  </w:pPr>
                  <w:r>
                    <w:rPr>
                      <w:rFonts w:hint="eastAsia"/>
                      <w:color w:val="000000"/>
                      <w:szCs w:val="16"/>
                    </w:rPr>
                    <w:t>根据《安徽芜湖鸠江经济开发区总体发展规</w:t>
                  </w:r>
                </w:p>
                <w:p>
                  <w:pPr>
                    <w:autoSpaceDE w:val="0"/>
                    <w:autoSpaceDN w:val="0"/>
                    <w:jc w:val="center"/>
                    <w:rPr>
                      <w:color w:val="000000"/>
                      <w:szCs w:val="16"/>
                    </w:rPr>
                  </w:pPr>
                  <w:r>
                    <w:rPr>
                      <w:rFonts w:hint="eastAsia"/>
                      <w:color w:val="000000"/>
                      <w:szCs w:val="16"/>
                    </w:rPr>
                    <w:t>划环境影响跟踪评价报告书》现状监测结论，开发</w:t>
                  </w:r>
                  <w:r>
                    <w:rPr>
                      <w:rFonts w:hint="eastAsia"/>
                      <w:color w:val="auto"/>
                      <w:szCs w:val="16"/>
                    </w:rPr>
                    <w:t>区环境空气</w:t>
                  </w:r>
                  <w:r>
                    <w:rPr>
                      <w:rFonts w:hint="eastAsia"/>
                      <w:color w:val="auto"/>
                    </w:rPr>
                    <w:t>为“不达标区”，超标因子为PM2.5。超标原因可能为：市区受区域扬尘、工业污染源排放量偏高，以及外源污染传输叠加影响</w:t>
                  </w:r>
                  <w:r>
                    <w:rPr>
                      <w:rFonts w:hint="eastAsia"/>
                      <w:color w:val="auto"/>
                      <w:szCs w:val="16"/>
                      <w:lang w:eastAsia="zh-CN"/>
                    </w:rPr>
                    <w:t>。</w:t>
                  </w:r>
                  <w:r>
                    <w:rPr>
                      <w:rFonts w:hint="eastAsia"/>
                      <w:color w:val="000000"/>
                      <w:szCs w:val="16"/>
                    </w:rPr>
                    <w:t>地表水环境、声环境、地下水、土壤环境质量均可满足相关质量标准要求。本项目在采取环评中提出的污染防治措施后，各项污染物均可达标排放或有效处置，对周围环境影响不大，不会降低区域环境质量。</w:t>
                  </w:r>
                </w:p>
              </w:tc>
              <w:tc>
                <w:tcPr>
                  <w:tcW w:w="910" w:type="dxa"/>
                  <w:vAlign w:val="center"/>
                </w:tcPr>
                <w:p>
                  <w:pPr>
                    <w:autoSpaceDE w:val="0"/>
                    <w:autoSpaceDN w:val="0"/>
                    <w:spacing w:line="360" w:lineRule="auto"/>
                    <w:jc w:val="center"/>
                    <w:rPr>
                      <w:rFonts w:hAnsi="宋体"/>
                      <w:color w:val="000000"/>
                      <w:kern w:val="0"/>
                      <w:szCs w:val="21"/>
                    </w:rPr>
                  </w:pPr>
                  <w:r>
                    <w:rPr>
                      <w:rFonts w:hint="eastAsia" w:hAnsi="宋体"/>
                      <w:kern w:val="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pPr>
                    <w:autoSpaceDE w:val="0"/>
                    <w:autoSpaceDN w:val="0"/>
                    <w:jc w:val="center"/>
                    <w:rPr>
                      <w:rFonts w:hAnsi="宋体"/>
                      <w:color w:val="000000"/>
                      <w:kern w:val="0"/>
                      <w:szCs w:val="21"/>
                    </w:rPr>
                  </w:pPr>
                  <w:r>
                    <w:rPr>
                      <w:rFonts w:hint="eastAsia" w:hAnsi="宋体"/>
                      <w:color w:val="000000"/>
                      <w:kern w:val="0"/>
                      <w:szCs w:val="21"/>
                    </w:rPr>
                    <w:t>3</w:t>
                  </w:r>
                </w:p>
              </w:tc>
              <w:tc>
                <w:tcPr>
                  <w:tcW w:w="825" w:type="dxa"/>
                  <w:vAlign w:val="center"/>
                </w:tcPr>
                <w:p>
                  <w:pPr>
                    <w:autoSpaceDE w:val="0"/>
                    <w:autoSpaceDN w:val="0"/>
                    <w:jc w:val="center"/>
                    <w:rPr>
                      <w:rFonts w:hAnsi="宋体"/>
                      <w:color w:val="000000"/>
                      <w:kern w:val="0"/>
                      <w:szCs w:val="21"/>
                    </w:rPr>
                  </w:pPr>
                  <w:r>
                    <w:rPr>
                      <w:rFonts w:hAnsi="宋体"/>
                      <w:color w:val="000000"/>
                      <w:kern w:val="0"/>
                      <w:szCs w:val="21"/>
                    </w:rPr>
                    <w:t>资源</w:t>
                  </w:r>
                  <w:r>
                    <w:rPr>
                      <w:rFonts w:hint="eastAsia" w:hAnsi="宋体"/>
                      <w:color w:val="000000"/>
                      <w:kern w:val="0"/>
                      <w:szCs w:val="21"/>
                    </w:rPr>
                    <w:t>利用上线</w:t>
                  </w:r>
                </w:p>
              </w:tc>
              <w:tc>
                <w:tcPr>
                  <w:tcW w:w="2625" w:type="dxa"/>
                  <w:vAlign w:val="center"/>
                </w:tcPr>
                <w:p>
                  <w:pPr>
                    <w:autoSpaceDE w:val="0"/>
                    <w:autoSpaceDN w:val="0"/>
                    <w:jc w:val="center"/>
                    <w:rPr>
                      <w:rFonts w:hAnsi="宋体"/>
                      <w:color w:val="000000"/>
                      <w:kern w:val="0"/>
                      <w:szCs w:val="21"/>
                    </w:rPr>
                  </w:pPr>
                  <w:r>
                    <w:rPr>
                      <w:rFonts w:hAnsi="宋体"/>
                      <w:color w:val="000000"/>
                      <w:kern w:val="0"/>
                      <w:szCs w:val="21"/>
                    </w:rPr>
                    <w:t>依据有关资源利用上线要求</w:t>
                  </w:r>
                  <w:r>
                    <w:rPr>
                      <w:rFonts w:hint="eastAsia" w:hAnsi="宋体"/>
                      <w:color w:val="000000"/>
                      <w:kern w:val="0"/>
                      <w:szCs w:val="21"/>
                    </w:rPr>
                    <w:t>，</w:t>
                  </w:r>
                  <w:r>
                    <w:rPr>
                      <w:rFonts w:hAnsi="宋体"/>
                      <w:color w:val="000000"/>
                      <w:kern w:val="0"/>
                      <w:szCs w:val="21"/>
                    </w:rPr>
                    <w:t>即各地区能源</w:t>
                  </w:r>
                  <w:r>
                    <w:rPr>
                      <w:rFonts w:hint="eastAsia" w:hAnsi="宋体"/>
                      <w:color w:val="000000"/>
                      <w:kern w:val="0"/>
                      <w:szCs w:val="21"/>
                    </w:rPr>
                    <w:t>、</w:t>
                  </w:r>
                  <w:r>
                    <w:rPr>
                      <w:rFonts w:hAnsi="宋体"/>
                      <w:color w:val="000000"/>
                      <w:kern w:val="0"/>
                      <w:szCs w:val="21"/>
                    </w:rPr>
                    <w:t>水</w:t>
                  </w:r>
                  <w:r>
                    <w:rPr>
                      <w:rFonts w:hint="eastAsia" w:hAnsi="宋体"/>
                      <w:color w:val="000000"/>
                      <w:kern w:val="0"/>
                      <w:szCs w:val="21"/>
                    </w:rPr>
                    <w:t>、</w:t>
                  </w:r>
                  <w:r>
                    <w:rPr>
                      <w:rFonts w:hAnsi="宋体"/>
                      <w:color w:val="000000"/>
                      <w:kern w:val="0"/>
                      <w:szCs w:val="21"/>
                    </w:rPr>
                    <w:t>土地等资源消耗是不得突破的</w:t>
                  </w:r>
                  <w:r>
                    <w:rPr>
                      <w:rFonts w:hint="eastAsia" w:hAnsi="宋体"/>
                      <w:color w:val="000000"/>
                      <w:kern w:val="0"/>
                      <w:szCs w:val="21"/>
                    </w:rPr>
                    <w:t>“天花板”</w:t>
                  </w:r>
                </w:p>
              </w:tc>
              <w:tc>
                <w:tcPr>
                  <w:tcW w:w="2355" w:type="dxa"/>
                  <w:vAlign w:val="center"/>
                </w:tcPr>
                <w:p>
                  <w:pPr>
                    <w:autoSpaceDE w:val="0"/>
                    <w:autoSpaceDN w:val="0"/>
                    <w:jc w:val="center"/>
                    <w:rPr>
                      <w:rFonts w:hint="eastAsia" w:hAnsi="宋体"/>
                      <w:color w:val="000000"/>
                      <w:kern w:val="24"/>
                      <w:szCs w:val="21"/>
                    </w:rPr>
                  </w:pPr>
                  <w:r>
                    <w:rPr>
                      <w:rFonts w:hint="eastAsia" w:hAnsi="宋体"/>
                      <w:color w:val="000000"/>
                      <w:kern w:val="24"/>
                      <w:szCs w:val="21"/>
                    </w:rPr>
                    <w:t xml:space="preserve">1、本项目用水、用电由市政管网提供，资源供应充足； </w:t>
                  </w:r>
                </w:p>
                <w:p>
                  <w:pPr>
                    <w:autoSpaceDE w:val="0"/>
                    <w:autoSpaceDN w:val="0"/>
                    <w:jc w:val="center"/>
                    <w:rPr>
                      <w:rFonts w:hAnsi="宋体"/>
                      <w:color w:val="000000"/>
                      <w:kern w:val="0"/>
                      <w:szCs w:val="21"/>
                    </w:rPr>
                  </w:pPr>
                  <w:r>
                    <w:rPr>
                      <w:rFonts w:hint="eastAsia" w:hAnsi="宋体"/>
                      <w:color w:val="000000"/>
                      <w:kern w:val="24"/>
                      <w:szCs w:val="21"/>
                    </w:rPr>
                    <w:t>2、本项目合理利用资源和节约能耗，不会突破区域资源消耗上线。</w:t>
                  </w:r>
                </w:p>
              </w:tc>
              <w:tc>
                <w:tcPr>
                  <w:tcW w:w="910" w:type="dxa"/>
                  <w:vAlign w:val="center"/>
                </w:tcPr>
                <w:p>
                  <w:pPr>
                    <w:autoSpaceDE w:val="0"/>
                    <w:autoSpaceDN w:val="0"/>
                    <w:spacing w:line="360" w:lineRule="auto"/>
                    <w:jc w:val="center"/>
                    <w:rPr>
                      <w:rFonts w:hAnsi="宋体"/>
                      <w:color w:val="000000"/>
                      <w:kern w:val="0"/>
                      <w:szCs w:val="21"/>
                    </w:rPr>
                  </w:pPr>
                  <w:r>
                    <w:rPr>
                      <w:rFonts w:hint="eastAsia" w:hAnsi="宋体"/>
                      <w:kern w:val="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pPr>
                    <w:autoSpaceDE w:val="0"/>
                    <w:autoSpaceDN w:val="0"/>
                    <w:jc w:val="center"/>
                    <w:rPr>
                      <w:rFonts w:hAnsi="宋体"/>
                      <w:color w:val="000000"/>
                      <w:kern w:val="0"/>
                      <w:szCs w:val="21"/>
                    </w:rPr>
                  </w:pPr>
                  <w:r>
                    <w:rPr>
                      <w:rFonts w:hint="eastAsia" w:hAnsi="宋体"/>
                      <w:color w:val="000000"/>
                      <w:kern w:val="0"/>
                      <w:szCs w:val="21"/>
                    </w:rPr>
                    <w:t>4</w:t>
                  </w:r>
                </w:p>
              </w:tc>
              <w:tc>
                <w:tcPr>
                  <w:tcW w:w="825" w:type="dxa"/>
                  <w:vAlign w:val="center"/>
                </w:tcPr>
                <w:p>
                  <w:pPr>
                    <w:autoSpaceDE w:val="0"/>
                    <w:autoSpaceDN w:val="0"/>
                    <w:jc w:val="center"/>
                    <w:rPr>
                      <w:rFonts w:hAnsi="宋体"/>
                      <w:color w:val="000000"/>
                      <w:kern w:val="0"/>
                      <w:szCs w:val="21"/>
                    </w:rPr>
                  </w:pPr>
                  <w:r>
                    <w:rPr>
                      <w:rFonts w:hAnsi="宋体"/>
                      <w:color w:val="000000"/>
                      <w:kern w:val="0"/>
                      <w:szCs w:val="21"/>
                    </w:rPr>
                    <w:t>环境准入负面清单</w:t>
                  </w:r>
                </w:p>
              </w:tc>
              <w:tc>
                <w:tcPr>
                  <w:tcW w:w="2625" w:type="dxa"/>
                  <w:vAlign w:val="center"/>
                </w:tcPr>
                <w:p>
                  <w:pPr>
                    <w:autoSpaceDE w:val="0"/>
                    <w:autoSpaceDN w:val="0"/>
                    <w:jc w:val="center"/>
                    <w:rPr>
                      <w:rFonts w:hAnsi="宋体"/>
                      <w:color w:val="000000"/>
                      <w:kern w:val="0"/>
                      <w:szCs w:val="21"/>
                    </w:rPr>
                  </w:pPr>
                  <w:r>
                    <w:rPr>
                      <w:rFonts w:hAnsi="宋体"/>
                      <w:color w:val="000000"/>
                      <w:kern w:val="0"/>
                      <w:szCs w:val="21"/>
                    </w:rPr>
                    <w:t>环境准入负面清单是基于生态保护红线</w:t>
                  </w:r>
                  <w:r>
                    <w:rPr>
                      <w:rFonts w:hint="eastAsia" w:hAnsi="宋体"/>
                      <w:color w:val="000000"/>
                      <w:kern w:val="0"/>
                      <w:szCs w:val="21"/>
                    </w:rPr>
                    <w:t>、</w:t>
                  </w:r>
                  <w:r>
                    <w:rPr>
                      <w:rFonts w:hAnsi="宋体"/>
                      <w:color w:val="000000"/>
                      <w:kern w:val="0"/>
                      <w:szCs w:val="21"/>
                    </w:rPr>
                    <w:t>环境质量底线和资源利用上线</w:t>
                  </w:r>
                  <w:r>
                    <w:rPr>
                      <w:rFonts w:hint="eastAsia" w:hAnsi="宋体"/>
                      <w:color w:val="000000"/>
                      <w:kern w:val="0"/>
                      <w:szCs w:val="21"/>
                    </w:rPr>
                    <w:t>，</w:t>
                  </w:r>
                  <w:r>
                    <w:rPr>
                      <w:rFonts w:hAnsi="宋体"/>
                      <w:color w:val="000000"/>
                      <w:kern w:val="0"/>
                      <w:szCs w:val="21"/>
                    </w:rPr>
                    <w:t>以清单方式列出的禁止</w:t>
                  </w:r>
                  <w:r>
                    <w:rPr>
                      <w:rFonts w:hint="eastAsia" w:hAnsi="宋体"/>
                      <w:color w:val="000000"/>
                      <w:kern w:val="0"/>
                      <w:szCs w:val="21"/>
                    </w:rPr>
                    <w:t>、</w:t>
                  </w:r>
                  <w:r>
                    <w:rPr>
                      <w:rFonts w:hAnsi="宋体"/>
                      <w:color w:val="000000"/>
                      <w:kern w:val="0"/>
                      <w:szCs w:val="21"/>
                    </w:rPr>
                    <w:t>限制等差别化环境准入条件和要求</w:t>
                  </w:r>
                  <w:r>
                    <w:rPr>
                      <w:rFonts w:hint="eastAsia" w:hAnsi="宋体"/>
                      <w:color w:val="000000"/>
                      <w:kern w:val="0"/>
                      <w:szCs w:val="21"/>
                    </w:rPr>
                    <w:t>。</w:t>
                  </w:r>
                  <w:r>
                    <w:rPr>
                      <w:rFonts w:hAnsi="宋体"/>
                      <w:color w:val="000000"/>
                      <w:kern w:val="0"/>
                      <w:szCs w:val="21"/>
                    </w:rPr>
                    <w:t>要在规划环评清单式管理试点的基础上</w:t>
                  </w:r>
                  <w:r>
                    <w:rPr>
                      <w:rFonts w:hint="eastAsia" w:hAnsi="宋体"/>
                      <w:color w:val="000000"/>
                      <w:kern w:val="0"/>
                      <w:szCs w:val="21"/>
                    </w:rPr>
                    <w:t>，</w:t>
                  </w:r>
                  <w:r>
                    <w:rPr>
                      <w:rFonts w:hAnsi="宋体"/>
                      <w:color w:val="000000"/>
                      <w:kern w:val="0"/>
                      <w:szCs w:val="21"/>
                    </w:rPr>
                    <w:t>从布局选址</w:t>
                  </w:r>
                  <w:r>
                    <w:rPr>
                      <w:rFonts w:hint="eastAsia" w:hAnsi="宋体"/>
                      <w:color w:val="000000"/>
                      <w:kern w:val="0"/>
                      <w:szCs w:val="21"/>
                    </w:rPr>
                    <w:t>、</w:t>
                  </w:r>
                  <w:r>
                    <w:rPr>
                      <w:rFonts w:hAnsi="宋体"/>
                      <w:color w:val="000000"/>
                      <w:kern w:val="0"/>
                      <w:szCs w:val="21"/>
                    </w:rPr>
                    <w:t>资源利用率</w:t>
                  </w:r>
                  <w:r>
                    <w:rPr>
                      <w:rFonts w:hint="eastAsia" w:hAnsi="宋体"/>
                      <w:color w:val="000000"/>
                      <w:kern w:val="0"/>
                      <w:szCs w:val="21"/>
                    </w:rPr>
                    <w:t>、</w:t>
                  </w:r>
                  <w:r>
                    <w:rPr>
                      <w:rFonts w:hAnsi="宋体"/>
                      <w:color w:val="000000"/>
                      <w:kern w:val="0"/>
                      <w:szCs w:val="21"/>
                    </w:rPr>
                    <w:t>资源配置方式等方面入手</w:t>
                  </w:r>
                  <w:r>
                    <w:rPr>
                      <w:rFonts w:hint="eastAsia" w:hAnsi="宋体"/>
                      <w:color w:val="000000"/>
                      <w:kern w:val="0"/>
                      <w:szCs w:val="21"/>
                    </w:rPr>
                    <w:t>，</w:t>
                  </w:r>
                  <w:r>
                    <w:rPr>
                      <w:rFonts w:hAnsi="宋体"/>
                      <w:color w:val="000000"/>
                      <w:kern w:val="0"/>
                      <w:szCs w:val="21"/>
                    </w:rPr>
                    <w:t>制定环境准入负面清单</w:t>
                  </w:r>
                  <w:r>
                    <w:rPr>
                      <w:rFonts w:hint="eastAsia" w:hAnsi="宋体"/>
                      <w:color w:val="000000"/>
                      <w:kern w:val="0"/>
                      <w:szCs w:val="21"/>
                    </w:rPr>
                    <w:t>，</w:t>
                  </w:r>
                  <w:r>
                    <w:rPr>
                      <w:rFonts w:hAnsi="宋体"/>
                      <w:color w:val="000000"/>
                      <w:kern w:val="0"/>
                      <w:szCs w:val="21"/>
                    </w:rPr>
                    <w:t>充分发挥负面清单对产业发展和项目准入的指导和约</w:t>
                  </w:r>
                  <w:r>
                    <w:rPr>
                      <w:rFonts w:hAnsi="宋体"/>
                      <w:color w:val="000000"/>
                      <w:kern w:val="0"/>
                      <w:szCs w:val="21"/>
                    </w:rPr>
                    <w:cr/>
                  </w:r>
                  <w:r>
                    <w:rPr>
                      <w:rFonts w:hAnsi="宋体"/>
                      <w:color w:val="000000"/>
                      <w:kern w:val="0"/>
                      <w:szCs w:val="21"/>
                    </w:rPr>
                    <w:t>作用</w:t>
                  </w:r>
                </w:p>
              </w:tc>
              <w:tc>
                <w:tcPr>
                  <w:tcW w:w="2355"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1、本项目不属于《产业结构调整指导目录（2019 年本）》中“鼓励类”、“限制类”、“禁止类”，符合国家产业政策；</w:t>
                  </w:r>
                </w:p>
                <w:p>
                  <w:pPr>
                    <w:autoSpaceDE w:val="0"/>
                    <w:autoSpaceDN w:val="0"/>
                    <w:jc w:val="center"/>
                    <w:rPr>
                      <w:rFonts w:hAnsi="宋体"/>
                      <w:color w:val="000000"/>
                      <w:kern w:val="0"/>
                      <w:szCs w:val="21"/>
                    </w:rPr>
                  </w:pPr>
                  <w:r>
                    <w:rPr>
                      <w:rFonts w:hint="eastAsia" w:hAnsi="宋体"/>
                      <w:color w:val="000000"/>
                      <w:kern w:val="0"/>
                      <w:szCs w:val="21"/>
                    </w:rPr>
                    <w:t xml:space="preserve"> 2、本项目符合《关于印发安徽省长江经济带发展负面清单实施细则（试行）的通知》，不属于负面管理清单。</w:t>
                  </w:r>
                </w:p>
              </w:tc>
              <w:tc>
                <w:tcPr>
                  <w:tcW w:w="910" w:type="dxa"/>
                  <w:vAlign w:val="center"/>
                </w:tcPr>
                <w:p>
                  <w:pPr>
                    <w:autoSpaceDE w:val="0"/>
                    <w:autoSpaceDN w:val="0"/>
                    <w:spacing w:line="360" w:lineRule="auto"/>
                    <w:jc w:val="center"/>
                    <w:rPr>
                      <w:rFonts w:hAnsi="宋体"/>
                      <w:color w:val="000000"/>
                      <w:kern w:val="0"/>
                      <w:szCs w:val="21"/>
                    </w:rPr>
                  </w:pPr>
                  <w:r>
                    <w:rPr>
                      <w:rFonts w:hint="eastAsia" w:hAnsi="宋体"/>
                      <w:kern w:val="0"/>
                      <w:szCs w:val="21"/>
                    </w:rPr>
                    <w:t>符合</w:t>
                  </w:r>
                </w:p>
              </w:tc>
            </w:tr>
          </w:tbl>
          <w:p/>
          <w:p>
            <w:pPr>
              <w:spacing w:line="360" w:lineRule="auto"/>
              <w:ind w:firstLine="424" w:firstLineChars="177"/>
              <w:rPr>
                <w:rFonts w:hAnsi="宋体"/>
                <w:kern w:val="24"/>
                <w:sz w:val="24"/>
              </w:rPr>
            </w:pPr>
            <w:r>
              <w:rPr>
                <w:rFonts w:hint="eastAsia"/>
                <w:color w:val="000000"/>
                <w:sz w:val="24"/>
              </w:rPr>
              <w:t>综上所述，本项目建设</w:t>
            </w:r>
            <w:r>
              <w:rPr>
                <w:rFonts w:hint="eastAsia" w:hAnsi="宋体"/>
                <w:color w:val="000000"/>
                <w:kern w:val="0"/>
                <w:sz w:val="24"/>
              </w:rPr>
              <w:t>满足生态保护红线、环境质量底线、资源利用上线，且不在环境准入负面清单中，</w:t>
            </w:r>
            <w:r>
              <w:rPr>
                <w:rFonts w:hint="eastAsia"/>
                <w:color w:val="000000"/>
                <w:sz w:val="24"/>
              </w:rPr>
              <w:t>符合“三线一单”环保要求。</w:t>
            </w:r>
          </w:p>
          <w:p>
            <w:pPr>
              <w:autoSpaceDE w:val="0"/>
              <w:autoSpaceDN w:val="0"/>
              <w:adjustRightInd w:val="0"/>
              <w:spacing w:line="360" w:lineRule="auto"/>
              <w:ind w:firstLine="482" w:firstLineChars="200"/>
              <w:jc w:val="left"/>
              <w:rPr>
                <w:rFonts w:hint="eastAsia"/>
                <w:b/>
                <w:bCs/>
                <w:color w:val="000000"/>
                <w:sz w:val="24"/>
              </w:rPr>
            </w:pPr>
            <w:r>
              <w:rPr>
                <w:rFonts w:hint="eastAsia"/>
                <w:b/>
                <w:bCs/>
                <w:color w:val="000000"/>
                <w:sz w:val="24"/>
                <w:lang w:val="en-US" w:eastAsia="zh-CN"/>
              </w:rPr>
              <w:t>3</w:t>
            </w:r>
            <w:r>
              <w:rPr>
                <w:rFonts w:hint="eastAsia"/>
                <w:b/>
                <w:bCs/>
                <w:color w:val="000000"/>
                <w:sz w:val="24"/>
              </w:rPr>
              <w:t>、与《安徽省长江经济带发展负面清单实施细则（试行）》相符性分析</w:t>
            </w:r>
          </w:p>
          <w:p>
            <w:pPr>
              <w:autoSpaceDE w:val="0"/>
              <w:autoSpaceDN w:val="0"/>
              <w:adjustRightInd w:val="0"/>
              <w:spacing w:line="360" w:lineRule="auto"/>
              <w:ind w:firstLine="482" w:firstLineChars="200"/>
              <w:jc w:val="left"/>
              <w:rPr>
                <w:rFonts w:hint="eastAsia" w:eastAsia="宋体"/>
                <w:b/>
                <w:bCs/>
                <w:color w:val="000000"/>
                <w:sz w:val="24"/>
                <w:lang w:val="en-US" w:eastAsia="zh-CN"/>
              </w:rPr>
            </w:pPr>
            <w:r>
              <w:rPr>
                <w:rFonts w:hint="eastAsia"/>
                <w:b/>
                <w:bCs/>
                <w:color w:val="000000"/>
                <w:sz w:val="24"/>
              </w:rPr>
              <w:t>表</w:t>
            </w:r>
            <w:r>
              <w:rPr>
                <w:rFonts w:hint="eastAsia"/>
                <w:b/>
                <w:bCs/>
                <w:color w:val="000000"/>
                <w:sz w:val="24"/>
                <w:lang w:val="en-US" w:eastAsia="zh-CN"/>
              </w:rPr>
              <w:t>1-</w:t>
            </w:r>
            <w:r>
              <w:rPr>
                <w:rFonts w:hint="eastAsia"/>
                <w:b/>
                <w:bCs/>
                <w:color w:val="000000"/>
                <w:sz w:val="24"/>
              </w:rPr>
              <w:t>4</w:t>
            </w:r>
            <w:r>
              <w:rPr>
                <w:rFonts w:hint="eastAsia"/>
                <w:b/>
                <w:bCs/>
                <w:color w:val="000000"/>
                <w:sz w:val="24"/>
                <w:lang w:val="en-US" w:eastAsia="zh-CN"/>
              </w:rPr>
              <w:t xml:space="preserve">  </w:t>
            </w:r>
            <w:r>
              <w:rPr>
                <w:rFonts w:hint="eastAsia"/>
                <w:b/>
                <w:bCs/>
                <w:color w:val="000000"/>
                <w:sz w:val="24"/>
              </w:rPr>
              <w:t>本项目与《安徽省长江经济带发展负面清单实施细则（试行）》相符性</w:t>
            </w:r>
            <w:r>
              <w:rPr>
                <w:rFonts w:hint="eastAsia"/>
                <w:b/>
                <w:bCs/>
                <w:color w:val="000000"/>
                <w:sz w:val="24"/>
                <w:lang w:val="en-US" w:eastAsia="zh-CN"/>
              </w:rPr>
              <w:t>分析</w:t>
            </w:r>
          </w:p>
          <w:tbl>
            <w:tblPr>
              <w:tblStyle w:val="58"/>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3930"/>
              <w:gridCol w:w="1845"/>
              <w:gridCol w:w="8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613"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3930" w:type="dxa"/>
                  <w:vAlign w:val="center"/>
                </w:tcPr>
                <w:p>
                  <w:pPr>
                    <w:autoSpaceDE w:val="0"/>
                    <w:autoSpaceDN w:val="0"/>
                    <w:spacing w:line="360" w:lineRule="auto"/>
                    <w:jc w:val="center"/>
                    <w:rPr>
                      <w:rFonts w:hAnsi="宋体"/>
                      <w:b/>
                      <w:color w:val="000000"/>
                      <w:kern w:val="0"/>
                      <w:szCs w:val="21"/>
                    </w:rPr>
                  </w:pPr>
                  <w:r>
                    <w:rPr>
                      <w:rFonts w:hint="eastAsia" w:hAnsi="宋体"/>
                      <w:b/>
                      <w:color w:val="000000"/>
                      <w:kern w:val="0"/>
                      <w:szCs w:val="21"/>
                    </w:rPr>
                    <w:t>《安徽省长江经济带发展负面清单实施细则（试行）》（皖长江办【2019】18 号）</w:t>
                  </w:r>
                </w:p>
              </w:tc>
              <w:tc>
                <w:tcPr>
                  <w:tcW w:w="1845" w:type="dxa"/>
                  <w:vAlign w:val="center"/>
                </w:tcPr>
                <w:p>
                  <w:pPr>
                    <w:autoSpaceDE w:val="0"/>
                    <w:autoSpaceDN w:val="0"/>
                    <w:spacing w:line="360" w:lineRule="auto"/>
                    <w:jc w:val="center"/>
                    <w:rPr>
                      <w:rFonts w:hAnsi="宋体"/>
                      <w:b/>
                      <w:color w:val="000000"/>
                      <w:kern w:val="0"/>
                      <w:szCs w:val="21"/>
                    </w:rPr>
                  </w:pPr>
                  <w:r>
                    <w:rPr>
                      <w:rFonts w:hint="eastAsia" w:hAnsi="宋体"/>
                      <w:b/>
                      <w:color w:val="000000"/>
                      <w:kern w:val="0"/>
                      <w:szCs w:val="21"/>
                    </w:rPr>
                    <w:t>本项目情况</w:t>
                  </w:r>
                </w:p>
              </w:tc>
              <w:tc>
                <w:tcPr>
                  <w:tcW w:w="870"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7258" w:type="dxa"/>
                  <w:gridSpan w:val="4"/>
                  <w:vAlign w:val="center"/>
                </w:tcPr>
                <w:p>
                  <w:pPr>
                    <w:autoSpaceDE w:val="0"/>
                    <w:autoSpaceDN w:val="0"/>
                    <w:spacing w:line="360" w:lineRule="auto"/>
                    <w:jc w:val="center"/>
                    <w:rPr>
                      <w:rFonts w:hint="default" w:hAnsi="宋体" w:eastAsia="宋体"/>
                      <w:color w:val="000000"/>
                      <w:kern w:val="0"/>
                      <w:szCs w:val="21"/>
                      <w:lang w:val="en-US" w:eastAsia="zh-CN"/>
                    </w:rPr>
                  </w:pPr>
                  <w:r>
                    <w:rPr>
                      <w:rFonts w:hint="eastAsia" w:hAnsi="宋体"/>
                      <w:kern w:val="0"/>
                      <w:szCs w:val="21"/>
                      <w:lang w:val="en-US" w:eastAsia="zh-CN"/>
                    </w:rPr>
                    <w:t>产业发展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613"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1</w:t>
                  </w:r>
                </w:p>
              </w:tc>
              <w:tc>
                <w:tcPr>
                  <w:tcW w:w="3930" w:type="dxa"/>
                  <w:vAlign w:val="center"/>
                </w:tcPr>
                <w:p>
                  <w:pPr>
                    <w:autoSpaceDE w:val="0"/>
                    <w:autoSpaceDN w:val="0"/>
                    <w:ind w:firstLine="420" w:firstLineChars="200"/>
                    <w:jc w:val="left"/>
                    <w:rPr>
                      <w:rFonts w:hAnsi="宋体"/>
                      <w:color w:val="000000"/>
                      <w:kern w:val="0"/>
                      <w:szCs w:val="21"/>
                    </w:rPr>
                  </w:pPr>
                  <w:r>
                    <w:rPr>
                      <w:rFonts w:hint="eastAsia" w:hAnsi="宋体"/>
                      <w:color w:val="000000"/>
                      <w:kern w:val="0"/>
                      <w:szCs w:val="21"/>
                    </w:rPr>
                    <w:t>禁止新建、扩建不符合国家石化、现代煤化工等产业布局规划的项目。</w:t>
                  </w:r>
                </w:p>
              </w:tc>
              <w:tc>
                <w:tcPr>
                  <w:tcW w:w="1845" w:type="dxa"/>
                  <w:vAlign w:val="center"/>
                </w:tcPr>
                <w:p>
                  <w:pPr>
                    <w:autoSpaceDE w:val="0"/>
                    <w:autoSpaceDN w:val="0"/>
                    <w:jc w:val="left"/>
                    <w:rPr>
                      <w:rFonts w:hAnsi="宋体"/>
                      <w:color w:val="000000"/>
                      <w:kern w:val="0"/>
                      <w:szCs w:val="21"/>
                    </w:rPr>
                  </w:pPr>
                  <w:r>
                    <w:rPr>
                      <w:sz w:val="21"/>
                    </w:rPr>
                    <w:t>本项目不涉及化工生产</w:t>
                  </w:r>
                </w:p>
              </w:tc>
              <w:tc>
                <w:tcPr>
                  <w:tcW w:w="870" w:type="dxa"/>
                  <w:vAlign w:val="center"/>
                </w:tcPr>
                <w:p>
                  <w:pPr>
                    <w:autoSpaceDE w:val="0"/>
                    <w:autoSpaceDN w:val="0"/>
                    <w:spacing w:line="360" w:lineRule="auto"/>
                    <w:jc w:val="center"/>
                    <w:rPr>
                      <w:rFonts w:hAnsi="宋体"/>
                      <w:color w:val="000000"/>
                      <w:kern w:val="0"/>
                      <w:szCs w:val="21"/>
                    </w:rPr>
                  </w:pPr>
                  <w:r>
                    <w:rPr>
                      <w:rFonts w:hint="eastAsia" w:hAnsi="宋体"/>
                      <w:kern w:val="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613"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2</w:t>
                  </w:r>
                </w:p>
              </w:tc>
              <w:tc>
                <w:tcPr>
                  <w:tcW w:w="3930" w:type="dxa"/>
                  <w:vAlign w:val="center"/>
                </w:tcPr>
                <w:p>
                  <w:pPr>
                    <w:autoSpaceDE w:val="0"/>
                    <w:autoSpaceDN w:val="0"/>
                    <w:ind w:firstLine="420" w:firstLineChars="200"/>
                    <w:jc w:val="left"/>
                    <w:rPr>
                      <w:rFonts w:hint="eastAsia" w:hAnsi="宋体"/>
                      <w:color w:val="000000"/>
                      <w:kern w:val="0"/>
                      <w:szCs w:val="21"/>
                    </w:rPr>
                  </w:pPr>
                  <w:r>
                    <w:rPr>
                      <w:rFonts w:hint="eastAsia" w:hAnsi="宋体"/>
                      <w:color w:val="000000"/>
                      <w:kern w:val="0"/>
                      <w:szCs w:val="21"/>
                    </w:rPr>
                    <w:t>禁止新建、扩建法律法规和相关政策明令禁止的落后产能项目。</w:t>
                  </w:r>
                </w:p>
                <w:p>
                  <w:pPr>
                    <w:autoSpaceDE w:val="0"/>
                    <w:autoSpaceDN w:val="0"/>
                    <w:ind w:firstLine="420" w:firstLineChars="200"/>
                    <w:jc w:val="left"/>
                    <w:rPr>
                      <w:rFonts w:hint="eastAsia" w:hAnsi="宋体"/>
                      <w:color w:val="000000"/>
                      <w:kern w:val="0"/>
                      <w:szCs w:val="21"/>
                    </w:rPr>
                  </w:pPr>
                  <w:r>
                    <w:rPr>
                      <w:rFonts w:hint="eastAsia" w:hAnsi="宋体"/>
                      <w:color w:val="000000"/>
                      <w:kern w:val="0"/>
                      <w:szCs w:val="21"/>
                    </w:rPr>
                    <w:t>对属于国家《产业结构调整指导目录》中淘汰类项目，禁止投资。</w:t>
                  </w:r>
                </w:p>
                <w:p>
                  <w:pPr>
                    <w:autoSpaceDE w:val="0"/>
                    <w:autoSpaceDN w:val="0"/>
                    <w:ind w:firstLine="420" w:firstLineChars="200"/>
                    <w:jc w:val="left"/>
                    <w:rPr>
                      <w:rFonts w:hAnsi="宋体"/>
                      <w:color w:val="000000"/>
                      <w:kern w:val="0"/>
                      <w:szCs w:val="21"/>
                    </w:rPr>
                  </w:pPr>
                  <w:r>
                    <w:rPr>
                      <w:rFonts w:hint="eastAsia" w:hAnsi="宋体"/>
                      <w:color w:val="000000"/>
                      <w:kern w:val="0"/>
                      <w:szCs w:val="21"/>
                    </w:rPr>
                    <w:t>对属于国家《产业结构调整指导目录》中限制类的新建项目，禁止投资，沿江各级投资管理部门不予审批、核准或备案。对属于限制类的现有生产能力，允许企业在一定期限内采取措施改造升级。</w:t>
                  </w:r>
                </w:p>
              </w:tc>
              <w:tc>
                <w:tcPr>
                  <w:tcW w:w="1845" w:type="dxa"/>
                  <w:vAlign w:val="center"/>
                </w:tcPr>
                <w:p>
                  <w:pPr>
                    <w:autoSpaceDE w:val="0"/>
                    <w:autoSpaceDN w:val="0"/>
                    <w:jc w:val="left"/>
                    <w:rPr>
                      <w:rFonts w:hAnsi="宋体"/>
                      <w:color w:val="000000"/>
                      <w:kern w:val="0"/>
                      <w:szCs w:val="21"/>
                    </w:rPr>
                  </w:pPr>
                  <w:r>
                    <w:rPr>
                      <w:rFonts w:hint="eastAsia" w:hAnsi="宋体"/>
                      <w:color w:val="000000"/>
                      <w:kern w:val="0"/>
                      <w:szCs w:val="21"/>
                    </w:rPr>
                    <w:t>本项目不属于《产业结构调整指导目录（2019 年本）》“鼓励类”、“限制类”、“淘汰类”，不属于落后淘汰的产能，符合国家产业政策</w:t>
                  </w:r>
                </w:p>
              </w:tc>
              <w:tc>
                <w:tcPr>
                  <w:tcW w:w="870" w:type="dxa"/>
                  <w:vAlign w:val="center"/>
                </w:tcPr>
                <w:p>
                  <w:pPr>
                    <w:autoSpaceDE w:val="0"/>
                    <w:autoSpaceDN w:val="0"/>
                    <w:spacing w:line="360" w:lineRule="auto"/>
                    <w:jc w:val="center"/>
                    <w:rPr>
                      <w:rFonts w:hAnsi="宋体"/>
                      <w:color w:val="000000"/>
                      <w:kern w:val="0"/>
                      <w:szCs w:val="21"/>
                    </w:rPr>
                  </w:pPr>
                  <w:r>
                    <w:rPr>
                      <w:rFonts w:hint="eastAsia" w:hAnsi="宋体"/>
                      <w:kern w:val="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613"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3</w:t>
                  </w:r>
                </w:p>
              </w:tc>
              <w:tc>
                <w:tcPr>
                  <w:tcW w:w="3930" w:type="dxa"/>
                  <w:vAlign w:val="center"/>
                </w:tcPr>
                <w:p>
                  <w:pPr>
                    <w:autoSpaceDE w:val="0"/>
                    <w:autoSpaceDN w:val="0"/>
                    <w:ind w:firstLine="420" w:firstLineChars="200"/>
                    <w:jc w:val="left"/>
                    <w:rPr>
                      <w:rFonts w:hAnsi="宋体"/>
                      <w:color w:val="000000"/>
                      <w:kern w:val="0"/>
                      <w:szCs w:val="21"/>
                    </w:rPr>
                  </w:pPr>
                  <w:r>
                    <w:rPr>
                      <w:rFonts w:hint="eastAsia" w:hAnsi="宋体"/>
                      <w:color w:val="000000"/>
                      <w:kern w:val="0"/>
                      <w:szCs w:val="21"/>
                    </w:rPr>
                    <w:t>禁止新建、扩建不符合国家产能置换要求的钢铁、水泥、电解铝、平板玻璃等严重过剩产能行业的项目。</w:t>
                  </w:r>
                </w:p>
              </w:tc>
              <w:tc>
                <w:tcPr>
                  <w:tcW w:w="1845" w:type="dxa"/>
                  <w:vAlign w:val="center"/>
                </w:tcPr>
                <w:p>
                  <w:pPr>
                    <w:autoSpaceDE w:val="0"/>
                    <w:autoSpaceDN w:val="0"/>
                    <w:jc w:val="left"/>
                    <w:rPr>
                      <w:rFonts w:hAnsi="宋体"/>
                      <w:color w:val="000000"/>
                      <w:kern w:val="0"/>
                      <w:szCs w:val="21"/>
                    </w:rPr>
                  </w:pPr>
                  <w:r>
                    <w:rPr>
                      <w:rFonts w:hint="eastAsia" w:hAnsi="宋体"/>
                      <w:color w:val="000000"/>
                      <w:kern w:val="0"/>
                      <w:szCs w:val="21"/>
                    </w:rPr>
                    <w:t>本项目不涉及钢铁、水泥、电解铝、平板玻璃等严重产能过剩行业</w:t>
                  </w:r>
                </w:p>
              </w:tc>
              <w:tc>
                <w:tcPr>
                  <w:tcW w:w="870" w:type="dxa"/>
                  <w:vAlign w:val="center"/>
                </w:tcPr>
                <w:p>
                  <w:pPr>
                    <w:autoSpaceDE w:val="0"/>
                    <w:autoSpaceDN w:val="0"/>
                    <w:spacing w:line="360" w:lineRule="auto"/>
                    <w:jc w:val="center"/>
                    <w:rPr>
                      <w:rFonts w:hint="eastAsia" w:hAnsi="宋体"/>
                      <w:kern w:val="0"/>
                      <w:szCs w:val="21"/>
                    </w:rPr>
                  </w:pPr>
                  <w:r>
                    <w:rPr>
                      <w:rFonts w:hint="eastAsia" w:hAnsi="宋体"/>
                      <w:kern w:val="0"/>
                      <w:szCs w:val="21"/>
                    </w:rPr>
                    <w:t>符合</w:t>
                  </w:r>
                </w:p>
              </w:tc>
            </w:tr>
          </w:tbl>
          <w:p>
            <w:pPr>
              <w:autoSpaceDE w:val="0"/>
              <w:autoSpaceDN w:val="0"/>
              <w:adjustRightInd w:val="0"/>
              <w:spacing w:line="360" w:lineRule="auto"/>
              <w:ind w:firstLine="480" w:firstLineChars="200"/>
              <w:jc w:val="left"/>
              <w:rPr>
                <w:rFonts w:hint="eastAsia"/>
                <w:b/>
                <w:bCs/>
                <w:color w:val="000000"/>
                <w:sz w:val="24"/>
                <w:lang w:val="en-US" w:eastAsia="zh-CN"/>
              </w:rPr>
            </w:pPr>
            <w:r>
              <w:rPr>
                <w:rFonts w:hint="eastAsia"/>
                <w:color w:val="000000"/>
                <w:sz w:val="24"/>
              </w:rPr>
              <w:t>综上所述，本项目</w:t>
            </w:r>
            <w:r>
              <w:rPr>
                <w:rFonts w:hint="eastAsia"/>
                <w:color w:val="000000"/>
                <w:sz w:val="24"/>
                <w:lang w:val="en-US" w:eastAsia="zh-CN"/>
              </w:rPr>
              <w:t>建设</w:t>
            </w:r>
            <w:r>
              <w:rPr>
                <w:rFonts w:hint="eastAsia" w:hAnsi="宋体"/>
                <w:color w:val="000000"/>
                <w:kern w:val="0"/>
                <w:sz w:val="24"/>
              </w:rPr>
              <w:t>不在安徽省长江经济带发展负面清单中，</w:t>
            </w:r>
            <w:r>
              <w:rPr>
                <w:rFonts w:hint="eastAsia"/>
                <w:color w:val="000000"/>
                <w:sz w:val="24"/>
              </w:rPr>
              <w:t>符合《安徽省长江经济带发展负面清单实施细则（试行）》要求。</w:t>
            </w:r>
          </w:p>
          <w:p>
            <w:pPr>
              <w:autoSpaceDE w:val="0"/>
              <w:autoSpaceDN w:val="0"/>
              <w:adjustRightInd w:val="0"/>
              <w:spacing w:line="360" w:lineRule="auto"/>
              <w:ind w:firstLine="482" w:firstLineChars="200"/>
              <w:jc w:val="left"/>
              <w:rPr>
                <w:rFonts w:hAnsi="宋体"/>
                <w:b/>
                <w:color w:val="000000"/>
                <w:kern w:val="0"/>
                <w:sz w:val="24"/>
              </w:rPr>
            </w:pPr>
            <w:r>
              <w:rPr>
                <w:rFonts w:hint="eastAsia"/>
                <w:b/>
                <w:bCs/>
                <w:color w:val="000000"/>
                <w:sz w:val="24"/>
                <w:lang w:val="en-US" w:eastAsia="zh-CN"/>
              </w:rPr>
              <w:t>4、</w:t>
            </w:r>
            <w:r>
              <w:rPr>
                <w:rFonts w:hint="eastAsia"/>
                <w:b/>
                <w:bCs/>
                <w:color w:val="000000"/>
                <w:sz w:val="24"/>
              </w:rPr>
              <w:t>与《关于全面打造水清岸绿产业优美丽长江（芜湖）经济带的实施方案（升级版）》（皖发[2021]19 号）相符性分析</w:t>
            </w:r>
          </w:p>
          <w:p>
            <w:pPr>
              <w:autoSpaceDE w:val="0"/>
              <w:autoSpaceDN w:val="0"/>
              <w:adjustRightInd w:val="0"/>
              <w:spacing w:line="360" w:lineRule="auto"/>
              <w:ind w:firstLine="482" w:firstLineChars="200"/>
              <w:jc w:val="center"/>
              <w:rPr>
                <w:rFonts w:hint="eastAsia" w:hAnsi="宋体"/>
                <w:b/>
                <w:color w:val="000000"/>
                <w:kern w:val="0"/>
                <w:sz w:val="24"/>
              </w:rPr>
            </w:pPr>
            <w:r>
              <w:rPr>
                <w:rFonts w:hint="eastAsia" w:hAnsi="宋体"/>
                <w:b/>
                <w:color w:val="000000"/>
                <w:kern w:val="0"/>
                <w:sz w:val="24"/>
              </w:rPr>
              <w:t>表 1-</w:t>
            </w:r>
            <w:r>
              <w:rPr>
                <w:rFonts w:hint="eastAsia" w:hAnsi="宋体"/>
                <w:b/>
                <w:color w:val="000000"/>
                <w:kern w:val="0"/>
                <w:sz w:val="24"/>
                <w:lang w:val="en-US" w:eastAsia="zh-CN"/>
              </w:rPr>
              <w:t xml:space="preserve">5  </w:t>
            </w:r>
            <w:r>
              <w:rPr>
                <w:rFonts w:hint="eastAsia" w:hAnsi="宋体"/>
                <w:b/>
                <w:color w:val="000000"/>
                <w:kern w:val="0"/>
                <w:sz w:val="24"/>
              </w:rPr>
              <w:t>本项目与“关于全面打造水清岸绿产业优美丽长江（芜湖）经济带的实施意见”相符性分析</w:t>
            </w:r>
          </w:p>
          <w:tbl>
            <w:tblPr>
              <w:tblStyle w:val="58"/>
              <w:tblW w:w="480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607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65" w:type="dxa"/>
                  <w:shd w:val="clear" w:color="auto" w:fill="auto"/>
                  <w:vAlign w:val="center"/>
                </w:tcPr>
                <w:p>
                  <w:pPr>
                    <w:widowControl/>
                    <w:jc w:val="center"/>
                    <w:rPr>
                      <w:rFonts w:hAnsi="宋体"/>
                      <w:b/>
                      <w:kern w:val="0"/>
                      <w:szCs w:val="21"/>
                    </w:rPr>
                  </w:pPr>
                  <w:r>
                    <w:rPr>
                      <w:rFonts w:hint="eastAsia" w:hAnsi="宋体"/>
                      <w:b/>
                      <w:kern w:val="0"/>
                      <w:szCs w:val="21"/>
                    </w:rPr>
                    <w:t>文件内</w:t>
                  </w:r>
                </w:p>
              </w:tc>
              <w:tc>
                <w:tcPr>
                  <w:tcW w:w="6074" w:type="dxa"/>
                  <w:shd w:val="clear" w:color="auto" w:fill="auto"/>
                  <w:vAlign w:val="center"/>
                </w:tcPr>
                <w:p>
                  <w:pPr>
                    <w:widowControl/>
                    <w:snapToGrid w:val="0"/>
                    <w:jc w:val="center"/>
                    <w:rPr>
                      <w:rFonts w:hAnsi="宋体"/>
                      <w:b/>
                      <w:kern w:val="0"/>
                      <w:szCs w:val="21"/>
                    </w:rPr>
                  </w:pPr>
                  <w:r>
                    <w:rPr>
                      <w:rFonts w:hint="eastAsia" w:hAnsi="宋体"/>
                      <w:b/>
                      <w:kern w:val="0"/>
                      <w:szCs w:val="21"/>
                    </w:rPr>
                    <w:t>具体要求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1065" w:type="dxa"/>
                  <w:shd w:val="clear" w:color="auto" w:fill="auto"/>
                  <w:vAlign w:val="center"/>
                </w:tcPr>
                <w:p>
                  <w:pPr>
                    <w:widowControl/>
                    <w:snapToGrid w:val="0"/>
                    <w:ind w:right="-105" w:rightChars="-50"/>
                    <w:jc w:val="left"/>
                    <w:rPr>
                      <w:rFonts w:hAnsi="宋体"/>
                      <w:kern w:val="0"/>
                      <w:szCs w:val="21"/>
                    </w:rPr>
                  </w:pPr>
                  <w:r>
                    <w:rPr>
                      <w:rFonts w:hint="eastAsia" w:hAnsi="宋体"/>
                      <w:kern w:val="0"/>
                      <w:szCs w:val="21"/>
                    </w:rPr>
                    <w:t>严禁 1公里范围内新建化工项目</w:t>
                  </w:r>
                </w:p>
              </w:tc>
              <w:tc>
                <w:tcPr>
                  <w:tcW w:w="6074" w:type="dxa"/>
                  <w:shd w:val="clear" w:color="auto" w:fill="auto"/>
                  <w:vAlign w:val="center"/>
                </w:tcPr>
                <w:p>
                  <w:pPr>
                    <w:widowControl/>
                    <w:snapToGrid w:val="0"/>
                    <w:ind w:left="-105" w:leftChars="-50" w:right="-105" w:rightChars="-50" w:firstLine="420" w:firstLineChars="200"/>
                    <w:jc w:val="left"/>
                    <w:rPr>
                      <w:rFonts w:hAnsi="宋体"/>
                      <w:kern w:val="0"/>
                      <w:szCs w:val="21"/>
                    </w:rPr>
                  </w:pPr>
                  <w:r>
                    <w:rPr>
                      <w:rFonts w:hint="eastAsia" w:hAnsi="宋体"/>
                      <w:kern w:val="0"/>
                      <w:szCs w:val="21"/>
                    </w:rPr>
                    <w:t>严禁 1 公里范围内新建化工项目。长江干支流岸线 1 公里范围内，严禁新建、扩建化工园区和化工项目。已批未开工的项目，依法停止建设，支持重新选址。已经开工建设的项目，严格进行检查评估，不符合岸线规划和环保、安全要求的，全部依法依规停建搬迁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7" w:hRule="atLeast"/>
                <w:jc w:val="center"/>
              </w:trPr>
              <w:tc>
                <w:tcPr>
                  <w:tcW w:w="1065" w:type="dxa"/>
                  <w:shd w:val="clear" w:color="auto" w:fill="auto"/>
                  <w:vAlign w:val="center"/>
                </w:tcPr>
                <w:p>
                  <w:pPr>
                    <w:widowControl/>
                    <w:snapToGrid w:val="0"/>
                    <w:ind w:right="-105" w:rightChars="-50"/>
                    <w:jc w:val="left"/>
                    <w:rPr>
                      <w:rFonts w:hint="eastAsia" w:hAnsi="宋体"/>
                      <w:kern w:val="0"/>
                      <w:szCs w:val="21"/>
                    </w:rPr>
                  </w:pPr>
                  <w:r>
                    <w:rPr>
                      <w:rFonts w:hint="eastAsia" w:hAnsi="宋体"/>
                      <w:kern w:val="0"/>
                      <w:szCs w:val="21"/>
                    </w:rPr>
                    <w:t>严控 5公里范围内新建重化工重污染项目</w:t>
                  </w:r>
                </w:p>
              </w:tc>
              <w:tc>
                <w:tcPr>
                  <w:tcW w:w="6074" w:type="dxa"/>
                  <w:shd w:val="clear" w:color="auto" w:fill="auto"/>
                  <w:vAlign w:val="center"/>
                </w:tcPr>
                <w:p>
                  <w:pPr>
                    <w:widowControl/>
                    <w:snapToGrid w:val="0"/>
                    <w:ind w:left="-105" w:leftChars="-50" w:right="-105" w:rightChars="-50" w:firstLine="420" w:firstLineChars="200"/>
                    <w:jc w:val="left"/>
                    <w:rPr>
                      <w:rFonts w:hint="eastAsia" w:hAnsi="宋体"/>
                      <w:kern w:val="0"/>
                      <w:szCs w:val="21"/>
                    </w:rPr>
                  </w:pPr>
                  <w:r>
                    <w:rPr>
                      <w:rFonts w:hint="eastAsia" w:hAnsi="宋体"/>
                      <w:kern w:val="0"/>
                      <w:szCs w:val="21"/>
                    </w:rPr>
                    <w:t>严控 5 公里范围内新建重化工重污染项目。长江干流岸线 5 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79" w:hRule="atLeast"/>
                <w:jc w:val="center"/>
              </w:trPr>
              <w:tc>
                <w:tcPr>
                  <w:tcW w:w="1065" w:type="dxa"/>
                  <w:shd w:val="clear" w:color="auto" w:fill="auto"/>
                  <w:vAlign w:val="center"/>
                </w:tcPr>
                <w:p>
                  <w:pPr>
                    <w:widowControl/>
                    <w:snapToGrid w:val="0"/>
                    <w:ind w:right="-105" w:rightChars="-50"/>
                    <w:jc w:val="left"/>
                    <w:rPr>
                      <w:rFonts w:hint="eastAsia" w:hAnsi="宋体"/>
                      <w:kern w:val="0"/>
                      <w:szCs w:val="21"/>
                    </w:rPr>
                  </w:pPr>
                  <w:r>
                    <w:rPr>
                      <w:rFonts w:hint="eastAsia" w:hAnsi="宋体"/>
                      <w:kern w:val="0"/>
                      <w:szCs w:val="21"/>
                    </w:rPr>
                    <w:t>严管 1</w:t>
                  </w:r>
                  <w:r>
                    <w:rPr>
                      <w:rFonts w:hint="eastAsia" w:hAnsi="宋体"/>
                      <w:kern w:val="0"/>
                      <w:szCs w:val="21"/>
                      <w:lang w:val="en-US" w:eastAsia="zh-CN"/>
                    </w:rPr>
                    <w:t>5</w:t>
                  </w:r>
                  <w:r>
                    <w:rPr>
                      <w:rFonts w:hint="eastAsia" w:hAnsi="宋体"/>
                      <w:kern w:val="0"/>
                      <w:szCs w:val="21"/>
                    </w:rPr>
                    <w:t>公里范围内新建项目</w:t>
                  </w:r>
                </w:p>
              </w:tc>
              <w:tc>
                <w:tcPr>
                  <w:tcW w:w="6074" w:type="dxa"/>
                  <w:shd w:val="clear" w:color="auto" w:fill="auto"/>
                  <w:vAlign w:val="center"/>
                </w:tcPr>
                <w:p>
                  <w:pPr>
                    <w:widowControl/>
                    <w:snapToGrid w:val="0"/>
                    <w:ind w:left="-105" w:leftChars="-50" w:right="-105" w:rightChars="-50" w:firstLine="420" w:firstLineChars="200"/>
                    <w:jc w:val="left"/>
                    <w:rPr>
                      <w:rFonts w:hint="eastAsia" w:hAnsi="宋体"/>
                      <w:kern w:val="0"/>
                      <w:szCs w:val="21"/>
                    </w:rPr>
                  </w:pPr>
                  <w:r>
                    <w:rPr>
                      <w:rFonts w:hint="eastAsia" w:hAnsi="宋体"/>
                      <w:kern w:val="0"/>
                      <w:szCs w:val="21"/>
                    </w:rPr>
                    <w:t>严管 15 公里范围内新建项目。长江干流岸线 15 公里范围内，严把各类项目准入门槛，严格执行环境保护标准，把主要污染物和重点重金属排放总量控制目标作为新(改、扩)建项目环评审批的前置条件，禁止建设没有环境容量和减排总量项目。在岸线开发、河段利用、区域活动和产业发展等方面，严格执行《长江经济带发展负面清单指南(试行)》《安徽省长江经济带发展负面清单实施细则(试行)》。实施备案、环评、安评、能评等并联审批，未落实生态环保、安全生产、能源节约要求的，一律不得开工建设</w:t>
                  </w:r>
                </w:p>
              </w:tc>
            </w:tr>
          </w:tbl>
          <w:p>
            <w:pPr>
              <w:autoSpaceDE w:val="0"/>
              <w:autoSpaceDN w:val="0"/>
              <w:adjustRightInd w:val="0"/>
              <w:spacing w:line="360" w:lineRule="auto"/>
              <w:ind w:firstLine="480" w:firstLineChars="200"/>
              <w:jc w:val="left"/>
            </w:pPr>
            <w:r>
              <w:rPr>
                <w:sz w:val="24"/>
              </w:rPr>
              <w:t>本项目距离</w:t>
            </w:r>
            <w:r>
              <w:rPr>
                <w:color w:val="auto"/>
                <w:sz w:val="24"/>
              </w:rPr>
              <w:t>长江</w:t>
            </w:r>
            <w:r>
              <w:rPr>
                <w:rFonts w:hint="eastAsia"/>
                <w:color w:val="auto"/>
                <w:sz w:val="24"/>
                <w:lang w:val="en-US" w:eastAsia="zh-CN"/>
              </w:rPr>
              <w:t>9.5</w:t>
            </w:r>
            <w:r>
              <w:rPr>
                <w:color w:val="auto"/>
                <w:sz w:val="24"/>
              </w:rPr>
              <w:t>公里</w:t>
            </w:r>
            <w:r>
              <w:rPr>
                <w:rFonts w:hint="eastAsia"/>
                <w:color w:val="auto"/>
                <w:sz w:val="24"/>
              </w:rPr>
              <w:t>，</w:t>
            </w:r>
            <w:r>
              <w:rPr>
                <w:rFonts w:hint="eastAsia"/>
                <w:color w:val="auto"/>
                <w:sz w:val="24"/>
                <w:lang w:val="en-US" w:eastAsia="zh-CN"/>
              </w:rPr>
              <w:t>青弋江7.5公里，</w:t>
            </w:r>
            <w:r>
              <w:rPr>
                <w:rFonts w:hint="eastAsia"/>
                <w:color w:val="000000"/>
                <w:sz w:val="24"/>
              </w:rPr>
              <w:t>在长江干流岸线1</w:t>
            </w:r>
            <w:r>
              <w:rPr>
                <w:rFonts w:hint="eastAsia"/>
                <w:color w:val="000000"/>
                <w:sz w:val="24"/>
                <w:lang w:val="en-US" w:eastAsia="zh-CN"/>
              </w:rPr>
              <w:t>5</w:t>
            </w:r>
            <w:r>
              <w:rPr>
                <w:rFonts w:hint="eastAsia"/>
                <w:color w:val="000000"/>
                <w:sz w:val="24"/>
              </w:rPr>
              <w:t>公里范围之内。本项目生活污水</w:t>
            </w:r>
            <w:r>
              <w:rPr>
                <w:rFonts w:hint="eastAsia"/>
                <w:color w:val="000000"/>
                <w:sz w:val="24"/>
                <w:lang w:val="en-US" w:eastAsia="zh-CN"/>
              </w:rPr>
              <w:t>经</w:t>
            </w:r>
            <w:r>
              <w:rPr>
                <w:rFonts w:hint="eastAsia"/>
                <w:color w:val="000000"/>
                <w:sz w:val="24"/>
              </w:rPr>
              <w:t>化粪池处理后排入开发区污水管网，经芜湖市城东污水处理厂处理后达标排入青弋江，废水排放不涉及重点重金属。项目落实备案、安评、能评、环评审批制度，满足生态环保、安全生产和节约能源的要求。因此本项目符合长江干流 15 公里严管</w:t>
            </w:r>
            <w:r>
              <w:rPr>
                <w:rFonts w:hint="eastAsia"/>
                <w:color w:val="000000"/>
                <w:sz w:val="24"/>
                <w:lang w:val="en-US" w:eastAsia="zh-CN"/>
              </w:rPr>
              <w:t>要</w:t>
            </w:r>
            <w:r>
              <w:rPr>
                <w:rFonts w:hint="eastAsia"/>
                <w:color w:val="000000"/>
                <w:sz w:val="24"/>
              </w:rPr>
              <w:t>求</w:t>
            </w:r>
            <w:r>
              <w:rPr>
                <w:rFonts w:hint="eastAsia"/>
                <w:color w:val="000000"/>
                <w:sz w:val="24"/>
                <w:lang w:eastAsia="zh-CN"/>
              </w:rPr>
              <w:t>。</w:t>
            </w:r>
          </w:p>
          <w:p>
            <w:pPr>
              <w:autoSpaceDE w:val="0"/>
              <w:autoSpaceDN w:val="0"/>
              <w:adjustRightInd w:val="0"/>
              <w:spacing w:line="360" w:lineRule="auto"/>
              <w:ind w:firstLine="482" w:firstLineChars="200"/>
              <w:rPr>
                <w:rFonts w:ascii="宋体" w:hAnsi="宋体" w:cs="宋体"/>
                <w:sz w:val="24"/>
              </w:rPr>
            </w:pPr>
            <w:r>
              <w:rPr>
                <w:rFonts w:hint="eastAsia"/>
                <w:b/>
                <w:bCs/>
                <w:color w:val="000000"/>
                <w:sz w:val="24"/>
                <w:lang w:val="en-US" w:eastAsia="zh-CN"/>
              </w:rPr>
              <w:t>5</w:t>
            </w:r>
            <w:r>
              <w:rPr>
                <w:rFonts w:hint="eastAsia"/>
                <w:b/>
                <w:bCs/>
                <w:color w:val="000000"/>
                <w:sz w:val="24"/>
              </w:rPr>
              <w:t xml:space="preserve">、与《安徽省 2021 年应对气候变化和大气污染防治重点工作任务》（皖大气办 [2021]3 号文）相符性分析 </w:t>
            </w:r>
            <w:r>
              <w:rPr>
                <w:rFonts w:ascii="宋体" w:hAnsi="宋体" w:cs="宋体"/>
                <w:sz w:val="24"/>
              </w:rPr>
              <w:t xml:space="preserve"> </w:t>
            </w:r>
          </w:p>
          <w:p>
            <w:pPr>
              <w:spacing w:before="120" w:beforeLines="50"/>
              <w:jc w:val="center"/>
              <w:rPr>
                <w:b/>
                <w:bCs/>
                <w:sz w:val="24"/>
              </w:rPr>
            </w:pPr>
            <w:r>
              <w:rPr>
                <w:b/>
                <w:bCs/>
                <w:sz w:val="24"/>
              </w:rPr>
              <w:t>表 1-</w:t>
            </w:r>
            <w:r>
              <w:rPr>
                <w:rFonts w:hint="eastAsia"/>
                <w:b/>
                <w:bCs/>
                <w:sz w:val="24"/>
                <w:lang w:val="en-US" w:eastAsia="zh-CN"/>
              </w:rPr>
              <w:t xml:space="preserve">6 </w:t>
            </w:r>
            <w:r>
              <w:rPr>
                <w:b/>
                <w:bCs/>
                <w:sz w:val="24"/>
              </w:rPr>
              <w:t xml:space="preserve"> 与“皖大气办[2021]3 号文”相符性分析</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440"/>
              <w:gridCol w:w="2308"/>
              <w:gridCol w:w="68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40" w:type="dxa"/>
                  <w:shd w:val="clear" w:color="auto" w:fill="auto"/>
                  <w:vAlign w:val="center"/>
                </w:tcPr>
                <w:p>
                  <w:pPr>
                    <w:widowControl/>
                    <w:jc w:val="center"/>
                    <w:rPr>
                      <w:rFonts w:hAnsi="宋体"/>
                      <w:b/>
                      <w:kern w:val="0"/>
                      <w:szCs w:val="21"/>
                    </w:rPr>
                  </w:pPr>
                  <w:r>
                    <w:rPr>
                      <w:rFonts w:hint="eastAsia" w:ascii="宋体" w:hAnsi="宋体" w:cs="宋体"/>
                      <w:b/>
                      <w:bCs/>
                      <w:color w:val="000000"/>
                      <w:kern w:val="0"/>
                      <w:sz w:val="20"/>
                      <w:szCs w:val="20"/>
                      <w:lang w:bidi="ar"/>
                    </w:rPr>
                    <w:t>文件要求</w:t>
                  </w:r>
                </w:p>
              </w:tc>
              <w:tc>
                <w:tcPr>
                  <w:tcW w:w="2308" w:type="dxa"/>
                  <w:shd w:val="clear" w:color="auto" w:fill="auto"/>
                  <w:vAlign w:val="center"/>
                </w:tcPr>
                <w:p>
                  <w:pPr>
                    <w:widowControl/>
                    <w:snapToGrid w:val="0"/>
                    <w:jc w:val="center"/>
                    <w:rPr>
                      <w:rFonts w:hAnsi="宋体"/>
                      <w:b/>
                      <w:kern w:val="0"/>
                      <w:szCs w:val="21"/>
                    </w:rPr>
                  </w:pPr>
                  <w:r>
                    <w:rPr>
                      <w:rFonts w:hAnsi="宋体"/>
                      <w:b/>
                      <w:kern w:val="0"/>
                      <w:szCs w:val="21"/>
                    </w:rPr>
                    <w:t>本项目建设</w:t>
                  </w:r>
                  <w:r>
                    <w:rPr>
                      <w:rFonts w:hint="eastAsia" w:hAnsi="宋体"/>
                      <w:b/>
                      <w:kern w:val="0"/>
                      <w:szCs w:val="21"/>
                    </w:rPr>
                    <w:t>情况</w:t>
                  </w:r>
                </w:p>
              </w:tc>
              <w:tc>
                <w:tcPr>
                  <w:tcW w:w="685" w:type="dxa"/>
                  <w:vAlign w:val="center"/>
                </w:tcPr>
                <w:p>
                  <w:pPr>
                    <w:widowControl/>
                    <w:snapToGrid w:val="0"/>
                    <w:ind w:left="-105" w:leftChars="-50" w:right="-105" w:rightChars="-50"/>
                    <w:jc w:val="center"/>
                    <w:rPr>
                      <w:b/>
                      <w:kern w:val="0"/>
                      <w:szCs w:val="21"/>
                    </w:rPr>
                  </w:pPr>
                  <w:r>
                    <w:rPr>
                      <w:rFonts w:hint="eastAsia"/>
                      <w:b/>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40" w:type="dxa"/>
                  <w:shd w:val="clear" w:color="auto" w:fill="auto"/>
                  <w:vAlign w:val="center"/>
                </w:tcPr>
                <w:p>
                  <w:pPr>
                    <w:widowControl/>
                    <w:snapToGrid w:val="0"/>
                    <w:ind w:left="-105" w:leftChars="-50" w:right="-105" w:rightChars="-50" w:firstLine="420" w:firstLineChars="200"/>
                    <w:jc w:val="left"/>
                    <w:rPr>
                      <w:rFonts w:hAnsi="宋体"/>
                      <w:kern w:val="0"/>
                      <w:szCs w:val="21"/>
                    </w:rPr>
                  </w:pPr>
                  <w:r>
                    <w:rPr>
                      <w:rFonts w:hint="eastAsia" w:hAnsi="宋体"/>
                      <w:kern w:val="0"/>
                      <w:szCs w:val="21"/>
                    </w:rPr>
                    <w:t>加快推动 VOC</w:t>
                  </w:r>
                  <w:r>
                    <w:rPr>
                      <w:rFonts w:hint="eastAsia" w:hAnsi="宋体"/>
                      <w:kern w:val="0"/>
                      <w:szCs w:val="21"/>
                      <w:vertAlign w:val="subscript"/>
                    </w:rPr>
                    <w:t>s</w:t>
                  </w:r>
                  <w:r>
                    <w:rPr>
                      <w:rFonts w:hint="eastAsia" w:hAnsi="宋体"/>
                      <w:kern w:val="0"/>
                      <w:szCs w:val="21"/>
                    </w:rPr>
                    <w:t xml:space="preserve"> 精细化治理。实施 VOC</w:t>
                  </w:r>
                  <w:r>
                    <w:rPr>
                      <w:rFonts w:hint="eastAsia" w:hAnsi="宋体"/>
                      <w:kern w:val="0"/>
                      <w:szCs w:val="21"/>
                      <w:vertAlign w:val="subscript"/>
                    </w:rPr>
                    <w:t>s</w:t>
                  </w:r>
                  <w:r>
                    <w:rPr>
                      <w:rFonts w:hint="eastAsia" w:hAnsi="宋体"/>
                      <w:kern w:val="0"/>
                      <w:szCs w:val="21"/>
                    </w:rPr>
                    <w:t xml:space="preserve"> 产品源头替代工程，严格落实《油墨中可挥发性有机化合物含量的限值》等国家产品 VOC</w:t>
                  </w:r>
                  <w:r>
                    <w:rPr>
                      <w:rFonts w:hint="eastAsia" w:hAnsi="宋体"/>
                      <w:kern w:val="0"/>
                      <w:szCs w:val="21"/>
                      <w:vertAlign w:val="subscript"/>
                    </w:rPr>
                    <w:t>s</w:t>
                  </w:r>
                  <w:r>
                    <w:rPr>
                      <w:rFonts w:hint="eastAsia" w:hAnsi="宋体"/>
                      <w:kern w:val="0"/>
                      <w:szCs w:val="21"/>
                    </w:rPr>
                    <w:t xml:space="preserve"> 含量限值标准，推进家具制造、汽车制造、印刷和记录媒介、橡胶和塑料制品等行业低 VOC</w:t>
                  </w:r>
                  <w:r>
                    <w:rPr>
                      <w:rFonts w:hint="eastAsia" w:hAnsi="宋体"/>
                      <w:kern w:val="0"/>
                      <w:szCs w:val="21"/>
                      <w:vertAlign w:val="subscript"/>
                    </w:rPr>
                    <w:t xml:space="preserve">s </w:t>
                  </w:r>
                  <w:r>
                    <w:rPr>
                      <w:rFonts w:hint="eastAsia" w:hAnsi="宋体"/>
                      <w:kern w:val="0"/>
                      <w:szCs w:val="21"/>
                    </w:rPr>
                    <w:t>含量原辅材料替代。实施重点企业 VOC</w:t>
                  </w:r>
                  <w:r>
                    <w:rPr>
                      <w:rFonts w:hint="eastAsia" w:hAnsi="宋体"/>
                      <w:kern w:val="0"/>
                      <w:szCs w:val="21"/>
                      <w:vertAlign w:val="subscript"/>
                    </w:rPr>
                    <w:t>s</w:t>
                  </w:r>
                  <w:r>
                    <w:rPr>
                      <w:rFonts w:hint="eastAsia" w:hAnsi="宋体"/>
                      <w:kern w:val="0"/>
                      <w:szCs w:val="21"/>
                    </w:rPr>
                    <w:t xml:space="preserve"> 综合治理工程，编制执行“一企一策”，推进治污设施改造升级。继续加强无组织排放管控，9 月底前，各地集中开展一次 VOC</w:t>
                  </w:r>
                  <w:r>
                    <w:rPr>
                      <w:rFonts w:hint="eastAsia" w:hAnsi="宋体"/>
                      <w:kern w:val="0"/>
                      <w:szCs w:val="21"/>
                      <w:vertAlign w:val="subscript"/>
                    </w:rPr>
                    <w:t>s</w:t>
                  </w:r>
                  <w:r>
                    <w:rPr>
                      <w:rFonts w:hint="eastAsia" w:hAnsi="宋体"/>
                      <w:kern w:val="0"/>
                      <w:szCs w:val="21"/>
                    </w:rPr>
                    <w:t xml:space="preserve"> 整治专项执法行动。省级及以上开发区和省级化工园区，年内完成至少一轮走航监测、红外热成像等智能监测。提升涉 VOC</w:t>
                  </w:r>
                  <w:r>
                    <w:rPr>
                      <w:rFonts w:hint="eastAsia" w:hAnsi="宋体"/>
                      <w:kern w:val="0"/>
                      <w:szCs w:val="21"/>
                      <w:vertAlign w:val="subscript"/>
                    </w:rPr>
                    <w:t>s</w:t>
                  </w:r>
                  <w:r>
                    <w:rPr>
                      <w:rFonts w:hint="eastAsia" w:hAnsi="宋体"/>
                      <w:kern w:val="0"/>
                      <w:szCs w:val="21"/>
                    </w:rPr>
                    <w:t xml:space="preserve"> 企业“双随机一公开”执法水平。</w:t>
                  </w:r>
                </w:p>
              </w:tc>
              <w:tc>
                <w:tcPr>
                  <w:tcW w:w="2308" w:type="dxa"/>
                  <w:shd w:val="clear" w:color="auto" w:fill="auto"/>
                  <w:vAlign w:val="center"/>
                </w:tcPr>
                <w:p>
                  <w:pPr>
                    <w:widowControl/>
                    <w:snapToGrid w:val="0"/>
                    <w:ind w:left="-105" w:leftChars="-50" w:right="-105" w:rightChars="-50" w:firstLine="420" w:firstLineChars="200"/>
                    <w:jc w:val="left"/>
                    <w:rPr>
                      <w:rFonts w:hint="default" w:hAnsi="宋体" w:eastAsia="宋体"/>
                      <w:kern w:val="0"/>
                      <w:szCs w:val="21"/>
                      <w:lang w:val="en-US" w:eastAsia="zh-CN"/>
                    </w:rPr>
                  </w:pPr>
                  <w:r>
                    <w:rPr>
                      <w:rFonts w:hint="eastAsia" w:hAnsi="宋体"/>
                      <w:kern w:val="0"/>
                      <w:szCs w:val="21"/>
                    </w:rPr>
                    <w:t>本项目加强 VOC</w:t>
                  </w:r>
                  <w:r>
                    <w:rPr>
                      <w:rFonts w:hint="eastAsia" w:hAnsi="宋体"/>
                      <w:kern w:val="0"/>
                      <w:szCs w:val="21"/>
                      <w:vertAlign w:val="subscript"/>
                    </w:rPr>
                    <w:t>s</w:t>
                  </w:r>
                  <w:r>
                    <w:rPr>
                      <w:rFonts w:hint="eastAsia" w:hAnsi="宋体"/>
                      <w:kern w:val="0"/>
                      <w:szCs w:val="21"/>
                    </w:rPr>
                    <w:t xml:space="preserve"> 治理工作，加强无组织排放管控：项目</w:t>
                  </w:r>
                  <w:r>
                    <w:rPr>
                      <w:rFonts w:hint="eastAsia" w:hAnsi="宋体"/>
                      <w:kern w:val="0"/>
                      <w:szCs w:val="21"/>
                      <w:lang w:val="en-US" w:eastAsia="zh-CN"/>
                    </w:rPr>
                    <w:t>排污</w:t>
                  </w:r>
                  <w:r>
                    <w:rPr>
                      <w:rFonts w:hint="eastAsia" w:hAnsi="宋体"/>
                      <w:kern w:val="0"/>
                      <w:szCs w:val="21"/>
                    </w:rPr>
                    <w:t>许可证实行登记管理，</w:t>
                  </w:r>
                  <w:r>
                    <w:rPr>
                      <w:rFonts w:hint="eastAsia" w:hAnsi="宋体"/>
                      <w:kern w:val="0"/>
                      <w:szCs w:val="21"/>
                      <w:lang w:val="en-US" w:eastAsia="zh-CN"/>
                    </w:rPr>
                    <w:t>注塑废气</w:t>
                  </w:r>
                  <w:r>
                    <w:rPr>
                      <w:rFonts w:hint="eastAsia" w:hAnsi="宋体"/>
                      <w:kern w:val="0"/>
                      <w:szCs w:val="21"/>
                    </w:rPr>
                    <w:t>采用集气罩收集+两级活性炭吸附</w:t>
                  </w:r>
                  <w:r>
                    <w:rPr>
                      <w:rFonts w:hint="eastAsia" w:hAnsi="宋体"/>
                      <w:kern w:val="0"/>
                      <w:szCs w:val="21"/>
                      <w:lang w:val="en-US" w:eastAsia="zh-CN"/>
                    </w:rPr>
                    <w:t>处理。</w:t>
                  </w:r>
                </w:p>
              </w:tc>
              <w:tc>
                <w:tcPr>
                  <w:tcW w:w="685" w:type="dxa"/>
                  <w:vAlign w:val="center"/>
                </w:tcPr>
                <w:p>
                  <w:pPr>
                    <w:widowControl/>
                    <w:snapToGrid w:val="0"/>
                    <w:ind w:right="-105" w:rightChars="-50"/>
                    <w:jc w:val="left"/>
                    <w:rPr>
                      <w:rFonts w:hAnsi="宋体"/>
                      <w:kern w:val="0"/>
                      <w:szCs w:val="21"/>
                    </w:rPr>
                  </w:pPr>
                  <w:r>
                    <w:rPr>
                      <w:rFonts w:hint="eastAsia" w:hAnsi="宋体"/>
                      <w:kern w:val="0"/>
                      <w:szCs w:val="21"/>
                    </w:rPr>
                    <w:t>符合</w:t>
                  </w:r>
                </w:p>
              </w:tc>
            </w:tr>
          </w:tbl>
          <w:p>
            <w:pPr>
              <w:spacing w:line="360" w:lineRule="auto"/>
              <w:ind w:firstLine="424" w:firstLineChars="177"/>
              <w:rPr>
                <w:color w:val="000000"/>
                <w:sz w:val="24"/>
              </w:rPr>
            </w:pPr>
            <w:r>
              <w:rPr>
                <w:rFonts w:hint="eastAsia"/>
                <w:color w:val="000000"/>
                <w:sz w:val="24"/>
              </w:rPr>
              <w:t>综上所述，项目建设符合《安徽省2021年应对气候变化和大气污染防治重点工作任务》（皖大气办 [2021]3号文）相关要求。</w:t>
            </w:r>
          </w:p>
          <w:p>
            <w:pPr>
              <w:autoSpaceDE w:val="0"/>
              <w:autoSpaceDN w:val="0"/>
              <w:adjustRightInd w:val="0"/>
              <w:spacing w:line="360" w:lineRule="auto"/>
              <w:ind w:firstLine="482" w:firstLineChars="200"/>
              <w:rPr>
                <w:rFonts w:ascii="宋体" w:hAnsi="宋体" w:cs="宋体"/>
                <w:sz w:val="24"/>
              </w:rPr>
            </w:pPr>
            <w:r>
              <w:rPr>
                <w:rFonts w:hint="eastAsia"/>
                <w:b/>
                <w:bCs/>
                <w:color w:val="000000"/>
                <w:sz w:val="24"/>
                <w:lang w:val="en-US" w:eastAsia="zh-CN"/>
              </w:rPr>
              <w:t>6</w:t>
            </w:r>
            <w:r>
              <w:rPr>
                <w:rFonts w:hint="eastAsia"/>
                <w:b/>
                <w:bCs/>
                <w:color w:val="000000"/>
                <w:sz w:val="24"/>
              </w:rPr>
              <w:t>、与《安徽省大气办关于深入开展挥发性有机物污染治理工作的通知》 （皖大气办[2021]4号</w:t>
            </w:r>
            <w:r>
              <w:rPr>
                <w:rFonts w:hint="eastAsia"/>
                <w:b/>
                <w:bCs/>
                <w:color w:val="000000"/>
                <w:sz w:val="24"/>
                <w:lang w:val="en-US" w:eastAsia="zh-CN"/>
              </w:rPr>
              <w:t>文</w:t>
            </w:r>
            <w:r>
              <w:rPr>
                <w:rFonts w:hint="eastAsia"/>
                <w:b/>
                <w:bCs/>
                <w:color w:val="000000"/>
                <w:sz w:val="24"/>
              </w:rPr>
              <w:t>）相符性分析</w:t>
            </w:r>
            <w:r>
              <w:rPr>
                <w:rFonts w:ascii="宋体" w:hAnsi="宋体" w:cs="宋体"/>
                <w:sz w:val="24"/>
              </w:rPr>
              <w:t xml:space="preserve"> </w:t>
            </w:r>
          </w:p>
          <w:p>
            <w:pPr>
              <w:widowControl/>
              <w:jc w:val="center"/>
              <w:rPr>
                <w:b/>
                <w:bCs/>
                <w:kern w:val="0"/>
                <w:sz w:val="24"/>
              </w:rPr>
            </w:pPr>
            <w:r>
              <w:rPr>
                <w:b/>
                <w:bCs/>
                <w:sz w:val="24"/>
              </w:rPr>
              <w:t>表1-</w:t>
            </w:r>
            <w:r>
              <w:rPr>
                <w:rFonts w:hint="eastAsia"/>
                <w:b/>
                <w:bCs/>
                <w:sz w:val="24"/>
                <w:lang w:val="en-US" w:eastAsia="zh-CN"/>
              </w:rPr>
              <w:t xml:space="preserve">7  </w:t>
            </w:r>
            <w:r>
              <w:rPr>
                <w:b/>
                <w:bCs/>
                <w:sz w:val="24"/>
              </w:rPr>
              <w:t>与《安徽省大气办关于深入开展挥发性有机物污染治理工作的通知》相符性分析</w:t>
            </w:r>
          </w:p>
          <w:tbl>
            <w:tblPr>
              <w:tblStyle w:val="5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3751"/>
              <w:gridCol w:w="2569"/>
              <w:gridCol w:w="4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2" w:type="dxa"/>
                  <w:shd w:val="clear" w:color="auto" w:fill="auto"/>
                  <w:vAlign w:val="center"/>
                </w:tcPr>
                <w:p>
                  <w:pPr>
                    <w:widowControl/>
                    <w:jc w:val="center"/>
                    <w:rPr>
                      <w:rFonts w:ascii="宋体" w:hAnsi="宋体" w:cs="宋体"/>
                      <w:b/>
                      <w:bCs/>
                      <w:color w:val="000000"/>
                      <w:kern w:val="0"/>
                      <w:sz w:val="20"/>
                      <w:szCs w:val="20"/>
                      <w:lang w:bidi="ar"/>
                    </w:rPr>
                  </w:pPr>
                  <w:r>
                    <w:rPr>
                      <w:rFonts w:hint="eastAsia" w:ascii="宋体" w:hAnsi="宋体" w:cs="宋体"/>
                      <w:b/>
                      <w:bCs/>
                      <w:color w:val="000000"/>
                      <w:kern w:val="0"/>
                      <w:sz w:val="20"/>
                      <w:szCs w:val="20"/>
                      <w:lang w:bidi="ar"/>
                    </w:rPr>
                    <w:t>序号</w:t>
                  </w:r>
                </w:p>
              </w:tc>
              <w:tc>
                <w:tcPr>
                  <w:tcW w:w="3751" w:type="dxa"/>
                  <w:shd w:val="clear" w:color="auto" w:fill="auto"/>
                  <w:vAlign w:val="center"/>
                </w:tcPr>
                <w:p>
                  <w:pPr>
                    <w:widowControl/>
                    <w:jc w:val="center"/>
                    <w:rPr>
                      <w:rFonts w:hAnsi="宋体"/>
                      <w:b/>
                      <w:kern w:val="0"/>
                      <w:szCs w:val="21"/>
                    </w:rPr>
                  </w:pPr>
                  <w:r>
                    <w:rPr>
                      <w:rFonts w:hint="eastAsia" w:ascii="宋体" w:hAnsi="宋体" w:cs="宋体"/>
                      <w:b/>
                      <w:bCs/>
                      <w:color w:val="000000"/>
                      <w:kern w:val="0"/>
                      <w:sz w:val="20"/>
                      <w:szCs w:val="20"/>
                      <w:lang w:bidi="ar"/>
                    </w:rPr>
                    <w:t>通知要求</w:t>
                  </w:r>
                </w:p>
              </w:tc>
              <w:tc>
                <w:tcPr>
                  <w:tcW w:w="2569" w:type="dxa"/>
                  <w:shd w:val="clear" w:color="auto" w:fill="auto"/>
                  <w:vAlign w:val="center"/>
                </w:tcPr>
                <w:p>
                  <w:pPr>
                    <w:widowControl/>
                    <w:snapToGrid w:val="0"/>
                    <w:jc w:val="center"/>
                    <w:rPr>
                      <w:rFonts w:hAnsi="宋体"/>
                      <w:b/>
                      <w:kern w:val="0"/>
                      <w:szCs w:val="21"/>
                    </w:rPr>
                  </w:pPr>
                  <w:r>
                    <w:rPr>
                      <w:rFonts w:hAnsi="宋体"/>
                      <w:b/>
                      <w:kern w:val="0"/>
                      <w:szCs w:val="21"/>
                    </w:rPr>
                    <w:t>本项目建设</w:t>
                  </w:r>
                  <w:r>
                    <w:rPr>
                      <w:rFonts w:hint="eastAsia" w:hAnsi="宋体"/>
                      <w:b/>
                      <w:kern w:val="0"/>
                      <w:szCs w:val="21"/>
                    </w:rPr>
                    <w:t>情况</w:t>
                  </w:r>
                </w:p>
              </w:tc>
              <w:tc>
                <w:tcPr>
                  <w:tcW w:w="437" w:type="dxa"/>
                  <w:vAlign w:val="center"/>
                </w:tcPr>
                <w:p>
                  <w:pPr>
                    <w:widowControl/>
                    <w:snapToGrid w:val="0"/>
                    <w:ind w:left="-105" w:leftChars="-50" w:right="-105" w:rightChars="-50"/>
                    <w:jc w:val="center"/>
                    <w:rPr>
                      <w:b/>
                      <w:kern w:val="0"/>
                      <w:szCs w:val="21"/>
                    </w:rPr>
                  </w:pPr>
                  <w:r>
                    <w:rPr>
                      <w:rFonts w:hint="eastAsia"/>
                      <w:b/>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2" w:type="dxa"/>
                  <w:shd w:val="clear" w:color="auto" w:fill="auto"/>
                  <w:vAlign w:val="center"/>
                </w:tcPr>
                <w:p>
                  <w:pPr>
                    <w:jc w:val="center"/>
                  </w:pPr>
                  <w:r>
                    <w:rPr>
                      <w:rFonts w:hint="eastAsia"/>
                    </w:rPr>
                    <w:t>1</w:t>
                  </w:r>
                </w:p>
              </w:tc>
              <w:tc>
                <w:tcPr>
                  <w:tcW w:w="3751" w:type="dxa"/>
                  <w:shd w:val="clear" w:color="auto" w:fill="auto"/>
                  <w:vAlign w:val="center"/>
                </w:tcPr>
                <w:p>
                  <w:pPr>
                    <w:widowControl/>
                    <w:snapToGrid w:val="0"/>
                    <w:ind w:left="-105" w:leftChars="-50" w:right="-105" w:rightChars="-50" w:firstLine="420" w:firstLineChars="200"/>
                    <w:jc w:val="left"/>
                    <w:rPr>
                      <w:rFonts w:hAnsi="宋体"/>
                      <w:kern w:val="0"/>
                      <w:szCs w:val="21"/>
                    </w:rPr>
                  </w:pPr>
                  <w:r>
                    <w:rPr>
                      <w:rFonts w:hint="eastAsia" w:hAnsi="宋体"/>
                      <w:kern w:val="0"/>
                      <w:szCs w:val="21"/>
                    </w:rPr>
                    <w:t>7月1日前各地指导企业建立管理台账，记录VOC</w:t>
                  </w:r>
                  <w:r>
                    <w:rPr>
                      <w:rFonts w:hint="eastAsia" w:hAnsi="宋体"/>
                      <w:kern w:val="0"/>
                      <w:szCs w:val="21"/>
                      <w:vertAlign w:val="subscript"/>
                    </w:rPr>
                    <w:t>s</w:t>
                  </w:r>
                  <w:r>
                    <w:rPr>
                      <w:rFonts w:hint="eastAsia" w:hAnsi="宋体"/>
                      <w:kern w:val="0"/>
                      <w:szCs w:val="21"/>
                    </w:rPr>
                    <w:t>原辅材料的产品名称、VOC</w:t>
                  </w:r>
                  <w:r>
                    <w:rPr>
                      <w:rFonts w:hint="eastAsia" w:hAnsi="宋体"/>
                      <w:kern w:val="0"/>
                      <w:szCs w:val="21"/>
                      <w:vertAlign w:val="subscript"/>
                    </w:rPr>
                    <w:t>s</w:t>
                  </w:r>
                  <w:r>
                    <w:rPr>
                      <w:rFonts w:hint="eastAsia" w:hAnsi="宋体"/>
                      <w:kern w:val="0"/>
                      <w:szCs w:val="21"/>
                    </w:rPr>
                    <w:t>含量和使用量等</w:t>
                  </w:r>
                </w:p>
              </w:tc>
              <w:tc>
                <w:tcPr>
                  <w:tcW w:w="2569" w:type="dxa"/>
                  <w:shd w:val="clear" w:color="auto" w:fill="auto"/>
                  <w:vAlign w:val="center"/>
                </w:tcPr>
                <w:p>
                  <w:pPr>
                    <w:widowControl/>
                    <w:snapToGrid w:val="0"/>
                    <w:ind w:left="-105" w:leftChars="-50" w:right="-105" w:rightChars="-50" w:firstLine="420" w:firstLineChars="200"/>
                    <w:jc w:val="left"/>
                    <w:rPr>
                      <w:rFonts w:hAnsi="宋体"/>
                      <w:kern w:val="0"/>
                      <w:szCs w:val="21"/>
                    </w:rPr>
                  </w:pPr>
                  <w:r>
                    <w:rPr>
                      <w:rFonts w:hint="eastAsia" w:hAnsi="宋体"/>
                      <w:kern w:val="0"/>
                      <w:szCs w:val="21"/>
                    </w:rPr>
                    <w:t>本项目将严格按照通知要求建立健全管理台账。</w:t>
                  </w:r>
                </w:p>
              </w:tc>
              <w:tc>
                <w:tcPr>
                  <w:tcW w:w="437" w:type="dxa"/>
                  <w:vAlign w:val="center"/>
                </w:tcPr>
                <w:p>
                  <w:pPr>
                    <w:widowControl/>
                    <w:snapToGrid w:val="0"/>
                    <w:ind w:right="-105" w:rightChars="-50"/>
                    <w:jc w:val="left"/>
                    <w:rPr>
                      <w:rFonts w:hAnsi="宋体"/>
                      <w:kern w:val="0"/>
                      <w:szCs w:val="21"/>
                    </w:rPr>
                  </w:pPr>
                  <w:r>
                    <w:rPr>
                      <w:rFonts w:hint="eastAsia" w:hAnsi="宋体"/>
                      <w:kern w:val="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2" w:type="dxa"/>
                  <w:shd w:val="clear" w:color="auto" w:fill="auto"/>
                  <w:vAlign w:val="center"/>
                </w:tcPr>
                <w:p>
                  <w:pPr>
                    <w:jc w:val="center"/>
                  </w:pPr>
                  <w:r>
                    <w:rPr>
                      <w:rFonts w:hint="eastAsia"/>
                    </w:rPr>
                    <w:t>2</w:t>
                  </w:r>
                </w:p>
              </w:tc>
              <w:tc>
                <w:tcPr>
                  <w:tcW w:w="3751" w:type="dxa"/>
                  <w:shd w:val="clear" w:color="auto" w:fill="auto"/>
                  <w:vAlign w:val="center"/>
                </w:tcPr>
                <w:p>
                  <w:pPr>
                    <w:widowControl/>
                    <w:snapToGrid w:val="0"/>
                    <w:ind w:left="-105" w:leftChars="-50" w:right="-105" w:rightChars="-50" w:firstLine="420" w:firstLineChars="200"/>
                    <w:jc w:val="left"/>
                    <w:rPr>
                      <w:rFonts w:hAnsi="宋体"/>
                      <w:kern w:val="0"/>
                      <w:szCs w:val="21"/>
                    </w:rPr>
                  </w:pPr>
                  <w:r>
                    <w:rPr>
                      <w:rFonts w:hint="eastAsia" w:hAnsi="宋体"/>
                      <w:kern w:val="0"/>
                      <w:szCs w:val="21"/>
                    </w:rPr>
                    <w:t>不断规范涉VOC</w:t>
                  </w:r>
                  <w:r>
                    <w:rPr>
                      <w:rFonts w:hint="eastAsia" w:hAnsi="宋体"/>
                      <w:kern w:val="0"/>
                      <w:szCs w:val="21"/>
                      <w:vertAlign w:val="subscript"/>
                    </w:rPr>
                    <w:t>s</w:t>
                  </w:r>
                  <w:r>
                    <w:rPr>
                      <w:rFonts w:hint="eastAsia" w:hAnsi="宋体"/>
                      <w:kern w:val="0"/>
                      <w:szCs w:val="21"/>
                    </w:rPr>
                    <w:t>工业企业的排污许 可登记管理，落实企业VOC</w:t>
                  </w:r>
                  <w:r>
                    <w:rPr>
                      <w:rFonts w:hint="eastAsia" w:hAnsi="宋体"/>
                      <w:kern w:val="0"/>
                      <w:szCs w:val="21"/>
                      <w:vertAlign w:val="subscript"/>
                    </w:rPr>
                    <w:t>s</w:t>
                  </w:r>
                  <w:r>
                    <w:rPr>
                      <w:rFonts w:hint="eastAsia" w:hAnsi="宋体"/>
                      <w:kern w:val="0"/>
                      <w:szCs w:val="21"/>
                    </w:rPr>
                    <w:t>源头削减、过程控制和末端治理工作，推进企业自行监测、台账落实和定期报告的具体规定落地</w:t>
                  </w:r>
                </w:p>
              </w:tc>
              <w:tc>
                <w:tcPr>
                  <w:tcW w:w="2569" w:type="dxa"/>
                  <w:shd w:val="clear" w:color="auto" w:fill="auto"/>
                  <w:vAlign w:val="center"/>
                </w:tcPr>
                <w:p>
                  <w:pPr>
                    <w:widowControl/>
                    <w:snapToGrid w:val="0"/>
                    <w:ind w:left="-105" w:leftChars="-50" w:right="-105" w:rightChars="-50" w:firstLine="420" w:firstLineChars="200"/>
                    <w:jc w:val="left"/>
                    <w:rPr>
                      <w:rFonts w:hAnsi="宋体"/>
                      <w:kern w:val="0"/>
                      <w:szCs w:val="21"/>
                    </w:rPr>
                  </w:pPr>
                  <w:r>
                    <w:rPr>
                      <w:rFonts w:hint="eastAsia" w:hAnsi="宋体"/>
                      <w:kern w:val="0"/>
                      <w:szCs w:val="21"/>
                    </w:rPr>
                    <w:t>本项目排污许可证实行登记管理，</w:t>
                  </w:r>
                  <w:r>
                    <w:rPr>
                      <w:rFonts w:hint="eastAsia" w:hAnsi="宋体"/>
                      <w:kern w:val="0"/>
                      <w:szCs w:val="21"/>
                      <w:lang w:val="en-GB"/>
                    </w:rPr>
                    <w:t>注塑废气</w:t>
                  </w:r>
                  <w:r>
                    <w:rPr>
                      <w:rFonts w:hint="eastAsia" w:hAnsi="宋体"/>
                      <w:kern w:val="0"/>
                      <w:szCs w:val="21"/>
                    </w:rPr>
                    <w:t>采用集气罩收集+两级活性炭吸附处理后达标排放；项目制定自行监测计划及管理台账。</w:t>
                  </w:r>
                </w:p>
              </w:tc>
              <w:tc>
                <w:tcPr>
                  <w:tcW w:w="437" w:type="dxa"/>
                  <w:vAlign w:val="center"/>
                </w:tcPr>
                <w:p>
                  <w:pPr>
                    <w:widowControl/>
                    <w:snapToGrid w:val="0"/>
                    <w:ind w:right="-105" w:rightChars="-50"/>
                    <w:jc w:val="left"/>
                    <w:rPr>
                      <w:rFonts w:hAnsi="宋体"/>
                      <w:kern w:val="0"/>
                      <w:szCs w:val="21"/>
                    </w:rPr>
                  </w:pPr>
                  <w:r>
                    <w:rPr>
                      <w:rFonts w:hint="eastAsia" w:hAnsi="宋体"/>
                      <w:kern w:val="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2" w:type="dxa"/>
                  <w:shd w:val="clear" w:color="auto" w:fill="auto"/>
                  <w:vAlign w:val="center"/>
                </w:tcPr>
                <w:p>
                  <w:pPr>
                    <w:jc w:val="center"/>
                    <w:rPr>
                      <w:rFonts w:hint="eastAsia" w:eastAsia="宋体"/>
                      <w:color w:val="auto"/>
                      <w:lang w:val="en-US" w:eastAsia="zh-CN"/>
                    </w:rPr>
                  </w:pPr>
                  <w:r>
                    <w:rPr>
                      <w:rFonts w:hint="eastAsia"/>
                      <w:color w:val="auto"/>
                      <w:lang w:val="en-US" w:eastAsia="zh-CN"/>
                    </w:rPr>
                    <w:t>3</w:t>
                  </w:r>
                </w:p>
              </w:tc>
              <w:tc>
                <w:tcPr>
                  <w:tcW w:w="3751" w:type="dxa"/>
                  <w:shd w:val="clear" w:color="auto" w:fill="auto"/>
                  <w:vAlign w:val="center"/>
                </w:tcPr>
                <w:p>
                  <w:pPr>
                    <w:widowControl/>
                    <w:snapToGrid w:val="0"/>
                    <w:ind w:left="-105" w:leftChars="-50" w:right="-105" w:rightChars="-50" w:firstLine="420" w:firstLineChars="200"/>
                    <w:jc w:val="left"/>
                    <w:rPr>
                      <w:rFonts w:hint="eastAsia" w:hAnsi="宋体"/>
                      <w:color w:val="auto"/>
                      <w:kern w:val="0"/>
                      <w:szCs w:val="21"/>
                    </w:rPr>
                  </w:pPr>
                  <w:r>
                    <w:rPr>
                      <w:rFonts w:hint="eastAsia" w:hAnsi="宋体"/>
                      <w:color w:val="auto"/>
                      <w:kern w:val="0"/>
                      <w:szCs w:val="21"/>
                    </w:rPr>
                    <w:t>重点推进源头削减。鼓励支持使用涂料、油墨、胶粘剂、涂层剂（树脂）、清洗剂等原辅材料的企业，进行低VOCs含量原辅材料的源头替代，7月1日前各地指导企业建立管理台账，记录VOCs原辅材料的产品名称、VOCs含量和使用量等。各地应结合本地产业特点和源头替代参考目录，重点在工业涂装、包装印刷、鞋革箱包制造、竹木制品胶合、电子等重点领域，推广VOCs含量低于10%原辅材料的源头替代，并纳入年度源头削减项目管理，实现“可替尽替、应代尽代”，源头削减年度完成项目占30%以上。</w:t>
                  </w:r>
                </w:p>
              </w:tc>
              <w:tc>
                <w:tcPr>
                  <w:tcW w:w="2569" w:type="dxa"/>
                  <w:shd w:val="clear" w:color="auto" w:fill="auto"/>
                  <w:vAlign w:val="center"/>
                </w:tcPr>
                <w:p>
                  <w:pPr>
                    <w:widowControl/>
                    <w:snapToGrid w:val="0"/>
                    <w:ind w:left="-105" w:leftChars="-50" w:right="-105" w:rightChars="-50" w:firstLine="420" w:firstLineChars="200"/>
                    <w:jc w:val="left"/>
                    <w:rPr>
                      <w:rFonts w:hint="eastAsia" w:hAnsi="宋体"/>
                      <w:color w:val="auto"/>
                      <w:kern w:val="0"/>
                      <w:szCs w:val="21"/>
                    </w:rPr>
                  </w:pPr>
                  <w:r>
                    <w:rPr>
                      <w:rFonts w:hint="eastAsia" w:hAnsi="宋体"/>
                      <w:color w:val="auto"/>
                      <w:kern w:val="0"/>
                      <w:szCs w:val="21"/>
                    </w:rPr>
                    <w:t>本项目塑料制品注塑生产不涉及涂料、油墨、胶粘剂、清洗剂的使用。</w:t>
                  </w:r>
                </w:p>
              </w:tc>
              <w:tc>
                <w:tcPr>
                  <w:tcW w:w="437" w:type="dxa"/>
                  <w:vAlign w:val="center"/>
                </w:tcPr>
                <w:p>
                  <w:pPr>
                    <w:widowControl/>
                    <w:snapToGrid w:val="0"/>
                    <w:ind w:right="-105" w:rightChars="-50"/>
                    <w:jc w:val="left"/>
                    <w:rPr>
                      <w:rFonts w:hint="eastAsia" w:hAnsi="宋体" w:eastAsia="宋体"/>
                      <w:color w:val="auto"/>
                      <w:kern w:val="0"/>
                      <w:szCs w:val="21"/>
                      <w:lang w:val="en-US" w:eastAsia="zh-CN"/>
                    </w:rPr>
                  </w:pPr>
                  <w:r>
                    <w:rPr>
                      <w:rFonts w:hint="eastAsia" w:hAnsi="宋体"/>
                      <w:color w:val="auto"/>
                      <w:kern w:val="0"/>
                      <w:szCs w:val="21"/>
                      <w:lang w:val="en-US" w:eastAsia="zh-CN"/>
                    </w:rPr>
                    <w:t>符合</w:t>
                  </w:r>
                </w:p>
              </w:tc>
            </w:tr>
          </w:tbl>
          <w:p>
            <w:pPr>
              <w:keepNext/>
              <w:keepLines/>
              <w:spacing w:line="360" w:lineRule="auto"/>
              <w:ind w:firstLine="480" w:firstLineChars="200"/>
              <w:outlineLvl w:val="2"/>
              <w:rPr>
                <w:rFonts w:ascii="宋体" w:hAnsi="宋体" w:cs="宋体"/>
                <w:sz w:val="24"/>
              </w:rPr>
            </w:pPr>
            <w:r>
              <w:rPr>
                <w:rFonts w:hint="eastAsia"/>
                <w:color w:val="000000"/>
                <w:sz w:val="24"/>
              </w:rPr>
              <w:t>综上所述，项目建设符合《安徽省大气办关于深入开展挥发性有机物污染治理工作的通知》（皖大气办[2021]4号文）的相关要求。</w:t>
            </w:r>
          </w:p>
          <w:p>
            <w:pPr>
              <w:autoSpaceDE w:val="0"/>
              <w:autoSpaceDN w:val="0"/>
              <w:adjustRightInd w:val="0"/>
              <w:spacing w:line="360" w:lineRule="auto"/>
              <w:ind w:firstLine="482" w:firstLineChars="200"/>
              <w:jc w:val="left"/>
              <w:rPr>
                <w:b/>
                <w:bCs/>
                <w:color w:val="000000"/>
                <w:sz w:val="24"/>
              </w:rPr>
            </w:pPr>
            <w:r>
              <w:rPr>
                <w:rFonts w:hint="eastAsia"/>
                <w:b/>
                <w:bCs/>
                <w:color w:val="000000"/>
                <w:sz w:val="24"/>
                <w:lang w:val="en-US" w:eastAsia="zh-CN"/>
              </w:rPr>
              <w:t>7</w:t>
            </w:r>
            <w:r>
              <w:rPr>
                <w:rFonts w:hint="eastAsia"/>
                <w:b/>
                <w:bCs/>
                <w:color w:val="000000"/>
                <w:sz w:val="24"/>
              </w:rPr>
              <w:t>、与《芜湖市</w:t>
            </w:r>
            <w:r>
              <w:rPr>
                <w:b/>
                <w:bCs/>
                <w:color w:val="000000"/>
                <w:sz w:val="24"/>
              </w:rPr>
              <w:t>2021</w:t>
            </w:r>
            <w:r>
              <w:rPr>
                <w:rFonts w:hint="eastAsia"/>
                <w:b/>
                <w:bCs/>
                <w:color w:val="000000"/>
                <w:sz w:val="24"/>
              </w:rPr>
              <w:t>年挥发性有机物污染治理攻坚行动方案》（芜大气办</w:t>
            </w:r>
            <w:r>
              <w:rPr>
                <w:b/>
                <w:bCs/>
                <w:color w:val="000000"/>
                <w:sz w:val="24"/>
              </w:rPr>
              <w:t>[2021]7</w:t>
            </w:r>
            <w:r>
              <w:rPr>
                <w:rFonts w:hint="eastAsia"/>
                <w:b/>
                <w:bCs/>
                <w:color w:val="000000"/>
                <w:sz w:val="24"/>
              </w:rPr>
              <w:t xml:space="preserve">号文）相符性 </w:t>
            </w:r>
          </w:p>
          <w:p>
            <w:pPr>
              <w:spacing w:line="360" w:lineRule="auto"/>
              <w:ind w:firstLine="480"/>
              <w:rPr>
                <w:sz w:val="24"/>
              </w:rPr>
            </w:pPr>
            <w:r>
              <w:rPr>
                <w:rFonts w:hint="eastAsia"/>
                <w:sz w:val="24"/>
              </w:rPr>
              <w:t>根据芜湖市生态环境局</w:t>
            </w:r>
            <w:r>
              <w:rPr>
                <w:sz w:val="24"/>
              </w:rPr>
              <w:t>2021</w:t>
            </w:r>
            <w:r>
              <w:rPr>
                <w:rFonts w:hint="eastAsia"/>
                <w:sz w:val="24"/>
              </w:rPr>
              <w:t>年</w:t>
            </w:r>
            <w:r>
              <w:rPr>
                <w:sz w:val="24"/>
              </w:rPr>
              <w:t>6</w:t>
            </w:r>
            <w:r>
              <w:rPr>
                <w:rFonts w:hint="eastAsia"/>
                <w:sz w:val="24"/>
              </w:rPr>
              <w:t>月</w:t>
            </w:r>
            <w:r>
              <w:rPr>
                <w:sz w:val="24"/>
              </w:rPr>
              <w:t>30</w:t>
            </w:r>
            <w:r>
              <w:rPr>
                <w:rFonts w:hint="eastAsia"/>
                <w:sz w:val="24"/>
              </w:rPr>
              <w:t>日发布的关于印发《芜湖市</w:t>
            </w:r>
            <w:r>
              <w:rPr>
                <w:sz w:val="24"/>
              </w:rPr>
              <w:t>2021</w:t>
            </w:r>
            <w:r>
              <w:rPr>
                <w:rFonts w:hint="eastAsia"/>
                <w:sz w:val="24"/>
              </w:rPr>
              <w:t>年挥发性有机物污染治理攻坚行动方案》（芜大气办</w:t>
            </w:r>
            <w:r>
              <w:rPr>
                <w:sz w:val="24"/>
              </w:rPr>
              <w:t>[2021]7</w:t>
            </w:r>
            <w:r>
              <w:rPr>
                <w:rFonts w:hint="eastAsia"/>
                <w:sz w:val="24"/>
              </w:rPr>
              <w:t>号</w:t>
            </w:r>
            <w:r>
              <w:rPr>
                <w:rFonts w:hint="eastAsia"/>
                <w:sz w:val="24"/>
                <w:lang w:val="en-US" w:eastAsia="zh-CN"/>
              </w:rPr>
              <w:t>文</w:t>
            </w:r>
            <w:r>
              <w:rPr>
                <w:rFonts w:hint="eastAsia"/>
                <w:sz w:val="24"/>
              </w:rPr>
              <w:t>）：以下是本项目与该方案符合性分析内容：</w:t>
            </w:r>
          </w:p>
          <w:p>
            <w:pPr>
              <w:spacing w:before="120" w:beforeLines="50"/>
              <w:jc w:val="center"/>
              <w:rPr>
                <w:b/>
                <w:bCs/>
                <w:sz w:val="24"/>
              </w:rPr>
            </w:pPr>
            <w:r>
              <w:rPr>
                <w:b/>
                <w:bCs/>
                <w:sz w:val="24"/>
              </w:rPr>
              <w:t>表</w:t>
            </w:r>
            <w:r>
              <w:rPr>
                <w:rFonts w:hint="eastAsia"/>
                <w:b/>
                <w:bCs/>
                <w:sz w:val="24"/>
              </w:rPr>
              <w:t>1-</w:t>
            </w:r>
            <w:r>
              <w:rPr>
                <w:rFonts w:hint="eastAsia"/>
                <w:b/>
                <w:bCs/>
                <w:sz w:val="24"/>
                <w:lang w:val="en-US" w:eastAsia="zh-CN"/>
              </w:rPr>
              <w:t>8</w:t>
            </w:r>
            <w:r>
              <w:rPr>
                <w:b/>
                <w:bCs/>
                <w:sz w:val="24"/>
              </w:rPr>
              <w:t xml:space="preserve"> </w:t>
            </w:r>
            <w:r>
              <w:rPr>
                <w:rFonts w:hint="eastAsia"/>
                <w:b/>
                <w:bCs/>
                <w:sz w:val="24"/>
                <w:lang w:val="en-US" w:eastAsia="zh-CN"/>
              </w:rPr>
              <w:t xml:space="preserve"> </w:t>
            </w:r>
            <w:r>
              <w:rPr>
                <w:b/>
                <w:bCs/>
                <w:sz w:val="24"/>
              </w:rPr>
              <w:t>“</w:t>
            </w:r>
            <w:r>
              <w:rPr>
                <w:rFonts w:hint="eastAsia"/>
                <w:b/>
                <w:bCs/>
                <w:sz w:val="24"/>
              </w:rPr>
              <w:t>芜湖市2021年挥发性有机物污染治理攻坚行动方案</w:t>
            </w:r>
            <w:r>
              <w:rPr>
                <w:b/>
                <w:bCs/>
                <w:sz w:val="24"/>
              </w:rPr>
              <w:t>”</w:t>
            </w:r>
            <w:r>
              <w:rPr>
                <w:rFonts w:hint="eastAsia"/>
                <w:b/>
                <w:bCs/>
                <w:sz w:val="24"/>
              </w:rPr>
              <w:t>符合性分析</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70"/>
              <w:gridCol w:w="2878"/>
              <w:gridCol w:w="68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70" w:type="dxa"/>
                  <w:shd w:val="clear" w:color="auto" w:fill="auto"/>
                  <w:vAlign w:val="center"/>
                </w:tcPr>
                <w:p>
                  <w:pPr>
                    <w:widowControl/>
                    <w:jc w:val="center"/>
                    <w:rPr>
                      <w:rFonts w:hAnsi="宋体"/>
                      <w:b/>
                      <w:kern w:val="0"/>
                      <w:szCs w:val="21"/>
                    </w:rPr>
                  </w:pPr>
                  <w:r>
                    <w:rPr>
                      <w:rFonts w:hint="eastAsia" w:ascii="宋体" w:hAnsi="宋体" w:cs="宋体"/>
                      <w:b/>
                      <w:bCs/>
                      <w:color w:val="000000"/>
                      <w:kern w:val="0"/>
                      <w:sz w:val="20"/>
                      <w:szCs w:val="20"/>
                      <w:lang w:bidi="ar"/>
                    </w:rPr>
                    <w:t>方案要求</w:t>
                  </w:r>
                </w:p>
              </w:tc>
              <w:tc>
                <w:tcPr>
                  <w:tcW w:w="2878" w:type="dxa"/>
                  <w:shd w:val="clear" w:color="auto" w:fill="auto"/>
                  <w:vAlign w:val="center"/>
                </w:tcPr>
                <w:p>
                  <w:pPr>
                    <w:widowControl/>
                    <w:snapToGrid w:val="0"/>
                    <w:jc w:val="center"/>
                    <w:rPr>
                      <w:rFonts w:hAnsi="宋体"/>
                      <w:b/>
                      <w:kern w:val="0"/>
                      <w:szCs w:val="21"/>
                    </w:rPr>
                  </w:pPr>
                  <w:r>
                    <w:rPr>
                      <w:rFonts w:hAnsi="宋体"/>
                      <w:b/>
                      <w:kern w:val="0"/>
                      <w:szCs w:val="21"/>
                    </w:rPr>
                    <w:t>本项目建设</w:t>
                  </w:r>
                  <w:r>
                    <w:rPr>
                      <w:rFonts w:hint="eastAsia" w:hAnsi="宋体"/>
                      <w:b/>
                      <w:kern w:val="0"/>
                      <w:szCs w:val="21"/>
                    </w:rPr>
                    <w:t>情况</w:t>
                  </w:r>
                </w:p>
              </w:tc>
              <w:tc>
                <w:tcPr>
                  <w:tcW w:w="685" w:type="dxa"/>
                  <w:vAlign w:val="center"/>
                </w:tcPr>
                <w:p>
                  <w:pPr>
                    <w:widowControl/>
                    <w:snapToGrid w:val="0"/>
                    <w:ind w:left="-105" w:leftChars="-50" w:right="-105" w:rightChars="-50"/>
                    <w:jc w:val="center"/>
                    <w:rPr>
                      <w:b/>
                      <w:kern w:val="0"/>
                      <w:szCs w:val="21"/>
                    </w:rPr>
                  </w:pPr>
                  <w:r>
                    <w:rPr>
                      <w:rFonts w:hint="eastAsia"/>
                      <w:b/>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70" w:type="dxa"/>
                  <w:shd w:val="clear" w:color="auto" w:fill="auto"/>
                  <w:vAlign w:val="center"/>
                </w:tcPr>
                <w:p>
                  <w:pPr>
                    <w:widowControl/>
                    <w:snapToGrid w:val="0"/>
                    <w:ind w:left="-105" w:leftChars="-50" w:right="-105" w:rightChars="-50" w:firstLine="420" w:firstLineChars="200"/>
                    <w:jc w:val="left"/>
                    <w:rPr>
                      <w:rFonts w:hAnsi="宋体"/>
                      <w:kern w:val="0"/>
                      <w:szCs w:val="21"/>
                    </w:rPr>
                  </w:pPr>
                  <w:r>
                    <w:rPr>
                      <w:rFonts w:hint="eastAsia" w:hAnsi="宋体"/>
                      <w:kern w:val="0"/>
                      <w:szCs w:val="21"/>
                    </w:rPr>
                    <w:t xml:space="preserve">开展“三率”治理效果帮扶指导。以年度治 理项目为重点，对企业 </w:t>
                  </w:r>
                  <w:r>
                    <w:rPr>
                      <w:rFonts w:hAnsi="宋体"/>
                      <w:kern w:val="0"/>
                      <w:szCs w:val="21"/>
                    </w:rPr>
                    <w:t xml:space="preserve">VOCs </w:t>
                  </w:r>
                  <w:r>
                    <w:rPr>
                      <w:rFonts w:hint="eastAsia" w:hAnsi="宋体"/>
                      <w:kern w:val="0"/>
                      <w:szCs w:val="21"/>
                    </w:rPr>
                    <w:t>废气收集率、治理设施同步运行率和去除率开展帮扶指导，重点关注单一采用光氧化、光催化、低温等离子、 一次性活性炭吸附、喷淋吸收等相对低效工艺 的治理设施的运行效果，建立管理台账，对采用简易治理工艺的企业开展抽测并形成抽测报告，</w:t>
                  </w:r>
                  <w:r>
                    <w:rPr>
                      <w:rFonts w:hAnsi="宋体"/>
                      <w:kern w:val="0"/>
                      <w:szCs w:val="21"/>
                    </w:rPr>
                    <w:t xml:space="preserve">6 </w:t>
                  </w:r>
                  <w:r>
                    <w:rPr>
                      <w:rFonts w:hint="eastAsia" w:hAnsi="宋体"/>
                      <w:kern w:val="0"/>
                      <w:szCs w:val="21"/>
                    </w:rPr>
                    <w:t>月</w:t>
                  </w:r>
                  <w:r>
                    <w:rPr>
                      <w:rFonts w:hAnsi="宋体"/>
                      <w:kern w:val="0"/>
                      <w:szCs w:val="21"/>
                    </w:rPr>
                    <w:t xml:space="preserve">-9 </w:t>
                  </w:r>
                  <w:r>
                    <w:rPr>
                      <w:rFonts w:hint="eastAsia" w:hAnsi="宋体"/>
                      <w:kern w:val="0"/>
                      <w:szCs w:val="21"/>
                    </w:rPr>
                    <w:t>月之间持续开展。督促符合条件的企业完成一轮活性炭更换工作，</w:t>
                  </w:r>
                  <w:r>
                    <w:rPr>
                      <w:rFonts w:hAnsi="宋体"/>
                      <w:kern w:val="0"/>
                      <w:szCs w:val="21"/>
                    </w:rPr>
                    <w:t xml:space="preserve">7 </w:t>
                  </w:r>
                  <w:r>
                    <w:rPr>
                      <w:rFonts w:hint="eastAsia" w:hAnsi="宋体"/>
                      <w:kern w:val="0"/>
                      <w:szCs w:val="21"/>
                    </w:rPr>
                    <w:t xml:space="preserve">月 </w:t>
                  </w:r>
                  <w:r>
                    <w:rPr>
                      <w:rFonts w:hAnsi="宋体"/>
                      <w:kern w:val="0"/>
                      <w:szCs w:val="21"/>
                    </w:rPr>
                    <w:t xml:space="preserve">31 </w:t>
                  </w:r>
                  <w:r>
                    <w:rPr>
                      <w:rFonts w:hint="eastAsia" w:hAnsi="宋体"/>
                      <w:kern w:val="0"/>
                      <w:szCs w:val="21"/>
                    </w:rPr>
                    <w:t>日 前完成。</w:t>
                  </w:r>
                </w:p>
              </w:tc>
              <w:tc>
                <w:tcPr>
                  <w:tcW w:w="2878" w:type="dxa"/>
                  <w:shd w:val="clear" w:color="auto" w:fill="auto"/>
                  <w:vAlign w:val="center"/>
                </w:tcPr>
                <w:p>
                  <w:pPr>
                    <w:widowControl/>
                    <w:snapToGrid w:val="0"/>
                    <w:ind w:left="-105" w:leftChars="-50" w:right="-105" w:rightChars="-50" w:firstLine="420" w:firstLineChars="200"/>
                    <w:jc w:val="left"/>
                    <w:rPr>
                      <w:rFonts w:hint="eastAsia" w:hAnsi="宋体"/>
                      <w:kern w:val="0"/>
                      <w:szCs w:val="21"/>
                    </w:rPr>
                  </w:pPr>
                  <w:r>
                    <w:rPr>
                      <w:rFonts w:hint="eastAsia" w:hAnsi="宋体"/>
                      <w:kern w:val="0"/>
                      <w:szCs w:val="21"/>
                    </w:rPr>
                    <w:t>本项目注塑废气采用集气罩收集+两级活性炭吸附处理，属于《排污许可证申请与核发技术规范 橡胶和塑料制品工业》（HJ 1122-2020）中推荐可行的末端治理技术。</w:t>
                  </w:r>
                </w:p>
                <w:p>
                  <w:pPr>
                    <w:widowControl/>
                    <w:snapToGrid w:val="0"/>
                    <w:ind w:left="-105" w:leftChars="-50" w:right="-105" w:rightChars="-50" w:firstLine="420" w:firstLineChars="200"/>
                    <w:jc w:val="left"/>
                    <w:rPr>
                      <w:rFonts w:hAnsi="宋体"/>
                      <w:kern w:val="0"/>
                      <w:szCs w:val="21"/>
                    </w:rPr>
                  </w:pPr>
                  <w:r>
                    <w:rPr>
                      <w:rFonts w:hint="eastAsia" w:hAnsi="宋体"/>
                      <w:kern w:val="0"/>
                      <w:szCs w:val="21"/>
                    </w:rPr>
                    <w:t>本项目生产设备与废气处理设备同启同停。</w:t>
                  </w:r>
                </w:p>
              </w:tc>
              <w:tc>
                <w:tcPr>
                  <w:tcW w:w="685" w:type="dxa"/>
                  <w:vAlign w:val="center"/>
                </w:tcPr>
                <w:p>
                  <w:pPr>
                    <w:widowControl/>
                    <w:snapToGrid w:val="0"/>
                    <w:jc w:val="center"/>
                    <w:rPr>
                      <w:kern w:val="0"/>
                      <w:szCs w:val="21"/>
                    </w:rPr>
                  </w:pPr>
                  <w:r>
                    <w:rPr>
                      <w:rFonts w:hint="eastAsia"/>
                      <w:kern w:val="0"/>
                      <w:szCs w:val="21"/>
                    </w:rPr>
                    <w:t>符合</w:t>
                  </w:r>
                </w:p>
              </w:tc>
            </w:tr>
          </w:tbl>
          <w:p>
            <w:pPr>
              <w:autoSpaceDE w:val="0"/>
              <w:autoSpaceDN w:val="0"/>
              <w:adjustRightInd w:val="0"/>
              <w:spacing w:line="360" w:lineRule="auto"/>
              <w:ind w:firstLine="480" w:firstLineChars="200"/>
              <w:rPr>
                <w:rFonts w:hint="eastAsia"/>
                <w:kern w:val="0"/>
                <w:sz w:val="24"/>
              </w:rPr>
            </w:pPr>
            <w:r>
              <w:rPr>
                <w:rFonts w:hint="eastAsia"/>
                <w:color w:val="000000"/>
                <w:sz w:val="24"/>
              </w:rPr>
              <w:t>综上所述，项目建设符合《芜湖市2021年挥发性有机物污染治理攻坚行动方案》的通知（芜大气办[2021]7号）的要求</w:t>
            </w:r>
            <w:r>
              <w:rPr>
                <w:rFonts w:hint="eastAsia"/>
                <w:kern w:val="0"/>
                <w:sz w:val="24"/>
              </w:rPr>
              <w:t>。</w:t>
            </w:r>
          </w:p>
          <w:p>
            <w:pPr>
              <w:pStyle w:val="73"/>
              <w:spacing w:line="360" w:lineRule="auto"/>
              <w:ind w:firstLine="482" w:firstLineChars="200"/>
              <w:jc w:val="both"/>
              <w:rPr>
                <w:rFonts w:hint="default" w:ascii="Times New Roman" w:hAnsi="Times New Roman"/>
                <w:b/>
                <w:color w:val="auto"/>
              </w:rPr>
            </w:pPr>
            <w:r>
              <w:rPr>
                <w:rFonts w:hint="eastAsia" w:ascii="Times New Roman"/>
                <w:b/>
                <w:color w:val="auto"/>
                <w:lang w:val="en-US" w:eastAsia="zh-CN"/>
              </w:rPr>
              <w:t>8</w:t>
            </w:r>
            <w:r>
              <w:rPr>
                <w:rFonts w:hint="default" w:ascii="Times New Roman" w:hAnsi="Times New Roman"/>
                <w:b/>
                <w:color w:val="auto"/>
              </w:rPr>
              <w:t>、与《安徽省2021-2022年秋冬季大气污染综合治理攻坚行动方案》相符性</w:t>
            </w:r>
          </w:p>
          <w:p>
            <w:pPr>
              <w:spacing w:before="120" w:beforeLines="50"/>
              <w:jc w:val="center"/>
              <w:rPr>
                <w:b/>
                <w:color w:val="0D0D0D"/>
                <w:sz w:val="24"/>
              </w:rPr>
            </w:pPr>
            <w:r>
              <w:rPr>
                <w:b/>
                <w:color w:val="0D0D0D"/>
                <w:sz w:val="24"/>
              </w:rPr>
              <w:t>表</w:t>
            </w:r>
            <w:r>
              <w:rPr>
                <w:rFonts w:hint="eastAsia"/>
                <w:b/>
                <w:color w:val="0D0D0D"/>
                <w:sz w:val="24"/>
              </w:rPr>
              <w:t>1-</w:t>
            </w:r>
            <w:r>
              <w:rPr>
                <w:rFonts w:hint="eastAsia"/>
                <w:b/>
                <w:color w:val="0D0D0D"/>
                <w:sz w:val="24"/>
                <w:lang w:val="en-US" w:eastAsia="zh-CN"/>
              </w:rPr>
              <w:t xml:space="preserve">9  </w:t>
            </w:r>
            <w:r>
              <w:rPr>
                <w:rFonts w:hint="eastAsia"/>
                <w:b/>
                <w:color w:val="0D0D0D"/>
                <w:sz w:val="24"/>
              </w:rPr>
              <w:t>与《安徽省2021-2022年秋冬季大气污染综合治理攻坚方案》相符性分析</w:t>
            </w:r>
          </w:p>
          <w:tbl>
            <w:tblPr>
              <w:tblStyle w:val="58"/>
              <w:tblW w:w="743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973"/>
              <w:gridCol w:w="2768"/>
              <w:gridCol w:w="69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73" w:type="dxa"/>
                  <w:shd w:val="clear" w:color="auto" w:fill="auto"/>
                  <w:vAlign w:val="center"/>
                </w:tcPr>
                <w:p>
                  <w:pPr>
                    <w:snapToGrid w:val="0"/>
                    <w:jc w:val="center"/>
                    <w:rPr>
                      <w:b/>
                      <w:color w:val="0D0D0D"/>
                      <w:szCs w:val="21"/>
                    </w:rPr>
                  </w:pPr>
                  <w:r>
                    <w:rPr>
                      <w:rFonts w:hint="eastAsia"/>
                      <w:b/>
                      <w:color w:val="0D0D0D"/>
                      <w:szCs w:val="21"/>
                    </w:rPr>
                    <w:t>通知要求</w:t>
                  </w:r>
                </w:p>
              </w:tc>
              <w:tc>
                <w:tcPr>
                  <w:tcW w:w="2768" w:type="dxa"/>
                  <w:shd w:val="clear" w:color="auto" w:fill="auto"/>
                  <w:vAlign w:val="center"/>
                </w:tcPr>
                <w:p>
                  <w:pPr>
                    <w:snapToGrid w:val="0"/>
                    <w:jc w:val="center"/>
                    <w:rPr>
                      <w:b/>
                      <w:color w:val="0D0D0D"/>
                      <w:szCs w:val="21"/>
                    </w:rPr>
                  </w:pPr>
                  <w:r>
                    <w:rPr>
                      <w:b/>
                      <w:color w:val="0D0D0D"/>
                      <w:szCs w:val="21"/>
                    </w:rPr>
                    <w:t>本项目建设情况</w:t>
                  </w:r>
                </w:p>
              </w:tc>
              <w:tc>
                <w:tcPr>
                  <w:tcW w:w="692" w:type="dxa"/>
                  <w:vAlign w:val="center"/>
                </w:tcPr>
                <w:p>
                  <w:pPr>
                    <w:snapToGrid w:val="0"/>
                    <w:ind w:left="-105" w:leftChars="-50" w:right="-105" w:rightChars="-50"/>
                    <w:jc w:val="center"/>
                    <w:rPr>
                      <w:b/>
                      <w:color w:val="0D0D0D"/>
                      <w:szCs w:val="21"/>
                    </w:rPr>
                  </w:pPr>
                  <w:r>
                    <w:rPr>
                      <w:b/>
                      <w:color w:val="0D0D0D"/>
                      <w:szCs w:val="21"/>
                    </w:rPr>
                    <w:t>相符性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73" w:type="dxa"/>
                  <w:shd w:val="clear" w:color="auto" w:fill="auto"/>
                  <w:vAlign w:val="center"/>
                </w:tcPr>
                <w:p>
                  <w:pPr>
                    <w:numPr>
                      <w:ilvl w:val="0"/>
                      <w:numId w:val="2"/>
                    </w:numPr>
                    <w:snapToGrid w:val="0"/>
                    <w:jc w:val="center"/>
                    <w:rPr>
                      <w:rFonts w:hint="eastAsia"/>
                    </w:rPr>
                  </w:pPr>
                  <w:r>
                    <w:rPr>
                      <w:rFonts w:hint="eastAsia"/>
                      <w:b/>
                      <w:color w:val="0D0D0D"/>
                      <w:szCs w:val="21"/>
                    </w:rPr>
                    <w:t>坚决遏制“两高”项目盲目发展</w:t>
                  </w:r>
                </w:p>
                <w:p>
                  <w:pPr>
                    <w:snapToGrid w:val="0"/>
                    <w:ind w:left="-105" w:leftChars="-50" w:right="-105" w:rightChars="-50" w:firstLine="420" w:firstLineChars="200"/>
                    <w:jc w:val="both"/>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深</w:t>
                  </w:r>
                  <w:r>
                    <w:rPr>
                      <w:rFonts w:hint="eastAsia"/>
                      <w:color w:val="0D0D0D" w:themeColor="text1" w:themeTint="F2"/>
                      <w:szCs w:val="21"/>
                      <w14:textFill>
                        <w14:solidFill>
                          <w14:schemeClr w14:val="tx1">
                            <w14:lumMod w14:val="95000"/>
                            <w14:lumOff w14:val="5000"/>
                          </w14:schemeClr>
                        </w14:solidFill>
                      </w14:textFill>
                    </w:rPr>
                    <w:t>入贯彻落实党中央、国务院关于坚决遏制“两高”项目盲目发展相关决策部署，按照生态环境部《关于加强高耗能、高排放建设项目生态环境源头防控的指导意见》等文件要求，以石化、化工、煤化工、焦化、钢铁、建材、有色、煤电等行业为重点，全面梳理排查拟建、在建和存量“两高”项目，对“两高”项目实行清单管理，进行分类处置、动态监控。严格落实能耗“双控”、产能置换、污染物区域削减、煤炭减量替代等要求。对标国内外产品能效、环保先进水平，推动在建和拟建“两高”项目能效、环保水平提升，推进存量“两高”项目改造升级。</w:t>
                  </w:r>
                </w:p>
              </w:tc>
              <w:tc>
                <w:tcPr>
                  <w:tcW w:w="2768" w:type="dxa"/>
                  <w:shd w:val="clear" w:color="auto" w:fill="auto"/>
                  <w:vAlign w:val="center"/>
                </w:tcPr>
                <w:p>
                  <w:pPr>
                    <w:snapToGrid w:val="0"/>
                    <w:ind w:left="-105" w:leftChars="-50" w:right="-105" w:rightChars="-50"/>
                    <w:jc w:val="center"/>
                    <w:rPr>
                      <w:rFonts w:hint="eastAsia" w:hAnsi="宋体"/>
                      <w:color w:val="000000"/>
                      <w:kern w:val="0"/>
                      <w:szCs w:val="21"/>
                    </w:rPr>
                  </w:pPr>
                  <w:r>
                    <w:rPr>
                      <w:rFonts w:hint="eastAsia" w:hAnsi="宋体"/>
                      <w:color w:val="000000"/>
                      <w:kern w:val="0"/>
                      <w:szCs w:val="21"/>
                    </w:rPr>
                    <w:t>本项目不属于国家发改委暂定</w:t>
                  </w:r>
                </w:p>
                <w:p>
                  <w:pPr>
                    <w:snapToGrid w:val="0"/>
                    <w:ind w:left="-105" w:leftChars="-50" w:right="-105" w:rightChars="-50"/>
                    <w:jc w:val="center"/>
                    <w:rPr>
                      <w:rFonts w:hint="eastAsia" w:hAnsi="宋体"/>
                      <w:color w:val="000000"/>
                      <w:kern w:val="0"/>
                      <w:szCs w:val="21"/>
                    </w:rPr>
                  </w:pPr>
                  <w:r>
                    <w:rPr>
                      <w:rFonts w:hint="eastAsia" w:hAnsi="宋体"/>
                      <w:color w:val="000000"/>
                      <w:kern w:val="0"/>
                      <w:szCs w:val="21"/>
                    </w:rPr>
                    <w:t>的煤电、石化、煤化工、钢铁、</w:t>
                  </w:r>
                </w:p>
                <w:p>
                  <w:pPr>
                    <w:snapToGrid w:val="0"/>
                    <w:ind w:left="-105" w:leftChars="-50" w:right="-105" w:rightChars="-50"/>
                    <w:jc w:val="center"/>
                    <w:rPr>
                      <w:rFonts w:hint="eastAsia" w:hAnsi="宋体"/>
                      <w:color w:val="000000"/>
                      <w:kern w:val="0"/>
                      <w:szCs w:val="21"/>
                    </w:rPr>
                  </w:pPr>
                  <w:r>
                    <w:rPr>
                      <w:rFonts w:hint="eastAsia" w:hAnsi="宋体"/>
                      <w:color w:val="000000"/>
                      <w:kern w:val="0"/>
                      <w:szCs w:val="21"/>
                    </w:rPr>
                    <w:t>焦化、建材、有色、化工等 8</w:t>
                  </w:r>
                </w:p>
                <w:p>
                  <w:pPr>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rFonts w:hint="eastAsia" w:hAnsi="宋体"/>
                      <w:color w:val="000000"/>
                      <w:kern w:val="0"/>
                      <w:szCs w:val="21"/>
                    </w:rPr>
                    <w:t>个“两高”行业。</w:t>
                  </w:r>
                </w:p>
              </w:tc>
              <w:tc>
                <w:tcPr>
                  <w:tcW w:w="692" w:type="dxa"/>
                  <w:vAlign w:val="center"/>
                </w:tcPr>
                <w:p>
                  <w:pPr>
                    <w:snapToGrid w:val="0"/>
                    <w:jc w:val="center"/>
                    <w:rPr>
                      <w:color w:val="0D0D0D"/>
                      <w:szCs w:val="21"/>
                    </w:rPr>
                  </w:pPr>
                  <w:r>
                    <w:rPr>
                      <w:color w:val="0D0D0D"/>
                      <w:szCs w:val="21"/>
                    </w:rPr>
                    <w:t>符合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73" w:type="dxa"/>
                  <w:shd w:val="clear" w:color="auto" w:fill="auto"/>
                  <w:vAlign w:val="center"/>
                </w:tcPr>
                <w:p>
                  <w:pPr>
                    <w:snapToGrid w:val="0"/>
                    <w:jc w:val="center"/>
                    <w:rPr>
                      <w:rFonts w:hint="eastAsia"/>
                      <w:color w:val="0D0D0D"/>
                      <w:szCs w:val="21"/>
                    </w:rPr>
                  </w:pPr>
                  <w:r>
                    <w:rPr>
                      <w:rFonts w:hint="eastAsia"/>
                      <w:b/>
                      <w:color w:val="0D0D0D"/>
                      <w:szCs w:val="21"/>
                    </w:rPr>
                    <w:t>（四）持续开展 VOCs 整治攻坚行动</w:t>
                  </w:r>
                </w:p>
                <w:p>
                  <w:pPr>
                    <w:snapToGrid w:val="0"/>
                    <w:jc w:val="center"/>
                    <w:rPr>
                      <w:color w:val="0D0D0D"/>
                      <w:szCs w:val="21"/>
                    </w:rPr>
                  </w:pPr>
                  <w:r>
                    <w:rPr>
                      <w:rFonts w:hint="eastAsia"/>
                      <w:color w:val="0D0D0D"/>
                      <w:szCs w:val="21"/>
                      <w:lang w:val="en-US" w:eastAsia="zh-CN"/>
                    </w:rPr>
                    <w:t xml:space="preserve">  </w:t>
                  </w:r>
                  <w:r>
                    <w:rPr>
                      <w:rFonts w:hint="eastAsia"/>
                      <w:color w:val="0D0D0D"/>
                      <w:szCs w:val="21"/>
                    </w:rPr>
                    <w:t>开展VOCs 治理示范项目推选，引导推动低VOCs替代、无组织排放管控、末端治理升级改造、运维能力提升等技术创新，以先进促后进。</w:t>
                  </w:r>
                </w:p>
              </w:tc>
              <w:tc>
                <w:tcPr>
                  <w:tcW w:w="2768" w:type="dxa"/>
                  <w:shd w:val="clear" w:color="auto" w:fill="auto"/>
                  <w:vAlign w:val="center"/>
                </w:tcPr>
                <w:p>
                  <w:pPr>
                    <w:snapToGrid w:val="0"/>
                    <w:jc w:val="center"/>
                    <w:rPr>
                      <w:color w:val="0D0D0D"/>
                      <w:szCs w:val="21"/>
                    </w:rPr>
                  </w:pPr>
                  <w:r>
                    <w:rPr>
                      <w:rFonts w:hint="eastAsia"/>
                      <w:color w:val="0D0D0D"/>
                      <w:szCs w:val="21"/>
                    </w:rPr>
                    <w:t>本项目注塑产生的 VOCs 量较少，采用集气罩收集+两级活性炭吸附处理，减少 VOCs 排放。</w:t>
                  </w:r>
                </w:p>
              </w:tc>
              <w:tc>
                <w:tcPr>
                  <w:tcW w:w="692" w:type="dxa"/>
                  <w:vAlign w:val="center"/>
                </w:tcPr>
                <w:p>
                  <w:pPr>
                    <w:snapToGrid w:val="0"/>
                    <w:jc w:val="center"/>
                    <w:rPr>
                      <w:color w:val="0D0D0D"/>
                      <w:szCs w:val="21"/>
                    </w:rPr>
                  </w:pPr>
                  <w:r>
                    <w:rPr>
                      <w:color w:val="0D0D0D"/>
                      <w:szCs w:val="21"/>
                    </w:rPr>
                    <w:t>符合</w:t>
                  </w:r>
                </w:p>
              </w:tc>
            </w:tr>
          </w:tbl>
          <w:p>
            <w:pPr>
              <w:pStyle w:val="73"/>
              <w:spacing w:line="360" w:lineRule="auto"/>
              <w:ind w:firstLine="480" w:firstLineChars="200"/>
              <w:jc w:val="both"/>
              <w:rPr>
                <w:sz w:val="24"/>
              </w:rPr>
            </w:pPr>
            <w:r>
              <w:rPr>
                <w:color w:val="0D0D0D"/>
                <w:sz w:val="24"/>
              </w:rPr>
              <w:t>综上所述，项目建设符合</w:t>
            </w:r>
            <w:r>
              <w:rPr>
                <w:rFonts w:hint="eastAsia"/>
                <w:sz w:val="24"/>
              </w:rPr>
              <w:t>《</w:t>
            </w:r>
            <w:r>
              <w:rPr>
                <w:rFonts w:hint="eastAsia"/>
                <w:color w:val="000000"/>
                <w:sz w:val="24"/>
              </w:rPr>
              <w:t>安徽省2021-2022年秋冬季大气污染综合治理攻坚方案</w:t>
            </w:r>
            <w:r>
              <w:rPr>
                <w:rFonts w:hint="eastAsia"/>
                <w:sz w:val="24"/>
              </w:rPr>
              <w:t>》</w:t>
            </w:r>
            <w:r>
              <w:rPr>
                <w:sz w:val="24"/>
              </w:rPr>
              <w:t>的要求。</w:t>
            </w:r>
          </w:p>
          <w:p>
            <w:pPr>
              <w:autoSpaceDE w:val="0"/>
              <w:autoSpaceDN w:val="0"/>
              <w:adjustRightInd w:val="0"/>
              <w:spacing w:line="360" w:lineRule="auto"/>
              <w:ind w:firstLine="482" w:firstLineChars="200"/>
              <w:rPr>
                <w:rFonts w:hAnsi="宋体"/>
                <w:b/>
                <w:kern w:val="0"/>
                <w:sz w:val="24"/>
              </w:rPr>
            </w:pPr>
            <w:r>
              <w:rPr>
                <w:rFonts w:hint="eastAsia" w:hAnsi="宋体"/>
                <w:b/>
                <w:kern w:val="0"/>
                <w:sz w:val="24"/>
                <w:lang w:val="en-US" w:eastAsia="zh-CN"/>
              </w:rPr>
              <w:t>9</w:t>
            </w:r>
            <w:r>
              <w:rPr>
                <w:rFonts w:hint="eastAsia" w:hAnsi="宋体"/>
                <w:b/>
                <w:kern w:val="0"/>
                <w:sz w:val="24"/>
              </w:rPr>
              <w:t>、与《2020年挥发性有机物治理攻坚方案》相符性</w:t>
            </w:r>
          </w:p>
          <w:p>
            <w:pPr>
              <w:autoSpaceDE w:val="0"/>
              <w:autoSpaceDN w:val="0"/>
              <w:adjustRightInd w:val="0"/>
              <w:spacing w:line="360" w:lineRule="auto"/>
              <w:ind w:firstLine="480" w:firstLineChars="200"/>
              <w:rPr>
                <w:rFonts w:hAnsi="宋体"/>
                <w:kern w:val="0"/>
                <w:sz w:val="24"/>
              </w:rPr>
            </w:pPr>
            <w:r>
              <w:rPr>
                <w:rFonts w:hint="eastAsia" w:hAnsi="宋体"/>
                <w:kern w:val="0"/>
                <w:sz w:val="24"/>
              </w:rPr>
              <w:t>根据国家生态环境部2020年6月发布的关于印发《2020年挥发性有机物治理攻坚方案》的通知（环大气[2020]33号）：安徽省属于重点区域，以下是本项目与综合治理方案符合性分析内容：</w:t>
            </w:r>
          </w:p>
          <w:p>
            <w:pPr>
              <w:widowControl/>
              <w:spacing w:line="360" w:lineRule="auto"/>
              <w:jc w:val="center"/>
              <w:rPr>
                <w:b/>
                <w:bCs/>
                <w:kern w:val="0"/>
                <w:sz w:val="24"/>
              </w:rPr>
            </w:pPr>
            <w:r>
              <w:rPr>
                <w:b/>
                <w:bCs/>
                <w:kern w:val="0"/>
                <w:sz w:val="24"/>
              </w:rPr>
              <w:t>表</w:t>
            </w:r>
            <w:r>
              <w:rPr>
                <w:rFonts w:hint="eastAsia"/>
                <w:b/>
                <w:bCs/>
                <w:kern w:val="0"/>
                <w:sz w:val="24"/>
                <w:lang w:val="en-US" w:eastAsia="zh-CN"/>
              </w:rPr>
              <w:t xml:space="preserve">1-10  </w:t>
            </w:r>
            <w:r>
              <w:rPr>
                <w:b/>
                <w:bCs/>
                <w:kern w:val="0"/>
                <w:sz w:val="24"/>
              </w:rPr>
              <w:t>“</w:t>
            </w:r>
            <w:r>
              <w:rPr>
                <w:rFonts w:hint="eastAsia"/>
                <w:b/>
                <w:bCs/>
                <w:kern w:val="0"/>
                <w:sz w:val="24"/>
              </w:rPr>
              <w:t>2020年挥发性有机物治理攻坚方案</w:t>
            </w:r>
            <w:r>
              <w:rPr>
                <w:b/>
                <w:bCs/>
                <w:kern w:val="0"/>
                <w:sz w:val="24"/>
              </w:rPr>
              <w:t>”符合性分析</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83"/>
              <w:gridCol w:w="2869"/>
              <w:gridCol w:w="6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3" w:type="dxa"/>
                  <w:shd w:val="clear" w:color="auto" w:fill="auto"/>
                  <w:vAlign w:val="center"/>
                </w:tcPr>
                <w:p>
                  <w:pPr>
                    <w:widowControl/>
                    <w:snapToGrid w:val="0"/>
                    <w:jc w:val="center"/>
                    <w:rPr>
                      <w:rFonts w:hAnsi="宋体"/>
                      <w:b/>
                      <w:kern w:val="0"/>
                      <w:szCs w:val="21"/>
                    </w:rPr>
                  </w:pPr>
                  <w:r>
                    <w:rPr>
                      <w:rFonts w:hint="eastAsia" w:hAnsi="宋体"/>
                      <w:b/>
                      <w:kern w:val="0"/>
                      <w:szCs w:val="21"/>
                    </w:rPr>
                    <w:t>（环大气[2020]33号）要求</w:t>
                  </w:r>
                </w:p>
              </w:tc>
              <w:tc>
                <w:tcPr>
                  <w:tcW w:w="2869" w:type="dxa"/>
                  <w:shd w:val="clear" w:color="auto" w:fill="auto"/>
                  <w:vAlign w:val="center"/>
                </w:tcPr>
                <w:p>
                  <w:pPr>
                    <w:widowControl/>
                    <w:snapToGrid w:val="0"/>
                    <w:jc w:val="center"/>
                    <w:rPr>
                      <w:rFonts w:hAnsi="宋体"/>
                      <w:b/>
                      <w:kern w:val="0"/>
                      <w:szCs w:val="21"/>
                    </w:rPr>
                  </w:pPr>
                  <w:r>
                    <w:rPr>
                      <w:rFonts w:hAnsi="宋体"/>
                      <w:b/>
                      <w:kern w:val="0"/>
                      <w:szCs w:val="21"/>
                    </w:rPr>
                    <w:t>本项目建设</w:t>
                  </w:r>
                  <w:r>
                    <w:rPr>
                      <w:rFonts w:hint="eastAsia" w:hAnsi="宋体"/>
                      <w:b/>
                      <w:kern w:val="0"/>
                      <w:szCs w:val="21"/>
                    </w:rPr>
                    <w:t>情况</w:t>
                  </w:r>
                </w:p>
              </w:tc>
              <w:tc>
                <w:tcPr>
                  <w:tcW w:w="681" w:type="dxa"/>
                  <w:vAlign w:val="center"/>
                </w:tcPr>
                <w:p>
                  <w:pPr>
                    <w:widowControl/>
                    <w:snapToGrid w:val="0"/>
                    <w:ind w:left="-105" w:leftChars="-50" w:right="-105" w:rightChars="-50"/>
                    <w:jc w:val="center"/>
                    <w:rPr>
                      <w:b/>
                      <w:kern w:val="0"/>
                      <w:szCs w:val="21"/>
                    </w:rPr>
                  </w:pPr>
                  <w:r>
                    <w:rPr>
                      <w:rFonts w:hint="eastAsia"/>
                      <w:b/>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3" w:type="dxa"/>
                  <w:shd w:val="clear" w:color="auto" w:fill="auto"/>
                  <w:vAlign w:val="center"/>
                </w:tcPr>
                <w:p>
                  <w:pPr>
                    <w:widowControl/>
                    <w:snapToGrid w:val="0"/>
                    <w:ind w:left="-105" w:leftChars="-50" w:right="-105" w:rightChars="-50" w:firstLine="420" w:firstLineChars="200"/>
                    <w:jc w:val="left"/>
                    <w:rPr>
                      <w:rFonts w:hint="eastAsia" w:hAnsi="宋体"/>
                      <w:b w:val="0"/>
                      <w:bCs/>
                      <w:kern w:val="0"/>
                      <w:szCs w:val="21"/>
                    </w:rPr>
                  </w:pPr>
                  <w:r>
                    <w:rPr>
                      <w:rFonts w:hint="eastAsia" w:hAnsi="宋体"/>
                      <w:b w:val="0"/>
                      <w:bCs/>
                      <w:kern w:val="0"/>
                      <w:szCs w:val="21"/>
                    </w:rPr>
                    <w:t>2020年7月1日起，全面执行《挥发性有机物无组织排放控制标准》，重点区域应落实无组织排放特别控制要求。企业在无组织排放排查整治过程中，在保证安全的前提下，加强含VOCs物料全方位、全链条、</w:t>
                  </w:r>
                </w:p>
                <w:p>
                  <w:pPr>
                    <w:widowControl/>
                    <w:snapToGrid w:val="0"/>
                    <w:ind w:left="-105" w:leftChars="-50" w:right="-105" w:rightChars="-50" w:firstLine="420" w:firstLineChars="200"/>
                    <w:jc w:val="left"/>
                    <w:rPr>
                      <w:rFonts w:hAnsi="宋体"/>
                      <w:b w:val="0"/>
                      <w:bCs/>
                      <w:kern w:val="0"/>
                      <w:szCs w:val="21"/>
                    </w:rPr>
                  </w:pPr>
                  <w:r>
                    <w:rPr>
                      <w:rFonts w:hint="eastAsia" w:hAnsi="宋体"/>
                      <w:b w:val="0"/>
                      <w:bCs/>
                      <w:kern w:val="0"/>
                      <w:szCs w:val="21"/>
                    </w:rPr>
                    <w:t>全环节密闭管理。储存环节应采用密闭容器、包装袋，高效密封储罐，封闭式储库、料仓等。装卸、转移和输送环节应采用密闭管道或密闭容器、罐车等。生产和使用环节应采用密闭设备，或在密闭空间中操作并有效收集废气，或进行局部气体收集；非取用状态时容器应密闭。处置环节应将盛装过VOCs物料的包装容器、含VOCs废料（渣、液）、废吸附剂等通过加盖、封装等方式密闭，妥善存放，不得随意丢弃，交有资质的单位处置。</w:t>
                  </w:r>
                </w:p>
              </w:tc>
              <w:tc>
                <w:tcPr>
                  <w:tcW w:w="2869" w:type="dxa"/>
                  <w:shd w:val="clear" w:color="auto" w:fill="auto"/>
                  <w:vAlign w:val="center"/>
                </w:tcPr>
                <w:p>
                  <w:pPr>
                    <w:widowControl/>
                    <w:snapToGrid w:val="0"/>
                    <w:ind w:left="-105" w:leftChars="-50" w:right="-105" w:rightChars="-50"/>
                    <w:jc w:val="center"/>
                    <w:rPr>
                      <w:rFonts w:hAnsi="宋体"/>
                      <w:kern w:val="0"/>
                      <w:szCs w:val="21"/>
                    </w:rPr>
                  </w:pPr>
                  <w:r>
                    <w:rPr>
                      <w:rFonts w:hint="eastAsia" w:hAnsi="宋体"/>
                      <w:kern w:val="0"/>
                      <w:szCs w:val="21"/>
                    </w:rPr>
                    <w:t>本项目注塑废气采取集气罩收集</w:t>
                  </w:r>
                  <w:r>
                    <w:rPr>
                      <w:rFonts w:hint="eastAsia" w:hAnsi="宋体"/>
                      <w:kern w:val="0"/>
                      <w:szCs w:val="21"/>
                      <w:lang w:val="en-US" w:eastAsia="zh-CN"/>
                    </w:rPr>
                    <w:t>经两级活性炭处理</w:t>
                  </w:r>
                  <w:r>
                    <w:rPr>
                      <w:rFonts w:hint="eastAsia" w:hAnsi="宋体"/>
                      <w:kern w:val="0"/>
                      <w:szCs w:val="21"/>
                    </w:rPr>
                    <w:t>，</w:t>
                  </w:r>
                  <w:r>
                    <w:rPr>
                      <w:rFonts w:hint="eastAsia" w:hAnsi="宋体"/>
                      <w:kern w:val="0"/>
                      <w:szCs w:val="21"/>
                      <w:lang w:val="en-US" w:eastAsia="zh-CN"/>
                    </w:rPr>
                    <w:t>两级</w:t>
                  </w:r>
                  <w:r>
                    <w:rPr>
                      <w:rFonts w:hint="eastAsia" w:hAnsi="宋体"/>
                      <w:kern w:val="0"/>
                      <w:szCs w:val="21"/>
                    </w:rPr>
                    <w:t>活性炭吸附装置更换的废活性炭采用封闭包装桶方式储存，定期交资质单位处置。</w:t>
                  </w:r>
                </w:p>
              </w:tc>
              <w:tc>
                <w:tcPr>
                  <w:tcW w:w="681" w:type="dxa"/>
                  <w:vAlign w:val="center"/>
                </w:tcPr>
                <w:p>
                  <w:pPr>
                    <w:widowControl/>
                    <w:snapToGrid w:val="0"/>
                    <w:jc w:val="center"/>
                    <w:rPr>
                      <w:kern w:val="0"/>
                      <w:szCs w:val="21"/>
                    </w:rPr>
                  </w:pPr>
                  <w:r>
                    <w:rPr>
                      <w:rFonts w:hint="eastAsia"/>
                      <w:kern w:val="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83" w:type="dxa"/>
                  <w:shd w:val="clear" w:color="auto" w:fill="auto"/>
                  <w:vAlign w:val="center"/>
                </w:tcPr>
                <w:p>
                  <w:pPr>
                    <w:widowControl/>
                    <w:snapToGrid w:val="0"/>
                    <w:ind w:left="-105" w:leftChars="-50" w:right="-105" w:rightChars="-50" w:firstLine="420" w:firstLineChars="200"/>
                    <w:jc w:val="left"/>
                    <w:rPr>
                      <w:rFonts w:hAnsi="宋体"/>
                      <w:kern w:val="0"/>
                      <w:szCs w:val="21"/>
                    </w:rPr>
                  </w:pPr>
                  <w:r>
                    <w:rPr>
                      <w:rFonts w:hint="eastAsia" w:hAnsi="宋体"/>
                      <w:kern w:val="0"/>
                      <w:szCs w:val="21"/>
                    </w:rPr>
                    <w:t>聚焦治污设施“三率”，提升综合治理效率。将无组织排放转变为有组织排放进行控制，优先采用密闭设备、在密闭空间中操作或采用全密闭集气罩收集方式；对于采用局部集气罩的，应根据废气排放特点合理选择收集点位，距集气罩开口面最远处的VOCs无组织排放位置，控制风速不低于0.3米/秒。</w:t>
                  </w:r>
                </w:p>
              </w:tc>
              <w:tc>
                <w:tcPr>
                  <w:tcW w:w="2869" w:type="dxa"/>
                  <w:shd w:val="clear" w:color="auto" w:fill="auto"/>
                  <w:vAlign w:val="center"/>
                </w:tcPr>
                <w:p>
                  <w:pPr>
                    <w:widowControl/>
                    <w:snapToGrid w:val="0"/>
                    <w:ind w:left="-105" w:leftChars="-50" w:right="-105" w:rightChars="-50"/>
                    <w:jc w:val="center"/>
                    <w:rPr>
                      <w:rFonts w:hAnsi="宋体"/>
                      <w:kern w:val="0"/>
                      <w:szCs w:val="21"/>
                    </w:rPr>
                  </w:pPr>
                  <w:r>
                    <w:rPr>
                      <w:rFonts w:hint="eastAsia" w:hAnsi="宋体"/>
                      <w:kern w:val="0"/>
                      <w:szCs w:val="21"/>
                    </w:rPr>
                    <w:t>注塑废气采用局部集气罩进行收集，按照工程设计规范，合理设置集气罩位置、风量，确保控制风速不低于 0.3m/s，减少无组织排放。</w:t>
                  </w:r>
                </w:p>
              </w:tc>
              <w:tc>
                <w:tcPr>
                  <w:tcW w:w="681" w:type="dxa"/>
                  <w:vAlign w:val="center"/>
                </w:tcPr>
                <w:p>
                  <w:pPr>
                    <w:widowControl/>
                    <w:snapToGrid w:val="0"/>
                    <w:jc w:val="center"/>
                    <w:rPr>
                      <w:kern w:val="0"/>
                      <w:szCs w:val="21"/>
                    </w:rPr>
                  </w:pPr>
                  <w:r>
                    <w:rPr>
                      <w:rFonts w:hint="eastAsia"/>
                      <w:kern w:val="0"/>
                      <w:szCs w:val="21"/>
                    </w:rPr>
                    <w:t>符合</w:t>
                  </w:r>
                </w:p>
              </w:tc>
            </w:tr>
          </w:tbl>
          <w:p>
            <w:pPr>
              <w:pStyle w:val="73"/>
              <w:spacing w:line="360" w:lineRule="auto"/>
              <w:ind w:firstLine="480" w:firstLineChars="200"/>
              <w:jc w:val="both"/>
              <w:rPr>
                <w:rFonts w:hint="eastAsia"/>
                <w:b/>
                <w:bCs/>
                <w:sz w:val="24"/>
                <w:lang w:val="en-US" w:eastAsia="zh-CN"/>
              </w:rPr>
            </w:pPr>
            <w:r>
              <w:rPr>
                <w:color w:val="0D0D0D"/>
                <w:sz w:val="24"/>
              </w:rPr>
              <w:t>综上所述，项目建设符合</w:t>
            </w:r>
            <w:r>
              <w:rPr>
                <w:rFonts w:hint="eastAsia"/>
                <w:sz w:val="24"/>
              </w:rPr>
              <w:t>《2020年挥发性有机物治理攻坚方案》</w:t>
            </w:r>
            <w:r>
              <w:rPr>
                <w:sz w:val="24"/>
              </w:rPr>
              <w:t>的要求。</w:t>
            </w:r>
          </w:p>
          <w:p>
            <w:pPr>
              <w:keepNext/>
              <w:keepLines/>
              <w:spacing w:line="360" w:lineRule="auto"/>
              <w:ind w:firstLine="472" w:firstLineChars="196"/>
              <w:outlineLvl w:val="2"/>
              <w:rPr>
                <w:b/>
                <w:bCs/>
                <w:sz w:val="24"/>
              </w:rPr>
            </w:pPr>
            <w:r>
              <w:rPr>
                <w:rFonts w:hint="eastAsia"/>
                <w:b/>
                <w:bCs/>
                <w:sz w:val="24"/>
                <w:lang w:val="en-US" w:eastAsia="zh-CN"/>
              </w:rPr>
              <w:t>10</w:t>
            </w:r>
            <w:r>
              <w:rPr>
                <w:rFonts w:hint="eastAsia"/>
                <w:b/>
                <w:bCs/>
                <w:sz w:val="24"/>
              </w:rPr>
              <w:t>、</w:t>
            </w:r>
            <w:r>
              <w:rPr>
                <w:b/>
                <w:bCs/>
                <w:sz w:val="24"/>
              </w:rPr>
              <w:t>与《</w:t>
            </w:r>
            <w:r>
              <w:rPr>
                <w:rFonts w:hint="eastAsia"/>
                <w:b/>
                <w:kern w:val="0"/>
                <w:sz w:val="24"/>
              </w:rPr>
              <w:t>重点行业挥发性有机物综合治理方案</w:t>
            </w:r>
            <w:r>
              <w:rPr>
                <w:b/>
                <w:bCs/>
                <w:sz w:val="24"/>
              </w:rPr>
              <w:t>》</w:t>
            </w:r>
            <w:r>
              <w:rPr>
                <w:rFonts w:hint="eastAsia"/>
                <w:b/>
                <w:bCs/>
                <w:sz w:val="24"/>
              </w:rPr>
              <w:t>（</w:t>
            </w:r>
            <w:r>
              <w:rPr>
                <w:rFonts w:hint="eastAsia"/>
                <w:b/>
                <w:kern w:val="0"/>
                <w:sz w:val="24"/>
              </w:rPr>
              <w:t>环大气</w:t>
            </w:r>
            <w:r>
              <w:rPr>
                <w:b/>
                <w:kern w:val="0"/>
                <w:sz w:val="24"/>
              </w:rPr>
              <w:t>[2019]53</w:t>
            </w:r>
            <w:r>
              <w:rPr>
                <w:rFonts w:hint="eastAsia"/>
                <w:b/>
                <w:kern w:val="0"/>
                <w:sz w:val="24"/>
              </w:rPr>
              <w:t>号</w:t>
            </w:r>
            <w:r>
              <w:rPr>
                <w:rFonts w:hint="eastAsia"/>
                <w:b/>
                <w:bCs/>
                <w:sz w:val="24"/>
              </w:rPr>
              <w:t>）</w:t>
            </w:r>
            <w:r>
              <w:rPr>
                <w:b/>
                <w:bCs/>
                <w:sz w:val="24"/>
              </w:rPr>
              <w:t>相符性</w:t>
            </w:r>
            <w:r>
              <w:rPr>
                <w:rFonts w:hint="eastAsia"/>
                <w:b/>
                <w:bCs/>
                <w:sz w:val="24"/>
              </w:rPr>
              <w:t>分析</w:t>
            </w:r>
          </w:p>
          <w:p>
            <w:pPr>
              <w:keepNext/>
              <w:keepLines/>
              <w:spacing w:line="360" w:lineRule="auto"/>
              <w:ind w:firstLine="480" w:firstLineChars="200"/>
              <w:jc w:val="left"/>
              <w:outlineLvl w:val="2"/>
              <w:rPr>
                <w:kern w:val="0"/>
                <w:sz w:val="24"/>
              </w:rPr>
            </w:pPr>
            <w:r>
              <w:rPr>
                <w:rFonts w:hint="eastAsia"/>
                <w:kern w:val="0"/>
                <w:sz w:val="24"/>
              </w:rPr>
              <w:t>根据国家生态环境部</w:t>
            </w:r>
            <w:r>
              <w:rPr>
                <w:kern w:val="0"/>
                <w:sz w:val="24"/>
              </w:rPr>
              <w:t xml:space="preserve">2019 </w:t>
            </w:r>
            <w:r>
              <w:rPr>
                <w:rFonts w:hint="eastAsia"/>
                <w:kern w:val="0"/>
                <w:sz w:val="24"/>
              </w:rPr>
              <w:t>年</w:t>
            </w:r>
            <w:r>
              <w:rPr>
                <w:kern w:val="0"/>
                <w:sz w:val="24"/>
              </w:rPr>
              <w:t>6</w:t>
            </w:r>
            <w:r>
              <w:rPr>
                <w:rFonts w:hint="eastAsia"/>
                <w:kern w:val="0"/>
                <w:sz w:val="24"/>
              </w:rPr>
              <w:t>月</w:t>
            </w:r>
            <w:r>
              <w:rPr>
                <w:kern w:val="0"/>
                <w:sz w:val="24"/>
              </w:rPr>
              <w:t>26</w:t>
            </w:r>
            <w:r>
              <w:rPr>
                <w:rFonts w:hint="eastAsia"/>
                <w:kern w:val="0"/>
                <w:sz w:val="24"/>
              </w:rPr>
              <w:t>日发布的关于印发《重点行业挥发性有机物综合治理方案》的通知（环大气</w:t>
            </w:r>
            <w:r>
              <w:rPr>
                <w:kern w:val="0"/>
                <w:sz w:val="24"/>
              </w:rPr>
              <w:t>[2019]53</w:t>
            </w:r>
            <w:r>
              <w:rPr>
                <w:rFonts w:hint="eastAsia"/>
                <w:kern w:val="0"/>
                <w:sz w:val="24"/>
              </w:rPr>
              <w:t>号）：安徽省属于重点区域，本项目与该综合治理方案符合性分析见下表。</w:t>
            </w:r>
          </w:p>
          <w:p>
            <w:pPr>
              <w:widowControl/>
              <w:spacing w:beforeLines="50"/>
              <w:jc w:val="center"/>
              <w:rPr>
                <w:b/>
                <w:bCs/>
                <w:kern w:val="0"/>
                <w:sz w:val="24"/>
              </w:rPr>
            </w:pPr>
            <w:r>
              <w:rPr>
                <w:b/>
                <w:bCs/>
                <w:kern w:val="0"/>
                <w:sz w:val="24"/>
              </w:rPr>
              <w:t>表1</w:t>
            </w:r>
            <w:r>
              <w:rPr>
                <w:rFonts w:hint="eastAsia"/>
                <w:b/>
                <w:bCs/>
                <w:kern w:val="0"/>
                <w:sz w:val="24"/>
              </w:rPr>
              <w:t>-</w:t>
            </w:r>
            <w:r>
              <w:rPr>
                <w:rFonts w:hint="eastAsia"/>
                <w:b/>
                <w:bCs/>
                <w:kern w:val="0"/>
                <w:sz w:val="24"/>
                <w:lang w:val="en-US" w:eastAsia="zh-CN"/>
              </w:rPr>
              <w:t>11</w:t>
            </w:r>
            <w:r>
              <w:rPr>
                <w:rFonts w:hint="eastAsia"/>
                <w:b/>
                <w:bCs/>
                <w:kern w:val="0"/>
                <w:sz w:val="24"/>
              </w:rPr>
              <w:t xml:space="preserve"> </w:t>
            </w:r>
            <w:r>
              <w:rPr>
                <w:b/>
                <w:bCs/>
                <w:kern w:val="0"/>
                <w:sz w:val="24"/>
              </w:rPr>
              <w:t xml:space="preserve"> “</w:t>
            </w:r>
            <w:r>
              <w:rPr>
                <w:rFonts w:hint="eastAsia"/>
                <w:b/>
                <w:kern w:val="0"/>
                <w:sz w:val="24"/>
              </w:rPr>
              <w:t>重点行业挥发性有机物综合治理方案</w:t>
            </w:r>
            <w:r>
              <w:rPr>
                <w:b/>
                <w:bCs/>
                <w:kern w:val="0"/>
                <w:sz w:val="24"/>
              </w:rPr>
              <w:t>”</w:t>
            </w:r>
            <w:r>
              <w:rPr>
                <w:b/>
                <w:bCs/>
                <w:sz w:val="24"/>
              </w:rPr>
              <w:t>相符性分析</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348"/>
              <w:gridCol w:w="2404"/>
              <w:gridCol w:w="6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48" w:type="dxa"/>
                  <w:shd w:val="clear" w:color="auto" w:fill="auto"/>
                  <w:vAlign w:val="center"/>
                </w:tcPr>
                <w:p>
                  <w:pPr>
                    <w:widowControl/>
                    <w:snapToGrid w:val="0"/>
                    <w:jc w:val="center"/>
                    <w:rPr>
                      <w:rFonts w:hAnsi="宋体"/>
                      <w:b/>
                      <w:color w:val="0D0D0D"/>
                      <w:kern w:val="0"/>
                      <w:szCs w:val="21"/>
                    </w:rPr>
                  </w:pPr>
                  <w:r>
                    <w:rPr>
                      <w:rFonts w:hint="eastAsia" w:hAnsi="宋体"/>
                      <w:b/>
                      <w:color w:val="0D0D0D"/>
                      <w:kern w:val="0"/>
                      <w:szCs w:val="21"/>
                    </w:rPr>
                    <w:t>治理方案要求（与本项目有关）</w:t>
                  </w:r>
                </w:p>
              </w:tc>
              <w:tc>
                <w:tcPr>
                  <w:tcW w:w="2404" w:type="dxa"/>
                  <w:shd w:val="clear" w:color="auto" w:fill="auto"/>
                  <w:vAlign w:val="center"/>
                </w:tcPr>
                <w:p>
                  <w:pPr>
                    <w:widowControl/>
                    <w:snapToGrid w:val="0"/>
                    <w:jc w:val="center"/>
                    <w:rPr>
                      <w:rFonts w:hAnsi="宋体"/>
                      <w:b/>
                      <w:color w:val="0D0D0D"/>
                      <w:kern w:val="0"/>
                      <w:szCs w:val="21"/>
                    </w:rPr>
                  </w:pPr>
                  <w:r>
                    <w:rPr>
                      <w:rFonts w:hAnsi="宋体"/>
                      <w:b/>
                      <w:color w:val="0D0D0D"/>
                      <w:kern w:val="0"/>
                      <w:szCs w:val="21"/>
                    </w:rPr>
                    <w:t>本项目建设</w:t>
                  </w:r>
                  <w:r>
                    <w:rPr>
                      <w:rFonts w:hint="eastAsia" w:hAnsi="宋体"/>
                      <w:b/>
                      <w:color w:val="0D0D0D"/>
                      <w:kern w:val="0"/>
                      <w:szCs w:val="21"/>
                    </w:rPr>
                    <w:t>情况</w:t>
                  </w:r>
                </w:p>
              </w:tc>
              <w:tc>
                <w:tcPr>
                  <w:tcW w:w="681" w:type="dxa"/>
                  <w:vAlign w:val="center"/>
                </w:tcPr>
                <w:p>
                  <w:pPr>
                    <w:widowControl/>
                    <w:snapToGrid w:val="0"/>
                    <w:ind w:left="-105" w:leftChars="-50" w:right="-105" w:rightChars="-50"/>
                    <w:jc w:val="center"/>
                    <w:rPr>
                      <w:b/>
                      <w:color w:val="0D0D0D"/>
                      <w:kern w:val="0"/>
                      <w:szCs w:val="21"/>
                    </w:rPr>
                  </w:pPr>
                  <w:r>
                    <w:rPr>
                      <w:rFonts w:hint="eastAsia"/>
                      <w:b/>
                      <w:color w:val="0D0D0D"/>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48" w:type="dxa"/>
                  <w:shd w:val="clear" w:color="auto" w:fill="auto"/>
                  <w:vAlign w:val="center"/>
                </w:tcPr>
                <w:p>
                  <w:pPr>
                    <w:autoSpaceDE w:val="0"/>
                    <w:autoSpaceDN w:val="0"/>
                    <w:adjustRightInd w:val="0"/>
                    <w:ind w:firstLine="420" w:firstLineChars="200"/>
                    <w:rPr>
                      <w:rFonts w:hint="eastAsia" w:ascii="宋体" w:cs="宋体"/>
                      <w:kern w:val="0"/>
                      <w:szCs w:val="21"/>
                    </w:rPr>
                  </w:pPr>
                  <w:r>
                    <w:rPr>
                      <w:rFonts w:hint="eastAsia" w:ascii="宋体" w:cs="宋体"/>
                      <w:kern w:val="0"/>
                      <w:szCs w:val="21"/>
                    </w:rPr>
                    <w:t>全面加强无组织排放控制。通过采取设备与场所密闭、工艺改进、废气有效收集等措施，削减VOCs无组织排放。</w:t>
                  </w:r>
                </w:p>
                <w:p>
                  <w:pPr>
                    <w:autoSpaceDE w:val="0"/>
                    <w:autoSpaceDN w:val="0"/>
                    <w:adjustRightInd w:val="0"/>
                    <w:ind w:firstLine="420" w:firstLineChars="200"/>
                    <w:rPr>
                      <w:rFonts w:ascii="宋体" w:cs="宋体"/>
                      <w:kern w:val="0"/>
                      <w:szCs w:val="21"/>
                    </w:rPr>
                  </w:pPr>
                  <w:r>
                    <w:rPr>
                      <w:rFonts w:hint="eastAsia" w:ascii="Times New Roman" w:hAnsi="Times New Roman" w:eastAsia="宋体" w:cs="Times New Roman"/>
                      <w:color w:val="auto"/>
                      <w:kern w:val="2"/>
                      <w:sz w:val="21"/>
                      <w:szCs w:val="24"/>
                      <w:lang w:val="en-US" w:eastAsia="zh-CN" w:bidi="ar-SA"/>
                    </w:rPr>
                    <w:t>提高废气收集率。遵循“应收尽收、分质收集”的原则，科学设计废气收集系统，将无组织排放转变为有组织排放进行控制。采用全密闭集气罩或密闭空间的，除行业有特殊要求外，应保持微负压状态，并根据相关规范合理设置通风量。采用局部集气罩的，距集气罩开口面最远处的VOCs无组织排放位置，控制风速应不低于0.3米/秒，有行业要求的按相关规定执行</w:t>
                  </w:r>
                </w:p>
              </w:tc>
              <w:tc>
                <w:tcPr>
                  <w:tcW w:w="2404" w:type="dxa"/>
                  <w:shd w:val="clear" w:color="auto" w:fill="auto"/>
                  <w:vAlign w:val="center"/>
                </w:tcPr>
                <w:p>
                  <w:pPr>
                    <w:autoSpaceDE w:val="0"/>
                    <w:autoSpaceDN w:val="0"/>
                    <w:adjustRightInd w:val="0"/>
                    <w:rPr>
                      <w:rFonts w:ascii="宋体" w:cs="宋体"/>
                      <w:kern w:val="0"/>
                      <w:szCs w:val="21"/>
                    </w:rPr>
                  </w:pPr>
                  <w:r>
                    <w:rPr>
                      <w:rFonts w:hint="eastAsia" w:hAnsi="宋体"/>
                      <w:color w:val="auto"/>
                      <w:kern w:val="0"/>
                      <w:szCs w:val="21"/>
                    </w:rPr>
                    <w:t>注塑废气采用局部集气罩进行收集，按照工程设计规范，合理设置集气罩位置、风量，确保控制风速不低于 0.3m/s，减少无组织排放。</w:t>
                  </w:r>
                </w:p>
              </w:tc>
              <w:tc>
                <w:tcPr>
                  <w:tcW w:w="681" w:type="dxa"/>
                  <w:vAlign w:val="center"/>
                </w:tcPr>
                <w:p>
                  <w:pPr>
                    <w:widowControl/>
                    <w:snapToGrid w:val="0"/>
                    <w:jc w:val="center"/>
                    <w:rPr>
                      <w:kern w:val="0"/>
                      <w:szCs w:val="21"/>
                    </w:rPr>
                  </w:pPr>
                  <w:r>
                    <w:rPr>
                      <w:kern w:val="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48" w:type="dxa"/>
                  <w:shd w:val="clear" w:color="auto" w:fill="auto"/>
                  <w:vAlign w:val="center"/>
                </w:tcPr>
                <w:p>
                  <w:pPr>
                    <w:autoSpaceDE w:val="0"/>
                    <w:autoSpaceDN w:val="0"/>
                    <w:adjustRightInd w:val="0"/>
                    <w:rPr>
                      <w:rFonts w:hint="eastAsia" w:ascii="宋体" w:cs="宋体"/>
                      <w:kern w:val="0"/>
                      <w:szCs w:val="21"/>
                    </w:rPr>
                  </w:pPr>
                  <w:r>
                    <w:rPr>
                      <w:rFonts w:hint="eastAsia" w:ascii="宋体" w:cs="宋体"/>
                      <w:kern w:val="0"/>
                      <w:szCs w:val="21"/>
                    </w:rPr>
                    <w:t>推进建设适宜高效的治污设施。……鼓励企业采用多种技术的组合工艺，提高VOCs治理效率。低浓度、大风量废气，宜采用沸石转轮吸附、活性炭吸附、减增浓等浓缩技术，提高VOCs浓度后净化处理；高浓度废气，优先进行溶剂回收，难以回收的，宜采用高温焚烧、催化燃烧等技术。油气（溶剂）回收宜采用冷凝+吸附、吸附+吸收、膜分离+吸附等技术。低温等</w:t>
                  </w:r>
                </w:p>
                <w:p>
                  <w:pPr>
                    <w:autoSpaceDE w:val="0"/>
                    <w:autoSpaceDN w:val="0"/>
                    <w:adjustRightInd w:val="0"/>
                    <w:rPr>
                      <w:rFonts w:ascii="宋体" w:cs="宋体"/>
                      <w:kern w:val="0"/>
                      <w:szCs w:val="21"/>
                    </w:rPr>
                  </w:pPr>
                  <w:r>
                    <w:rPr>
                      <w:rFonts w:hint="eastAsia" w:ascii="宋体" w:cs="宋体"/>
                      <w:kern w:val="0"/>
                      <w:szCs w:val="21"/>
                    </w:rPr>
                    <w:t>离子、光催化、光氧化技术主要适用于恶臭异味等治理；生物法主要适用于低浓度VOCs废气治理和恶臭异味治理。非水溶性的VOCs废气禁止采用水或水溶液喷淋吸收处理。</w:t>
                  </w:r>
                </w:p>
              </w:tc>
              <w:tc>
                <w:tcPr>
                  <w:tcW w:w="2404" w:type="dxa"/>
                  <w:shd w:val="clear" w:color="auto" w:fill="auto"/>
                  <w:vAlign w:val="center"/>
                </w:tcPr>
                <w:p>
                  <w:pPr>
                    <w:autoSpaceDE w:val="0"/>
                    <w:autoSpaceDN w:val="0"/>
                    <w:adjustRightInd w:val="0"/>
                    <w:rPr>
                      <w:rFonts w:ascii="宋体" w:cs="宋体"/>
                      <w:kern w:val="0"/>
                      <w:szCs w:val="21"/>
                    </w:rPr>
                  </w:pPr>
                  <w:r>
                    <w:rPr>
                      <w:rFonts w:hint="eastAsia" w:ascii="宋体" w:cs="宋体"/>
                      <w:kern w:val="0"/>
                      <w:szCs w:val="21"/>
                    </w:rPr>
                    <w:t>注塑废气采用集气罩收集，采用两级活性炭吸附处理，属于《排污许可证申请与核发技术规范橡胶和塑料制品工业》（HJ 1122-2020）推荐可行的治理技术。</w:t>
                  </w:r>
                </w:p>
              </w:tc>
              <w:tc>
                <w:tcPr>
                  <w:tcW w:w="681" w:type="dxa"/>
                  <w:vAlign w:val="center"/>
                </w:tcPr>
                <w:p>
                  <w:pPr>
                    <w:widowControl/>
                    <w:snapToGrid w:val="0"/>
                    <w:jc w:val="center"/>
                    <w:rPr>
                      <w:kern w:val="0"/>
                      <w:szCs w:val="21"/>
                    </w:rPr>
                  </w:pPr>
                  <w:r>
                    <w:rPr>
                      <w:kern w:val="0"/>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348" w:type="dxa"/>
                  <w:shd w:val="clear" w:color="auto" w:fill="auto"/>
                  <w:vAlign w:val="center"/>
                </w:tcPr>
                <w:p>
                  <w:pPr>
                    <w:autoSpaceDE w:val="0"/>
                    <w:autoSpaceDN w:val="0"/>
                    <w:adjustRightInd w:val="0"/>
                    <w:rPr>
                      <w:rFonts w:ascii="宋体" w:cs="宋体"/>
                      <w:color w:val="0D0D0D" w:themeColor="text1" w:themeTint="F2"/>
                      <w:kern w:val="0"/>
                      <w:szCs w:val="21"/>
                      <w14:textFill>
                        <w14:solidFill>
                          <w14:schemeClr w14:val="tx1">
                            <w14:lumMod w14:val="95000"/>
                            <w14:lumOff w14:val="5000"/>
                          </w14:schemeClr>
                        </w14:solidFill>
                      </w14:textFill>
                    </w:rPr>
                  </w:pPr>
                  <w:r>
                    <w:rPr>
                      <w:rFonts w:hint="eastAsia" w:ascii="宋体" w:cs="宋体"/>
                      <w:color w:val="0D0D0D" w:themeColor="text1" w:themeTint="F2"/>
                      <w:kern w:val="0"/>
                      <w:szCs w:val="21"/>
                      <w14:textFill>
                        <w14:solidFill>
                          <w14:schemeClr w14:val="tx1">
                            <w14:lumMod w14:val="95000"/>
                            <w14:lumOff w14:val="5000"/>
                          </w14:schemeClr>
                        </w14:solidFill>
                      </w14:textFill>
                    </w:rPr>
                    <w:t>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w:t>
                  </w:r>
                </w:p>
              </w:tc>
              <w:tc>
                <w:tcPr>
                  <w:tcW w:w="2404" w:type="dxa"/>
                  <w:shd w:val="clear" w:color="auto" w:fill="auto"/>
                  <w:vAlign w:val="center"/>
                </w:tcPr>
                <w:p>
                  <w:pPr>
                    <w:autoSpaceDE w:val="0"/>
                    <w:autoSpaceDN w:val="0"/>
                    <w:adjustRightInd w:val="0"/>
                    <w:rPr>
                      <w:rFonts w:hint="eastAsia" w:ascii="宋体" w:eastAsia="宋体" w:cs="宋体"/>
                      <w:color w:val="0D0D0D" w:themeColor="text1" w:themeTint="F2"/>
                      <w:kern w:val="0"/>
                      <w:szCs w:val="21"/>
                      <w:lang w:eastAsia="zh-CN"/>
                      <w14:textFill>
                        <w14:solidFill>
                          <w14:schemeClr w14:val="tx1">
                            <w14:lumMod w14:val="95000"/>
                            <w14:lumOff w14:val="5000"/>
                          </w14:schemeClr>
                        </w14:solidFill>
                      </w14:textFill>
                    </w:rPr>
                  </w:pPr>
                  <w:r>
                    <w:rPr>
                      <w:rFonts w:hint="eastAsia" w:ascii="宋体" w:cs="宋体"/>
                      <w:color w:val="0D0D0D" w:themeColor="text1" w:themeTint="F2"/>
                      <w:kern w:val="0"/>
                      <w:szCs w:val="21"/>
                      <w14:textFill>
                        <w14:solidFill>
                          <w14:schemeClr w14:val="tx1">
                            <w14:lumMod w14:val="95000"/>
                            <w14:lumOff w14:val="5000"/>
                          </w14:schemeClr>
                        </w14:solidFill>
                      </w14:textFill>
                    </w:rPr>
                    <w:t>本项目注塑废气中有组织非甲烷总烃初始速率约</w:t>
                  </w:r>
                  <w:r>
                    <w:rPr>
                      <w:rFonts w:hint="eastAsia" w:ascii="宋体" w:cs="宋体"/>
                      <w:color w:val="auto"/>
                      <w:kern w:val="0"/>
                      <w:szCs w:val="21"/>
                    </w:rPr>
                    <w:t>0.</w:t>
                  </w:r>
                  <w:r>
                    <w:rPr>
                      <w:rFonts w:hint="eastAsia" w:ascii="宋体" w:cs="宋体"/>
                      <w:color w:val="auto"/>
                      <w:kern w:val="0"/>
                      <w:szCs w:val="21"/>
                      <w:lang w:val="en-US" w:eastAsia="zh-CN"/>
                    </w:rPr>
                    <w:t>0912</w:t>
                  </w:r>
                  <w:r>
                    <w:rPr>
                      <w:rFonts w:hint="eastAsia" w:ascii="宋体" w:cs="宋体"/>
                      <w:color w:val="auto"/>
                      <w:kern w:val="0"/>
                      <w:szCs w:val="21"/>
                    </w:rPr>
                    <w:t xml:space="preserve"> kg/h＜2kg/h，采用两级活性炭吸附处理后，非甲烷总烃、苯乙烯排放达到《合成树脂工业污染物排放标准》（GB31572-2015）表5 大气污染物特别排放标准，可做到达标排放</w:t>
                  </w:r>
                  <w:r>
                    <w:rPr>
                      <w:rFonts w:hint="eastAsia" w:ascii="宋体" w:cs="宋体"/>
                      <w:color w:val="auto"/>
                      <w:kern w:val="0"/>
                      <w:szCs w:val="21"/>
                      <w:lang w:eastAsia="zh-CN"/>
                    </w:rPr>
                    <w:t>。</w:t>
                  </w:r>
                </w:p>
              </w:tc>
              <w:tc>
                <w:tcPr>
                  <w:tcW w:w="681" w:type="dxa"/>
                  <w:vAlign w:val="center"/>
                </w:tcPr>
                <w:p>
                  <w:pPr>
                    <w:widowControl/>
                    <w:snapToGrid w:val="0"/>
                    <w:jc w:val="center"/>
                    <w:rPr>
                      <w:kern w:val="0"/>
                      <w:szCs w:val="21"/>
                    </w:rPr>
                  </w:pPr>
                  <w:r>
                    <w:rPr>
                      <w:kern w:val="0"/>
                      <w:szCs w:val="21"/>
                    </w:rPr>
                    <w:t>符合</w:t>
                  </w:r>
                </w:p>
              </w:tc>
            </w:tr>
          </w:tbl>
          <w:p>
            <w:pPr>
              <w:keepNext/>
              <w:keepLines/>
              <w:spacing w:line="360" w:lineRule="auto"/>
              <w:ind w:firstLine="480" w:firstLineChars="200"/>
              <w:outlineLvl w:val="2"/>
              <w:rPr>
                <w:kern w:val="0"/>
                <w:sz w:val="24"/>
              </w:rPr>
            </w:pPr>
            <w:r>
              <w:rPr>
                <w:rFonts w:hint="eastAsia"/>
                <w:kern w:val="0"/>
                <w:sz w:val="24"/>
              </w:rPr>
              <w:t>综上所述，项目建设符合</w:t>
            </w:r>
            <w:r>
              <w:rPr>
                <w:rFonts w:hint="eastAsia" w:hAnsi="宋体"/>
                <w:kern w:val="0"/>
                <w:sz w:val="24"/>
              </w:rPr>
              <w:t>《</w:t>
            </w:r>
            <w:r>
              <w:rPr>
                <w:rFonts w:hint="eastAsia"/>
                <w:kern w:val="0"/>
                <w:sz w:val="24"/>
              </w:rPr>
              <w:t>重点行业挥发性有机物综合治理方案</w:t>
            </w:r>
            <w:r>
              <w:rPr>
                <w:rFonts w:hint="eastAsia" w:hAnsi="宋体"/>
                <w:kern w:val="0"/>
                <w:sz w:val="24"/>
              </w:rPr>
              <w:t>》</w:t>
            </w:r>
            <w:r>
              <w:rPr>
                <w:rFonts w:hint="eastAsia"/>
                <w:kern w:val="0"/>
                <w:sz w:val="24"/>
              </w:rPr>
              <w:t>的要求。</w:t>
            </w:r>
          </w:p>
          <w:p>
            <w:pPr>
              <w:spacing w:line="340" w:lineRule="auto"/>
              <w:rPr>
                <w:rFonts w:hint="eastAsia" w:ascii="Times New Roman" w:hAnsi="Times New Roman" w:cs="Times New Roman"/>
                <w:b/>
                <w:color w:val="000000"/>
                <w:sz w:val="24"/>
              </w:rPr>
            </w:pPr>
            <w:r>
              <w:rPr>
                <w:rFonts w:hint="eastAsia" w:ascii="Times New Roman" w:hAnsi="Times New Roman" w:cs="Times New Roman"/>
                <w:b/>
                <w:color w:val="000000"/>
                <w:sz w:val="24"/>
                <w:lang w:val="en-US" w:eastAsia="zh-CN"/>
              </w:rPr>
              <w:t>11、</w:t>
            </w:r>
            <w:r>
              <w:rPr>
                <w:rFonts w:hint="eastAsia" w:ascii="Times New Roman" w:hAnsi="Times New Roman" w:cs="Times New Roman"/>
                <w:b/>
                <w:color w:val="000000"/>
                <w:sz w:val="24"/>
              </w:rPr>
              <w:t>与《安徽省生态环境厅关于印发加强高耗能、高排放项目生态环境源头防控的实施意见的通知》相符性分析</w:t>
            </w:r>
          </w:p>
          <w:p>
            <w:pPr>
              <w:spacing w:line="340" w:lineRule="auto"/>
              <w:jc w:val="center"/>
              <w:rPr>
                <w:rFonts w:hint="eastAsia" w:ascii="Times New Roman" w:hAnsi="Times New Roman" w:cs="Times New Roman"/>
                <w:b/>
                <w:color w:val="000000"/>
                <w:sz w:val="24"/>
              </w:rPr>
            </w:pPr>
            <w:r>
              <w:rPr>
                <w:rFonts w:hint="eastAsia" w:ascii="Times New Roman" w:hAnsi="Times New Roman" w:cs="Times New Roman"/>
                <w:b/>
                <w:color w:val="000000"/>
                <w:sz w:val="24"/>
              </w:rPr>
              <w:t>表 1-</w:t>
            </w:r>
            <w:r>
              <w:rPr>
                <w:rFonts w:hint="eastAsia" w:cs="Times New Roman"/>
                <w:b/>
                <w:color w:val="000000"/>
                <w:sz w:val="24"/>
                <w:lang w:val="en-US" w:eastAsia="zh-CN"/>
              </w:rPr>
              <w:t xml:space="preserve">12  </w:t>
            </w:r>
            <w:r>
              <w:rPr>
                <w:rFonts w:hint="eastAsia" w:ascii="Times New Roman" w:hAnsi="Times New Roman" w:cs="Times New Roman"/>
                <w:b/>
                <w:color w:val="000000"/>
                <w:sz w:val="24"/>
              </w:rPr>
              <w:t>“安徽省生态环境厅关于印发加强高耗能、高排放项目生态环境源头防控的实施意见的通知”符合性分析一览表</w:t>
            </w:r>
          </w:p>
          <w:tbl>
            <w:tblPr>
              <w:tblStyle w:val="5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4303"/>
              <w:gridCol w:w="2242"/>
              <w:gridCol w:w="4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435"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4290" w:type="dxa"/>
                  <w:vAlign w:val="center"/>
                </w:tcPr>
                <w:p>
                  <w:pPr>
                    <w:autoSpaceDE w:val="0"/>
                    <w:autoSpaceDN w:val="0"/>
                    <w:spacing w:line="360" w:lineRule="auto"/>
                    <w:jc w:val="center"/>
                    <w:rPr>
                      <w:rFonts w:hint="default" w:hAnsi="宋体" w:eastAsia="宋体"/>
                      <w:b/>
                      <w:color w:val="000000"/>
                      <w:kern w:val="0"/>
                      <w:szCs w:val="21"/>
                      <w:lang w:val="en-US" w:eastAsia="zh-CN"/>
                    </w:rPr>
                  </w:pPr>
                  <w:r>
                    <w:rPr>
                      <w:rFonts w:hint="eastAsia" w:hAnsi="宋体"/>
                      <w:b/>
                      <w:color w:val="000000"/>
                      <w:kern w:val="0"/>
                      <w:szCs w:val="21"/>
                      <w:lang w:val="en-US" w:eastAsia="zh-CN"/>
                    </w:rPr>
                    <w:t>文件要求</w:t>
                  </w:r>
                </w:p>
              </w:tc>
              <w:tc>
                <w:tcPr>
                  <w:tcW w:w="2235" w:type="dxa"/>
                  <w:vAlign w:val="center"/>
                </w:tcPr>
                <w:p>
                  <w:pPr>
                    <w:autoSpaceDE w:val="0"/>
                    <w:autoSpaceDN w:val="0"/>
                    <w:spacing w:line="360" w:lineRule="auto"/>
                    <w:jc w:val="center"/>
                    <w:rPr>
                      <w:rFonts w:hAnsi="宋体"/>
                      <w:b/>
                      <w:color w:val="000000"/>
                      <w:kern w:val="0"/>
                      <w:szCs w:val="21"/>
                    </w:rPr>
                  </w:pPr>
                  <w:r>
                    <w:rPr>
                      <w:rFonts w:hint="eastAsia" w:hAnsi="宋体"/>
                      <w:b/>
                      <w:color w:val="000000"/>
                      <w:kern w:val="0"/>
                      <w:szCs w:val="21"/>
                    </w:rPr>
                    <w:t>本项目相符性分析</w:t>
                  </w:r>
                </w:p>
              </w:tc>
              <w:tc>
                <w:tcPr>
                  <w:tcW w:w="450"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5" w:hRule="atLeast"/>
              </w:trPr>
              <w:tc>
                <w:tcPr>
                  <w:tcW w:w="435" w:type="dxa"/>
                  <w:vAlign w:val="center"/>
                </w:tcPr>
                <w:p>
                  <w:pPr>
                    <w:autoSpaceDE w:val="0"/>
                    <w:autoSpaceDN w:val="0"/>
                    <w:jc w:val="center"/>
                    <w:rPr>
                      <w:rFonts w:hAnsi="宋体"/>
                      <w:color w:val="000000"/>
                      <w:kern w:val="0"/>
                      <w:szCs w:val="21"/>
                    </w:rPr>
                  </w:pPr>
                  <w:r>
                    <w:rPr>
                      <w:rFonts w:hint="eastAsia" w:hAnsi="宋体"/>
                      <w:color w:val="000000"/>
                      <w:kern w:val="0"/>
                      <w:szCs w:val="21"/>
                    </w:rPr>
                    <w:t>1</w:t>
                  </w:r>
                </w:p>
              </w:tc>
              <w:tc>
                <w:tcPr>
                  <w:tcW w:w="4290" w:type="dxa"/>
                  <w:vAlign w:val="center"/>
                </w:tcPr>
                <w:p>
                  <w:pPr>
                    <w:autoSpaceDE w:val="0"/>
                    <w:autoSpaceDN w:val="0"/>
                    <w:jc w:val="center"/>
                    <w:rPr>
                      <w:rFonts w:hint="eastAsia" w:ascii="Times New Roman" w:hAnsi="宋体" w:cs="Times New Roman"/>
                      <w:color w:val="000000"/>
                      <w:kern w:val="0"/>
                      <w:szCs w:val="21"/>
                    </w:rPr>
                  </w:pPr>
                  <w:r>
                    <w:rPr>
                      <w:rFonts w:hint="eastAsia" w:ascii="Times New Roman" w:hAnsi="宋体" w:cs="Times New Roman"/>
                      <w:color w:val="000000"/>
                      <w:kern w:val="0"/>
                      <w:szCs w:val="21"/>
                    </w:rPr>
                    <w:t>三、严格环境准入。各地不得受理钢铁、水泥、电解铝、平板玻璃、铸造等产能严重过剩行业新增产能项目的环评文件；对国家明令淘汰、禁止建设、不符合国家产业政策的项目环评文件，一律不批；沿江各市应按国家推长办《长江经济带发展负面清单指南（试行）》及我省实施细则要求，对合规园区外新建、扩建钢铁、石化、化工、焦化、建材、有色等“两高”项目的环评文件一律不批。新增主要污染物排放量的“两高”项目应按照生态环境部办公厅《关于加强重点行业建</w:t>
                  </w:r>
                </w:p>
                <w:p>
                  <w:pPr>
                    <w:autoSpaceDE w:val="0"/>
                    <w:autoSpaceDN w:val="0"/>
                    <w:jc w:val="center"/>
                    <w:rPr>
                      <w:rFonts w:hAnsi="宋体"/>
                      <w:color w:val="000000"/>
                      <w:kern w:val="0"/>
                      <w:szCs w:val="21"/>
                    </w:rPr>
                  </w:pPr>
                  <w:r>
                    <w:rPr>
                      <w:rFonts w:hint="eastAsia" w:ascii="Times New Roman" w:hAnsi="宋体" w:cs="Times New Roman"/>
                      <w:color w:val="000000"/>
                      <w:kern w:val="0"/>
                      <w:szCs w:val="21"/>
                    </w:rPr>
                    <w:t>设项目区域削减措施监督管理的通知》（环办环评〔2020〕36 号）要求，依据区域环境质量改善目标，制定配套区域污染物削减方案，采取有效的污染物区域削减措施，相应的减排措施应在项目投产前完成</w:t>
                  </w:r>
                </w:p>
              </w:tc>
              <w:tc>
                <w:tcPr>
                  <w:tcW w:w="2235" w:type="dxa"/>
                  <w:vAlign w:val="center"/>
                </w:tcPr>
                <w:p>
                  <w:pPr>
                    <w:rPr>
                      <w:rFonts w:hint="eastAsia" w:hAnsi="宋体" w:eastAsia="宋体"/>
                      <w:color w:val="0D0D0D" w:themeColor="text1" w:themeTint="F2"/>
                      <w:kern w:val="0"/>
                      <w:szCs w:val="21"/>
                      <w:lang w:eastAsia="zh-CN"/>
                      <w14:textFill>
                        <w14:solidFill>
                          <w14:schemeClr w14:val="tx1">
                            <w14:lumMod w14:val="95000"/>
                            <w14:lumOff w14:val="5000"/>
                          </w14:schemeClr>
                        </w14:solidFill>
                      </w14:textFill>
                    </w:rPr>
                  </w:pPr>
                  <w:r>
                    <w:rPr>
                      <w:rFonts w:hint="eastAsia"/>
                    </w:rPr>
                    <w:t>本项目属于</w:t>
                  </w:r>
                  <w:r>
                    <w:rPr>
                      <w:rFonts w:hint="eastAsia"/>
                      <w:lang w:val="en-US" w:eastAsia="zh-CN"/>
                    </w:rPr>
                    <w:t>塑料零件及其他塑料制品制造</w:t>
                  </w:r>
                  <w:r>
                    <w:rPr>
                      <w:rFonts w:hint="eastAsia"/>
                    </w:rPr>
                    <w:t>，不属于钢铁、水泥、电解铝、平板玻璃、铸造等产能严重过剩的行业，不属于钢铁、石化、化工、焦化、建材、有色等“两高”行业，对照《产业结构调整指导目录（2019 年本）》，本项目不属于鼓励类，也非限制类和淘汰类，为允许类项目</w:t>
                  </w:r>
                  <w:r>
                    <w:rPr>
                      <w:rFonts w:hint="eastAsia"/>
                      <w:lang w:eastAsia="zh-CN"/>
                    </w:rPr>
                    <w:t>。</w:t>
                  </w:r>
                </w:p>
              </w:tc>
              <w:tc>
                <w:tcPr>
                  <w:tcW w:w="450" w:type="dxa"/>
                  <w:vAlign w:val="center"/>
                </w:tcPr>
                <w:p>
                  <w:pPr>
                    <w:autoSpaceDE w:val="0"/>
                    <w:autoSpaceDN w:val="0"/>
                    <w:spacing w:line="360" w:lineRule="auto"/>
                    <w:jc w:val="center"/>
                    <w:rPr>
                      <w:rFonts w:hint="eastAsia" w:hAnsi="宋体" w:eastAsia="宋体"/>
                      <w:color w:val="000000"/>
                      <w:kern w:val="0"/>
                      <w:szCs w:val="21"/>
                      <w:lang w:val="en-US" w:eastAsia="zh-CN"/>
                    </w:rPr>
                  </w:pPr>
                  <w:r>
                    <w:rPr>
                      <w:rFonts w:hAnsi="宋体"/>
                      <w:color w:val="000000"/>
                      <w:kern w:val="0"/>
                      <w:szCs w:val="21"/>
                    </w:rPr>
                    <w:t>符</w:t>
                  </w:r>
                  <w:r>
                    <w:rPr>
                      <w:rFonts w:hint="eastAsia" w:hAnsi="宋体"/>
                      <w:color w:val="000000"/>
                      <w:kern w:val="0"/>
                      <w:szCs w:val="21"/>
                      <w:lang w:val="en-US" w:eastAsia="zh-CN"/>
                    </w:rPr>
                    <w:t>合</w:t>
                  </w:r>
                </w:p>
              </w:tc>
            </w:tr>
          </w:tbl>
          <w:p>
            <w:pPr>
              <w:keepNext/>
              <w:keepLines/>
              <w:spacing w:line="360" w:lineRule="auto"/>
              <w:ind w:firstLine="480" w:firstLineChars="200"/>
              <w:outlineLvl w:val="2"/>
              <w:rPr>
                <w:kern w:val="0"/>
                <w:sz w:val="24"/>
              </w:rPr>
            </w:pPr>
            <w:r>
              <w:rPr>
                <w:rFonts w:hint="eastAsia"/>
                <w:kern w:val="0"/>
                <w:sz w:val="24"/>
              </w:rPr>
              <w:t>综上所述，</w:t>
            </w:r>
            <w:r>
              <w:rPr>
                <w:rFonts w:hint="eastAsia"/>
                <w:kern w:val="0"/>
                <w:sz w:val="24"/>
                <w:lang w:val="en-US" w:eastAsia="zh-CN"/>
              </w:rPr>
              <w:t>本</w:t>
            </w:r>
            <w:r>
              <w:rPr>
                <w:rFonts w:hint="eastAsia"/>
                <w:kern w:val="0"/>
                <w:sz w:val="24"/>
              </w:rPr>
              <w:t>项目建设</w:t>
            </w:r>
            <w:r>
              <w:rPr>
                <w:rFonts w:hint="eastAsia"/>
                <w:kern w:val="0"/>
                <w:sz w:val="24"/>
                <w:lang w:val="en-US" w:eastAsia="zh-CN"/>
              </w:rPr>
              <w:t>不属于高耗能、高排放项目，</w:t>
            </w:r>
            <w:r>
              <w:rPr>
                <w:rFonts w:hint="eastAsia"/>
                <w:kern w:val="0"/>
                <w:sz w:val="24"/>
              </w:rPr>
              <w:t>符合</w:t>
            </w:r>
            <w:r>
              <w:rPr>
                <w:rFonts w:hint="eastAsia" w:hAnsi="宋体"/>
                <w:kern w:val="0"/>
                <w:sz w:val="24"/>
              </w:rPr>
              <w:t>《安徽省生态环境厅关于印发加强高耗能、高排放项目生态环境源头防控的实施意见的通知》</w:t>
            </w:r>
            <w:r>
              <w:rPr>
                <w:rFonts w:hint="eastAsia"/>
                <w:kern w:val="0"/>
                <w:sz w:val="24"/>
              </w:rPr>
              <w:t>的要求。</w:t>
            </w:r>
          </w:p>
        </w:tc>
      </w:tr>
    </w:tbl>
    <w:p>
      <w:pPr>
        <w:spacing w:line="360" w:lineRule="auto"/>
        <w:outlineLvl w:val="0"/>
        <w:rPr>
          <w:color w:val="000000"/>
          <w:sz w:val="30"/>
        </w:rPr>
        <w:sectPr>
          <w:footerReference r:id="rId5" w:type="default"/>
          <w:pgSz w:w="11906" w:h="16838"/>
          <w:pgMar w:top="1701" w:right="1531" w:bottom="1124" w:left="1531" w:header="851" w:footer="1077" w:gutter="0"/>
          <w:pgNumType w:start="1"/>
          <w:cols w:space="720" w:num="1"/>
          <w:docGrid w:linePitch="312" w:charSpace="0"/>
        </w:sectPr>
      </w:pPr>
    </w:p>
    <w:p>
      <w:pPr>
        <w:pStyle w:val="54"/>
        <w:jc w:val="center"/>
        <w:outlineLvl w:val="0"/>
        <w:rPr>
          <w:rFonts w:ascii="Times New Roman" w:hAnsi="Times New Roman"/>
          <w:b/>
          <w:snapToGrid w:val="0"/>
          <w:color w:val="000000"/>
          <w:sz w:val="30"/>
          <w:szCs w:val="30"/>
        </w:rPr>
      </w:pPr>
      <w:r>
        <w:rPr>
          <w:rFonts w:hint="eastAsia" w:ascii="Times New Roman" w:hAnsi="Times New Roman"/>
          <w:b/>
          <w:snapToGrid w:val="0"/>
          <w:color w:val="000000"/>
          <w:sz w:val="30"/>
          <w:szCs w:val="30"/>
        </w:rPr>
        <w:t>二、建设项目工程分析</w:t>
      </w:r>
    </w:p>
    <w:tbl>
      <w:tblPr>
        <w:tblStyle w:val="5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55"/>
        <w:gridCol w:w="86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165" w:hRule="atLeast"/>
          <w:jc w:val="center"/>
        </w:trPr>
        <w:tc>
          <w:tcPr>
            <w:tcW w:w="823"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建设内容</w:t>
            </w:r>
          </w:p>
        </w:tc>
        <w:tc>
          <w:tcPr>
            <w:tcW w:w="8235" w:type="dxa"/>
          </w:tcPr>
          <w:p>
            <w:pPr>
              <w:autoSpaceDE w:val="0"/>
              <w:autoSpaceDN w:val="0"/>
              <w:adjustRightInd w:val="0"/>
              <w:snapToGrid w:val="0"/>
              <w:jc w:val="center"/>
              <w:rPr>
                <w:rFonts w:cs="宋体"/>
                <w:color w:val="000000"/>
                <w:kern w:val="0"/>
                <w:sz w:val="24"/>
              </w:rPr>
            </w:pPr>
          </w:p>
          <w:p>
            <w:pPr>
              <w:spacing w:line="360" w:lineRule="auto"/>
              <w:ind w:firstLine="555"/>
              <w:rPr>
                <w:b/>
                <w:sz w:val="24"/>
              </w:rPr>
            </w:pPr>
            <w:r>
              <w:rPr>
                <w:b/>
                <w:sz w:val="24"/>
              </w:rPr>
              <w:t>1</w:t>
            </w:r>
            <w:r>
              <w:rPr>
                <w:rFonts w:hint="eastAsia"/>
                <w:b/>
                <w:sz w:val="24"/>
              </w:rPr>
              <w:t>、企业概况及项目背景</w:t>
            </w:r>
          </w:p>
          <w:p>
            <w:pPr>
              <w:spacing w:line="360" w:lineRule="auto"/>
              <w:ind w:firstLine="480" w:firstLineChars="200"/>
              <w:jc w:val="left"/>
              <w:rPr>
                <w:sz w:val="24"/>
              </w:rPr>
            </w:pPr>
            <w:r>
              <w:rPr>
                <w:rFonts w:hint="eastAsia"/>
                <w:sz w:val="24"/>
                <w:lang w:val="en-US" w:eastAsia="zh-CN"/>
              </w:rPr>
              <w:t>芜湖宇创汽车科技</w:t>
            </w:r>
            <w:r>
              <w:rPr>
                <w:rFonts w:hint="eastAsia"/>
                <w:sz w:val="24"/>
              </w:rPr>
              <w:t>有限公司</w:t>
            </w:r>
            <w:r>
              <w:rPr>
                <w:rFonts w:hint="eastAsia"/>
                <w:sz w:val="24"/>
                <w:lang w:val="en-US" w:eastAsia="zh-CN"/>
              </w:rPr>
              <w:t>购置芜湖联东金江实业有限公司厂房建筑面积为3766.56平方米。</w:t>
            </w:r>
            <w:r>
              <w:rPr>
                <w:rFonts w:hint="eastAsia"/>
                <w:sz w:val="24"/>
              </w:rPr>
              <w:t>建设“</w:t>
            </w:r>
            <w:r>
              <w:rPr>
                <w:rFonts w:hint="eastAsia"/>
                <w:sz w:val="24"/>
                <w:lang w:val="en-US" w:eastAsia="zh-CN"/>
              </w:rPr>
              <w:t>汽车内、外饰智能化生产线</w:t>
            </w:r>
            <w:r>
              <w:rPr>
                <w:rFonts w:hint="eastAsia"/>
                <w:sz w:val="24"/>
              </w:rPr>
              <w:t>项目”</w:t>
            </w:r>
            <w:r>
              <w:rPr>
                <w:sz w:val="24"/>
              </w:rPr>
              <w:t>。</w:t>
            </w:r>
            <w:r>
              <w:rPr>
                <w:color w:val="auto"/>
                <w:sz w:val="24"/>
              </w:rPr>
              <w:t>20</w:t>
            </w:r>
            <w:r>
              <w:rPr>
                <w:rFonts w:hint="eastAsia"/>
                <w:color w:val="auto"/>
                <w:sz w:val="24"/>
              </w:rPr>
              <w:t>2</w:t>
            </w:r>
            <w:r>
              <w:rPr>
                <w:rFonts w:hint="eastAsia"/>
                <w:color w:val="auto"/>
                <w:sz w:val="24"/>
                <w:lang w:val="en-US" w:eastAsia="zh-CN"/>
              </w:rPr>
              <w:t>2</w:t>
            </w:r>
            <w:r>
              <w:rPr>
                <w:color w:val="auto"/>
                <w:sz w:val="24"/>
              </w:rPr>
              <w:t>年</w:t>
            </w:r>
            <w:r>
              <w:rPr>
                <w:rFonts w:hint="eastAsia"/>
                <w:color w:val="auto"/>
                <w:sz w:val="24"/>
                <w:lang w:val="en-US" w:eastAsia="zh-CN"/>
              </w:rPr>
              <w:t>2</w:t>
            </w:r>
            <w:r>
              <w:rPr>
                <w:color w:val="auto"/>
                <w:sz w:val="24"/>
              </w:rPr>
              <w:t>月</w:t>
            </w:r>
            <w:r>
              <w:rPr>
                <w:rFonts w:hint="eastAsia"/>
                <w:color w:val="auto"/>
                <w:sz w:val="24"/>
                <w:lang w:val="en-US" w:eastAsia="zh-CN"/>
              </w:rPr>
              <w:t>22</w:t>
            </w:r>
            <w:r>
              <w:rPr>
                <w:color w:val="auto"/>
                <w:sz w:val="24"/>
              </w:rPr>
              <w:t>日芜湖市</w:t>
            </w:r>
            <w:r>
              <w:rPr>
                <w:rFonts w:hint="eastAsia"/>
                <w:color w:val="auto"/>
                <w:sz w:val="24"/>
                <w:lang w:val="en-US" w:eastAsia="zh-CN"/>
              </w:rPr>
              <w:t>鸠江</w:t>
            </w:r>
            <w:r>
              <w:rPr>
                <w:rFonts w:hint="eastAsia"/>
                <w:color w:val="auto"/>
                <w:sz w:val="24"/>
              </w:rPr>
              <w:t>区发展和改革</w:t>
            </w:r>
            <w:r>
              <w:rPr>
                <w:color w:val="auto"/>
                <w:sz w:val="24"/>
              </w:rPr>
              <w:t>委员会对项目进行备案（</w:t>
            </w:r>
            <w:r>
              <w:rPr>
                <w:rFonts w:hint="eastAsia"/>
                <w:color w:val="auto"/>
                <w:sz w:val="24"/>
              </w:rPr>
              <w:t>项目代码</w:t>
            </w:r>
            <w:r>
              <w:rPr>
                <w:rFonts w:hint="eastAsia"/>
                <w:sz w:val="24"/>
              </w:rPr>
              <w:t>：</w:t>
            </w:r>
            <w:r>
              <w:rPr>
                <w:rFonts w:hint="eastAsia" w:cs="宋体"/>
                <w:color w:val="auto"/>
                <w:sz w:val="24"/>
                <w:lang w:val="en-US" w:eastAsia="zh-CN"/>
              </w:rPr>
              <w:t>2204-340207-04-05-502290</w:t>
            </w:r>
            <w:r>
              <w:rPr>
                <w:sz w:val="24"/>
              </w:rPr>
              <w:t>）</w:t>
            </w:r>
            <w:r>
              <w:rPr>
                <w:rFonts w:hint="eastAsia" w:hAnsi="宋体"/>
                <w:kern w:val="24"/>
                <w:sz w:val="24"/>
                <w:szCs w:val="20"/>
              </w:rPr>
              <w:t>。</w:t>
            </w:r>
          </w:p>
          <w:p>
            <w:pPr>
              <w:spacing w:line="360" w:lineRule="auto"/>
              <w:ind w:firstLine="480" w:firstLineChars="200"/>
              <w:rPr>
                <w:rFonts w:hint="eastAsia"/>
                <w:color w:val="000000"/>
                <w:sz w:val="24"/>
              </w:rPr>
            </w:pPr>
            <w:r>
              <w:rPr>
                <w:rFonts w:hint="eastAsia"/>
                <w:color w:val="000000"/>
                <w:sz w:val="24"/>
              </w:rPr>
              <w:t>根据《中华人民共和国环境保护法》和《中华人民共和国环境影响评价法》及相关法律法规的规定，本项目应进行环境影响评价。对照</w:t>
            </w:r>
            <w:r>
              <w:rPr>
                <w:color w:val="000000"/>
                <w:sz w:val="24"/>
              </w:rPr>
              <w:t>《建设项目环境影响评价分类管理名录》（生态环境部令第1号）</w:t>
            </w:r>
            <w:r>
              <w:rPr>
                <w:rFonts w:hint="eastAsia"/>
                <w:color w:val="000000"/>
                <w:sz w:val="24"/>
              </w:rPr>
              <w:t>，</w:t>
            </w:r>
            <w:r>
              <w:rPr>
                <w:color w:val="000000"/>
                <w:sz w:val="24"/>
              </w:rPr>
              <w:t>本项目属于</w:t>
            </w:r>
            <w:r>
              <w:rPr>
                <w:rFonts w:hint="eastAsia"/>
                <w:color w:val="000000"/>
                <w:sz w:val="24"/>
              </w:rPr>
              <w:t>“二十六、橡胶和塑料制品业29”—“塑料制品业292”中的“其他（年用非溶剂型低VOCs含量涂料10吨以下的除外）”，则应编制报告表。</w:t>
            </w:r>
            <w:r>
              <w:rPr>
                <w:rFonts w:hint="eastAsia"/>
                <w:sz w:val="24"/>
              </w:rPr>
              <w:t>芜湖宇创汽车科技有限公司</w:t>
            </w:r>
            <w:r>
              <w:rPr>
                <w:rFonts w:hint="eastAsia"/>
                <w:color w:val="000000"/>
                <w:sz w:val="24"/>
              </w:rPr>
              <w:t>委托</w:t>
            </w:r>
            <w:r>
              <w:rPr>
                <w:rFonts w:hint="eastAsia" w:eastAsia="新宋体"/>
                <w:color w:val="000000"/>
                <w:sz w:val="24"/>
                <w:szCs w:val="21"/>
              </w:rPr>
              <w:t>我公司</w:t>
            </w:r>
            <w:r>
              <w:rPr>
                <w:rFonts w:hint="eastAsia"/>
                <w:color w:val="000000"/>
                <w:sz w:val="24"/>
              </w:rPr>
              <w:t>承担其环境影响评价工作。接受委托后，我公司立即组织有关技术人员进行现场踏勘、收集资料，依据国家有关法规文件和环境影响评价导则，编制了该项目环境影响报告表。</w:t>
            </w:r>
          </w:p>
          <w:p>
            <w:pPr>
              <w:spacing w:line="360" w:lineRule="auto"/>
              <w:jc w:val="center"/>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表2-1</w:t>
            </w:r>
            <w:r>
              <w:rPr>
                <w:rFonts w:hint="eastAsia" w:cs="Times New Roman"/>
                <w:b/>
                <w:bCs/>
                <w:kern w:val="0"/>
                <w:sz w:val="24"/>
                <w:szCs w:val="20"/>
                <w:lang w:val="en-US" w:eastAsia="zh-CN" w:bidi="ar-SA"/>
              </w:rPr>
              <w:t xml:space="preserve"> </w:t>
            </w:r>
            <w:r>
              <w:rPr>
                <w:rFonts w:hint="eastAsia" w:ascii="Times New Roman" w:hAnsi="Times New Roman" w:eastAsia="宋体" w:cs="Times New Roman"/>
                <w:b/>
                <w:bCs/>
                <w:kern w:val="0"/>
                <w:sz w:val="24"/>
                <w:szCs w:val="20"/>
                <w:lang w:val="en-US" w:eastAsia="zh-CN" w:bidi="ar-SA"/>
              </w:rPr>
              <w:t xml:space="preserve"> 项目环境影响评价文件类别判定</w:t>
            </w:r>
          </w:p>
          <w:tbl>
            <w:tblPr>
              <w:tblStyle w:val="10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0" w:type="dxa"/>
                <w:bottom w:w="0" w:type="dxa"/>
                <w:right w:w="0" w:type="dxa"/>
              </w:tblCellMar>
            </w:tblPr>
            <w:tblGrid>
              <w:gridCol w:w="532"/>
              <w:gridCol w:w="2186"/>
              <w:gridCol w:w="2656"/>
              <w:gridCol w:w="1782"/>
              <w:gridCol w:w="12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2737" w:type="dxa"/>
                  <w:gridSpan w:val="2"/>
                  <w:tcBorders>
                    <w:left w:val="nil"/>
                    <w:bottom w:val="single" w:color="auto" w:sz="4" w:space="0"/>
                    <w:tl2br w:val="single" w:color="auto" w:sz="4" w:space="0"/>
                  </w:tcBorders>
                  <w:shd w:val="clear" w:color="auto" w:fill="FFFFFF" w:themeFill="background1"/>
                  <w:vAlign w:val="center"/>
                </w:tcPr>
                <w:p>
                  <w:pPr>
                    <w:pStyle w:val="218"/>
                    <w:spacing w:before="2" w:line="267" w:lineRule="exact"/>
                    <w:ind w:left="1241"/>
                    <w:rPr>
                      <w:rFonts w:hint="eastAsia" w:ascii="宋体" w:hAnsi="宋体" w:eastAsia="宋体" w:cs="宋体"/>
                      <w:b/>
                      <w:bCs/>
                      <w:sz w:val="21"/>
                      <w:szCs w:val="21"/>
                      <w:lang w:eastAsia="en-US"/>
                    </w:rPr>
                  </w:pPr>
                  <w:r>
                    <w:rPr>
                      <w:rFonts w:hint="eastAsia" w:ascii="宋体" w:hAnsi="宋体" w:eastAsia="宋体" w:cs="宋体"/>
                      <w:b/>
                      <w:bCs/>
                      <w:sz w:val="21"/>
                      <w:szCs w:val="21"/>
                      <w:lang w:eastAsia="en-US"/>
                    </w:rPr>
                    <w:t>环评类别</w:t>
                  </w:r>
                </w:p>
                <w:p>
                  <w:pPr>
                    <w:pStyle w:val="218"/>
                    <w:spacing w:line="267" w:lineRule="exact"/>
                    <w:ind w:left="215"/>
                    <w:jc w:val="left"/>
                    <w:rPr>
                      <w:rFonts w:hint="eastAsia" w:ascii="宋体" w:hAnsi="宋体" w:eastAsia="宋体" w:cs="宋体"/>
                      <w:b/>
                      <w:bCs/>
                      <w:sz w:val="21"/>
                      <w:szCs w:val="21"/>
                      <w:lang w:eastAsia="en-US"/>
                    </w:rPr>
                  </w:pPr>
                  <w:r>
                    <w:rPr>
                      <w:rFonts w:hint="eastAsia" w:ascii="宋体" w:hAnsi="宋体" w:eastAsia="宋体" w:cs="宋体"/>
                      <w:b/>
                      <w:bCs/>
                      <w:sz w:val="21"/>
                      <w:szCs w:val="21"/>
                      <w:lang w:eastAsia="en-US"/>
                    </w:rPr>
                    <w:t>项目类别</w:t>
                  </w:r>
                </w:p>
              </w:tc>
              <w:tc>
                <w:tcPr>
                  <w:tcW w:w="2688" w:type="dxa"/>
                  <w:tcBorders>
                    <w:bottom w:val="single" w:color="auto" w:sz="4" w:space="0"/>
                  </w:tcBorders>
                  <w:shd w:val="clear" w:color="auto" w:fill="FFFFFF" w:themeFill="background1"/>
                  <w:vAlign w:val="center"/>
                </w:tcPr>
                <w:p>
                  <w:pPr>
                    <w:pStyle w:val="218"/>
                    <w:spacing w:before="107"/>
                    <w:ind w:left="84" w:right="76"/>
                    <w:jc w:val="center"/>
                    <w:rPr>
                      <w:rFonts w:hint="eastAsia" w:ascii="宋体" w:hAnsi="宋体" w:eastAsia="宋体" w:cs="宋体"/>
                      <w:b/>
                      <w:bCs/>
                      <w:sz w:val="21"/>
                      <w:szCs w:val="21"/>
                      <w:lang w:eastAsia="en-US"/>
                    </w:rPr>
                  </w:pPr>
                  <w:r>
                    <w:rPr>
                      <w:rFonts w:hint="eastAsia" w:ascii="宋体" w:hAnsi="宋体" w:eastAsia="宋体" w:cs="宋体"/>
                      <w:b/>
                      <w:bCs/>
                      <w:sz w:val="21"/>
                      <w:szCs w:val="21"/>
                      <w:lang w:eastAsia="en-US"/>
                    </w:rPr>
                    <w:t>报告书</w:t>
                  </w:r>
                </w:p>
              </w:tc>
              <w:tc>
                <w:tcPr>
                  <w:tcW w:w="1796" w:type="dxa"/>
                  <w:tcBorders>
                    <w:bottom w:val="single" w:color="auto" w:sz="4" w:space="0"/>
                  </w:tcBorders>
                  <w:shd w:val="solid" w:color="A5A5A5" w:themeColor="background1" w:themeShade="A6" w:fill="FFFFFF" w:themeFill="background1"/>
                  <w:vAlign w:val="center"/>
                </w:tcPr>
                <w:p>
                  <w:pPr>
                    <w:pStyle w:val="218"/>
                    <w:spacing w:before="107"/>
                    <w:ind w:left="111" w:right="101"/>
                    <w:jc w:val="center"/>
                    <w:rPr>
                      <w:rFonts w:hint="eastAsia" w:ascii="宋体" w:hAnsi="宋体" w:eastAsia="宋体" w:cs="宋体"/>
                      <w:b/>
                      <w:bCs/>
                      <w:sz w:val="21"/>
                      <w:szCs w:val="21"/>
                      <w:lang w:eastAsia="en-US"/>
                    </w:rPr>
                  </w:pPr>
                  <w:r>
                    <w:rPr>
                      <w:rFonts w:hint="eastAsia" w:ascii="宋体" w:hAnsi="宋体" w:eastAsia="宋体" w:cs="宋体"/>
                      <w:b/>
                      <w:bCs/>
                      <w:sz w:val="21"/>
                      <w:szCs w:val="21"/>
                      <w:lang w:eastAsia="en-US"/>
                    </w:rPr>
                    <w:t>报告表</w:t>
                  </w:r>
                </w:p>
              </w:tc>
              <w:tc>
                <w:tcPr>
                  <w:tcW w:w="1233" w:type="dxa"/>
                  <w:tcBorders>
                    <w:bottom w:val="single" w:color="auto" w:sz="4" w:space="0"/>
                    <w:right w:val="nil"/>
                  </w:tcBorders>
                  <w:shd w:val="clear" w:color="auto" w:fill="FFFFFF" w:themeFill="background1"/>
                  <w:vAlign w:val="center"/>
                </w:tcPr>
                <w:p>
                  <w:pPr>
                    <w:pStyle w:val="218"/>
                    <w:spacing w:before="107"/>
                    <w:ind w:left="182" w:right="176"/>
                    <w:jc w:val="center"/>
                    <w:rPr>
                      <w:rFonts w:hint="eastAsia" w:ascii="宋体" w:hAnsi="宋体" w:eastAsia="宋体" w:cs="宋体"/>
                      <w:b/>
                      <w:bCs/>
                      <w:sz w:val="21"/>
                      <w:szCs w:val="21"/>
                      <w:lang w:eastAsia="en-US"/>
                    </w:rPr>
                  </w:pPr>
                  <w:r>
                    <w:rPr>
                      <w:rFonts w:hint="eastAsia" w:ascii="宋体" w:hAnsi="宋体" w:eastAsia="宋体" w:cs="宋体"/>
                      <w:b/>
                      <w:bCs/>
                      <w:sz w:val="21"/>
                      <w:szCs w:val="21"/>
                      <w:lang w:eastAsia="en-US"/>
                    </w:rPr>
                    <w:t>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8" w:hRule="atLeast"/>
              </w:trPr>
              <w:tc>
                <w:tcPr>
                  <w:tcW w:w="8454" w:type="dxa"/>
                  <w:gridSpan w:val="5"/>
                  <w:tcBorders>
                    <w:left w:val="nil"/>
                    <w:right w:val="nil"/>
                  </w:tcBorders>
                  <w:shd w:val="clear" w:color="A5A5A5" w:themeColor="background1" w:themeShade="A6" w:fill="FFFFFF" w:themeFill="background1"/>
                  <w:vAlign w:val="center"/>
                </w:tcPr>
                <w:p>
                  <w:pPr>
                    <w:pStyle w:val="218"/>
                    <w:spacing w:before="1"/>
                    <w:ind w:left="106"/>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二十</w:t>
                  </w:r>
                  <w:r>
                    <w:rPr>
                      <w:rFonts w:hint="eastAsia" w:ascii="宋体" w:hAnsi="宋体" w:eastAsia="宋体" w:cs="宋体"/>
                      <w:sz w:val="21"/>
                      <w:szCs w:val="21"/>
                      <w:lang w:val="en-US" w:eastAsia="zh-CN"/>
                    </w:rPr>
                    <w:t>六</w:t>
                  </w:r>
                  <w:r>
                    <w:rPr>
                      <w:rFonts w:hint="eastAsia" w:ascii="宋体" w:hAnsi="宋体" w:eastAsia="宋体" w:cs="宋体"/>
                      <w:sz w:val="21"/>
                      <w:szCs w:val="21"/>
                      <w:lang w:eastAsia="zh-CN"/>
                    </w:rPr>
                    <w:t>、橡胶和塑料制品业 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2" w:hRule="atLeast"/>
              </w:trPr>
              <w:tc>
                <w:tcPr>
                  <w:tcW w:w="533" w:type="dxa"/>
                  <w:tcBorders>
                    <w:left w:val="nil"/>
                  </w:tcBorders>
                  <w:shd w:val="clear" w:color="auto" w:fill="FFFFFF" w:themeFill="background1"/>
                  <w:vAlign w:val="center"/>
                </w:tcPr>
                <w:p>
                  <w:pPr>
                    <w:keepNext w:val="0"/>
                    <w:keepLines w:val="0"/>
                    <w:widowControl/>
                    <w:suppressLineNumbers w:val="0"/>
                    <w:jc w:val="center"/>
                    <w:rPr>
                      <w:rFonts w:hint="eastAsia" w:ascii="宋体" w:hAnsi="宋体" w:eastAsia="宋体" w:cs="宋体"/>
                      <w:sz w:val="21"/>
                      <w:szCs w:val="21"/>
                      <w:lang w:val="en-US" w:eastAsia="en-US"/>
                    </w:rPr>
                  </w:pPr>
                  <w:r>
                    <w:rPr>
                      <w:rFonts w:hint="eastAsia" w:ascii="宋体" w:hAnsi="宋体" w:eastAsia="宋体" w:cs="宋体"/>
                      <w:color w:val="000000"/>
                      <w:kern w:val="0"/>
                      <w:sz w:val="21"/>
                      <w:szCs w:val="21"/>
                      <w:lang w:val="en-US" w:eastAsia="zh-CN" w:bidi="ar"/>
                    </w:rPr>
                    <w:t>53</w:t>
                  </w:r>
                </w:p>
              </w:tc>
              <w:tc>
                <w:tcPr>
                  <w:tcW w:w="2204" w:type="dxa"/>
                  <w:shd w:val="clear" w:color="auto" w:fill="FFFFFF" w:themeFill="background1"/>
                  <w:vAlign w:val="center"/>
                </w:tcPr>
                <w:p>
                  <w:pPr>
                    <w:pStyle w:val="218"/>
                    <w:ind w:left="205"/>
                    <w:rPr>
                      <w:rFonts w:hint="eastAsia" w:ascii="宋体" w:hAnsi="宋体" w:eastAsia="宋体" w:cs="宋体"/>
                      <w:sz w:val="21"/>
                      <w:szCs w:val="21"/>
                      <w:lang w:eastAsia="en-US"/>
                    </w:rPr>
                  </w:pPr>
                  <w:r>
                    <w:rPr>
                      <w:rFonts w:hint="eastAsia" w:ascii="宋体" w:hAnsi="宋体" w:eastAsia="宋体" w:cs="宋体"/>
                      <w:sz w:val="21"/>
                      <w:szCs w:val="21"/>
                      <w:lang w:eastAsia="zh-CN"/>
                    </w:rPr>
                    <w:t>塑料制品业 292</w:t>
                  </w:r>
                </w:p>
              </w:tc>
              <w:tc>
                <w:tcPr>
                  <w:tcW w:w="2688" w:type="dxa"/>
                  <w:shd w:val="clear" w:color="auto" w:fill="FFFFFF" w:themeFill="background1"/>
                  <w:vAlign w:val="center"/>
                </w:tcPr>
                <w:p>
                  <w:pPr>
                    <w:pStyle w:val="218"/>
                    <w:spacing w:before="72"/>
                    <w:ind w:left="157"/>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以再生塑料为原料生产的；有电镀工艺的；年用溶剂型胶粘剂10吨及以上的；年用溶剂型涂料（含稀释剂）10吨及以上的</w:t>
                  </w:r>
                </w:p>
              </w:tc>
              <w:tc>
                <w:tcPr>
                  <w:tcW w:w="1796" w:type="dxa"/>
                  <w:shd w:val="solid" w:color="A5A5A5" w:themeColor="background1" w:themeShade="A6" w:fill="FFFFFF" w:themeFill="background1"/>
                  <w:vAlign w:val="center"/>
                </w:tcPr>
                <w:p>
                  <w:pPr>
                    <w:pStyle w:val="218"/>
                    <w:ind w:left="111" w:right="104"/>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其他（年用非溶剂型低VOCs含量涂料10吨以下的除外）。</w:t>
                  </w:r>
                </w:p>
              </w:tc>
              <w:tc>
                <w:tcPr>
                  <w:tcW w:w="1233" w:type="dxa"/>
                  <w:tcBorders>
                    <w:right w:val="nil"/>
                  </w:tcBorders>
                  <w:shd w:val="clear" w:color="auto" w:fill="FFFFFF" w:themeFill="background1"/>
                  <w:vAlign w:val="center"/>
                </w:tcPr>
                <w:p>
                  <w:pPr>
                    <w:pStyle w:val="218"/>
                    <w:ind w:left="11"/>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w:t>
                  </w:r>
                </w:p>
              </w:tc>
            </w:tr>
          </w:tbl>
          <w:p>
            <w:pPr>
              <w:pStyle w:val="7"/>
            </w:pPr>
          </w:p>
          <w:p>
            <w:pPr>
              <w:spacing w:line="360" w:lineRule="auto"/>
              <w:ind w:firstLine="480" w:firstLineChars="200"/>
              <w:rPr>
                <w:color w:val="000000"/>
                <w:sz w:val="24"/>
              </w:rPr>
            </w:pPr>
            <w:r>
              <w:rPr>
                <w:rFonts w:hint="eastAsia"/>
                <w:color w:val="000000"/>
                <w:sz w:val="24"/>
              </w:rPr>
              <w:t>对照《固定污染源排污许可分类管理名录》（2019 年版），本项目</w:t>
            </w:r>
            <w:r>
              <w:rPr>
                <w:rFonts w:hint="eastAsia"/>
                <w:color w:val="000000"/>
                <w:sz w:val="24"/>
                <w:lang w:val="en-US" w:eastAsia="zh-CN"/>
              </w:rPr>
              <w:t>500万套</w:t>
            </w:r>
            <w:r>
              <w:rPr>
                <w:rFonts w:hint="eastAsia"/>
                <w:color w:val="000000"/>
                <w:sz w:val="24"/>
              </w:rPr>
              <w:t>汽车</w:t>
            </w:r>
            <w:r>
              <w:rPr>
                <w:rFonts w:hint="eastAsia"/>
                <w:color w:val="000000"/>
                <w:sz w:val="24"/>
                <w:lang w:val="en-US" w:eastAsia="zh-CN"/>
              </w:rPr>
              <w:t>内、外饰产品，</w:t>
            </w:r>
            <w:r>
              <w:rPr>
                <w:rFonts w:hint="eastAsia"/>
                <w:color w:val="000000"/>
                <w:sz w:val="24"/>
              </w:rPr>
              <w:t xml:space="preserve">产能 </w:t>
            </w:r>
            <w:r>
              <w:rPr>
                <w:rFonts w:hint="eastAsia"/>
                <w:color w:val="000000"/>
                <w:sz w:val="24"/>
                <w:lang w:val="en-US" w:eastAsia="zh-CN"/>
              </w:rPr>
              <w:t>304</w:t>
            </w:r>
            <w:r>
              <w:rPr>
                <w:rFonts w:hint="eastAsia"/>
                <w:color w:val="000000"/>
                <w:sz w:val="24"/>
              </w:rPr>
              <w:t xml:space="preserve"> 吨/年＜1 万吨/年，属于《名录》“二十四、橡胶和塑料制品业29”中“重点管理（纳入重点排污单位名录的）”、“简化管理（年产 1 万吨及以上的塑料制品制造）”外的“其他”类，排污许可为“登记管理”。本单位已于</w:t>
            </w:r>
            <w:r>
              <w:rPr>
                <w:rFonts w:hint="eastAsia"/>
                <w:color w:val="auto"/>
                <w:sz w:val="24"/>
              </w:rPr>
              <w:t>202</w:t>
            </w:r>
            <w:r>
              <w:rPr>
                <w:rFonts w:hint="eastAsia"/>
                <w:color w:val="auto"/>
                <w:sz w:val="24"/>
                <w:lang w:val="en-US" w:eastAsia="zh-CN"/>
              </w:rPr>
              <w:t>2</w:t>
            </w:r>
            <w:r>
              <w:rPr>
                <w:rFonts w:hint="eastAsia"/>
                <w:color w:val="auto"/>
                <w:sz w:val="24"/>
              </w:rPr>
              <w:t>年4月</w:t>
            </w:r>
            <w:r>
              <w:rPr>
                <w:rFonts w:hint="eastAsia"/>
                <w:color w:val="auto"/>
                <w:sz w:val="24"/>
                <w:lang w:val="en-US" w:eastAsia="zh-CN"/>
              </w:rPr>
              <w:t>13</w:t>
            </w:r>
            <w:r>
              <w:rPr>
                <w:rFonts w:hint="eastAsia"/>
                <w:color w:val="auto"/>
                <w:sz w:val="24"/>
              </w:rPr>
              <w:t>日完成排污登记（登记编号：91340200060810902L002X</w:t>
            </w:r>
            <w:r>
              <w:rPr>
                <w:rFonts w:hint="eastAsia"/>
                <w:color w:val="000000"/>
                <w:sz w:val="24"/>
              </w:rPr>
              <w:t>），承诺本项目投入运行并产生实际排污行为之前排污登记。内容见下表：</w:t>
            </w:r>
          </w:p>
          <w:p>
            <w:pPr>
              <w:jc w:val="center"/>
              <w:rPr>
                <w:rFonts w:eastAsiaTheme="minorEastAsia"/>
                <w:b/>
                <w:bCs/>
                <w:sz w:val="24"/>
              </w:rPr>
            </w:pPr>
            <w:r>
              <w:rPr>
                <w:rFonts w:eastAsiaTheme="minorEastAsia"/>
                <w:b/>
                <w:bCs/>
                <w:sz w:val="24"/>
              </w:rPr>
              <w:t>表2-</w:t>
            </w:r>
            <w:r>
              <w:rPr>
                <w:rFonts w:hint="eastAsia" w:eastAsiaTheme="minorEastAsia"/>
                <w:b/>
                <w:bCs/>
                <w:sz w:val="24"/>
                <w:lang w:val="en-US" w:eastAsia="zh-CN"/>
              </w:rPr>
              <w:t>2</w:t>
            </w:r>
            <w:r>
              <w:rPr>
                <w:rFonts w:eastAsiaTheme="minorEastAsia"/>
                <w:b/>
                <w:bCs/>
                <w:sz w:val="24"/>
              </w:rPr>
              <w:t xml:space="preserve">  固定污染源排污许可分类管理名录对照表</w:t>
            </w:r>
          </w:p>
          <w:tbl>
            <w:tblPr>
              <w:tblStyle w:val="58"/>
              <w:tblW w:w="804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3"/>
              <w:gridCol w:w="2030"/>
              <w:gridCol w:w="880"/>
              <w:gridCol w:w="3360"/>
              <w:gridCol w:w="12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3" w:type="dxa"/>
                  <w:vAlign w:val="center"/>
                </w:tcPr>
                <w:p>
                  <w:pPr>
                    <w:adjustRightInd w:val="0"/>
                    <w:snapToGrid w:val="0"/>
                    <w:jc w:val="center"/>
                    <w:rPr>
                      <w:b/>
                      <w:szCs w:val="21"/>
                    </w:rPr>
                  </w:pPr>
                  <w:r>
                    <w:rPr>
                      <w:b/>
                      <w:szCs w:val="21"/>
                    </w:rPr>
                    <w:t>序号</w:t>
                  </w:r>
                </w:p>
              </w:tc>
              <w:tc>
                <w:tcPr>
                  <w:tcW w:w="2030" w:type="dxa"/>
                  <w:vAlign w:val="center"/>
                </w:tcPr>
                <w:p>
                  <w:pPr>
                    <w:adjustRightInd w:val="0"/>
                    <w:snapToGrid w:val="0"/>
                    <w:jc w:val="center"/>
                    <w:rPr>
                      <w:b/>
                      <w:szCs w:val="21"/>
                    </w:rPr>
                  </w:pPr>
                  <w:r>
                    <w:rPr>
                      <w:b/>
                      <w:szCs w:val="21"/>
                    </w:rPr>
                    <w:t>行业类别</w:t>
                  </w:r>
                </w:p>
              </w:tc>
              <w:tc>
                <w:tcPr>
                  <w:tcW w:w="880" w:type="dxa"/>
                  <w:shd w:val="clear" w:color="auto" w:fill="FFFFFF"/>
                  <w:vAlign w:val="center"/>
                </w:tcPr>
                <w:p>
                  <w:pPr>
                    <w:adjustRightInd w:val="0"/>
                    <w:snapToGrid w:val="0"/>
                    <w:jc w:val="center"/>
                    <w:rPr>
                      <w:b/>
                      <w:szCs w:val="21"/>
                    </w:rPr>
                  </w:pPr>
                  <w:r>
                    <w:rPr>
                      <w:b/>
                      <w:szCs w:val="21"/>
                    </w:rPr>
                    <w:t>重点管理</w:t>
                  </w:r>
                </w:p>
              </w:tc>
              <w:tc>
                <w:tcPr>
                  <w:tcW w:w="3360" w:type="dxa"/>
                  <w:shd w:val="clear" w:color="auto" w:fill="auto"/>
                  <w:vAlign w:val="center"/>
                </w:tcPr>
                <w:p>
                  <w:pPr>
                    <w:adjustRightInd w:val="0"/>
                    <w:snapToGrid w:val="0"/>
                    <w:jc w:val="center"/>
                    <w:rPr>
                      <w:rFonts w:eastAsiaTheme="minorEastAsia"/>
                      <w:b/>
                      <w:szCs w:val="21"/>
                      <w:highlight w:val="none"/>
                    </w:rPr>
                  </w:pPr>
                  <w:r>
                    <w:rPr>
                      <w:rFonts w:hint="eastAsia" w:eastAsiaTheme="minorEastAsia"/>
                      <w:b/>
                      <w:szCs w:val="21"/>
                      <w:highlight w:val="none"/>
                    </w:rPr>
                    <w:t>简化管理</w:t>
                  </w:r>
                </w:p>
              </w:tc>
              <w:tc>
                <w:tcPr>
                  <w:tcW w:w="1297" w:type="dxa"/>
                  <w:shd w:val="clear" w:color="auto" w:fill="D7D7D7" w:themeFill="background1" w:themeFillShade="D8"/>
                  <w:vAlign w:val="center"/>
                </w:tcPr>
                <w:p>
                  <w:pPr>
                    <w:adjustRightInd w:val="0"/>
                    <w:snapToGrid w:val="0"/>
                    <w:jc w:val="center"/>
                    <w:rPr>
                      <w:rFonts w:eastAsiaTheme="minorEastAsia"/>
                      <w:b/>
                      <w:szCs w:val="21"/>
                      <w:highlight w:val="none"/>
                      <w:shd w:val="pct10" w:color="auto" w:fill="FFFFFF"/>
                    </w:rPr>
                  </w:pPr>
                  <w:r>
                    <w:rPr>
                      <w:rFonts w:hint="eastAsia" w:eastAsiaTheme="minorEastAsia"/>
                      <w:b/>
                      <w:szCs w:val="21"/>
                      <w:highlight w:val="none"/>
                    </w:rPr>
                    <w:t>登记管理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trPr>
              <w:tc>
                <w:tcPr>
                  <w:tcW w:w="8040" w:type="dxa"/>
                  <w:gridSpan w:val="5"/>
                  <w:shd w:val="clear" w:color="auto" w:fill="auto"/>
                  <w:vAlign w:val="center"/>
                </w:tcPr>
                <w:p>
                  <w:pPr>
                    <w:adjustRightInd w:val="0"/>
                    <w:snapToGrid w:val="0"/>
                    <w:rPr>
                      <w:b/>
                      <w:szCs w:val="21"/>
                      <w:highlight w:val="none"/>
                    </w:rPr>
                  </w:pPr>
                  <w:r>
                    <w:rPr>
                      <w:rFonts w:hint="eastAsia"/>
                      <w:b/>
                      <w:kern w:val="0"/>
                      <w:szCs w:val="21"/>
                      <w:highlight w:val="none"/>
                    </w:rPr>
                    <w:t>二十</w:t>
                  </w:r>
                  <w:r>
                    <w:rPr>
                      <w:rFonts w:hint="eastAsia"/>
                      <w:b/>
                      <w:kern w:val="0"/>
                      <w:szCs w:val="21"/>
                      <w:highlight w:val="none"/>
                      <w:lang w:val="en-US" w:eastAsia="zh-CN"/>
                    </w:rPr>
                    <w:t>四</w:t>
                  </w:r>
                  <w:r>
                    <w:rPr>
                      <w:rFonts w:hint="eastAsia"/>
                      <w:b/>
                      <w:kern w:val="0"/>
                      <w:szCs w:val="21"/>
                      <w:highlight w:val="none"/>
                    </w:rPr>
                    <w:t>、橡胶和塑料制品业 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73" w:type="dxa"/>
                  <w:vAlign w:val="center"/>
                </w:tcPr>
                <w:p>
                  <w:pPr>
                    <w:adjustRightInd w:val="0"/>
                    <w:snapToGrid w:val="0"/>
                    <w:jc w:val="center"/>
                    <w:rPr>
                      <w:rFonts w:hint="default" w:eastAsia="宋体"/>
                      <w:szCs w:val="21"/>
                      <w:lang w:val="en-US" w:eastAsia="zh-CN"/>
                    </w:rPr>
                  </w:pPr>
                  <w:r>
                    <w:rPr>
                      <w:rFonts w:hint="eastAsia"/>
                      <w:szCs w:val="21"/>
                      <w:lang w:val="en-US" w:eastAsia="zh-CN"/>
                    </w:rPr>
                    <w:t>62</w:t>
                  </w:r>
                </w:p>
              </w:tc>
              <w:tc>
                <w:tcPr>
                  <w:tcW w:w="2030" w:type="dxa"/>
                  <w:vAlign w:val="center"/>
                </w:tcPr>
                <w:p>
                  <w:pPr>
                    <w:autoSpaceDE w:val="0"/>
                    <w:autoSpaceDN w:val="0"/>
                    <w:adjustRightInd w:val="0"/>
                    <w:jc w:val="center"/>
                    <w:rPr>
                      <w:rFonts w:eastAsiaTheme="minorEastAsia"/>
                      <w:kern w:val="0"/>
                      <w:szCs w:val="21"/>
                    </w:rPr>
                  </w:pPr>
                  <w:r>
                    <w:rPr>
                      <w:rFonts w:hint="eastAsia" w:eastAsiaTheme="minorEastAsia"/>
                      <w:kern w:val="0"/>
                      <w:szCs w:val="21"/>
                    </w:rPr>
                    <w:t>塑料制品业 292</w:t>
                  </w:r>
                </w:p>
              </w:tc>
              <w:tc>
                <w:tcPr>
                  <w:tcW w:w="880" w:type="dxa"/>
                  <w:shd w:val="clear" w:color="auto" w:fill="FFFFFF"/>
                  <w:vAlign w:val="center"/>
                </w:tcPr>
                <w:p>
                  <w:pPr>
                    <w:autoSpaceDE w:val="0"/>
                    <w:autoSpaceDN w:val="0"/>
                    <w:adjustRightInd w:val="0"/>
                    <w:jc w:val="center"/>
                    <w:rPr>
                      <w:rFonts w:eastAsiaTheme="minorEastAsia"/>
                      <w:kern w:val="0"/>
                      <w:szCs w:val="21"/>
                    </w:rPr>
                  </w:pPr>
                  <w:r>
                    <w:rPr>
                      <w:rFonts w:hint="eastAsia" w:eastAsiaTheme="minorEastAsia"/>
                      <w:kern w:val="0"/>
                      <w:szCs w:val="21"/>
                    </w:rPr>
                    <w:t>塑料人造革、合成革制造 2925</w:t>
                  </w:r>
                </w:p>
              </w:tc>
              <w:tc>
                <w:tcPr>
                  <w:tcW w:w="3360" w:type="dxa"/>
                  <w:shd w:val="clear" w:color="auto" w:fill="auto"/>
                  <w:vAlign w:val="center"/>
                </w:tcPr>
                <w:p>
                  <w:pPr>
                    <w:autoSpaceDE w:val="0"/>
                    <w:autoSpaceDN w:val="0"/>
                    <w:adjustRightInd w:val="0"/>
                    <w:jc w:val="center"/>
                    <w:rPr>
                      <w:rFonts w:eastAsiaTheme="minorEastAsia"/>
                      <w:kern w:val="0"/>
                      <w:szCs w:val="21"/>
                      <w:highlight w:val="none"/>
                    </w:rPr>
                  </w:pPr>
                  <w:r>
                    <w:rPr>
                      <w:rFonts w:hint="eastAsia" w:eastAsiaTheme="minorEastAsia"/>
                      <w:kern w:val="0"/>
                      <w:szCs w:val="21"/>
                      <w:highlight w:val="none"/>
                    </w:rPr>
                    <w:t>年产 1 万吨及以上的泡沫塑料制造2924，年产 1 万吨及以上涉及改性的塑料薄膜制造 2921、塑料板、管、型材制造 2922、塑料丝、绳和编织品制造 2923、塑料包装箱及容器制造 2926、日用塑料品制造 2927、人造草坪制造 2928、塑料零件及其他塑料制品制造 2929</w:t>
                  </w:r>
                </w:p>
              </w:tc>
              <w:tc>
                <w:tcPr>
                  <w:tcW w:w="1297" w:type="dxa"/>
                  <w:shd w:val="clear" w:color="auto" w:fill="D7D7D7" w:themeFill="background1" w:themeFillShade="D8"/>
                  <w:vAlign w:val="center"/>
                </w:tcPr>
                <w:p>
                  <w:pPr>
                    <w:snapToGrid w:val="0"/>
                    <w:jc w:val="center"/>
                    <w:rPr>
                      <w:rFonts w:eastAsiaTheme="minorEastAsia"/>
                      <w:szCs w:val="21"/>
                      <w:highlight w:val="none"/>
                      <w:shd w:val="pct10" w:color="auto" w:fill="FFFFFF"/>
                    </w:rPr>
                  </w:pPr>
                  <w:r>
                    <w:rPr>
                      <w:rFonts w:hint="eastAsia" w:eastAsiaTheme="minorEastAsia"/>
                      <w:szCs w:val="21"/>
                      <w:highlight w:val="none"/>
                    </w:rPr>
                    <w:t>其他</w:t>
                  </w:r>
                </w:p>
              </w:tc>
            </w:tr>
          </w:tbl>
          <w:p>
            <w:pPr>
              <w:spacing w:before="120" w:beforeLines="50" w:line="360" w:lineRule="auto"/>
              <w:ind w:firstLine="482" w:firstLineChars="200"/>
              <w:rPr>
                <w:b/>
                <w:color w:val="000000"/>
                <w:kern w:val="0"/>
                <w:sz w:val="24"/>
              </w:rPr>
            </w:pPr>
            <w:r>
              <w:rPr>
                <w:rFonts w:hint="eastAsia"/>
                <w:b/>
                <w:color w:val="000000"/>
                <w:kern w:val="0"/>
                <w:sz w:val="24"/>
              </w:rPr>
              <w:t>2、产品方案</w:t>
            </w:r>
          </w:p>
          <w:p>
            <w:pPr>
              <w:adjustRightInd w:val="0"/>
              <w:snapToGrid w:val="0"/>
              <w:spacing w:line="360" w:lineRule="auto"/>
              <w:ind w:firstLine="480" w:firstLineChars="200"/>
              <w:rPr>
                <w:color w:val="000000"/>
                <w:sz w:val="24"/>
              </w:rPr>
            </w:pPr>
            <w:r>
              <w:rPr>
                <w:color w:val="000000"/>
                <w:kern w:val="0"/>
                <w:sz w:val="24"/>
              </w:rPr>
              <w:t>项目产品方案见下表</w:t>
            </w:r>
            <w:r>
              <w:rPr>
                <w:rFonts w:hint="eastAsia"/>
                <w:color w:val="000000"/>
                <w:kern w:val="0"/>
                <w:sz w:val="24"/>
              </w:rPr>
              <w:t>2-</w:t>
            </w:r>
            <w:r>
              <w:rPr>
                <w:rFonts w:hint="eastAsia"/>
                <w:color w:val="000000"/>
                <w:kern w:val="0"/>
                <w:sz w:val="24"/>
                <w:lang w:val="en-US" w:eastAsia="zh-CN"/>
              </w:rPr>
              <w:t>3</w:t>
            </w:r>
            <w:r>
              <w:rPr>
                <w:color w:val="000000"/>
                <w:kern w:val="0"/>
                <w:sz w:val="24"/>
              </w:rPr>
              <w:t>。</w:t>
            </w:r>
          </w:p>
          <w:p>
            <w:pPr>
              <w:widowControl/>
              <w:ind w:firstLine="482" w:firstLineChars="200"/>
              <w:jc w:val="center"/>
              <w:rPr>
                <w:b/>
                <w:color w:val="auto"/>
                <w:kern w:val="0"/>
                <w:sz w:val="24"/>
                <w:szCs w:val="20"/>
              </w:rPr>
            </w:pPr>
            <w:r>
              <w:rPr>
                <w:b/>
                <w:color w:val="auto"/>
                <w:kern w:val="0"/>
                <w:sz w:val="24"/>
                <w:szCs w:val="20"/>
              </w:rPr>
              <w:t>表</w:t>
            </w:r>
            <w:r>
              <w:rPr>
                <w:rFonts w:hint="eastAsia"/>
                <w:b/>
                <w:color w:val="auto"/>
                <w:kern w:val="0"/>
                <w:sz w:val="24"/>
                <w:szCs w:val="20"/>
              </w:rPr>
              <w:t>2-</w:t>
            </w:r>
            <w:r>
              <w:rPr>
                <w:rFonts w:hint="eastAsia"/>
                <w:b/>
                <w:color w:val="auto"/>
                <w:kern w:val="0"/>
                <w:sz w:val="24"/>
                <w:szCs w:val="20"/>
                <w:lang w:val="en-US" w:eastAsia="zh-CN"/>
              </w:rPr>
              <w:t>3</w:t>
            </w:r>
            <w:r>
              <w:rPr>
                <w:b/>
                <w:color w:val="auto"/>
                <w:kern w:val="0"/>
                <w:sz w:val="24"/>
                <w:szCs w:val="20"/>
              </w:rPr>
              <w:t xml:space="preserve"> </w:t>
            </w:r>
            <w:r>
              <w:rPr>
                <w:rFonts w:hint="eastAsia"/>
                <w:b/>
                <w:color w:val="auto"/>
                <w:kern w:val="0"/>
                <w:sz w:val="24"/>
                <w:szCs w:val="20"/>
              </w:rPr>
              <w:t xml:space="preserve"> 项目</w:t>
            </w:r>
            <w:r>
              <w:rPr>
                <w:b/>
                <w:color w:val="auto"/>
                <w:kern w:val="0"/>
                <w:sz w:val="24"/>
                <w:szCs w:val="20"/>
              </w:rPr>
              <w:t>产品方案及生产规模</w:t>
            </w:r>
            <w:r>
              <w:rPr>
                <w:rFonts w:hint="eastAsia"/>
                <w:b/>
                <w:color w:val="auto"/>
                <w:kern w:val="0"/>
                <w:sz w:val="24"/>
                <w:szCs w:val="20"/>
              </w:rPr>
              <w:t>一览</w:t>
            </w:r>
            <w:r>
              <w:rPr>
                <w:b/>
                <w:color w:val="auto"/>
                <w:kern w:val="0"/>
                <w:sz w:val="24"/>
                <w:szCs w:val="20"/>
              </w:rPr>
              <w:t>表</w:t>
            </w:r>
          </w:p>
          <w:tbl>
            <w:tblPr>
              <w:tblStyle w:val="58"/>
              <w:tblW w:w="782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16"/>
              <w:gridCol w:w="1466"/>
              <w:gridCol w:w="2186"/>
              <w:gridCol w:w="195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416" w:type="pct"/>
                  <w:vAlign w:val="center"/>
                </w:tcPr>
                <w:p>
                  <w:pPr>
                    <w:widowControl/>
                    <w:spacing w:line="240" w:lineRule="exact"/>
                    <w:ind w:left="-105" w:leftChars="-50" w:right="-105" w:rightChars="-50"/>
                    <w:jc w:val="center"/>
                    <w:rPr>
                      <w:b/>
                      <w:color w:val="0D0D0D"/>
                      <w:kern w:val="0"/>
                      <w:sz w:val="21"/>
                      <w:szCs w:val="21"/>
                    </w:rPr>
                  </w:pPr>
                  <w:r>
                    <w:rPr>
                      <w:b/>
                      <w:color w:val="0D0D0D"/>
                      <w:kern w:val="0"/>
                      <w:sz w:val="21"/>
                      <w:szCs w:val="21"/>
                    </w:rPr>
                    <w:t>产品名称</w:t>
                  </w:r>
                </w:p>
              </w:tc>
              <w:tc>
                <w:tcPr>
                  <w:tcW w:w="937" w:type="pct"/>
                  <w:vAlign w:val="center"/>
                </w:tcPr>
                <w:p>
                  <w:pPr>
                    <w:widowControl/>
                    <w:spacing w:line="240" w:lineRule="exact"/>
                    <w:ind w:left="-105" w:leftChars="-50" w:right="-105" w:rightChars="-50"/>
                    <w:jc w:val="center"/>
                    <w:rPr>
                      <w:b/>
                      <w:color w:val="0D0D0D"/>
                      <w:kern w:val="0"/>
                      <w:sz w:val="21"/>
                      <w:szCs w:val="21"/>
                    </w:rPr>
                  </w:pPr>
                  <w:r>
                    <w:rPr>
                      <w:b/>
                      <w:color w:val="0D0D0D"/>
                      <w:kern w:val="0"/>
                      <w:sz w:val="21"/>
                      <w:szCs w:val="21"/>
                    </w:rPr>
                    <w:t>单位</w:t>
                  </w:r>
                </w:p>
              </w:tc>
              <w:tc>
                <w:tcPr>
                  <w:tcW w:w="1397" w:type="pct"/>
                  <w:vAlign w:val="center"/>
                </w:tcPr>
                <w:p>
                  <w:pPr>
                    <w:widowControl/>
                    <w:spacing w:line="240" w:lineRule="exact"/>
                    <w:ind w:left="-105" w:leftChars="-50" w:right="-105" w:rightChars="-50"/>
                    <w:jc w:val="center"/>
                    <w:rPr>
                      <w:b/>
                      <w:color w:val="0D0D0D"/>
                      <w:kern w:val="0"/>
                      <w:sz w:val="21"/>
                      <w:szCs w:val="21"/>
                    </w:rPr>
                  </w:pPr>
                  <w:r>
                    <w:rPr>
                      <w:rFonts w:hint="eastAsia"/>
                      <w:b/>
                      <w:color w:val="0D0D0D"/>
                      <w:kern w:val="0"/>
                      <w:sz w:val="21"/>
                      <w:szCs w:val="21"/>
                    </w:rPr>
                    <w:t>产量</w:t>
                  </w:r>
                </w:p>
              </w:tc>
              <w:tc>
                <w:tcPr>
                  <w:tcW w:w="1248" w:type="pct"/>
                  <w:vAlign w:val="center"/>
                </w:tcPr>
                <w:p>
                  <w:pPr>
                    <w:widowControl/>
                    <w:spacing w:line="240" w:lineRule="exact"/>
                    <w:ind w:left="-105" w:leftChars="-50" w:right="-105" w:rightChars="-50"/>
                    <w:jc w:val="center"/>
                    <w:rPr>
                      <w:rFonts w:hint="eastAsia" w:ascii="Times New Roman" w:hAnsi="Times New Roman" w:eastAsia="宋体" w:cs="Times New Roman"/>
                      <w:b/>
                      <w:color w:val="auto"/>
                      <w:kern w:val="0"/>
                      <w:sz w:val="21"/>
                      <w:szCs w:val="21"/>
                      <w:lang w:val="en-US" w:eastAsia="zh-CN" w:bidi="ar-SA"/>
                    </w:rPr>
                  </w:pPr>
                  <w:r>
                    <w:rPr>
                      <w:rFonts w:hint="eastAsia"/>
                      <w:b/>
                      <w:color w:val="auto"/>
                      <w:kern w:val="0"/>
                      <w:sz w:val="21"/>
                      <w:szCs w:val="21"/>
                      <w:lang w:val="en-US" w:eastAsia="zh-CN"/>
                    </w:rPr>
                    <w:t>单套产品总重（单位：g 注：包含其他零件）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6" w:type="pct"/>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手套箱锁总成</w:t>
                  </w:r>
                </w:p>
              </w:tc>
              <w:tc>
                <w:tcPr>
                  <w:tcW w:w="937" w:type="pct"/>
                  <w:vAlign w:val="center"/>
                </w:tcPr>
                <w:p>
                  <w:pPr>
                    <w:keepNext w:val="0"/>
                    <w:keepLines w:val="0"/>
                    <w:widowControl/>
                    <w:suppressLineNumbers w:val="0"/>
                    <w:jc w:val="center"/>
                    <w:textAlignment w:val="center"/>
                    <w:rPr>
                      <w:rFonts w:ascii="宋体" w:hAnsi="宋体" w:eastAsia="宋体" w:cs="宋体"/>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万套</w:t>
                  </w:r>
                </w:p>
              </w:tc>
              <w:tc>
                <w:tcPr>
                  <w:tcW w:w="1397" w:type="pct"/>
                  <w:vAlign w:val="center"/>
                </w:tcPr>
                <w:p>
                  <w:pPr>
                    <w:keepNext w:val="0"/>
                    <w:keepLines w:val="0"/>
                    <w:widowControl/>
                    <w:suppressLineNumbers w:val="0"/>
                    <w:jc w:val="center"/>
                    <w:textAlignment w:val="center"/>
                    <w:rPr>
                      <w:rFonts w:ascii="宋体" w:hAnsi="宋体" w:eastAsia="宋体" w:cs="宋体"/>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110</w:t>
                  </w:r>
                </w:p>
              </w:tc>
              <w:tc>
                <w:tcPr>
                  <w:tcW w:w="1248" w:type="pct"/>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95</w:t>
                  </w:r>
                  <w:r>
                    <w:rPr>
                      <w:rFonts w:hint="eastAsia" w:ascii="宋体" w:hAnsi="宋体" w:cs="宋体"/>
                      <w:i w:val="0"/>
                      <w:iCs w:val="0"/>
                      <w:color w:val="auto"/>
                      <w:kern w:val="0"/>
                      <w:sz w:val="21"/>
                      <w:szCs w:val="21"/>
                      <w:u w:val="none"/>
                      <w:lang w:val="en-US" w:eastAsia="zh-CN" w:bidi="ar"/>
                    </w:rPr>
                    <w:t>（含金属销轴）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6" w:type="pct"/>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扶手滑轨总成</w:t>
                  </w:r>
                </w:p>
              </w:tc>
              <w:tc>
                <w:tcPr>
                  <w:tcW w:w="937" w:type="pct"/>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万套</w:t>
                  </w:r>
                </w:p>
              </w:tc>
              <w:tc>
                <w:tcPr>
                  <w:tcW w:w="1397" w:type="pct"/>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50</w:t>
                  </w:r>
                </w:p>
              </w:tc>
              <w:tc>
                <w:tcPr>
                  <w:tcW w:w="1248" w:type="pct"/>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350</w:t>
                  </w:r>
                  <w:r>
                    <w:rPr>
                      <w:rFonts w:hint="eastAsia" w:ascii="宋体" w:hAnsi="宋体" w:cs="宋体"/>
                      <w:i w:val="0"/>
                      <w:iCs w:val="0"/>
                      <w:color w:val="auto"/>
                      <w:kern w:val="0"/>
                      <w:sz w:val="21"/>
                      <w:szCs w:val="21"/>
                      <w:u w:val="none"/>
                      <w:lang w:val="en-US" w:eastAsia="zh-CN" w:bidi="ar"/>
                    </w:rPr>
                    <w:t>（含导轨杆）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6" w:type="pct"/>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b w:val="0"/>
                      <w:bCs w:val="0"/>
                      <w:i w:val="0"/>
                      <w:iCs w:val="0"/>
                      <w:color w:val="000000"/>
                      <w:kern w:val="0"/>
                      <w:sz w:val="21"/>
                      <w:szCs w:val="21"/>
                      <w:highlight w:val="none"/>
                      <w:u w:val="none"/>
                      <w:lang w:val="en-US" w:eastAsia="zh-CN" w:bidi="ar"/>
                    </w:rPr>
                    <w:t>牌照固定螺母</w:t>
                  </w:r>
                </w:p>
              </w:tc>
              <w:tc>
                <w:tcPr>
                  <w:tcW w:w="937" w:type="pct"/>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万套</w:t>
                  </w:r>
                </w:p>
              </w:tc>
              <w:tc>
                <w:tcPr>
                  <w:tcW w:w="1397" w:type="pct"/>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180</w:t>
                  </w:r>
                </w:p>
              </w:tc>
              <w:tc>
                <w:tcPr>
                  <w:tcW w:w="1248" w:type="pct"/>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（含铜螺母）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6" w:type="pct"/>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highlight w:val="none"/>
                      <w:lang w:val="en-US" w:eastAsia="zh-CN" w:bidi="ar-SA"/>
                    </w:rPr>
                  </w:pPr>
                  <w:r>
                    <w:rPr>
                      <w:rFonts w:hint="eastAsia" w:ascii="宋体" w:hAnsi="宋体" w:eastAsia="宋体" w:cs="宋体"/>
                      <w:b w:val="0"/>
                      <w:bCs w:val="0"/>
                      <w:i w:val="0"/>
                      <w:iCs w:val="0"/>
                      <w:color w:val="auto"/>
                      <w:kern w:val="0"/>
                      <w:sz w:val="21"/>
                      <w:szCs w:val="21"/>
                      <w:highlight w:val="none"/>
                      <w:u w:val="none"/>
                      <w:lang w:val="en-US" w:eastAsia="zh-CN" w:bidi="ar"/>
                    </w:rPr>
                    <w:t>前/后保安装支架</w:t>
                  </w:r>
                </w:p>
              </w:tc>
              <w:tc>
                <w:tcPr>
                  <w:tcW w:w="937" w:type="pct"/>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万套</w:t>
                  </w:r>
                </w:p>
              </w:tc>
              <w:tc>
                <w:tcPr>
                  <w:tcW w:w="1397" w:type="pct"/>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60</w:t>
                  </w:r>
                </w:p>
              </w:tc>
              <w:tc>
                <w:tcPr>
                  <w:tcW w:w="1248" w:type="pct"/>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150</w:t>
                  </w:r>
                  <w:r>
                    <w:rPr>
                      <w:rFonts w:hint="eastAsia" w:ascii="宋体" w:hAnsi="宋体" w:cs="宋体"/>
                      <w:i w:val="0"/>
                      <w:iCs w:val="0"/>
                      <w:color w:val="auto"/>
                      <w:kern w:val="0"/>
                      <w:sz w:val="21"/>
                      <w:szCs w:val="21"/>
                      <w:u w:val="none"/>
                      <w:lang w:val="en-US" w:eastAsia="zh-CN" w:bidi="ar"/>
                    </w:rPr>
                    <w:t>（含夹片）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6" w:type="pct"/>
                  <w:vAlign w:val="center"/>
                </w:tcPr>
                <w:p>
                  <w:pPr>
                    <w:keepNext w:val="0"/>
                    <w:keepLines w:val="0"/>
                    <w:widowControl/>
                    <w:suppressLineNumbers w:val="0"/>
                    <w:jc w:val="center"/>
                    <w:textAlignment w:val="center"/>
                    <w:rPr>
                      <w:rFonts w:hint="default" w:ascii="宋体" w:hAnsi="宋体" w:eastAsia="宋体" w:cs="宋体"/>
                      <w:b w:val="0"/>
                      <w:bCs w:val="0"/>
                      <w:kern w:val="0"/>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盖板</w:t>
                  </w:r>
                </w:p>
              </w:tc>
              <w:tc>
                <w:tcPr>
                  <w:tcW w:w="937" w:type="pct"/>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万套</w:t>
                  </w:r>
                </w:p>
              </w:tc>
              <w:tc>
                <w:tcPr>
                  <w:tcW w:w="1397" w:type="pct"/>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50</w:t>
                  </w:r>
                </w:p>
              </w:tc>
              <w:tc>
                <w:tcPr>
                  <w:tcW w:w="1248" w:type="pct"/>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6" w:type="pct"/>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highlight w:val="none"/>
                      <w:lang w:val="en-US" w:eastAsia="zh-CN" w:bidi="ar-SA"/>
                    </w:rPr>
                  </w:pPr>
                  <w:r>
                    <w:rPr>
                      <w:rFonts w:hint="eastAsia" w:ascii="宋体" w:hAnsi="宋体" w:eastAsia="宋体" w:cs="宋体"/>
                      <w:b w:val="0"/>
                      <w:bCs w:val="0"/>
                      <w:i w:val="0"/>
                      <w:iCs w:val="0"/>
                      <w:color w:val="000000"/>
                      <w:kern w:val="0"/>
                      <w:sz w:val="21"/>
                      <w:szCs w:val="21"/>
                      <w:highlight w:val="none"/>
                      <w:u w:val="none"/>
                      <w:lang w:val="en-US" w:eastAsia="zh-CN" w:bidi="ar"/>
                    </w:rPr>
                    <w:t>安全带夹片</w:t>
                  </w:r>
                </w:p>
              </w:tc>
              <w:tc>
                <w:tcPr>
                  <w:tcW w:w="937" w:type="pct"/>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万套</w:t>
                  </w:r>
                </w:p>
              </w:tc>
              <w:tc>
                <w:tcPr>
                  <w:tcW w:w="1397" w:type="pct"/>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15</w:t>
                  </w:r>
                </w:p>
              </w:tc>
              <w:tc>
                <w:tcPr>
                  <w:tcW w:w="1248" w:type="pct"/>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6" w:type="pct"/>
                  <w:vAlign w:val="center"/>
                </w:tcPr>
                <w:p>
                  <w:pPr>
                    <w:keepNext w:val="0"/>
                    <w:keepLines w:val="0"/>
                    <w:widowControl/>
                    <w:suppressLineNumbers w:val="0"/>
                    <w:jc w:val="center"/>
                    <w:textAlignment w:val="center"/>
                    <w:rPr>
                      <w:rFonts w:hint="eastAsia" w:ascii="宋体" w:hAnsi="宋体" w:eastAsia="宋体" w:cs="宋体"/>
                      <w:b w:val="0"/>
                      <w:bCs w:val="0"/>
                      <w:kern w:val="0"/>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bidi="ar"/>
                    </w:rPr>
                    <w:t>行李箱挂钩</w:t>
                  </w:r>
                </w:p>
              </w:tc>
              <w:tc>
                <w:tcPr>
                  <w:tcW w:w="937" w:type="pct"/>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万套</w:t>
                  </w:r>
                </w:p>
              </w:tc>
              <w:tc>
                <w:tcPr>
                  <w:tcW w:w="1397" w:type="pct"/>
                  <w:vAlign w:val="center"/>
                </w:tcPr>
                <w:p>
                  <w:pPr>
                    <w:keepNext w:val="0"/>
                    <w:keepLines w:val="0"/>
                    <w:widowControl/>
                    <w:suppressLineNumbers w:val="0"/>
                    <w:jc w:val="center"/>
                    <w:textAlignment w:val="center"/>
                    <w:rPr>
                      <w:rFonts w:hint="eastAsia" w:ascii="宋体" w:hAnsi="宋体" w:eastAsia="宋体" w:cs="宋体"/>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15</w:t>
                  </w:r>
                </w:p>
              </w:tc>
              <w:tc>
                <w:tcPr>
                  <w:tcW w:w="1248" w:type="pct"/>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6" w:type="pct"/>
                  <w:vAlign w:val="center"/>
                </w:tcPr>
                <w:p>
                  <w:pPr>
                    <w:keepNext w:val="0"/>
                    <w:keepLines w:val="0"/>
                    <w:widowControl/>
                    <w:suppressLineNumbers w:val="0"/>
                    <w:jc w:val="center"/>
                    <w:textAlignment w:val="center"/>
                    <w:rPr>
                      <w:rFonts w:hint="eastAsia" w:ascii="宋体" w:hAnsi="宋体" w:cs="宋体" w:eastAsiaTheme="minorEastAsia"/>
                      <w:b w:val="0"/>
                      <w:bCs w:val="0"/>
                      <w:kern w:val="0"/>
                      <w:sz w:val="21"/>
                      <w:szCs w:val="21"/>
                      <w:lang w:val="en-US" w:eastAsia="zh-CN" w:bidi="ar-SA"/>
                    </w:rPr>
                  </w:pPr>
                  <w:r>
                    <w:rPr>
                      <w:rFonts w:hint="eastAsia" w:ascii="宋体" w:hAnsi="宋体" w:cs="宋体"/>
                      <w:b w:val="0"/>
                      <w:bCs w:val="0"/>
                      <w:kern w:val="0"/>
                      <w:sz w:val="21"/>
                      <w:szCs w:val="21"/>
                      <w:lang w:eastAsia="zh-CN"/>
                    </w:rPr>
                    <w:t>移动支架总成</w:t>
                  </w:r>
                </w:p>
              </w:tc>
              <w:tc>
                <w:tcPr>
                  <w:tcW w:w="937" w:type="pct"/>
                  <w:vAlign w:val="center"/>
                </w:tcPr>
                <w:p>
                  <w:pPr>
                    <w:keepNext w:val="0"/>
                    <w:keepLines w:val="0"/>
                    <w:widowControl/>
                    <w:suppressLineNumbers w:val="0"/>
                    <w:jc w:val="center"/>
                    <w:textAlignment w:val="center"/>
                    <w:rPr>
                      <w:rFonts w:hint="eastAsia" w:asciiTheme="minorHAnsi" w:hAnsiTheme="minorHAnsi" w:eastAsiaTheme="minorEastAsia" w:cstheme="minorBidi"/>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万套</w:t>
                  </w:r>
                </w:p>
              </w:tc>
              <w:tc>
                <w:tcPr>
                  <w:tcW w:w="1397" w:type="pct"/>
                  <w:vAlign w:val="bottom"/>
                </w:tcPr>
                <w:p>
                  <w:pPr>
                    <w:widowControl/>
                    <w:jc w:val="center"/>
                    <w:rPr>
                      <w:rFonts w:hint="eastAsia" w:ascii="宋体" w:hAnsi="宋体" w:cs="宋体" w:eastAsiaTheme="minorEastAsia"/>
                      <w:kern w:val="0"/>
                      <w:sz w:val="21"/>
                      <w:szCs w:val="21"/>
                      <w:lang w:val="en-US" w:eastAsia="zh-CN" w:bidi="ar-SA"/>
                    </w:rPr>
                  </w:pPr>
                  <w:r>
                    <w:rPr>
                      <w:rFonts w:hint="eastAsia" w:ascii="宋体" w:hAnsi="宋体" w:cs="宋体"/>
                      <w:kern w:val="0"/>
                      <w:sz w:val="21"/>
                      <w:szCs w:val="21"/>
                      <w:lang w:val="en-US" w:eastAsia="zh-CN"/>
                    </w:rPr>
                    <w:t>20</w:t>
                  </w:r>
                </w:p>
              </w:tc>
              <w:tc>
                <w:tcPr>
                  <w:tcW w:w="1248" w:type="pct"/>
                  <w:vAlign w:val="center"/>
                </w:tcPr>
                <w:p>
                  <w:pPr>
                    <w:keepNext w:val="0"/>
                    <w:keepLines w:val="0"/>
                    <w:widowControl/>
                    <w:suppressLineNumbers w:val="0"/>
                    <w:jc w:val="center"/>
                    <w:textAlignment w:val="center"/>
                    <w:rPr>
                      <w:rFonts w:hint="eastAsia" w:ascii="宋体" w:hAnsi="宋体" w:eastAsia="宋体" w:cs="宋体"/>
                      <w:color w:val="auto"/>
                      <w:kern w:val="0"/>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1300</w:t>
                  </w:r>
                  <w:r>
                    <w:rPr>
                      <w:rFonts w:hint="eastAsia" w:ascii="宋体" w:hAnsi="宋体" w:cs="宋体"/>
                      <w:i w:val="0"/>
                      <w:iCs w:val="0"/>
                      <w:color w:val="auto"/>
                      <w:kern w:val="0"/>
                      <w:sz w:val="21"/>
                      <w:szCs w:val="21"/>
                      <w:u w:val="none"/>
                      <w:lang w:val="en-US" w:eastAsia="zh-CN" w:bidi="ar"/>
                    </w:rPr>
                    <w:t>（含镁铝合金）</w:t>
                  </w:r>
                </w:p>
              </w:tc>
            </w:tr>
          </w:tbl>
          <w:p>
            <w:pPr>
              <w:widowControl/>
              <w:spacing w:line="480" w:lineRule="exact"/>
              <w:ind w:firstLine="472" w:firstLineChars="196"/>
              <w:jc w:val="left"/>
              <w:rPr>
                <w:b/>
                <w:color w:val="000000"/>
                <w:kern w:val="0"/>
                <w:sz w:val="24"/>
              </w:rPr>
            </w:pPr>
            <w:r>
              <w:rPr>
                <w:rFonts w:hint="eastAsia"/>
                <w:b/>
                <w:color w:val="000000"/>
                <w:kern w:val="0"/>
                <w:sz w:val="24"/>
                <w:szCs w:val="20"/>
              </w:rPr>
              <w:t>3、</w:t>
            </w:r>
            <w:r>
              <w:rPr>
                <w:rFonts w:hint="eastAsia"/>
                <w:b/>
                <w:color w:val="000000"/>
                <w:kern w:val="0"/>
                <w:sz w:val="24"/>
              </w:rPr>
              <w:t>项目建设内容</w:t>
            </w:r>
          </w:p>
          <w:p>
            <w:pPr>
              <w:widowControl/>
              <w:spacing w:line="480" w:lineRule="exact"/>
              <w:ind w:firstLine="480" w:firstLineChars="200"/>
              <w:jc w:val="left"/>
              <w:rPr>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本</w:t>
            </w:r>
            <w:r>
              <w:rPr>
                <w:rFonts w:hint="eastAsia"/>
                <w:color w:val="0D0D0D" w:themeColor="text1" w:themeTint="F2"/>
                <w:kern w:val="0"/>
                <w:sz w:val="24"/>
                <w:szCs w:val="32"/>
                <w14:textFill>
                  <w14:solidFill>
                    <w14:schemeClr w14:val="tx1">
                      <w14:lumMod w14:val="95000"/>
                      <w14:lumOff w14:val="5000"/>
                    </w14:schemeClr>
                  </w14:solidFill>
                </w14:textFill>
              </w:rPr>
              <w:t>项目组成详见表2-</w:t>
            </w:r>
            <w:r>
              <w:rPr>
                <w:rFonts w:hint="eastAsia"/>
                <w:color w:val="0D0D0D" w:themeColor="text1" w:themeTint="F2"/>
                <w:kern w:val="0"/>
                <w:sz w:val="24"/>
                <w:szCs w:val="32"/>
                <w:lang w:val="en-US" w:eastAsia="zh-CN"/>
                <w14:textFill>
                  <w14:solidFill>
                    <w14:schemeClr w14:val="tx1">
                      <w14:lumMod w14:val="95000"/>
                      <w14:lumOff w14:val="5000"/>
                    </w14:schemeClr>
                  </w14:solidFill>
                </w14:textFill>
              </w:rPr>
              <w:t>4</w:t>
            </w:r>
            <w:r>
              <w:rPr>
                <w:rFonts w:hint="eastAsia"/>
                <w:color w:val="0D0D0D" w:themeColor="text1" w:themeTint="F2"/>
                <w:kern w:val="0"/>
                <w:sz w:val="24"/>
                <w:szCs w:val="32"/>
                <w14:textFill>
                  <w14:solidFill>
                    <w14:schemeClr w14:val="tx1">
                      <w14:lumMod w14:val="95000"/>
                      <w14:lumOff w14:val="5000"/>
                    </w14:schemeClr>
                  </w14:solidFill>
                </w14:textFill>
              </w:rPr>
              <w:t>所示。</w:t>
            </w:r>
          </w:p>
          <w:p>
            <w:pPr>
              <w:spacing w:before="120" w:beforeLines="50"/>
              <w:ind w:firstLine="482" w:firstLineChars="200"/>
              <w:jc w:val="center"/>
              <w:rPr>
                <w:color w:val="auto"/>
                <w:sz w:val="24"/>
              </w:rPr>
            </w:pPr>
            <w:r>
              <w:rPr>
                <w:rFonts w:hAnsi="宋体"/>
                <w:b/>
                <w:color w:val="auto"/>
                <w:kern w:val="24"/>
                <w:sz w:val="24"/>
              </w:rPr>
              <w:t>表</w:t>
            </w:r>
            <w:r>
              <w:rPr>
                <w:rFonts w:hint="eastAsia" w:hAnsi="宋体"/>
                <w:b/>
                <w:color w:val="auto"/>
                <w:kern w:val="24"/>
                <w:sz w:val="24"/>
              </w:rPr>
              <w:t>2-</w:t>
            </w:r>
            <w:r>
              <w:rPr>
                <w:rFonts w:hint="eastAsia" w:hAnsi="宋体"/>
                <w:b/>
                <w:color w:val="auto"/>
                <w:kern w:val="24"/>
                <w:sz w:val="24"/>
                <w:lang w:val="en-US" w:eastAsia="zh-CN"/>
              </w:rPr>
              <w:t>4</w:t>
            </w:r>
            <w:r>
              <w:rPr>
                <w:rFonts w:hAnsi="宋体"/>
                <w:b/>
                <w:color w:val="auto"/>
                <w:kern w:val="24"/>
                <w:sz w:val="24"/>
              </w:rPr>
              <w:t xml:space="preserve">  项目组成内容表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54"/>
              <w:gridCol w:w="1126"/>
              <w:gridCol w:w="1230"/>
              <w:gridCol w:w="2422"/>
              <w:gridCol w:w="315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271" w:type="pct"/>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序号</w:t>
                  </w:r>
                </w:p>
              </w:tc>
              <w:tc>
                <w:tcPr>
                  <w:tcW w:w="671" w:type="pct"/>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工程类别</w:t>
                  </w:r>
                </w:p>
              </w:tc>
              <w:tc>
                <w:tcPr>
                  <w:tcW w:w="733" w:type="pct"/>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工程名称</w:t>
                  </w:r>
                </w:p>
              </w:tc>
              <w:tc>
                <w:tcPr>
                  <w:tcW w:w="3324" w:type="pct"/>
                  <w:gridSpan w:val="2"/>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工程规模和内容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271" w:type="pct"/>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1</w:t>
                  </w:r>
                </w:p>
              </w:tc>
              <w:tc>
                <w:tcPr>
                  <w:tcW w:w="671" w:type="pct"/>
                  <w:vAlign w:val="center"/>
                </w:tcPr>
                <w:p>
                  <w:pPr>
                    <w:widowControl/>
                    <w:ind w:left="-105" w:leftChars="-5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主体工程</w:t>
                  </w:r>
                </w:p>
              </w:tc>
              <w:tc>
                <w:tcPr>
                  <w:tcW w:w="733" w:type="pct"/>
                  <w:vAlign w:val="center"/>
                </w:tcPr>
                <w:p>
                  <w:pPr>
                    <w:widowControl/>
                    <w:jc w:val="center"/>
                    <w:rPr>
                      <w:rFonts w:hint="default" w:eastAsia="宋体"/>
                      <w:snapToGrid w:val="0"/>
                      <w:color w:val="0D0D0D" w:themeColor="text1" w:themeTint="F2"/>
                      <w:kern w:val="0"/>
                      <w:szCs w:val="21"/>
                      <w:lang w:val="en-US" w:eastAsia="zh-CN"/>
                      <w14:textFill>
                        <w14:solidFill>
                          <w14:schemeClr w14:val="tx1">
                            <w14:lumMod w14:val="95000"/>
                            <w14:lumOff w14:val="5000"/>
                          </w14:schemeClr>
                        </w14:solidFill>
                      </w14:textFill>
                    </w:rPr>
                  </w:pPr>
                  <w:r>
                    <w:rPr>
                      <w:rFonts w:hint="eastAsia"/>
                      <w:snapToGrid w:val="0"/>
                      <w:color w:val="0D0D0D" w:themeColor="text1" w:themeTint="F2"/>
                      <w:kern w:val="0"/>
                      <w:szCs w:val="21"/>
                      <w:lang w:val="en-US" w:eastAsia="zh-CN"/>
                      <w14:textFill>
                        <w14:solidFill>
                          <w14:schemeClr w14:val="tx1">
                            <w14:lumMod w14:val="95000"/>
                            <w14:lumOff w14:val="5000"/>
                          </w14:schemeClr>
                        </w14:solidFill>
                      </w14:textFill>
                    </w:rPr>
                    <w:t>生产车间</w:t>
                  </w:r>
                </w:p>
              </w:tc>
              <w:tc>
                <w:tcPr>
                  <w:tcW w:w="3324" w:type="pct"/>
                  <w:gridSpan w:val="2"/>
                  <w:vAlign w:val="center"/>
                </w:tcPr>
                <w:p>
                  <w:pPr>
                    <w:widowControl/>
                    <w:jc w:val="center"/>
                    <w:rPr>
                      <w:rFonts w:hint="default" w:eastAsia="宋体"/>
                      <w:snapToGrid w:val="0"/>
                      <w:color w:val="auto"/>
                      <w:kern w:val="0"/>
                      <w:szCs w:val="21"/>
                      <w:lang w:val="en-US" w:eastAsia="zh-CN"/>
                    </w:rPr>
                  </w:pPr>
                  <w:r>
                    <w:rPr>
                      <w:rFonts w:hint="eastAsia"/>
                      <w:snapToGrid w:val="0"/>
                      <w:color w:val="auto"/>
                      <w:kern w:val="0"/>
                      <w:szCs w:val="21"/>
                      <w:lang w:val="en-US" w:eastAsia="zh-CN"/>
                    </w:rPr>
                    <w:t>厂房共2</w:t>
                  </w:r>
                  <w:r>
                    <w:rPr>
                      <w:rFonts w:hint="eastAsia"/>
                      <w:snapToGrid w:val="0"/>
                      <w:color w:val="auto"/>
                      <w:kern w:val="0"/>
                      <w:szCs w:val="21"/>
                    </w:rPr>
                    <w:t>F，</w:t>
                  </w:r>
                  <w:r>
                    <w:rPr>
                      <w:rFonts w:hint="eastAsia"/>
                      <w:snapToGrid w:val="0"/>
                      <w:color w:val="auto"/>
                      <w:kern w:val="0"/>
                      <w:szCs w:val="21"/>
                      <w:lang w:val="en-US" w:eastAsia="zh-CN"/>
                    </w:rPr>
                    <w:t>总</w:t>
                  </w:r>
                  <w:r>
                    <w:rPr>
                      <w:rFonts w:hint="eastAsia"/>
                      <w:snapToGrid w:val="0"/>
                      <w:color w:val="auto"/>
                      <w:kern w:val="0"/>
                      <w:szCs w:val="21"/>
                    </w:rPr>
                    <w:t>建筑面积为</w:t>
                  </w:r>
                  <w:r>
                    <w:rPr>
                      <w:rFonts w:hint="eastAsia"/>
                      <w:snapToGrid w:val="0"/>
                      <w:color w:val="auto"/>
                      <w:kern w:val="0"/>
                      <w:szCs w:val="21"/>
                      <w:lang w:val="en-US" w:eastAsia="zh-CN"/>
                    </w:rPr>
                    <w:t>3766.56</w:t>
                  </w:r>
                  <w:r>
                    <w:rPr>
                      <w:rFonts w:hint="eastAsia"/>
                      <w:snapToGrid w:val="0"/>
                      <w:color w:val="auto"/>
                      <w:kern w:val="0"/>
                      <w:szCs w:val="21"/>
                    </w:rPr>
                    <w:t>m</w:t>
                  </w:r>
                  <w:r>
                    <w:rPr>
                      <w:rFonts w:hint="eastAsia"/>
                      <w:snapToGrid w:val="0"/>
                      <w:color w:val="auto"/>
                      <w:kern w:val="0"/>
                      <w:szCs w:val="21"/>
                      <w:vertAlign w:val="superscript"/>
                    </w:rPr>
                    <w:t>2</w:t>
                  </w:r>
                  <w:r>
                    <w:rPr>
                      <w:rFonts w:hint="eastAsia"/>
                      <w:snapToGrid w:val="0"/>
                      <w:color w:val="auto"/>
                      <w:kern w:val="0"/>
                      <w:szCs w:val="21"/>
                      <w:vertAlign w:val="baseline"/>
                      <w:lang w:eastAsia="zh-CN"/>
                    </w:rPr>
                    <w:t>，</w:t>
                  </w:r>
                  <w:r>
                    <w:rPr>
                      <w:rFonts w:hint="eastAsia"/>
                      <w:snapToGrid w:val="0"/>
                      <w:color w:val="auto"/>
                      <w:kern w:val="0"/>
                      <w:szCs w:val="21"/>
                      <w:vertAlign w:val="baseline"/>
                      <w:lang w:val="en-US" w:eastAsia="zh-CN"/>
                    </w:rPr>
                    <w:t>1层作为生产车间，建筑面积为</w:t>
                  </w:r>
                  <w:r>
                    <w:rPr>
                      <w:rFonts w:hint="eastAsia"/>
                      <w:snapToGrid w:val="0"/>
                      <w:color w:val="auto"/>
                      <w:kern w:val="0"/>
                      <w:szCs w:val="21"/>
                      <w:lang w:val="en-US" w:eastAsia="zh-CN"/>
                    </w:rPr>
                    <w:t>1878.78㎡，</w:t>
                  </w:r>
                  <w:r>
                    <w:rPr>
                      <w:rFonts w:hint="eastAsia"/>
                      <w:snapToGrid w:val="0"/>
                      <w:color w:val="auto"/>
                      <w:kern w:val="0"/>
                      <w:szCs w:val="21"/>
                    </w:rPr>
                    <w:t>分为</w:t>
                  </w:r>
                  <w:r>
                    <w:rPr>
                      <w:rFonts w:hint="eastAsia"/>
                      <w:snapToGrid w:val="0"/>
                      <w:color w:val="auto"/>
                      <w:kern w:val="0"/>
                      <w:szCs w:val="21"/>
                      <w:lang w:val="en-US" w:eastAsia="zh-CN"/>
                    </w:rPr>
                    <w:t>注塑区</w:t>
                  </w:r>
                  <w:r>
                    <w:rPr>
                      <w:rFonts w:hint="eastAsia"/>
                      <w:snapToGrid w:val="0"/>
                      <w:color w:val="auto"/>
                      <w:kern w:val="0"/>
                      <w:szCs w:val="21"/>
                    </w:rPr>
                    <w:t>、</w:t>
                  </w:r>
                  <w:r>
                    <w:rPr>
                      <w:rFonts w:hint="eastAsia"/>
                      <w:snapToGrid w:val="0"/>
                      <w:color w:val="auto"/>
                      <w:kern w:val="0"/>
                      <w:szCs w:val="21"/>
                      <w:lang w:val="en-US" w:eastAsia="zh-CN"/>
                    </w:rPr>
                    <w:t>待检</w:t>
                  </w:r>
                  <w:r>
                    <w:rPr>
                      <w:rFonts w:hint="eastAsia"/>
                      <w:snapToGrid w:val="0"/>
                      <w:color w:val="auto"/>
                      <w:kern w:val="0"/>
                      <w:szCs w:val="21"/>
                    </w:rPr>
                    <w:t>区、</w:t>
                  </w:r>
                  <w:r>
                    <w:rPr>
                      <w:rFonts w:hint="eastAsia"/>
                      <w:snapToGrid w:val="0"/>
                      <w:color w:val="auto"/>
                      <w:kern w:val="0"/>
                      <w:szCs w:val="21"/>
                      <w:lang w:val="en-US" w:eastAsia="zh-CN"/>
                    </w:rPr>
                    <w:t>检验</w:t>
                  </w:r>
                  <w:r>
                    <w:rPr>
                      <w:rFonts w:hint="eastAsia"/>
                      <w:snapToGrid w:val="0"/>
                      <w:color w:val="auto"/>
                      <w:kern w:val="0"/>
                      <w:szCs w:val="21"/>
                    </w:rPr>
                    <w:t>区</w:t>
                  </w:r>
                  <w:r>
                    <w:rPr>
                      <w:rFonts w:hint="eastAsia"/>
                      <w:snapToGrid w:val="0"/>
                      <w:color w:val="auto"/>
                      <w:kern w:val="0"/>
                      <w:szCs w:val="21"/>
                      <w:lang w:eastAsia="zh-CN"/>
                    </w:rPr>
                    <w:t>、</w:t>
                  </w:r>
                  <w:r>
                    <w:rPr>
                      <w:rFonts w:hint="eastAsia"/>
                      <w:snapToGrid w:val="0"/>
                      <w:color w:val="0D0D0D" w:themeColor="text1" w:themeTint="F2"/>
                      <w:kern w:val="0"/>
                      <w:szCs w:val="21"/>
                      <w:lang w:val="en-US" w:eastAsia="zh-CN"/>
                      <w14:textFill>
                        <w14:solidFill>
                          <w14:schemeClr w14:val="tx1">
                            <w14:lumMod w14:val="95000"/>
                            <w14:lumOff w14:val="5000"/>
                          </w14:schemeClr>
                        </w14:solidFill>
                      </w14:textFill>
                    </w:rPr>
                    <w:t>生产辅助一区、二区、</w:t>
                  </w:r>
                  <w:r>
                    <w:rPr>
                      <w:rFonts w:hint="eastAsia"/>
                      <w:snapToGrid w:val="0"/>
                      <w:color w:val="auto"/>
                      <w:kern w:val="0"/>
                      <w:szCs w:val="21"/>
                      <w:lang w:val="en-US" w:eastAsia="zh-CN"/>
                    </w:rPr>
                    <w:t>破碎房等。布置注塑机10台、粉碎机2台、模温机10台、三机一体机10台等。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271" w:type="pct"/>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2</w:t>
                  </w:r>
                </w:p>
              </w:tc>
              <w:tc>
                <w:tcPr>
                  <w:tcW w:w="671" w:type="pct"/>
                  <w:vAlign w:val="center"/>
                </w:tcPr>
                <w:p>
                  <w:pPr>
                    <w:widowControl/>
                    <w:ind w:left="-105" w:leftChars="-5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辅助工程</w:t>
                  </w:r>
                </w:p>
              </w:tc>
              <w:tc>
                <w:tcPr>
                  <w:tcW w:w="733" w:type="pct"/>
                  <w:vAlign w:val="center"/>
                </w:tcPr>
                <w:p>
                  <w:pPr>
                    <w:jc w:val="center"/>
                    <w:rPr>
                      <w:snapToGrid w:val="0"/>
                      <w:color w:val="0D0D0D" w:themeColor="text1" w:themeTint="F2"/>
                      <w:kern w:val="0"/>
                      <w:szCs w:val="21"/>
                      <w14:textFill>
                        <w14:solidFill>
                          <w14:schemeClr w14:val="tx1">
                            <w14:lumMod w14:val="95000"/>
                            <w14:lumOff w14:val="5000"/>
                          </w14:schemeClr>
                        </w14:solidFill>
                      </w14:textFill>
                    </w:rPr>
                  </w:pPr>
                  <w:r>
                    <w:rPr>
                      <w:rFonts w:hint="eastAsia"/>
                      <w:snapToGrid w:val="0"/>
                      <w:color w:val="0D0D0D" w:themeColor="text1" w:themeTint="F2"/>
                      <w:kern w:val="0"/>
                      <w:szCs w:val="21"/>
                      <w14:textFill>
                        <w14:solidFill>
                          <w14:schemeClr w14:val="tx1">
                            <w14:lumMod w14:val="95000"/>
                            <w14:lumOff w14:val="5000"/>
                          </w14:schemeClr>
                        </w14:solidFill>
                      </w14:textFill>
                    </w:rPr>
                    <w:t>办公区</w:t>
                  </w:r>
                </w:p>
              </w:tc>
              <w:tc>
                <w:tcPr>
                  <w:tcW w:w="3324" w:type="pct"/>
                  <w:gridSpan w:val="2"/>
                  <w:vAlign w:val="center"/>
                </w:tcPr>
                <w:p>
                  <w:pPr>
                    <w:jc w:val="center"/>
                    <w:rPr>
                      <w:rFonts w:hint="default" w:eastAsia="宋体"/>
                      <w:snapToGrid w:val="0"/>
                      <w:color w:val="auto"/>
                      <w:kern w:val="0"/>
                      <w:szCs w:val="21"/>
                      <w:lang w:val="en-US" w:eastAsia="zh-CN"/>
                    </w:rPr>
                  </w:pPr>
                  <w:r>
                    <w:rPr>
                      <w:rFonts w:hint="eastAsia"/>
                      <w:snapToGrid w:val="0"/>
                      <w:color w:val="auto"/>
                      <w:kern w:val="0"/>
                      <w:szCs w:val="21"/>
                      <w:lang w:val="en-US" w:eastAsia="zh-CN"/>
                    </w:rPr>
                    <w:t>厂房的2层作为办公区</w:t>
                  </w:r>
                  <w:r>
                    <w:rPr>
                      <w:rFonts w:hint="eastAsia"/>
                      <w:snapToGrid w:val="0"/>
                      <w:color w:val="auto"/>
                      <w:kern w:val="0"/>
                      <w:szCs w:val="21"/>
                    </w:rPr>
                    <w:t>，</w:t>
                  </w:r>
                  <w:r>
                    <w:rPr>
                      <w:rFonts w:hint="eastAsia"/>
                      <w:snapToGrid w:val="0"/>
                      <w:color w:val="auto"/>
                      <w:kern w:val="0"/>
                      <w:szCs w:val="21"/>
                      <w:lang w:val="en-US" w:eastAsia="zh-CN"/>
                    </w:rPr>
                    <w:t>建筑面积为1878.78㎡，</w:t>
                  </w:r>
                  <w:r>
                    <w:rPr>
                      <w:snapToGrid w:val="0"/>
                      <w:color w:val="auto"/>
                      <w:kern w:val="0"/>
                      <w:szCs w:val="21"/>
                    </w:rPr>
                    <w:t>用于员工</w:t>
                  </w:r>
                  <w:r>
                    <w:rPr>
                      <w:rFonts w:hint="eastAsia"/>
                      <w:snapToGrid w:val="0"/>
                      <w:color w:val="auto"/>
                      <w:kern w:val="0"/>
                      <w:szCs w:val="21"/>
                    </w:rPr>
                    <w:t>日常</w:t>
                  </w:r>
                  <w:r>
                    <w:rPr>
                      <w:snapToGrid w:val="0"/>
                      <w:color w:val="auto"/>
                      <w:kern w:val="0"/>
                      <w:szCs w:val="21"/>
                    </w:rPr>
                    <w:t>办公</w:t>
                  </w:r>
                  <w:r>
                    <w:rPr>
                      <w:rFonts w:hint="eastAsia"/>
                      <w:snapToGrid w:val="0"/>
                      <w:color w:val="auto"/>
                      <w:kern w:val="0"/>
                      <w:szCs w:val="21"/>
                      <w:lang w:eastAsia="zh-CN"/>
                    </w:rPr>
                    <w:t>，</w:t>
                  </w:r>
                  <w:r>
                    <w:rPr>
                      <w:rFonts w:hint="eastAsia"/>
                      <w:snapToGrid w:val="0"/>
                      <w:color w:val="auto"/>
                      <w:kern w:val="0"/>
                      <w:szCs w:val="21"/>
                      <w:lang w:val="en-US" w:eastAsia="zh-CN"/>
                    </w:rPr>
                    <w:t>不提供食宿。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271" w:type="pct"/>
                  <w:vMerge w:val="restart"/>
                  <w:vAlign w:val="center"/>
                </w:tcPr>
                <w:p>
                  <w:pPr>
                    <w:widowControl/>
                    <w:jc w:val="center"/>
                    <w:rPr>
                      <w:rFonts w:hint="eastAsia"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3</w:t>
                  </w:r>
                </w:p>
              </w:tc>
              <w:tc>
                <w:tcPr>
                  <w:tcW w:w="671" w:type="pct"/>
                  <w:vMerge w:val="restart"/>
                  <w:vAlign w:val="center"/>
                </w:tcPr>
                <w:p>
                  <w:pPr>
                    <w:widowControl/>
                    <w:ind w:left="-105" w:leftChars="-50"/>
                    <w:jc w:val="center"/>
                    <w:rPr>
                      <w:rFonts w:hint="eastAsia"/>
                      <w:color w:val="0D0D0D" w:themeColor="text1" w:themeTint="F2"/>
                      <w:kern w:val="0"/>
                      <w:szCs w:val="21"/>
                      <w14:textFill>
                        <w14:solidFill>
                          <w14:schemeClr w14:val="tx1">
                            <w14:lumMod w14:val="95000"/>
                            <w14:lumOff w14:val="5000"/>
                          </w14:schemeClr>
                        </w14:solidFill>
                      </w14:textFill>
                    </w:rPr>
                  </w:pPr>
                  <w:r>
                    <w:rPr>
                      <w:rFonts w:hint="eastAsia"/>
                      <w:color w:val="000000" w:themeColor="text1"/>
                      <w:kern w:val="0"/>
                      <w:szCs w:val="21"/>
                      <w:lang w:val="en-US" w:eastAsia="zh-CN"/>
                      <w14:textFill>
                        <w14:solidFill>
                          <w14:schemeClr w14:val="tx1"/>
                        </w14:solidFill>
                      </w14:textFill>
                    </w:rPr>
                    <w:t>储运工程</w:t>
                  </w:r>
                </w:p>
              </w:tc>
              <w:tc>
                <w:tcPr>
                  <w:tcW w:w="733" w:type="pct"/>
                  <w:vAlign w:val="center"/>
                </w:tcPr>
                <w:p>
                  <w:pPr>
                    <w:widowControl/>
                    <w:ind w:left="-105" w:leftChars="-50"/>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生产辅助一区（原料暂存区）</w:t>
                  </w:r>
                </w:p>
              </w:tc>
              <w:tc>
                <w:tcPr>
                  <w:tcW w:w="3324" w:type="pct"/>
                  <w:gridSpan w:val="2"/>
                  <w:vAlign w:val="center"/>
                </w:tcPr>
                <w:p>
                  <w:pPr>
                    <w:widowControl/>
                    <w:jc w:val="center"/>
                    <w:rPr>
                      <w:rFonts w:hint="eastAsia" w:ascii="Times New Roman" w:hAnsi="Times New Roman" w:eastAsia="宋体" w:cs="Times New Roman"/>
                      <w:snapToGrid w:val="0"/>
                      <w:color w:val="000000" w:themeColor="text1"/>
                      <w:kern w:val="0"/>
                      <w:sz w:val="21"/>
                      <w:szCs w:val="21"/>
                      <w:lang w:val="en-US" w:eastAsia="zh-CN" w:bidi="ar-SA"/>
                      <w14:textFill>
                        <w14:solidFill>
                          <w14:schemeClr w14:val="tx1"/>
                        </w14:solidFill>
                      </w14:textFill>
                    </w:rPr>
                  </w:pPr>
                  <w:r>
                    <w:rPr>
                      <w:rFonts w:hint="eastAsia"/>
                      <w:snapToGrid w:val="0"/>
                      <w:color w:val="000000" w:themeColor="text1"/>
                      <w:kern w:val="0"/>
                      <w:szCs w:val="21"/>
                      <w:lang w:val="en-US" w:eastAsia="zh-CN"/>
                      <w14:textFill>
                        <w14:solidFill>
                          <w14:schemeClr w14:val="tx1"/>
                        </w14:solidFill>
                      </w14:textFill>
                    </w:rPr>
                    <w:t>占地面积为210㎡，作为原料暂存区使用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271" w:type="pct"/>
                  <w:vMerge w:val="continue"/>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p>
              </w:tc>
              <w:tc>
                <w:tcPr>
                  <w:tcW w:w="671" w:type="pct"/>
                  <w:vMerge w:val="continue"/>
                  <w:vAlign w:val="center"/>
                </w:tcPr>
                <w:p>
                  <w:pPr>
                    <w:widowControl/>
                    <w:ind w:left="-105" w:leftChars="-50"/>
                    <w:jc w:val="center"/>
                    <w:rPr>
                      <w:rFonts w:hint="eastAsia"/>
                      <w:color w:val="0D0D0D" w:themeColor="text1" w:themeTint="F2"/>
                      <w:kern w:val="0"/>
                      <w:szCs w:val="21"/>
                      <w14:textFill>
                        <w14:solidFill>
                          <w14:schemeClr w14:val="tx1">
                            <w14:lumMod w14:val="95000"/>
                            <w14:lumOff w14:val="5000"/>
                          </w14:schemeClr>
                        </w14:solidFill>
                      </w14:textFill>
                    </w:rPr>
                  </w:pPr>
                </w:p>
              </w:tc>
              <w:tc>
                <w:tcPr>
                  <w:tcW w:w="733" w:type="pct"/>
                  <w:vAlign w:val="center"/>
                </w:tcPr>
                <w:p>
                  <w:pPr>
                    <w:widowControl/>
                    <w:ind w:left="-105" w:leftChars="-50"/>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生产辅助二区（成品暂存区）</w:t>
                  </w:r>
                </w:p>
              </w:tc>
              <w:tc>
                <w:tcPr>
                  <w:tcW w:w="3324" w:type="pct"/>
                  <w:gridSpan w:val="2"/>
                  <w:vAlign w:val="center"/>
                </w:tcPr>
                <w:p>
                  <w:pPr>
                    <w:widowControl/>
                    <w:jc w:val="center"/>
                    <w:rPr>
                      <w:rFonts w:hint="eastAsia" w:ascii="Times New Roman" w:hAnsi="Times New Roman" w:eastAsia="宋体" w:cs="Times New Roman"/>
                      <w:snapToGrid w:val="0"/>
                      <w:color w:val="000000" w:themeColor="text1"/>
                      <w:kern w:val="0"/>
                      <w:sz w:val="21"/>
                      <w:szCs w:val="21"/>
                      <w:lang w:val="en-US" w:eastAsia="zh-CN" w:bidi="ar-SA"/>
                      <w14:textFill>
                        <w14:solidFill>
                          <w14:schemeClr w14:val="tx1"/>
                        </w14:solidFill>
                      </w14:textFill>
                    </w:rPr>
                  </w:pPr>
                  <w:r>
                    <w:rPr>
                      <w:rFonts w:hint="eastAsia"/>
                      <w:snapToGrid w:val="0"/>
                      <w:color w:val="000000" w:themeColor="text1"/>
                      <w:kern w:val="0"/>
                      <w:szCs w:val="21"/>
                      <w:lang w:val="en-US" w:eastAsia="zh-CN"/>
                      <w14:textFill>
                        <w14:solidFill>
                          <w14:schemeClr w14:val="tx1"/>
                        </w14:solidFill>
                      </w14:textFill>
                    </w:rPr>
                    <w:t>占地面积为200㎡，作为成品暂存区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71" w:type="pct"/>
                  <w:vMerge w:val="restart"/>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3</w:t>
                  </w:r>
                </w:p>
              </w:tc>
              <w:tc>
                <w:tcPr>
                  <w:tcW w:w="671" w:type="pct"/>
                  <w:vMerge w:val="restart"/>
                  <w:vAlign w:val="center"/>
                </w:tcPr>
                <w:p>
                  <w:pPr>
                    <w:widowControl/>
                    <w:jc w:val="both"/>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公用工程</w:t>
                  </w:r>
                </w:p>
              </w:tc>
              <w:tc>
                <w:tcPr>
                  <w:tcW w:w="733" w:type="pct"/>
                  <w:vAlign w:val="center"/>
                </w:tcPr>
                <w:p>
                  <w:pPr>
                    <w:widowControl/>
                    <w:ind w:left="-105" w:leftChars="-5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给水系统</w:t>
                  </w:r>
                </w:p>
              </w:tc>
              <w:tc>
                <w:tcPr>
                  <w:tcW w:w="3324" w:type="pct"/>
                  <w:gridSpan w:val="2"/>
                  <w:vAlign w:val="center"/>
                </w:tcPr>
                <w:p>
                  <w:pPr>
                    <w:widowControl/>
                    <w:jc w:val="center"/>
                    <w:rPr>
                      <w:snapToGrid w:val="0"/>
                      <w:color w:val="0D0D0D" w:themeColor="text1" w:themeTint="F2"/>
                      <w:kern w:val="0"/>
                      <w:szCs w:val="21"/>
                      <w14:textFill>
                        <w14:solidFill>
                          <w14:schemeClr w14:val="tx1">
                            <w14:lumMod w14:val="95000"/>
                            <w14:lumOff w14:val="5000"/>
                          </w14:schemeClr>
                        </w14:solidFill>
                      </w14:textFill>
                    </w:rPr>
                  </w:pPr>
                  <w:r>
                    <w:rPr>
                      <w:rFonts w:hint="eastAsia"/>
                      <w:snapToGrid w:val="0"/>
                      <w:color w:val="auto"/>
                      <w:kern w:val="0"/>
                      <w:szCs w:val="21"/>
                      <w:lang w:val="en-US" w:eastAsia="zh-CN"/>
                    </w:rPr>
                    <w:t>用水量为255</w:t>
                  </w:r>
                  <w:r>
                    <w:rPr>
                      <w:rFonts w:eastAsia="仿宋_GB2312"/>
                      <w:color w:val="auto"/>
                      <w:szCs w:val="21"/>
                    </w:rPr>
                    <w:t>t/a</w:t>
                  </w:r>
                  <w:r>
                    <w:rPr>
                      <w:rFonts w:hint="eastAsia"/>
                      <w:snapToGrid w:val="0"/>
                      <w:color w:val="auto"/>
                      <w:kern w:val="0"/>
                      <w:szCs w:val="21"/>
                      <w:lang w:val="en-US" w:eastAsia="zh-CN"/>
                    </w:rPr>
                    <w:t>、</w:t>
                  </w:r>
                  <w:r>
                    <w:rPr>
                      <w:rFonts w:hint="eastAsia"/>
                      <w:snapToGrid w:val="0"/>
                      <w:color w:val="0D0D0D" w:themeColor="text1" w:themeTint="F2"/>
                      <w:kern w:val="0"/>
                      <w:szCs w:val="21"/>
                      <w14:textFill>
                        <w14:solidFill>
                          <w14:schemeClr w14:val="tx1">
                            <w14:lumMod w14:val="95000"/>
                            <w14:lumOff w14:val="5000"/>
                          </w14:schemeClr>
                        </w14:solidFill>
                      </w14:textFill>
                    </w:rPr>
                    <w:t>由园区给水管网提供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271" w:type="pct"/>
                  <w:vMerge w:val="continue"/>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p>
              </w:tc>
              <w:tc>
                <w:tcPr>
                  <w:tcW w:w="671" w:type="pct"/>
                  <w:vMerge w:val="continue"/>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p>
              </w:tc>
              <w:tc>
                <w:tcPr>
                  <w:tcW w:w="733" w:type="pct"/>
                  <w:vAlign w:val="center"/>
                </w:tcPr>
                <w:p>
                  <w:pPr>
                    <w:widowControl/>
                    <w:ind w:left="-105" w:leftChars="-5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排水系统</w:t>
                  </w:r>
                </w:p>
              </w:tc>
              <w:tc>
                <w:tcPr>
                  <w:tcW w:w="3324" w:type="pct"/>
                  <w:gridSpan w:val="2"/>
                  <w:vAlign w:val="center"/>
                </w:tcPr>
                <w:p>
                  <w:pPr>
                    <w:adjustRightInd w:val="0"/>
                    <w:snapToGrid w:val="0"/>
                    <w:jc w:val="center"/>
                    <w:rPr>
                      <w:rFonts w:eastAsia="仿宋_GB2312"/>
                      <w:snapToGrid w:val="0"/>
                      <w:color w:val="0D0D0D" w:themeColor="text1" w:themeTint="F2"/>
                      <w:szCs w:val="21"/>
                      <w14:textFill>
                        <w14:solidFill>
                          <w14:schemeClr w14:val="tx1">
                            <w14:lumMod w14:val="95000"/>
                            <w14:lumOff w14:val="5000"/>
                          </w14:schemeClr>
                        </w14:solidFill>
                      </w14:textFill>
                    </w:rPr>
                  </w:pPr>
                  <w:r>
                    <w:rPr>
                      <w:rFonts w:hint="eastAsia" w:ascii="仿宋_GB2312" w:hAnsi="宋体"/>
                      <w:color w:val="0D0D0D" w:themeColor="text1" w:themeTint="F2"/>
                      <w:szCs w:val="21"/>
                      <w14:textFill>
                        <w14:solidFill>
                          <w14:schemeClr w14:val="tx1">
                            <w14:lumMod w14:val="95000"/>
                            <w14:lumOff w14:val="5000"/>
                          </w14:schemeClr>
                        </w14:solidFill>
                      </w14:textFill>
                    </w:rPr>
                    <w:t>实行雨污分流制。废水主要为生活污水，生活污水经化粪池处理后排入园区污水管网，通过市政污水管网，进入</w:t>
                  </w:r>
                  <w:r>
                    <w:rPr>
                      <w:rFonts w:hint="eastAsia" w:ascii="仿宋_GB2312" w:hAnsi="宋体"/>
                      <w:szCs w:val="21"/>
                    </w:rPr>
                    <w:t>城</w:t>
                  </w:r>
                  <w:r>
                    <w:rPr>
                      <w:rFonts w:hint="eastAsia" w:ascii="仿宋_GB2312" w:hAnsi="宋体"/>
                      <w:szCs w:val="21"/>
                      <w:lang w:val="en-US" w:eastAsia="zh-CN"/>
                    </w:rPr>
                    <w:t>东</w:t>
                  </w:r>
                  <w:r>
                    <w:rPr>
                      <w:rFonts w:hint="eastAsia" w:ascii="仿宋_GB2312" w:hAnsi="宋体"/>
                      <w:szCs w:val="21"/>
                    </w:rPr>
                    <w:t>污水处理厂，</w:t>
                  </w:r>
                  <w:r>
                    <w:rPr>
                      <w:rFonts w:hint="eastAsia" w:ascii="仿宋_GB2312" w:hAnsi="宋体"/>
                      <w:color w:val="0D0D0D" w:themeColor="text1" w:themeTint="F2"/>
                      <w:szCs w:val="21"/>
                      <w14:textFill>
                        <w14:solidFill>
                          <w14:schemeClr w14:val="tx1">
                            <w14:lumMod w14:val="95000"/>
                            <w14:lumOff w14:val="5000"/>
                          </w14:schemeClr>
                        </w14:solidFill>
                      </w14:textFill>
                    </w:rPr>
                    <w:t>处理达标后排入</w:t>
                  </w:r>
                  <w:r>
                    <w:rPr>
                      <w:rFonts w:hint="eastAsia" w:ascii="仿宋_GB2312" w:hAnsi="宋体"/>
                      <w:color w:val="auto"/>
                      <w:szCs w:val="21"/>
                      <w:lang w:val="en-US" w:eastAsia="zh-CN"/>
                    </w:rPr>
                    <w:t>青弋江</w:t>
                  </w:r>
                  <w:r>
                    <w:rPr>
                      <w:rFonts w:hint="eastAsia" w:ascii="仿宋_GB2312" w:hAnsi="宋体"/>
                      <w:color w:val="0D0D0D" w:themeColor="text1" w:themeTint="F2"/>
                      <w:szCs w:val="21"/>
                      <w14:textFill>
                        <w14:solidFill>
                          <w14:schemeClr w14:val="tx1">
                            <w14:lumMod w14:val="95000"/>
                            <w14:lumOff w14:val="5000"/>
                          </w14:schemeClr>
                        </w14:solidFill>
                      </w14:textFill>
                    </w:rPr>
                    <w:t>；总排水量</w:t>
                  </w:r>
                  <w:r>
                    <w:rPr>
                      <w:rFonts w:hint="default" w:ascii="Times New Roman" w:hAnsi="Times New Roman" w:cs="Times New Roman"/>
                      <w:color w:val="auto"/>
                      <w:szCs w:val="21"/>
                      <w:lang w:val="en-US" w:eastAsia="zh-CN"/>
                    </w:rPr>
                    <w:t>180</w:t>
                  </w:r>
                  <w:r>
                    <w:rPr>
                      <w:rFonts w:hint="default" w:ascii="Times New Roman" w:hAnsi="Times New Roman" w:cs="Times New Roman"/>
                      <w:color w:val="auto"/>
                      <w:szCs w:val="21"/>
                    </w:rPr>
                    <w:t xml:space="preserve"> </w:t>
                  </w:r>
                  <w:r>
                    <w:rPr>
                      <w:rFonts w:hint="default" w:ascii="Times New Roman" w:hAnsi="Times New Roman" w:eastAsia="仿宋_GB2312" w:cs="Times New Roman"/>
                      <w:color w:val="auto"/>
                      <w:szCs w:val="21"/>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271" w:type="pct"/>
                  <w:vMerge w:val="continue"/>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p>
              </w:tc>
              <w:tc>
                <w:tcPr>
                  <w:tcW w:w="671" w:type="pct"/>
                  <w:vMerge w:val="continue"/>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p>
              </w:tc>
              <w:tc>
                <w:tcPr>
                  <w:tcW w:w="733" w:type="pct"/>
                  <w:vAlign w:val="center"/>
                </w:tcPr>
                <w:p>
                  <w:pPr>
                    <w:widowControl/>
                    <w:ind w:left="-105" w:leftChars="-5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 xml:space="preserve"> </w:t>
                  </w:r>
                  <w:r>
                    <w:rPr>
                      <w:rFonts w:hint="eastAsia"/>
                      <w:color w:val="0D0D0D" w:themeColor="text1" w:themeTint="F2"/>
                      <w:kern w:val="0"/>
                      <w:szCs w:val="21"/>
                      <w14:textFill>
                        <w14:solidFill>
                          <w14:schemeClr w14:val="tx1">
                            <w14:lumMod w14:val="95000"/>
                            <w14:lumOff w14:val="5000"/>
                          </w14:schemeClr>
                        </w14:solidFill>
                      </w14:textFill>
                    </w:rPr>
                    <w:t>供电系统</w:t>
                  </w:r>
                </w:p>
              </w:tc>
              <w:tc>
                <w:tcPr>
                  <w:tcW w:w="3324" w:type="pct"/>
                  <w:gridSpan w:val="2"/>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ascii="仿宋_GB2312" w:hAnsi="宋体"/>
                      <w:color w:val="0D0D0D" w:themeColor="text1" w:themeTint="F2"/>
                      <w:szCs w:val="21"/>
                      <w14:textFill>
                        <w14:solidFill>
                          <w14:schemeClr w14:val="tx1">
                            <w14:lumMod w14:val="95000"/>
                            <w14:lumOff w14:val="5000"/>
                          </w14:schemeClr>
                        </w14:solidFill>
                      </w14:textFill>
                    </w:rPr>
                    <w:t>园区供电网供给；年用电</w:t>
                  </w:r>
                  <w:r>
                    <w:rPr>
                      <w:rFonts w:hint="eastAsia" w:ascii="Times New Roman" w:hAnsi="Times New Roman" w:cs="Times New Roman"/>
                      <w:color w:val="auto"/>
                      <w:szCs w:val="21"/>
                      <w:lang w:val="en-US" w:eastAsia="zh-CN"/>
                    </w:rPr>
                    <w:t>95</w:t>
                  </w:r>
                  <w:r>
                    <w:rPr>
                      <w:rFonts w:hint="eastAsia" w:ascii="仿宋_GB2312" w:hAnsi="宋体"/>
                      <w:szCs w:val="21"/>
                    </w:rPr>
                    <w:t>万</w:t>
                  </w:r>
                  <w:r>
                    <w:rPr>
                      <w:rFonts w:hint="eastAsia" w:ascii="Times New Roman" w:hAnsi="Times New Roman" w:cs="Times New Roman"/>
                      <w:color w:val="auto"/>
                      <w:szCs w:val="21"/>
                      <w:lang w:val="en-US" w:eastAsia="zh-CN"/>
                    </w:rPr>
                    <w:t>kWh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71" w:type="pct"/>
                  <w:vMerge w:val="continue"/>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p>
              </w:tc>
              <w:tc>
                <w:tcPr>
                  <w:tcW w:w="671" w:type="pct"/>
                  <w:vMerge w:val="continue"/>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p>
              </w:tc>
              <w:tc>
                <w:tcPr>
                  <w:tcW w:w="733" w:type="pct"/>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消防工程</w:t>
                  </w:r>
                </w:p>
              </w:tc>
              <w:tc>
                <w:tcPr>
                  <w:tcW w:w="3324" w:type="pct"/>
                  <w:gridSpan w:val="2"/>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按照相关防火规范要求设计实施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71" w:type="pct"/>
                  <w:vMerge w:val="restart"/>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4</w:t>
                  </w:r>
                </w:p>
              </w:tc>
              <w:tc>
                <w:tcPr>
                  <w:tcW w:w="671" w:type="pct"/>
                  <w:vMerge w:val="restart"/>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环保工程</w:t>
                  </w:r>
                </w:p>
              </w:tc>
              <w:tc>
                <w:tcPr>
                  <w:tcW w:w="733" w:type="pct"/>
                  <w:vAlign w:val="center"/>
                </w:tcPr>
                <w:p>
                  <w:pPr>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废水处理</w:t>
                  </w:r>
                </w:p>
              </w:tc>
              <w:tc>
                <w:tcPr>
                  <w:tcW w:w="3324" w:type="pct"/>
                  <w:gridSpan w:val="2"/>
                  <w:vAlign w:val="center"/>
                </w:tcPr>
                <w:p>
                  <w:pPr>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雨污分流，化粪池，接园区污水管网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271" w:type="pct"/>
                  <w:vMerge w:val="continue"/>
                  <w:vAlign w:val="center"/>
                </w:tcPr>
                <w:p>
                  <w:pPr>
                    <w:widowControl/>
                    <w:jc w:val="center"/>
                    <w:rPr>
                      <w:color w:val="FF0000"/>
                      <w:kern w:val="0"/>
                      <w:szCs w:val="21"/>
                    </w:rPr>
                  </w:pPr>
                </w:p>
              </w:tc>
              <w:tc>
                <w:tcPr>
                  <w:tcW w:w="671" w:type="pct"/>
                  <w:vMerge w:val="continue"/>
                  <w:vAlign w:val="center"/>
                </w:tcPr>
                <w:p>
                  <w:pPr>
                    <w:widowControl/>
                    <w:jc w:val="center"/>
                    <w:rPr>
                      <w:color w:val="FF0000"/>
                      <w:kern w:val="0"/>
                      <w:szCs w:val="21"/>
                    </w:rPr>
                  </w:pPr>
                </w:p>
              </w:tc>
              <w:tc>
                <w:tcPr>
                  <w:tcW w:w="733" w:type="pct"/>
                  <w:vMerge w:val="restart"/>
                  <w:vAlign w:val="center"/>
                </w:tcPr>
                <w:p>
                  <w:pPr>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废气处理</w:t>
                  </w:r>
                </w:p>
              </w:tc>
              <w:tc>
                <w:tcPr>
                  <w:tcW w:w="1443" w:type="pct"/>
                  <w:vAlign w:val="center"/>
                </w:tcPr>
                <w:p>
                  <w:pPr>
                    <w:jc w:val="center"/>
                    <w:rPr>
                      <w:rFonts w:hint="default" w:eastAsia="宋体"/>
                      <w:kern w:val="0"/>
                      <w:szCs w:val="21"/>
                      <w:lang w:val="en-US" w:eastAsia="zh-CN"/>
                    </w:rPr>
                  </w:pPr>
                  <w:r>
                    <w:rPr>
                      <w:rFonts w:hint="eastAsia"/>
                      <w:kern w:val="0"/>
                      <w:szCs w:val="21"/>
                      <w:lang w:val="en-US" w:eastAsia="zh-CN"/>
                    </w:rPr>
                    <w:t>注塑废气</w:t>
                  </w:r>
                </w:p>
              </w:tc>
              <w:tc>
                <w:tcPr>
                  <w:tcW w:w="1881" w:type="pct"/>
                  <w:vAlign w:val="center"/>
                </w:tcPr>
                <w:p>
                  <w:pPr>
                    <w:snapToGrid w:val="0"/>
                    <w:jc w:val="center"/>
                    <w:rPr>
                      <w:rFonts w:hint="default" w:eastAsia="宋体"/>
                      <w:color w:val="auto"/>
                      <w:szCs w:val="21"/>
                      <w:lang w:val="en-US" w:eastAsia="zh-CN"/>
                    </w:rPr>
                  </w:pPr>
                  <w:r>
                    <w:rPr>
                      <w:rFonts w:hint="eastAsia"/>
                      <w:color w:val="auto"/>
                      <w:szCs w:val="21"/>
                      <w:lang w:val="en-GB"/>
                    </w:rPr>
                    <w:t>在注塑机上方设置集气罩（收集效率80%），风机风量20000 m</w:t>
                  </w:r>
                  <w:r>
                    <w:rPr>
                      <w:rFonts w:hint="eastAsia"/>
                      <w:color w:val="auto"/>
                      <w:szCs w:val="21"/>
                      <w:vertAlign w:val="superscript"/>
                      <w:lang w:val="en-GB"/>
                    </w:rPr>
                    <w:t>3</w:t>
                  </w:r>
                  <w:r>
                    <w:rPr>
                      <w:rFonts w:hint="eastAsia"/>
                      <w:color w:val="auto"/>
                      <w:szCs w:val="21"/>
                      <w:lang w:val="en-GB"/>
                    </w:rPr>
                    <w:t>/h，收集后的注塑废气通过两级活性炭吸附设备处理（处理效率90%），再通过15m高排气筒（DA001）</w:t>
                  </w:r>
                  <w:r>
                    <w:rPr>
                      <w:rFonts w:hint="eastAsia"/>
                      <w:color w:val="auto"/>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271" w:type="pct"/>
                  <w:vMerge w:val="continue"/>
                  <w:vAlign w:val="center"/>
                </w:tcPr>
                <w:p>
                  <w:pPr>
                    <w:widowControl/>
                    <w:jc w:val="center"/>
                    <w:rPr>
                      <w:color w:val="FF0000"/>
                      <w:kern w:val="0"/>
                      <w:szCs w:val="21"/>
                    </w:rPr>
                  </w:pPr>
                </w:p>
              </w:tc>
              <w:tc>
                <w:tcPr>
                  <w:tcW w:w="671" w:type="pct"/>
                  <w:vMerge w:val="continue"/>
                  <w:vAlign w:val="center"/>
                </w:tcPr>
                <w:p>
                  <w:pPr>
                    <w:widowControl/>
                    <w:jc w:val="center"/>
                    <w:rPr>
                      <w:color w:val="FF0000"/>
                      <w:kern w:val="0"/>
                      <w:szCs w:val="21"/>
                    </w:rPr>
                  </w:pPr>
                </w:p>
              </w:tc>
              <w:tc>
                <w:tcPr>
                  <w:tcW w:w="733" w:type="pct"/>
                  <w:vMerge w:val="continue"/>
                  <w:vAlign w:val="center"/>
                </w:tcPr>
                <w:p>
                  <w:pPr>
                    <w:jc w:val="center"/>
                    <w:rPr>
                      <w:color w:val="0D0D0D" w:themeColor="text1" w:themeTint="F2"/>
                      <w:kern w:val="0"/>
                      <w:szCs w:val="21"/>
                      <w14:textFill>
                        <w14:solidFill>
                          <w14:schemeClr w14:val="tx1">
                            <w14:lumMod w14:val="95000"/>
                            <w14:lumOff w14:val="5000"/>
                          </w14:schemeClr>
                        </w14:solidFill>
                      </w14:textFill>
                    </w:rPr>
                  </w:pPr>
                </w:p>
              </w:tc>
              <w:tc>
                <w:tcPr>
                  <w:tcW w:w="1443" w:type="pct"/>
                  <w:vAlign w:val="center"/>
                </w:tcPr>
                <w:p>
                  <w:pPr>
                    <w:jc w:val="center"/>
                    <w:rPr>
                      <w:rFonts w:hint="default" w:eastAsia="宋体"/>
                      <w:kern w:val="0"/>
                      <w:szCs w:val="21"/>
                      <w:lang w:val="en-US" w:eastAsia="zh-CN"/>
                    </w:rPr>
                  </w:pPr>
                  <w:r>
                    <w:rPr>
                      <w:rFonts w:hint="eastAsia"/>
                      <w:szCs w:val="21"/>
                      <w:lang w:val="en-US" w:eastAsia="zh-CN"/>
                    </w:rPr>
                    <w:t>破碎粉尘</w:t>
                  </w:r>
                </w:p>
              </w:tc>
              <w:tc>
                <w:tcPr>
                  <w:tcW w:w="1881" w:type="pct"/>
                  <w:vAlign w:val="center"/>
                </w:tcPr>
                <w:p>
                  <w:pPr>
                    <w:jc w:val="center"/>
                    <w:rPr>
                      <w:rFonts w:hint="default" w:eastAsia="宋体"/>
                      <w:color w:val="auto"/>
                      <w:kern w:val="0"/>
                      <w:szCs w:val="21"/>
                      <w:lang w:val="en-US" w:eastAsia="zh-CN"/>
                    </w:rPr>
                  </w:pPr>
                  <w:r>
                    <w:rPr>
                      <w:rFonts w:hint="eastAsia"/>
                      <w:color w:val="auto"/>
                      <w:kern w:val="0"/>
                      <w:szCs w:val="21"/>
                      <w:lang w:val="en-US" w:eastAsia="zh-CN"/>
                    </w:rPr>
                    <w:t>在破碎机上方设置集气罩（收集效率80%），风机风量10000 m</w:t>
                  </w:r>
                  <w:r>
                    <w:rPr>
                      <w:rFonts w:hint="eastAsia"/>
                      <w:color w:val="auto"/>
                      <w:kern w:val="0"/>
                      <w:szCs w:val="21"/>
                      <w:vertAlign w:val="superscript"/>
                      <w:lang w:val="en-US" w:eastAsia="zh-CN"/>
                    </w:rPr>
                    <w:t>3</w:t>
                  </w:r>
                  <w:r>
                    <w:rPr>
                      <w:rFonts w:hint="eastAsia"/>
                      <w:color w:val="auto"/>
                      <w:kern w:val="0"/>
                      <w:szCs w:val="21"/>
                      <w:lang w:val="en-US" w:eastAsia="zh-CN"/>
                    </w:rPr>
                    <w:t>/h，收集后的破碎粉尘通过布袋除尘器处理（处理效率95%），再通过15m高排气筒（DA002）排放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 w:type="pct"/>
                  <w:vMerge w:val="continue"/>
                  <w:vAlign w:val="center"/>
                </w:tcPr>
                <w:p>
                  <w:pPr>
                    <w:widowControl/>
                    <w:jc w:val="center"/>
                    <w:rPr>
                      <w:color w:val="FF0000"/>
                      <w:kern w:val="0"/>
                      <w:szCs w:val="21"/>
                    </w:rPr>
                  </w:pPr>
                </w:p>
              </w:tc>
              <w:tc>
                <w:tcPr>
                  <w:tcW w:w="671" w:type="pct"/>
                  <w:vMerge w:val="continue"/>
                  <w:vAlign w:val="center"/>
                </w:tcPr>
                <w:p>
                  <w:pPr>
                    <w:widowControl/>
                    <w:jc w:val="center"/>
                    <w:rPr>
                      <w:color w:val="FF0000"/>
                      <w:kern w:val="0"/>
                      <w:szCs w:val="21"/>
                    </w:rPr>
                  </w:pPr>
                </w:p>
              </w:tc>
              <w:tc>
                <w:tcPr>
                  <w:tcW w:w="733" w:type="pct"/>
                  <w:vMerge w:val="restart"/>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固废处理</w:t>
                  </w:r>
                </w:p>
              </w:tc>
              <w:tc>
                <w:tcPr>
                  <w:tcW w:w="1443" w:type="pct"/>
                  <w:vAlign w:val="center"/>
                </w:tcPr>
                <w:p>
                  <w:pPr>
                    <w:snapToGrid w:val="0"/>
                    <w:jc w:val="center"/>
                    <w:rPr>
                      <w:color w:val="auto"/>
                      <w:szCs w:val="21"/>
                    </w:rPr>
                  </w:pPr>
                  <w:r>
                    <w:rPr>
                      <w:rFonts w:hint="eastAsia"/>
                      <w:color w:val="auto"/>
                      <w:szCs w:val="21"/>
                    </w:rPr>
                    <w:t>一般工业固废</w:t>
                  </w:r>
                </w:p>
              </w:tc>
              <w:tc>
                <w:tcPr>
                  <w:tcW w:w="1881" w:type="pct"/>
                  <w:vAlign w:val="center"/>
                </w:tcPr>
                <w:p>
                  <w:pPr>
                    <w:snapToGrid w:val="0"/>
                    <w:jc w:val="center"/>
                    <w:rPr>
                      <w:rFonts w:hint="default" w:eastAsia="宋体"/>
                      <w:color w:val="auto"/>
                      <w:szCs w:val="21"/>
                      <w:lang w:val="en-US" w:eastAsia="zh-CN"/>
                    </w:rPr>
                  </w:pPr>
                  <w:r>
                    <w:rPr>
                      <w:rFonts w:hint="eastAsia"/>
                      <w:color w:val="000000" w:themeColor="text1"/>
                      <w:szCs w:val="21"/>
                      <w:lang w:val="en-US" w:eastAsia="zh-CN"/>
                      <w14:textFill>
                        <w14:solidFill>
                          <w14:schemeClr w14:val="tx1"/>
                        </w14:solidFill>
                      </w14:textFill>
                    </w:rPr>
                    <w:t>在厂区西侧部分，</w:t>
                  </w:r>
                  <w:r>
                    <w:rPr>
                      <w:rFonts w:hint="eastAsia"/>
                      <w:color w:val="auto"/>
                      <w:szCs w:val="21"/>
                      <w:lang w:val="en-US" w:eastAsia="zh-CN"/>
                    </w:rPr>
                    <w:t>建设7㎡一般固废库，废包装袋集中收集</w:t>
                  </w:r>
                  <w:r>
                    <w:rPr>
                      <w:rFonts w:hint="eastAsia"/>
                      <w:color w:val="auto"/>
                      <w:szCs w:val="21"/>
                    </w:rPr>
                    <w:t>后</w:t>
                  </w:r>
                  <w:r>
                    <w:rPr>
                      <w:rFonts w:hint="eastAsia"/>
                      <w:color w:val="auto"/>
                      <w:szCs w:val="21"/>
                      <w:lang w:val="en-US" w:eastAsia="zh-CN"/>
                    </w:rPr>
                    <w:t>外</w:t>
                  </w:r>
                  <w:r>
                    <w:rPr>
                      <w:rFonts w:hint="eastAsia"/>
                      <w:color w:val="auto"/>
                      <w:szCs w:val="21"/>
                    </w:rPr>
                    <w:t>售</w:t>
                  </w:r>
                  <w:r>
                    <w:rPr>
                      <w:rFonts w:hint="eastAsia"/>
                      <w:color w:val="auto"/>
                      <w:szCs w:val="21"/>
                      <w:lang w:eastAsia="zh-CN"/>
                    </w:rPr>
                    <w:t>，</w:t>
                  </w:r>
                  <w:r>
                    <w:rPr>
                      <w:rFonts w:hint="eastAsia"/>
                      <w:color w:val="auto"/>
                      <w:szCs w:val="21"/>
                      <w:lang w:val="en-US" w:eastAsia="zh-CN"/>
                    </w:rPr>
                    <w:t>布袋除尘器收集的粉尘收集后回用于生产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 w:type="pct"/>
                  <w:vMerge w:val="continue"/>
                  <w:vAlign w:val="center"/>
                </w:tcPr>
                <w:p>
                  <w:pPr>
                    <w:widowControl/>
                    <w:jc w:val="center"/>
                    <w:rPr>
                      <w:color w:val="FF0000"/>
                      <w:kern w:val="0"/>
                      <w:szCs w:val="21"/>
                    </w:rPr>
                  </w:pPr>
                </w:p>
              </w:tc>
              <w:tc>
                <w:tcPr>
                  <w:tcW w:w="671" w:type="pct"/>
                  <w:vMerge w:val="continue"/>
                  <w:vAlign w:val="center"/>
                </w:tcPr>
                <w:p>
                  <w:pPr>
                    <w:widowControl/>
                    <w:jc w:val="center"/>
                    <w:rPr>
                      <w:color w:val="FF0000"/>
                      <w:kern w:val="0"/>
                      <w:szCs w:val="21"/>
                    </w:rPr>
                  </w:pPr>
                </w:p>
              </w:tc>
              <w:tc>
                <w:tcPr>
                  <w:tcW w:w="733" w:type="pct"/>
                  <w:vMerge w:val="continue"/>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p>
              </w:tc>
              <w:tc>
                <w:tcPr>
                  <w:tcW w:w="1443" w:type="pct"/>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危险废物</w:t>
                  </w:r>
                </w:p>
              </w:tc>
              <w:tc>
                <w:tcPr>
                  <w:tcW w:w="1881" w:type="pct"/>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szCs w:val="21"/>
                      <w:lang w:val="en-US" w:eastAsia="zh-CN"/>
                    </w:rPr>
                    <w:t>在车间东南角建设10㎡危废暂存间，废润滑油、废润滑油桶、</w:t>
                  </w:r>
                  <w:r>
                    <w:rPr>
                      <w:rFonts w:hint="eastAsia"/>
                      <w:szCs w:val="21"/>
                    </w:rPr>
                    <w:t>废活性炭</w:t>
                  </w:r>
                  <w:r>
                    <w:rPr>
                      <w:rFonts w:hint="eastAsia"/>
                      <w:szCs w:val="21"/>
                      <w:lang w:eastAsia="zh-CN"/>
                    </w:rPr>
                    <w:t>、</w:t>
                  </w:r>
                  <w:r>
                    <w:rPr>
                      <w:rFonts w:hint="eastAsia"/>
                      <w:szCs w:val="21"/>
                      <w:lang w:val="en-US" w:eastAsia="zh-CN"/>
                    </w:rPr>
                    <w:t>集中收集的废含油手套和抹布</w:t>
                  </w:r>
                  <w:r>
                    <w:rPr>
                      <w:rFonts w:hint="eastAsia"/>
                      <w:color w:val="0D0D0D" w:themeColor="text1" w:themeTint="F2"/>
                      <w:szCs w:val="21"/>
                      <w14:textFill>
                        <w14:solidFill>
                          <w14:schemeClr w14:val="tx1">
                            <w14:lumMod w14:val="95000"/>
                            <w14:lumOff w14:val="5000"/>
                          </w14:schemeClr>
                        </w14:solidFill>
                      </w14:textFill>
                    </w:rPr>
                    <w:t>于危废暂存库（按</w:t>
                  </w:r>
                  <w:r>
                    <w:rPr>
                      <w:color w:val="0D0D0D" w:themeColor="text1" w:themeTint="F2"/>
                      <w:szCs w:val="21"/>
                      <w14:textFill>
                        <w14:solidFill>
                          <w14:schemeClr w14:val="tx1">
                            <w14:lumMod w14:val="95000"/>
                            <w14:lumOff w14:val="5000"/>
                          </w14:schemeClr>
                        </w14:solidFill>
                      </w14:textFill>
                    </w:rPr>
                    <w:t>《危险废物贮存污染控制标准》（</w:t>
                  </w:r>
                  <w:r>
                    <w:rPr>
                      <w:rFonts w:hint="default" w:ascii="Times New Roman" w:hAnsi="Times New Roman" w:cs="Times New Roman"/>
                      <w:color w:val="auto"/>
                      <w:szCs w:val="21"/>
                      <w:lang w:val="en-US" w:eastAsia="zh-CN"/>
                    </w:rPr>
                    <w:t>GB18597-2001</w:t>
                  </w:r>
                  <w:r>
                    <w:rPr>
                      <w:color w:val="0D0D0D" w:themeColor="text1" w:themeTint="F2"/>
                      <w:szCs w:val="21"/>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规范建设）暂存后，委托有相关危险废物处理资质的单位处理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1" w:type="pct"/>
                  <w:vMerge w:val="continue"/>
                  <w:vAlign w:val="center"/>
                </w:tcPr>
                <w:p>
                  <w:pPr>
                    <w:widowControl/>
                    <w:jc w:val="center"/>
                    <w:rPr>
                      <w:color w:val="FF0000"/>
                      <w:kern w:val="0"/>
                      <w:szCs w:val="21"/>
                    </w:rPr>
                  </w:pPr>
                </w:p>
              </w:tc>
              <w:tc>
                <w:tcPr>
                  <w:tcW w:w="671" w:type="pct"/>
                  <w:vMerge w:val="continue"/>
                  <w:vAlign w:val="center"/>
                </w:tcPr>
                <w:p>
                  <w:pPr>
                    <w:widowControl/>
                    <w:jc w:val="center"/>
                    <w:rPr>
                      <w:color w:val="FF0000"/>
                      <w:kern w:val="0"/>
                      <w:szCs w:val="21"/>
                    </w:rPr>
                  </w:pPr>
                </w:p>
              </w:tc>
              <w:tc>
                <w:tcPr>
                  <w:tcW w:w="733" w:type="pct"/>
                  <w:vMerge w:val="continue"/>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p>
              </w:tc>
              <w:tc>
                <w:tcPr>
                  <w:tcW w:w="1443" w:type="pct"/>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生活垃圾</w:t>
                  </w:r>
                </w:p>
              </w:tc>
              <w:tc>
                <w:tcPr>
                  <w:tcW w:w="1881" w:type="pct"/>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交由环卫部门清运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271" w:type="pct"/>
                  <w:vMerge w:val="continue"/>
                  <w:vAlign w:val="center"/>
                </w:tcPr>
                <w:p>
                  <w:pPr>
                    <w:widowControl/>
                    <w:jc w:val="center"/>
                    <w:rPr>
                      <w:color w:val="FF0000"/>
                      <w:kern w:val="0"/>
                      <w:szCs w:val="21"/>
                    </w:rPr>
                  </w:pPr>
                </w:p>
              </w:tc>
              <w:tc>
                <w:tcPr>
                  <w:tcW w:w="671" w:type="pct"/>
                  <w:vMerge w:val="continue"/>
                  <w:vAlign w:val="center"/>
                </w:tcPr>
                <w:p>
                  <w:pPr>
                    <w:widowControl/>
                    <w:jc w:val="center"/>
                    <w:rPr>
                      <w:color w:val="FF0000"/>
                      <w:kern w:val="0"/>
                      <w:szCs w:val="21"/>
                    </w:rPr>
                  </w:pPr>
                </w:p>
              </w:tc>
              <w:tc>
                <w:tcPr>
                  <w:tcW w:w="733" w:type="pct"/>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噪声治理</w:t>
                  </w:r>
                </w:p>
              </w:tc>
              <w:tc>
                <w:tcPr>
                  <w:tcW w:w="3324" w:type="pct"/>
                  <w:gridSpan w:val="2"/>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减振、吸声、隔声、消声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271" w:type="pct"/>
                  <w:vMerge w:val="continue"/>
                  <w:vAlign w:val="center"/>
                </w:tcPr>
                <w:p>
                  <w:pPr>
                    <w:widowControl/>
                    <w:jc w:val="center"/>
                    <w:rPr>
                      <w:color w:val="FF0000"/>
                      <w:kern w:val="0"/>
                      <w:szCs w:val="21"/>
                    </w:rPr>
                  </w:pPr>
                </w:p>
              </w:tc>
              <w:tc>
                <w:tcPr>
                  <w:tcW w:w="671" w:type="pct"/>
                  <w:vMerge w:val="continue"/>
                  <w:vAlign w:val="center"/>
                </w:tcPr>
                <w:p>
                  <w:pPr>
                    <w:widowControl/>
                    <w:jc w:val="center"/>
                    <w:rPr>
                      <w:color w:val="FF0000"/>
                      <w:kern w:val="0"/>
                      <w:szCs w:val="21"/>
                    </w:rPr>
                  </w:pPr>
                </w:p>
              </w:tc>
              <w:tc>
                <w:tcPr>
                  <w:tcW w:w="733" w:type="pct"/>
                  <w:vMerge w:val="restart"/>
                  <w:vAlign w:val="center"/>
                </w:tcPr>
                <w:p>
                  <w:pPr>
                    <w:widowControl/>
                    <w:jc w:val="center"/>
                    <w:rPr>
                      <w:rFonts w:hint="eastAsia"/>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土壤、地下水防渗措施</w:t>
                  </w:r>
                </w:p>
              </w:tc>
              <w:tc>
                <w:tcPr>
                  <w:tcW w:w="1443" w:type="pct"/>
                  <w:vAlign w:val="center"/>
                </w:tcPr>
                <w:p>
                  <w:pPr>
                    <w:snapToGrid w:val="0"/>
                    <w:jc w:val="center"/>
                    <w:rPr>
                      <w:rFonts w:hint="eastAsia" w:ascii="Times New Roman" w:hAnsi="Times New Roman" w:eastAsia="宋体" w:cs="Times New Roman"/>
                      <w:color w:val="0C0C0C"/>
                      <w:kern w:val="2"/>
                      <w:sz w:val="21"/>
                      <w:szCs w:val="21"/>
                      <w:lang w:val="en-US" w:eastAsia="zh-CN" w:bidi="ar-SA"/>
                    </w:rPr>
                  </w:pPr>
                  <w:r>
                    <w:rPr>
                      <w:rFonts w:hint="eastAsia"/>
                      <w:color w:val="0C0C0C"/>
                      <w:szCs w:val="21"/>
                      <w:lang w:val="en-US" w:eastAsia="zh-CN"/>
                    </w:rPr>
                    <w:t>一般防渗</w:t>
                  </w:r>
                </w:p>
              </w:tc>
              <w:tc>
                <w:tcPr>
                  <w:tcW w:w="1881" w:type="pct"/>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生产区</w:t>
                  </w:r>
                  <w:r>
                    <w:rPr>
                      <w:rFonts w:hint="eastAsia"/>
                      <w:color w:val="auto"/>
                      <w:szCs w:val="21"/>
                      <w:lang w:eastAsia="zh-CN"/>
                    </w:rPr>
                    <w:t>、</w:t>
                  </w:r>
                  <w:r>
                    <w:rPr>
                      <w:rFonts w:hint="eastAsia"/>
                      <w:color w:val="auto"/>
                      <w:szCs w:val="21"/>
                      <w:lang w:val="en-US" w:eastAsia="zh-CN"/>
                    </w:rPr>
                    <w:t>一般固废库</w:t>
                  </w:r>
                  <w:r>
                    <w:rPr>
                      <w:rFonts w:hint="eastAsia"/>
                      <w:color w:val="auto"/>
                      <w:szCs w:val="21"/>
                    </w:rPr>
                    <w:t>等</w:t>
                  </w:r>
                  <w:r>
                    <w:rPr>
                      <w:rFonts w:hint="eastAsia"/>
                      <w:color w:val="auto"/>
                      <w:szCs w:val="21"/>
                      <w:lang w:val="en-US" w:eastAsia="zh-CN"/>
                    </w:rPr>
                    <w:t>做一般防渗</w:t>
                  </w:r>
                  <w:r>
                    <w:rPr>
                      <w:rFonts w:hint="eastAsia"/>
                      <w:color w:val="auto"/>
                      <w:szCs w:val="21"/>
                    </w:rPr>
                    <w:t>，防渗措施：水泥硬化处理，采取</w:t>
                  </w:r>
                  <w:r>
                    <w:rPr>
                      <w:rFonts w:hint="eastAsia" w:ascii="Times New Roman" w:hAnsi="Times New Roman" w:cs="Times New Roman"/>
                      <w:color w:val="auto"/>
                      <w:szCs w:val="21"/>
                      <w:lang w:val="en-US" w:eastAsia="zh-CN"/>
                    </w:rPr>
                    <w:t>10c</w:t>
                  </w:r>
                  <w:r>
                    <w:rPr>
                      <w:rFonts w:hint="eastAsia"/>
                      <w:color w:val="auto"/>
                      <w:szCs w:val="21"/>
                    </w:rPr>
                    <w:t>m厚三合土铺底，再铺</w:t>
                  </w:r>
                  <w:r>
                    <w:rPr>
                      <w:rFonts w:hint="eastAsia" w:ascii="Times New Roman" w:hAnsi="Times New Roman" w:cs="Times New Roman"/>
                      <w:color w:val="auto"/>
                      <w:szCs w:val="21"/>
                      <w:lang w:val="en-US" w:eastAsia="zh-CN"/>
                    </w:rPr>
                    <w:t>15~20cm</w:t>
                  </w:r>
                  <w:r>
                    <w:rPr>
                      <w:rFonts w:hint="eastAsia"/>
                      <w:color w:val="auto"/>
                      <w:szCs w:val="21"/>
                    </w:rPr>
                    <w:t>的水泥进行硬化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271" w:type="pct"/>
                  <w:vMerge w:val="continue"/>
                  <w:vAlign w:val="center"/>
                </w:tcPr>
                <w:p>
                  <w:pPr>
                    <w:widowControl/>
                    <w:jc w:val="center"/>
                    <w:rPr>
                      <w:color w:val="FF0000"/>
                      <w:kern w:val="0"/>
                      <w:szCs w:val="21"/>
                    </w:rPr>
                  </w:pPr>
                </w:p>
              </w:tc>
              <w:tc>
                <w:tcPr>
                  <w:tcW w:w="671" w:type="pct"/>
                  <w:vMerge w:val="continue"/>
                  <w:vAlign w:val="center"/>
                </w:tcPr>
                <w:p>
                  <w:pPr>
                    <w:widowControl/>
                    <w:jc w:val="center"/>
                    <w:rPr>
                      <w:color w:val="FF0000"/>
                      <w:kern w:val="0"/>
                      <w:szCs w:val="21"/>
                    </w:rPr>
                  </w:pPr>
                </w:p>
              </w:tc>
              <w:tc>
                <w:tcPr>
                  <w:tcW w:w="733" w:type="pct"/>
                  <w:vMerge w:val="continue"/>
                  <w:vAlign w:val="center"/>
                </w:tcPr>
                <w:p>
                  <w:pPr>
                    <w:widowControl/>
                    <w:jc w:val="center"/>
                    <w:rPr>
                      <w:rFonts w:hint="eastAsia"/>
                      <w:color w:val="0D0D0D" w:themeColor="text1" w:themeTint="F2"/>
                      <w:kern w:val="0"/>
                      <w:szCs w:val="21"/>
                      <w14:textFill>
                        <w14:solidFill>
                          <w14:schemeClr w14:val="tx1">
                            <w14:lumMod w14:val="95000"/>
                            <w14:lumOff w14:val="5000"/>
                          </w14:schemeClr>
                        </w14:solidFill>
                      </w14:textFill>
                    </w:rPr>
                  </w:pPr>
                </w:p>
              </w:tc>
              <w:tc>
                <w:tcPr>
                  <w:tcW w:w="1443" w:type="pct"/>
                  <w:vAlign w:val="center"/>
                </w:tcPr>
                <w:p>
                  <w:pPr>
                    <w:snapToGrid w:val="0"/>
                    <w:jc w:val="center"/>
                    <w:rPr>
                      <w:rFonts w:hint="eastAsia" w:ascii="Times New Roman" w:hAnsi="Times New Roman" w:eastAsia="宋体" w:cs="Times New Roman"/>
                      <w:color w:val="0C0C0C"/>
                      <w:kern w:val="2"/>
                      <w:sz w:val="21"/>
                      <w:szCs w:val="21"/>
                      <w:lang w:val="en-US" w:eastAsia="zh-CN" w:bidi="ar-SA"/>
                    </w:rPr>
                  </w:pPr>
                  <w:r>
                    <w:rPr>
                      <w:rFonts w:hint="eastAsia"/>
                      <w:color w:val="0C0C0C"/>
                      <w:szCs w:val="21"/>
                      <w:lang w:val="en-US" w:eastAsia="zh-CN"/>
                    </w:rPr>
                    <w:t>重点防渗</w:t>
                  </w:r>
                </w:p>
              </w:tc>
              <w:tc>
                <w:tcPr>
                  <w:tcW w:w="1881" w:type="pct"/>
                  <w:vAlign w:val="center"/>
                </w:tcPr>
                <w:p>
                  <w:pPr>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危废暂存间</w:t>
                  </w:r>
                  <w:r>
                    <w:rPr>
                      <w:rFonts w:hint="eastAsia"/>
                      <w:color w:val="auto"/>
                      <w:szCs w:val="21"/>
                      <w:lang w:val="en-US" w:eastAsia="zh-CN"/>
                    </w:rPr>
                    <w:t>做重点防渗</w:t>
                  </w:r>
                  <w:r>
                    <w:rPr>
                      <w:rFonts w:hint="eastAsia"/>
                      <w:color w:val="auto"/>
                      <w:szCs w:val="21"/>
                    </w:rPr>
                    <w:t>，防渗措施：底部采用10cm厚三合土处理，上层再用10-15cm水泥硬化，表层涂环氧树脂，以达到防腐、防渗漏目的，等效黏土防渗层Mb≥6.0m，渗透系数≤1.0×10-7cm/s</w:t>
                  </w:r>
                </w:p>
              </w:tc>
            </w:tr>
          </w:tbl>
          <w:p>
            <w:pPr>
              <w:spacing w:before="120" w:beforeLines="50" w:line="360" w:lineRule="auto"/>
              <w:ind w:firstLine="482" w:firstLineChars="200"/>
              <w:rPr>
                <w:b/>
                <w:color w:val="000000"/>
                <w:kern w:val="0"/>
                <w:sz w:val="24"/>
              </w:rPr>
            </w:pPr>
            <w:r>
              <w:rPr>
                <w:rFonts w:hint="eastAsia"/>
                <w:b/>
                <w:color w:val="000000"/>
                <w:kern w:val="0"/>
                <w:sz w:val="24"/>
              </w:rPr>
              <w:t>4、主要生产设备</w:t>
            </w:r>
          </w:p>
          <w:p>
            <w:pPr>
              <w:spacing w:line="360" w:lineRule="auto"/>
              <w:ind w:firstLine="482"/>
              <w:jc w:val="left"/>
              <w:rPr>
                <w:rFonts w:hAnsi="宋体"/>
                <w:kern w:val="24"/>
                <w:sz w:val="24"/>
              </w:rPr>
            </w:pPr>
            <w:r>
              <w:rPr>
                <w:rFonts w:hint="eastAsia" w:hAnsi="宋体"/>
                <w:kern w:val="24"/>
                <w:sz w:val="24"/>
              </w:rPr>
              <w:t>主要生产设备详见表2-</w:t>
            </w:r>
            <w:r>
              <w:rPr>
                <w:rFonts w:hint="eastAsia" w:hAnsi="宋体"/>
                <w:kern w:val="24"/>
                <w:sz w:val="24"/>
                <w:lang w:val="en-US" w:eastAsia="zh-CN"/>
              </w:rPr>
              <w:t>5</w:t>
            </w:r>
            <w:r>
              <w:rPr>
                <w:rFonts w:hint="eastAsia" w:hAnsi="宋体"/>
                <w:kern w:val="24"/>
                <w:sz w:val="24"/>
              </w:rPr>
              <w:t>。</w:t>
            </w:r>
          </w:p>
          <w:p>
            <w:pPr>
              <w:spacing w:before="120" w:beforeLines="50"/>
              <w:ind w:firstLine="482" w:firstLineChars="200"/>
              <w:jc w:val="center"/>
              <w:rPr>
                <w:b/>
                <w:color w:val="000000" w:themeColor="text1"/>
                <w14:textFill>
                  <w14:solidFill>
                    <w14:schemeClr w14:val="tx1"/>
                  </w14:solidFill>
                </w14:textFill>
              </w:rPr>
            </w:pPr>
            <w:r>
              <w:rPr>
                <w:rFonts w:hAnsi="宋体"/>
                <w:b/>
                <w:color w:val="000000" w:themeColor="text1"/>
                <w:kern w:val="24"/>
                <w:sz w:val="24"/>
                <w14:textFill>
                  <w14:solidFill>
                    <w14:schemeClr w14:val="tx1"/>
                  </w14:solidFill>
                </w14:textFill>
              </w:rPr>
              <w:t>表</w:t>
            </w:r>
            <w:r>
              <w:rPr>
                <w:rFonts w:hint="eastAsia" w:hAnsi="宋体"/>
                <w:b/>
                <w:color w:val="000000" w:themeColor="text1"/>
                <w:kern w:val="24"/>
                <w:sz w:val="24"/>
                <w14:textFill>
                  <w14:solidFill>
                    <w14:schemeClr w14:val="tx1"/>
                  </w14:solidFill>
                </w14:textFill>
              </w:rPr>
              <w:t>2-</w:t>
            </w:r>
            <w:r>
              <w:rPr>
                <w:rFonts w:hint="eastAsia" w:hAnsi="宋体"/>
                <w:b/>
                <w:color w:val="000000" w:themeColor="text1"/>
                <w:kern w:val="24"/>
                <w:sz w:val="24"/>
                <w:lang w:val="en-US" w:eastAsia="zh-CN"/>
                <w14:textFill>
                  <w14:solidFill>
                    <w14:schemeClr w14:val="tx1"/>
                  </w14:solidFill>
                </w14:textFill>
              </w:rPr>
              <w:t>5</w:t>
            </w:r>
            <w:r>
              <w:rPr>
                <w:rFonts w:hAnsi="宋体"/>
                <w:b/>
                <w:color w:val="000000" w:themeColor="text1"/>
                <w:kern w:val="24"/>
                <w:sz w:val="24"/>
                <w14:textFill>
                  <w14:solidFill>
                    <w14:schemeClr w14:val="tx1"/>
                  </w14:solidFill>
                </w14:textFill>
              </w:rPr>
              <w:t xml:space="preserve">  项目主要生产设备一览表</w:t>
            </w:r>
          </w:p>
          <w:tbl>
            <w:tblPr>
              <w:tblStyle w:val="58"/>
              <w:tblW w:w="462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51"/>
              <w:gridCol w:w="1634"/>
              <w:gridCol w:w="2163"/>
              <w:gridCol w:w="1874"/>
              <w:gridCol w:w="153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355" w:type="pct"/>
                  <w:vAlign w:val="center"/>
                </w:tcPr>
                <w:p>
                  <w:pPr>
                    <w:widowControl/>
                    <w:spacing w:line="240" w:lineRule="exact"/>
                    <w:ind w:left="-105" w:leftChars="-50" w:right="-105" w:rightChars="-50"/>
                    <w:jc w:val="center"/>
                    <w:rPr>
                      <w:rFonts w:hint="eastAsia" w:ascii="宋体" w:hAnsi="宋体" w:eastAsia="宋体" w:cs="宋体"/>
                      <w:b/>
                      <w:color w:val="0D0D0D" w:themeColor="text1" w:themeTint="F2"/>
                      <w:kern w:val="0"/>
                      <w:sz w:val="21"/>
                      <w:szCs w:val="21"/>
                      <w14:textFill>
                        <w14:solidFill>
                          <w14:schemeClr w14:val="tx1">
                            <w14:lumMod w14:val="95000"/>
                            <w14:lumOff w14:val="5000"/>
                          </w14:schemeClr>
                        </w14:solidFill>
                      </w14:textFill>
                    </w:rPr>
                  </w:pPr>
                  <w:r>
                    <w:rPr>
                      <w:rFonts w:hint="eastAsia" w:ascii="宋体" w:hAnsi="宋体" w:eastAsia="宋体" w:cs="宋体"/>
                      <w:b/>
                      <w:color w:val="0D0D0D" w:themeColor="text1" w:themeTint="F2"/>
                      <w:kern w:val="0"/>
                      <w:sz w:val="21"/>
                      <w:szCs w:val="21"/>
                      <w14:textFill>
                        <w14:solidFill>
                          <w14:schemeClr w14:val="tx1">
                            <w14:lumMod w14:val="95000"/>
                            <w14:lumOff w14:val="5000"/>
                          </w14:schemeClr>
                        </w14:solidFill>
                      </w14:textFill>
                    </w:rPr>
                    <w:t>序号</w:t>
                  </w:r>
                </w:p>
              </w:tc>
              <w:tc>
                <w:tcPr>
                  <w:tcW w:w="1052" w:type="pct"/>
                  <w:vAlign w:val="center"/>
                </w:tcPr>
                <w:p>
                  <w:pPr>
                    <w:widowControl/>
                    <w:spacing w:line="240" w:lineRule="exact"/>
                    <w:ind w:left="-105" w:leftChars="-50" w:right="-105" w:rightChars="-50"/>
                    <w:jc w:val="center"/>
                    <w:rPr>
                      <w:rFonts w:hint="default" w:ascii="宋体" w:hAnsi="宋体" w:eastAsia="宋体" w:cs="宋体"/>
                      <w:b/>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cs="宋体"/>
                      <w:b/>
                      <w:color w:val="0D0D0D" w:themeColor="text1" w:themeTint="F2"/>
                      <w:kern w:val="0"/>
                      <w:sz w:val="21"/>
                      <w:szCs w:val="21"/>
                      <w:lang w:val="en-US" w:eastAsia="zh-CN"/>
                      <w14:textFill>
                        <w14:solidFill>
                          <w14:schemeClr w14:val="tx1">
                            <w14:lumMod w14:val="95000"/>
                            <w14:lumOff w14:val="5000"/>
                          </w14:schemeClr>
                        </w14:solidFill>
                      </w14:textFill>
                    </w:rPr>
                    <w:t>主要生产单元</w:t>
                  </w:r>
                </w:p>
              </w:tc>
              <w:tc>
                <w:tcPr>
                  <w:tcW w:w="1393" w:type="pct"/>
                  <w:vAlign w:val="center"/>
                </w:tcPr>
                <w:p>
                  <w:pPr>
                    <w:widowControl/>
                    <w:spacing w:line="240" w:lineRule="exact"/>
                    <w:ind w:left="-105" w:leftChars="-50" w:right="-105" w:rightChars="-50"/>
                    <w:jc w:val="center"/>
                    <w:rPr>
                      <w:rFonts w:hint="eastAsia" w:ascii="宋体" w:hAnsi="宋体" w:eastAsia="宋体" w:cs="宋体"/>
                      <w:b/>
                      <w:color w:val="0D0D0D" w:themeColor="text1" w:themeTint="F2"/>
                      <w:kern w:val="0"/>
                      <w:sz w:val="21"/>
                      <w:szCs w:val="21"/>
                      <w14:textFill>
                        <w14:solidFill>
                          <w14:schemeClr w14:val="tx1">
                            <w14:lumMod w14:val="95000"/>
                            <w14:lumOff w14:val="5000"/>
                          </w14:schemeClr>
                        </w14:solidFill>
                      </w14:textFill>
                    </w:rPr>
                  </w:pPr>
                  <w:r>
                    <w:rPr>
                      <w:rFonts w:hint="eastAsia" w:ascii="宋体" w:hAnsi="宋体" w:eastAsia="宋体" w:cs="宋体"/>
                      <w:b/>
                      <w:color w:val="0D0D0D" w:themeColor="text1" w:themeTint="F2"/>
                      <w:kern w:val="0"/>
                      <w:sz w:val="21"/>
                      <w:szCs w:val="21"/>
                      <w14:textFill>
                        <w14:solidFill>
                          <w14:schemeClr w14:val="tx1">
                            <w14:lumMod w14:val="95000"/>
                            <w14:lumOff w14:val="5000"/>
                          </w14:schemeClr>
                        </w14:solidFill>
                      </w14:textFill>
                    </w:rPr>
                    <w:t>设备名称</w:t>
                  </w:r>
                </w:p>
              </w:tc>
              <w:tc>
                <w:tcPr>
                  <w:tcW w:w="1207" w:type="pct"/>
                  <w:vAlign w:val="center"/>
                </w:tcPr>
                <w:p>
                  <w:pPr>
                    <w:widowControl/>
                    <w:spacing w:line="240" w:lineRule="exact"/>
                    <w:ind w:left="-105" w:leftChars="-50" w:right="-105" w:rightChars="-50"/>
                    <w:jc w:val="center"/>
                    <w:rPr>
                      <w:rFonts w:hint="eastAsia" w:ascii="宋体" w:hAnsi="宋体" w:eastAsia="宋体" w:cs="宋体"/>
                      <w:b/>
                      <w:color w:val="0D0D0D" w:themeColor="text1" w:themeTint="F2"/>
                      <w:kern w:val="0"/>
                      <w:sz w:val="21"/>
                      <w:szCs w:val="21"/>
                      <w14:textFill>
                        <w14:solidFill>
                          <w14:schemeClr w14:val="tx1">
                            <w14:lumMod w14:val="95000"/>
                            <w14:lumOff w14:val="5000"/>
                          </w14:schemeClr>
                        </w14:solidFill>
                      </w14:textFill>
                    </w:rPr>
                  </w:pPr>
                  <w:r>
                    <w:rPr>
                      <w:rFonts w:hint="eastAsia" w:ascii="宋体" w:hAnsi="宋体" w:eastAsia="宋体" w:cs="宋体"/>
                      <w:b/>
                      <w:color w:val="0D0D0D" w:themeColor="text1" w:themeTint="F2"/>
                      <w:kern w:val="0"/>
                      <w:sz w:val="21"/>
                      <w:szCs w:val="21"/>
                      <w14:textFill>
                        <w14:solidFill>
                          <w14:schemeClr w14:val="tx1">
                            <w14:lumMod w14:val="95000"/>
                            <w14:lumOff w14:val="5000"/>
                          </w14:schemeClr>
                        </w14:solidFill>
                      </w14:textFill>
                    </w:rPr>
                    <w:t>规格型号</w:t>
                  </w:r>
                </w:p>
              </w:tc>
              <w:tc>
                <w:tcPr>
                  <w:tcW w:w="990" w:type="pct"/>
                  <w:vAlign w:val="center"/>
                </w:tcPr>
                <w:p>
                  <w:pPr>
                    <w:widowControl/>
                    <w:spacing w:line="240" w:lineRule="exact"/>
                    <w:ind w:left="-105" w:leftChars="-50" w:right="-105" w:rightChars="-50"/>
                    <w:jc w:val="center"/>
                    <w:rPr>
                      <w:rFonts w:hint="eastAsia" w:ascii="宋体" w:hAnsi="宋体" w:eastAsia="宋体" w:cs="宋体"/>
                      <w:b/>
                      <w:color w:val="0D0D0D" w:themeColor="text1" w:themeTint="F2"/>
                      <w:kern w:val="0"/>
                      <w:sz w:val="21"/>
                      <w:szCs w:val="21"/>
                      <w14:textFill>
                        <w14:solidFill>
                          <w14:schemeClr w14:val="tx1">
                            <w14:lumMod w14:val="95000"/>
                            <w14:lumOff w14:val="5000"/>
                          </w14:schemeClr>
                        </w14:solidFill>
                      </w14:textFill>
                    </w:rPr>
                  </w:pPr>
                  <w:r>
                    <w:rPr>
                      <w:rFonts w:hint="eastAsia" w:ascii="宋体" w:hAnsi="宋体" w:eastAsia="宋体" w:cs="宋体"/>
                      <w:b/>
                      <w:color w:val="0D0D0D" w:themeColor="text1" w:themeTint="F2"/>
                      <w:kern w:val="0"/>
                      <w:sz w:val="21"/>
                      <w:szCs w:val="21"/>
                      <w14:textFill>
                        <w14:solidFill>
                          <w14:schemeClr w14:val="tx1">
                            <w14:lumMod w14:val="95000"/>
                            <w14:lumOff w14:val="5000"/>
                          </w14:schemeClr>
                        </w14:solidFill>
                      </w14:textFill>
                    </w:rPr>
                    <w:t>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5" w:type="pct"/>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1</w:t>
                  </w:r>
                </w:p>
              </w:tc>
              <w:tc>
                <w:tcPr>
                  <w:tcW w:w="1052" w:type="pct"/>
                  <w:vMerge w:val="restart"/>
                  <w:vAlign w:val="center"/>
                </w:tcPr>
                <w:p>
                  <w:pPr>
                    <w:widowControl/>
                    <w:spacing w:line="260" w:lineRule="exact"/>
                    <w:ind w:left="-105" w:leftChars="-50" w:right="-105" w:rightChars="-50"/>
                    <w:jc w:val="center"/>
                    <w:rPr>
                      <w:rFonts w:hint="default"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cs="宋体"/>
                      <w:color w:val="0D0D0D" w:themeColor="text1" w:themeTint="F2"/>
                      <w:kern w:val="0"/>
                      <w:sz w:val="21"/>
                      <w:szCs w:val="21"/>
                      <w:lang w:val="en-US" w:eastAsia="zh-CN"/>
                      <w14:textFill>
                        <w14:solidFill>
                          <w14:schemeClr w14:val="tx1">
                            <w14:lumMod w14:val="95000"/>
                            <w14:lumOff w14:val="5000"/>
                          </w14:schemeClr>
                        </w14:solidFill>
                      </w14:textFill>
                    </w:rPr>
                    <w:t>注塑工序</w:t>
                  </w:r>
                </w:p>
              </w:tc>
              <w:tc>
                <w:tcPr>
                  <w:tcW w:w="1393" w:type="pct"/>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注塑机</w:t>
                  </w:r>
                </w:p>
              </w:tc>
              <w:tc>
                <w:tcPr>
                  <w:tcW w:w="1207"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color w:val="auto"/>
                      <w:szCs w:val="21"/>
                      <w:lang w:val="en-US" w:eastAsia="zh-CN"/>
                    </w:rPr>
                    <w:t>MA900II/260-A</w:t>
                  </w:r>
                </w:p>
              </w:tc>
              <w:tc>
                <w:tcPr>
                  <w:tcW w:w="990" w:type="pct"/>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kern w:val="0"/>
                      <w:sz w:val="21"/>
                      <w:szCs w:val="21"/>
                    </w:rPr>
                    <w:t>3</w:t>
                  </w:r>
                  <w:r>
                    <w:rPr>
                      <w:rFonts w:hint="eastAsia" w:ascii="宋体" w:hAnsi="宋体" w:eastAsia="宋体" w:cs="宋体"/>
                      <w:kern w:val="0"/>
                      <w:sz w:val="21"/>
                      <w:szCs w:val="21"/>
                      <w:lang w:val="en-US" w:eastAsia="zh-CN"/>
                    </w:rPr>
                    <w:t>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5" w:type="pct"/>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t>2</w:t>
                  </w:r>
                </w:p>
              </w:tc>
              <w:tc>
                <w:tcPr>
                  <w:tcW w:w="1052" w:type="pct"/>
                  <w:vMerge w:val="continue"/>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p>
              </w:tc>
              <w:tc>
                <w:tcPr>
                  <w:tcW w:w="1393" w:type="pct"/>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注塑机</w:t>
                  </w:r>
                </w:p>
              </w:tc>
              <w:tc>
                <w:tcPr>
                  <w:tcW w:w="1207"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MA3200II/1700-B</w:t>
                  </w:r>
                </w:p>
              </w:tc>
              <w:tc>
                <w:tcPr>
                  <w:tcW w:w="990" w:type="pct"/>
                  <w:vAlign w:val="center"/>
                </w:tcPr>
                <w:p>
                  <w:pPr>
                    <w:widowControl/>
                    <w:jc w:val="center"/>
                    <w:rPr>
                      <w:rFonts w:hint="eastAsia" w:ascii="宋体" w:hAnsi="宋体" w:eastAsia="宋体" w:cs="宋体"/>
                      <w:color w:val="000000"/>
                      <w:kern w:val="0"/>
                      <w:sz w:val="21"/>
                      <w:szCs w:val="21"/>
                      <w:lang w:val="en-US"/>
                    </w:rPr>
                  </w:pPr>
                  <w:r>
                    <w:rPr>
                      <w:rFonts w:hint="eastAsia" w:ascii="宋体" w:hAnsi="宋体" w:cs="宋体"/>
                      <w:kern w:val="0"/>
                      <w:sz w:val="21"/>
                      <w:szCs w:val="21"/>
                      <w:lang w:val="en-US" w:eastAsia="zh-CN"/>
                    </w:rPr>
                    <w:t>2</w:t>
                  </w:r>
                  <w:r>
                    <w:rPr>
                      <w:rFonts w:hint="eastAsia" w:ascii="宋体" w:hAnsi="宋体" w:eastAsia="宋体" w:cs="宋体"/>
                      <w:kern w:val="0"/>
                      <w:sz w:val="21"/>
                      <w:szCs w:val="21"/>
                      <w:lang w:val="en-US" w:eastAsia="zh-CN"/>
                    </w:rPr>
                    <w:t>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55" w:type="pct"/>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t>3</w:t>
                  </w:r>
                </w:p>
              </w:tc>
              <w:tc>
                <w:tcPr>
                  <w:tcW w:w="1052" w:type="pct"/>
                  <w:vMerge w:val="continue"/>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p>
              </w:tc>
              <w:tc>
                <w:tcPr>
                  <w:tcW w:w="1393" w:type="pct"/>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注塑机</w:t>
                  </w:r>
                </w:p>
              </w:tc>
              <w:tc>
                <w:tcPr>
                  <w:tcW w:w="1207"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MA1600II/540-B</w:t>
                  </w:r>
                </w:p>
              </w:tc>
              <w:tc>
                <w:tcPr>
                  <w:tcW w:w="990" w:type="pct"/>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55" w:type="pct"/>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t>4</w:t>
                  </w:r>
                </w:p>
              </w:tc>
              <w:tc>
                <w:tcPr>
                  <w:tcW w:w="1052" w:type="pct"/>
                  <w:vMerge w:val="continue"/>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p>
              </w:tc>
              <w:tc>
                <w:tcPr>
                  <w:tcW w:w="1393" w:type="pct"/>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注塑机</w:t>
                  </w:r>
                </w:p>
              </w:tc>
              <w:tc>
                <w:tcPr>
                  <w:tcW w:w="1207"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MA1200IIS/400</w:t>
                  </w:r>
                </w:p>
              </w:tc>
              <w:tc>
                <w:tcPr>
                  <w:tcW w:w="990" w:type="pct"/>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kern w:val="0"/>
                      <w:sz w:val="21"/>
                      <w:szCs w:val="21"/>
                    </w:rPr>
                    <w:t>3</w:t>
                  </w:r>
                  <w:r>
                    <w:rPr>
                      <w:rFonts w:hint="eastAsia" w:ascii="宋体" w:hAnsi="宋体" w:eastAsia="宋体" w:cs="宋体"/>
                      <w:kern w:val="0"/>
                      <w:sz w:val="21"/>
                      <w:szCs w:val="21"/>
                      <w:lang w:val="en-US" w:eastAsia="zh-CN"/>
                    </w:rPr>
                    <w:t>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355" w:type="pct"/>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t>5</w:t>
                  </w:r>
                </w:p>
              </w:tc>
              <w:tc>
                <w:tcPr>
                  <w:tcW w:w="1052" w:type="pct"/>
                  <w:vMerge w:val="continue"/>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p>
              </w:tc>
              <w:tc>
                <w:tcPr>
                  <w:tcW w:w="1393" w:type="pct"/>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注塑机</w:t>
                  </w:r>
                </w:p>
              </w:tc>
              <w:tc>
                <w:tcPr>
                  <w:tcW w:w="1207"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ZE900/210</w:t>
                  </w:r>
                </w:p>
              </w:tc>
              <w:tc>
                <w:tcPr>
                  <w:tcW w:w="990" w:type="pct"/>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355" w:type="pct"/>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t>6</w:t>
                  </w:r>
                </w:p>
              </w:tc>
              <w:tc>
                <w:tcPr>
                  <w:tcW w:w="1052" w:type="pct"/>
                  <w:vAlign w:val="center"/>
                </w:tcPr>
                <w:p>
                  <w:pPr>
                    <w:widowControl/>
                    <w:spacing w:line="260" w:lineRule="exact"/>
                    <w:ind w:left="-105" w:leftChars="-50" w:right="-105" w:rightChars="-50"/>
                    <w:jc w:val="center"/>
                    <w:rPr>
                      <w:rFonts w:hint="default"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cs="宋体"/>
                      <w:color w:val="0D0D0D" w:themeColor="text1" w:themeTint="F2"/>
                      <w:kern w:val="0"/>
                      <w:sz w:val="21"/>
                      <w:szCs w:val="21"/>
                      <w:lang w:val="en-US" w:eastAsia="zh-CN"/>
                      <w14:textFill>
                        <w14:solidFill>
                          <w14:schemeClr w14:val="tx1">
                            <w14:lumMod w14:val="95000"/>
                            <w14:lumOff w14:val="5000"/>
                          </w14:schemeClr>
                        </w14:solidFill>
                      </w14:textFill>
                    </w:rPr>
                    <w:t>破碎工序</w:t>
                  </w:r>
                </w:p>
              </w:tc>
              <w:tc>
                <w:tcPr>
                  <w:tcW w:w="1393" w:type="pct"/>
                  <w:vAlign w:val="center"/>
                </w:tcPr>
                <w:p>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粉碎机</w:t>
                  </w:r>
                </w:p>
              </w:tc>
              <w:tc>
                <w:tcPr>
                  <w:tcW w:w="1207" w:type="pct"/>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w:t>
                  </w:r>
                </w:p>
              </w:tc>
              <w:tc>
                <w:tcPr>
                  <w:tcW w:w="990" w:type="pct"/>
                  <w:vAlign w:val="center"/>
                </w:tcPr>
                <w:p>
                  <w:pPr>
                    <w:widowControl/>
                    <w:jc w:val="center"/>
                    <w:textAlignment w:val="center"/>
                    <w:rPr>
                      <w:rFonts w:hint="eastAsia" w:ascii="宋体" w:hAnsi="宋体" w:eastAsia="宋体" w:cs="宋体"/>
                      <w:color w:val="000000"/>
                      <w:kern w:val="0"/>
                      <w:sz w:val="21"/>
                      <w:szCs w:val="21"/>
                      <w:lang w:val="en-US"/>
                    </w:rPr>
                  </w:pPr>
                  <w:r>
                    <w:rPr>
                      <w:rFonts w:hint="eastAsia" w:ascii="宋体" w:hAnsi="宋体" w:eastAsia="宋体" w:cs="宋体"/>
                      <w:kern w:val="2"/>
                      <w:sz w:val="21"/>
                      <w:szCs w:val="21"/>
                      <w:lang w:val="en-US" w:eastAsia="zh-CN" w:bidi="ar-SA"/>
                    </w:rPr>
                    <w:t>2台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5" w:type="pct"/>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t>7</w:t>
                  </w:r>
                </w:p>
              </w:tc>
              <w:tc>
                <w:tcPr>
                  <w:tcW w:w="1052" w:type="pct"/>
                  <w:vMerge w:val="restart"/>
                  <w:vAlign w:val="center"/>
                </w:tcPr>
                <w:p>
                  <w:pPr>
                    <w:widowControl/>
                    <w:spacing w:line="260" w:lineRule="exact"/>
                    <w:ind w:left="-105" w:leftChars="-50" w:right="-105" w:rightChars="-50"/>
                    <w:jc w:val="center"/>
                    <w:rPr>
                      <w:rFonts w:hint="default"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cs="宋体"/>
                      <w:color w:val="0D0D0D" w:themeColor="text1" w:themeTint="F2"/>
                      <w:kern w:val="0"/>
                      <w:sz w:val="21"/>
                      <w:szCs w:val="21"/>
                      <w:lang w:val="en-US" w:eastAsia="zh-CN"/>
                      <w14:textFill>
                        <w14:solidFill>
                          <w14:schemeClr w14:val="tx1">
                            <w14:lumMod w14:val="95000"/>
                            <w14:lumOff w14:val="5000"/>
                          </w14:schemeClr>
                        </w14:solidFill>
                      </w14:textFill>
                    </w:rPr>
                    <w:t>辅助单元</w:t>
                  </w:r>
                </w:p>
              </w:tc>
              <w:tc>
                <w:tcPr>
                  <w:tcW w:w="1393" w:type="pct"/>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模温机</w:t>
                  </w:r>
                </w:p>
              </w:tc>
              <w:tc>
                <w:tcPr>
                  <w:tcW w:w="1207" w:type="pct"/>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w:t>
                  </w:r>
                </w:p>
              </w:tc>
              <w:tc>
                <w:tcPr>
                  <w:tcW w:w="990" w:type="pct"/>
                  <w:vAlign w:val="center"/>
                </w:tcPr>
                <w:p>
                  <w:pPr>
                    <w:widowControl/>
                    <w:jc w:val="center"/>
                    <w:rPr>
                      <w:rFonts w:hint="eastAsia" w:ascii="宋体" w:hAnsi="宋体" w:eastAsia="宋体" w:cs="宋体"/>
                      <w:color w:val="000000"/>
                      <w:kern w:val="0"/>
                      <w:sz w:val="21"/>
                      <w:szCs w:val="21"/>
                      <w:lang w:val="en-US"/>
                    </w:rPr>
                  </w:pPr>
                  <w:r>
                    <w:rPr>
                      <w:rFonts w:hint="eastAsia" w:ascii="宋体" w:hAnsi="宋体" w:cs="宋体"/>
                      <w:kern w:val="0"/>
                      <w:sz w:val="21"/>
                      <w:szCs w:val="21"/>
                      <w:lang w:val="en-US" w:eastAsia="zh-CN"/>
                    </w:rPr>
                    <w:t>10</w:t>
                  </w:r>
                  <w:r>
                    <w:rPr>
                      <w:rFonts w:hint="eastAsia" w:ascii="宋体" w:hAnsi="宋体" w:eastAsia="宋体" w:cs="宋体"/>
                      <w:kern w:val="0"/>
                      <w:sz w:val="21"/>
                      <w:szCs w:val="21"/>
                      <w:lang w:val="en-US" w:eastAsia="zh-CN"/>
                    </w:rPr>
                    <w:t>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355" w:type="pct"/>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t>8</w:t>
                  </w:r>
                </w:p>
              </w:tc>
              <w:tc>
                <w:tcPr>
                  <w:tcW w:w="1052" w:type="pct"/>
                  <w:vMerge w:val="continue"/>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p>
              </w:tc>
              <w:tc>
                <w:tcPr>
                  <w:tcW w:w="1393" w:type="pct"/>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三机一体</w:t>
                  </w:r>
                  <w:r>
                    <w:rPr>
                      <w:rFonts w:hint="eastAsia"/>
                      <w:color w:val="auto"/>
                      <w:lang w:eastAsia="zh-CN"/>
                    </w:rPr>
                    <w:t>（</w:t>
                  </w:r>
                  <w:r>
                    <w:rPr>
                      <w:rFonts w:hint="eastAsia"/>
                      <w:color w:val="auto"/>
                      <w:lang w:val="en-US" w:eastAsia="zh-CN"/>
                    </w:rPr>
                    <w:t>除湿机、干燥机、吸料机三机一体</w:t>
                  </w:r>
                  <w:r>
                    <w:rPr>
                      <w:rFonts w:hint="eastAsia"/>
                      <w:color w:val="auto"/>
                      <w:lang w:eastAsia="zh-CN"/>
                    </w:rPr>
                    <w:t>）</w:t>
                  </w:r>
                </w:p>
              </w:tc>
              <w:tc>
                <w:tcPr>
                  <w:tcW w:w="1207" w:type="pct"/>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w:t>
                  </w:r>
                </w:p>
              </w:tc>
              <w:tc>
                <w:tcPr>
                  <w:tcW w:w="990" w:type="pct"/>
                  <w:vAlign w:val="center"/>
                </w:tcPr>
                <w:p>
                  <w:pPr>
                    <w:widowControl/>
                    <w:jc w:val="center"/>
                    <w:rPr>
                      <w:rFonts w:hint="eastAsia" w:ascii="宋体" w:hAnsi="宋体" w:eastAsia="宋体" w:cs="宋体"/>
                      <w:color w:val="auto"/>
                      <w:kern w:val="0"/>
                      <w:sz w:val="21"/>
                      <w:szCs w:val="21"/>
                      <w:lang w:val="en-US"/>
                    </w:rPr>
                  </w:pPr>
                  <w:r>
                    <w:rPr>
                      <w:rFonts w:hint="eastAsia" w:ascii="宋体" w:hAnsi="宋体" w:cs="宋体"/>
                      <w:color w:val="auto"/>
                      <w:kern w:val="0"/>
                      <w:sz w:val="21"/>
                      <w:szCs w:val="21"/>
                      <w:lang w:val="en-US" w:eastAsia="zh-CN"/>
                    </w:rPr>
                    <w:t>10</w:t>
                  </w:r>
                  <w:r>
                    <w:rPr>
                      <w:rFonts w:hint="eastAsia" w:ascii="宋体" w:hAnsi="宋体" w:eastAsia="宋体" w:cs="宋体"/>
                      <w:color w:val="auto"/>
                      <w:kern w:val="0"/>
                      <w:sz w:val="21"/>
                      <w:szCs w:val="21"/>
                      <w:lang w:val="en-US" w:eastAsia="zh-CN"/>
                    </w:rPr>
                    <w:t>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355" w:type="pct"/>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t>9</w:t>
                  </w:r>
                </w:p>
              </w:tc>
              <w:tc>
                <w:tcPr>
                  <w:tcW w:w="1052" w:type="pct"/>
                  <w:vMerge w:val="continue"/>
                  <w:vAlign w:val="center"/>
                </w:tcPr>
                <w:p>
                  <w:pPr>
                    <w:widowControl/>
                    <w:spacing w:line="260" w:lineRule="exact"/>
                    <w:ind w:left="-105" w:leftChars="-50" w:right="-105" w:rightChars="-50"/>
                    <w:jc w:val="center"/>
                    <w:rPr>
                      <w:rFonts w:hint="default"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p>
              </w:tc>
              <w:tc>
                <w:tcPr>
                  <w:tcW w:w="1393" w:type="pct"/>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机械手</w:t>
                  </w:r>
                </w:p>
              </w:tc>
              <w:tc>
                <w:tcPr>
                  <w:tcW w:w="1207" w:type="pct"/>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w:t>
                  </w:r>
                </w:p>
              </w:tc>
              <w:tc>
                <w:tcPr>
                  <w:tcW w:w="990" w:type="pct"/>
                  <w:vAlign w:val="center"/>
                </w:tcPr>
                <w:p>
                  <w:pPr>
                    <w:widowControl/>
                    <w:jc w:val="center"/>
                    <w:rPr>
                      <w:rFonts w:hint="eastAsia" w:ascii="宋体" w:hAnsi="宋体" w:eastAsia="宋体" w:cs="宋体"/>
                      <w:color w:val="auto"/>
                      <w:kern w:val="0"/>
                      <w:sz w:val="21"/>
                      <w:szCs w:val="21"/>
                      <w:lang w:val="en-US"/>
                    </w:rPr>
                  </w:pPr>
                  <w:r>
                    <w:rPr>
                      <w:rFonts w:hint="eastAsia" w:ascii="宋体" w:hAnsi="宋体" w:cs="宋体"/>
                      <w:color w:val="auto"/>
                      <w:kern w:val="0"/>
                      <w:sz w:val="21"/>
                      <w:szCs w:val="21"/>
                      <w:lang w:val="en-US" w:eastAsia="zh-CN"/>
                    </w:rPr>
                    <w:t>10</w:t>
                  </w:r>
                  <w:r>
                    <w:rPr>
                      <w:rFonts w:hint="eastAsia" w:ascii="宋体" w:hAnsi="宋体" w:eastAsia="宋体" w:cs="宋体"/>
                      <w:color w:val="auto"/>
                      <w:kern w:val="0"/>
                      <w:sz w:val="21"/>
                      <w:szCs w:val="21"/>
                      <w:lang w:val="en-US" w:eastAsia="zh-CN"/>
                    </w:rPr>
                    <w:t>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355" w:type="pct"/>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t>10</w:t>
                  </w:r>
                </w:p>
              </w:tc>
              <w:tc>
                <w:tcPr>
                  <w:tcW w:w="1052" w:type="pct"/>
                  <w:vMerge w:val="continue"/>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p>
              </w:tc>
              <w:tc>
                <w:tcPr>
                  <w:tcW w:w="1393" w:type="pct"/>
                  <w:vAlign w:val="center"/>
                </w:tcPr>
                <w:p>
                  <w:pPr>
                    <w:widowControl/>
                    <w:jc w:val="center"/>
                    <w:textAlignment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冷却塔</w:t>
                  </w:r>
                </w:p>
              </w:tc>
              <w:tc>
                <w:tcPr>
                  <w:tcW w:w="1207" w:type="pct"/>
                  <w:vAlign w:val="center"/>
                </w:tcPr>
                <w:p>
                  <w:pPr>
                    <w:widowControl/>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w:t>
                  </w:r>
                </w:p>
              </w:tc>
              <w:tc>
                <w:tcPr>
                  <w:tcW w:w="990" w:type="pct"/>
                  <w:vAlign w:val="center"/>
                </w:tcPr>
                <w:p>
                  <w:pPr>
                    <w:widowControl/>
                    <w:jc w:val="center"/>
                    <w:textAlignment w:val="center"/>
                    <w:rPr>
                      <w:rFonts w:hint="eastAsia" w:ascii="宋体" w:hAnsi="宋体" w:eastAsia="宋体" w:cs="宋体"/>
                      <w:color w:val="auto"/>
                      <w:kern w:val="0"/>
                      <w:sz w:val="21"/>
                      <w:szCs w:val="21"/>
                      <w:lang w:val="en-US"/>
                    </w:rPr>
                  </w:pPr>
                  <w:r>
                    <w:rPr>
                      <w:rFonts w:hint="eastAsia" w:ascii="宋体" w:hAnsi="宋体" w:eastAsia="宋体" w:cs="宋体"/>
                      <w:color w:val="auto"/>
                      <w:kern w:val="2"/>
                      <w:sz w:val="21"/>
                      <w:szCs w:val="21"/>
                      <w:lang w:val="en-US" w:eastAsia="zh-CN" w:bidi="ar-SA"/>
                    </w:rPr>
                    <w:t>1座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355" w:type="pct"/>
                  <w:vAlign w:val="center"/>
                </w:tcPr>
                <w:p>
                  <w:pPr>
                    <w:widowControl/>
                    <w:spacing w:line="260" w:lineRule="exact"/>
                    <w:ind w:left="-105" w:leftChars="-50" w:right="-105" w:rightChars="-50"/>
                    <w:jc w:val="center"/>
                    <w:rPr>
                      <w:rFonts w:hint="default"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cs="宋体"/>
                      <w:color w:val="0D0D0D" w:themeColor="text1" w:themeTint="F2"/>
                      <w:kern w:val="0"/>
                      <w:sz w:val="21"/>
                      <w:szCs w:val="21"/>
                      <w:lang w:val="en-US" w:eastAsia="zh-CN"/>
                      <w14:textFill>
                        <w14:solidFill>
                          <w14:schemeClr w14:val="tx1">
                            <w14:lumMod w14:val="95000"/>
                            <w14:lumOff w14:val="5000"/>
                          </w14:schemeClr>
                        </w14:solidFill>
                      </w14:textFill>
                    </w:rPr>
                    <w:t>11</w:t>
                  </w:r>
                </w:p>
              </w:tc>
              <w:tc>
                <w:tcPr>
                  <w:tcW w:w="1052" w:type="pct"/>
                  <w:vMerge w:val="continue"/>
                  <w:vAlign w:val="center"/>
                </w:tcPr>
                <w:p>
                  <w:pPr>
                    <w:widowControl/>
                    <w:spacing w:line="26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p>
              </w:tc>
              <w:tc>
                <w:tcPr>
                  <w:tcW w:w="1393" w:type="pct"/>
                  <w:vAlign w:val="center"/>
                </w:tcPr>
                <w:p>
                  <w:pPr>
                    <w:widowControl/>
                    <w:jc w:val="center"/>
                    <w:textAlignment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风机</w:t>
                  </w:r>
                </w:p>
              </w:tc>
              <w:tc>
                <w:tcPr>
                  <w:tcW w:w="1207" w:type="pct"/>
                  <w:vAlign w:val="center"/>
                </w:tcPr>
                <w:p>
                  <w:pPr>
                    <w:widowControl/>
                    <w:jc w:val="center"/>
                    <w:rPr>
                      <w:rFonts w:hint="default" w:ascii="宋体" w:hAnsi="宋体" w:eastAsia="宋体" w:cs="宋体"/>
                      <w:color w:val="auto"/>
                      <w:kern w:val="0"/>
                      <w:sz w:val="21"/>
                      <w:szCs w:val="21"/>
                      <w:lang w:val="en-US" w:eastAsia="zh-CN"/>
                    </w:rPr>
                  </w:pPr>
                  <w:r>
                    <w:rPr>
                      <w:rFonts w:hint="eastAsia" w:ascii="宋体" w:hAnsi="宋体" w:cs="宋体"/>
                      <w:color w:val="auto"/>
                      <w:kern w:val="0"/>
                      <w:sz w:val="21"/>
                      <w:szCs w:val="21"/>
                      <w:lang w:val="en-US" w:eastAsia="zh-CN"/>
                    </w:rPr>
                    <w:t>/</w:t>
                  </w:r>
                </w:p>
              </w:tc>
              <w:tc>
                <w:tcPr>
                  <w:tcW w:w="990" w:type="pct"/>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kern w:val="2"/>
                      <w:sz w:val="21"/>
                      <w:szCs w:val="21"/>
                      <w:lang w:val="en-US" w:eastAsia="zh-CN" w:bidi="ar-SA"/>
                    </w:rPr>
                    <w:t>2台</w:t>
                  </w:r>
                </w:p>
              </w:tc>
            </w:tr>
          </w:tbl>
          <w:p>
            <w:pPr>
              <w:spacing w:before="120" w:beforeLines="50"/>
              <w:ind w:firstLine="602" w:firstLineChars="250"/>
              <w:rPr>
                <w:b/>
                <w:kern w:val="0"/>
                <w:sz w:val="24"/>
              </w:rPr>
            </w:pPr>
            <w:r>
              <w:rPr>
                <w:rFonts w:hint="eastAsia"/>
                <w:b/>
                <w:kern w:val="0"/>
                <w:sz w:val="24"/>
              </w:rPr>
              <w:t>5、主要原辅材料及能源消耗</w:t>
            </w:r>
          </w:p>
          <w:p>
            <w:pPr>
              <w:spacing w:line="400" w:lineRule="exact"/>
              <w:ind w:firstLine="480" w:firstLineChars="200"/>
              <w:rPr>
                <w:rFonts w:hAnsi="宋体"/>
                <w:kern w:val="24"/>
                <w:sz w:val="24"/>
              </w:rPr>
            </w:pPr>
            <w:r>
              <w:rPr>
                <w:rFonts w:hAnsi="宋体"/>
                <w:kern w:val="24"/>
                <w:sz w:val="24"/>
              </w:rPr>
              <w:t>项目原辅材料消耗见表</w:t>
            </w:r>
            <w:r>
              <w:rPr>
                <w:rFonts w:hint="eastAsia" w:hAnsi="宋体"/>
                <w:kern w:val="24"/>
                <w:sz w:val="24"/>
              </w:rPr>
              <w:t>2-</w:t>
            </w:r>
            <w:r>
              <w:rPr>
                <w:rFonts w:hint="eastAsia" w:hAnsi="宋体"/>
                <w:kern w:val="24"/>
                <w:sz w:val="24"/>
                <w:lang w:val="en-US" w:eastAsia="zh-CN"/>
              </w:rPr>
              <w:t>6</w:t>
            </w:r>
            <w:r>
              <w:rPr>
                <w:rFonts w:hAnsi="宋体"/>
                <w:kern w:val="24"/>
                <w:sz w:val="24"/>
              </w:rPr>
              <w:t>。</w:t>
            </w:r>
          </w:p>
          <w:p>
            <w:pPr>
              <w:spacing w:before="120" w:beforeLines="50"/>
              <w:jc w:val="center"/>
              <w:rPr>
                <w:rFonts w:hint="eastAsia" w:hAnsi="宋体" w:eastAsia="宋体"/>
                <w:b/>
                <w:color w:val="000000" w:themeColor="text1"/>
                <w:kern w:val="24"/>
                <w:sz w:val="24"/>
                <w:lang w:val="en-US" w:eastAsia="zh-CN"/>
                <w14:textFill>
                  <w14:solidFill>
                    <w14:schemeClr w14:val="tx1"/>
                  </w14:solidFill>
                </w14:textFill>
              </w:rPr>
            </w:pPr>
            <w:r>
              <w:rPr>
                <w:rFonts w:hAnsi="宋体"/>
                <w:b/>
                <w:color w:val="000000" w:themeColor="text1"/>
                <w:kern w:val="24"/>
                <w:sz w:val="24"/>
                <w14:textFill>
                  <w14:solidFill>
                    <w14:schemeClr w14:val="tx1"/>
                  </w14:solidFill>
                </w14:textFill>
              </w:rPr>
              <w:t>表</w:t>
            </w:r>
            <w:r>
              <w:rPr>
                <w:rFonts w:hint="eastAsia" w:hAnsi="宋体"/>
                <w:b/>
                <w:color w:val="000000" w:themeColor="text1"/>
                <w:kern w:val="24"/>
                <w:sz w:val="24"/>
                <w14:textFill>
                  <w14:solidFill>
                    <w14:schemeClr w14:val="tx1"/>
                  </w14:solidFill>
                </w14:textFill>
              </w:rPr>
              <w:t>2-</w:t>
            </w:r>
            <w:r>
              <w:rPr>
                <w:rFonts w:hint="eastAsia" w:hAnsi="宋体"/>
                <w:b/>
                <w:color w:val="000000" w:themeColor="text1"/>
                <w:kern w:val="24"/>
                <w:sz w:val="24"/>
                <w:lang w:val="en-US" w:eastAsia="zh-CN"/>
                <w14:textFill>
                  <w14:solidFill>
                    <w14:schemeClr w14:val="tx1"/>
                  </w14:solidFill>
                </w14:textFill>
              </w:rPr>
              <w:t>6</w:t>
            </w:r>
            <w:r>
              <w:rPr>
                <w:rFonts w:hAnsi="宋体"/>
                <w:b/>
                <w:color w:val="000000" w:themeColor="text1"/>
                <w:kern w:val="24"/>
                <w:sz w:val="24"/>
                <w14:textFill>
                  <w14:solidFill>
                    <w14:schemeClr w14:val="tx1"/>
                  </w14:solidFill>
                </w14:textFill>
              </w:rPr>
              <w:t xml:space="preserve"> </w:t>
            </w:r>
            <w:r>
              <w:rPr>
                <w:rFonts w:hint="eastAsia" w:hAnsi="宋体"/>
                <w:b/>
                <w:color w:val="000000" w:themeColor="text1"/>
                <w:kern w:val="24"/>
                <w:sz w:val="24"/>
                <w:lang w:val="en-US" w:eastAsia="zh-CN"/>
                <w14:textFill>
                  <w14:solidFill>
                    <w14:schemeClr w14:val="tx1"/>
                  </w14:solidFill>
                </w14:textFill>
              </w:rPr>
              <w:t xml:space="preserve"> </w:t>
            </w:r>
            <w:r>
              <w:rPr>
                <w:rFonts w:hAnsi="宋体"/>
                <w:b/>
                <w:color w:val="000000" w:themeColor="text1"/>
                <w:kern w:val="24"/>
                <w:sz w:val="24"/>
                <w14:textFill>
                  <w14:solidFill>
                    <w14:schemeClr w14:val="tx1"/>
                  </w14:solidFill>
                </w14:textFill>
              </w:rPr>
              <w:t>项目原辅材料消耗表</w:t>
            </w:r>
          </w:p>
          <w:tbl>
            <w:tblPr>
              <w:tblStyle w:val="58"/>
              <w:tblW w:w="485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6"/>
              <w:gridCol w:w="1483"/>
              <w:gridCol w:w="1483"/>
              <w:gridCol w:w="1629"/>
              <w:gridCol w:w="1394"/>
              <w:gridCol w:w="153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384" w:type="pct"/>
                  <w:vAlign w:val="center"/>
                </w:tcPr>
                <w:p>
                  <w:pPr>
                    <w:widowControl/>
                    <w:ind w:left="-105" w:leftChars="-50" w:right="-105" w:rightChars="-50"/>
                    <w:jc w:val="center"/>
                    <w:rPr>
                      <w:rFonts w:hint="eastAsia" w:ascii="宋体" w:hAnsi="宋体" w:eastAsia="宋体" w:cs="宋体"/>
                      <w:b/>
                      <w:color w:val="0D0D0D"/>
                      <w:kern w:val="0"/>
                      <w:sz w:val="21"/>
                      <w:szCs w:val="21"/>
                    </w:rPr>
                  </w:pPr>
                  <w:r>
                    <w:rPr>
                      <w:rFonts w:hint="eastAsia" w:ascii="宋体" w:hAnsi="宋体" w:eastAsia="宋体" w:cs="宋体"/>
                      <w:b/>
                      <w:color w:val="0D0D0D"/>
                      <w:kern w:val="0"/>
                      <w:sz w:val="21"/>
                      <w:szCs w:val="21"/>
                    </w:rPr>
                    <w:t>序号</w:t>
                  </w:r>
                </w:p>
              </w:tc>
              <w:tc>
                <w:tcPr>
                  <w:tcW w:w="910" w:type="pct"/>
                  <w:vAlign w:val="center"/>
                </w:tcPr>
                <w:p>
                  <w:pPr>
                    <w:widowControl/>
                    <w:ind w:left="-105" w:leftChars="-50" w:right="-105" w:rightChars="-50"/>
                    <w:jc w:val="center"/>
                    <w:rPr>
                      <w:rFonts w:hint="default" w:ascii="宋体" w:hAnsi="宋体" w:eastAsia="宋体" w:cs="宋体"/>
                      <w:b/>
                      <w:color w:val="0D0D0D"/>
                      <w:kern w:val="0"/>
                      <w:sz w:val="21"/>
                      <w:szCs w:val="21"/>
                      <w:lang w:val="en-US" w:eastAsia="zh-CN"/>
                    </w:rPr>
                  </w:pPr>
                  <w:r>
                    <w:rPr>
                      <w:rFonts w:hint="eastAsia" w:ascii="宋体" w:hAnsi="宋体" w:cs="宋体"/>
                      <w:b/>
                      <w:color w:val="0D0D0D"/>
                      <w:kern w:val="0"/>
                      <w:sz w:val="21"/>
                      <w:szCs w:val="21"/>
                      <w:lang w:val="en-US" w:eastAsia="zh-CN"/>
                    </w:rPr>
                    <w:t>产品类别</w:t>
                  </w:r>
                </w:p>
              </w:tc>
              <w:tc>
                <w:tcPr>
                  <w:tcW w:w="910" w:type="pct"/>
                  <w:vAlign w:val="center"/>
                </w:tcPr>
                <w:p>
                  <w:pPr>
                    <w:widowControl/>
                    <w:ind w:left="-105" w:leftChars="-50" w:right="-105" w:rightChars="-50"/>
                    <w:jc w:val="center"/>
                    <w:rPr>
                      <w:rFonts w:hint="eastAsia" w:ascii="宋体" w:hAnsi="宋体" w:eastAsia="宋体" w:cs="宋体"/>
                      <w:b/>
                      <w:color w:val="0D0D0D"/>
                      <w:kern w:val="0"/>
                      <w:sz w:val="21"/>
                      <w:szCs w:val="21"/>
                    </w:rPr>
                  </w:pPr>
                  <w:r>
                    <w:rPr>
                      <w:rFonts w:hint="eastAsia" w:ascii="宋体" w:hAnsi="宋体" w:eastAsia="宋体" w:cs="宋体"/>
                      <w:b/>
                      <w:color w:val="0D0D0D"/>
                      <w:kern w:val="0"/>
                      <w:sz w:val="21"/>
                      <w:szCs w:val="21"/>
                    </w:rPr>
                    <w:t>名称</w:t>
                  </w:r>
                </w:p>
              </w:tc>
              <w:tc>
                <w:tcPr>
                  <w:tcW w:w="999" w:type="pct"/>
                  <w:vAlign w:val="center"/>
                </w:tcPr>
                <w:p>
                  <w:pPr>
                    <w:widowControl/>
                    <w:ind w:left="-105" w:leftChars="-50" w:right="-105" w:rightChars="-50"/>
                    <w:jc w:val="center"/>
                    <w:rPr>
                      <w:rFonts w:hint="eastAsia" w:ascii="宋体" w:hAnsi="宋体" w:eastAsia="宋体" w:cs="宋体"/>
                      <w:b/>
                      <w:color w:val="0D0D0D"/>
                      <w:kern w:val="0"/>
                      <w:sz w:val="21"/>
                      <w:szCs w:val="21"/>
                    </w:rPr>
                  </w:pPr>
                  <w:r>
                    <w:rPr>
                      <w:rFonts w:hint="eastAsia" w:ascii="宋体" w:hAnsi="宋体" w:eastAsia="宋体" w:cs="宋体"/>
                      <w:b/>
                      <w:color w:val="0D0D0D"/>
                      <w:kern w:val="0"/>
                      <w:sz w:val="21"/>
                      <w:szCs w:val="21"/>
                    </w:rPr>
                    <w:t>年用量</w:t>
                  </w:r>
                </w:p>
              </w:tc>
              <w:tc>
                <w:tcPr>
                  <w:tcW w:w="855" w:type="pct"/>
                  <w:vAlign w:val="center"/>
                </w:tcPr>
                <w:p>
                  <w:pPr>
                    <w:widowControl/>
                    <w:ind w:left="-105" w:leftChars="-50" w:right="-105" w:rightChars="-50"/>
                    <w:jc w:val="center"/>
                    <w:rPr>
                      <w:rFonts w:hint="eastAsia" w:ascii="宋体" w:hAnsi="宋体" w:eastAsia="宋体" w:cs="宋体"/>
                      <w:b/>
                      <w:color w:val="0D0D0D"/>
                      <w:kern w:val="0"/>
                      <w:sz w:val="21"/>
                      <w:szCs w:val="21"/>
                      <w:lang w:val="en-US" w:eastAsia="zh-CN"/>
                    </w:rPr>
                  </w:pPr>
                  <w:r>
                    <w:rPr>
                      <w:rFonts w:hint="eastAsia" w:ascii="宋体" w:hAnsi="宋体" w:eastAsia="宋体" w:cs="宋体"/>
                      <w:b/>
                      <w:color w:val="0D0D0D"/>
                      <w:kern w:val="0"/>
                      <w:sz w:val="21"/>
                      <w:szCs w:val="21"/>
                      <w:lang w:val="en-US" w:eastAsia="zh-CN"/>
                    </w:rPr>
                    <w:t>单位</w:t>
                  </w:r>
                </w:p>
              </w:tc>
              <w:tc>
                <w:tcPr>
                  <w:tcW w:w="939" w:type="pct"/>
                  <w:vAlign w:val="center"/>
                </w:tcPr>
                <w:p>
                  <w:pPr>
                    <w:widowControl/>
                    <w:ind w:left="-105" w:leftChars="-50" w:right="-105" w:rightChars="-50"/>
                    <w:jc w:val="center"/>
                    <w:rPr>
                      <w:rFonts w:hint="eastAsia" w:ascii="宋体" w:hAnsi="宋体" w:eastAsia="宋体" w:cs="宋体"/>
                      <w:b/>
                      <w:color w:val="0D0D0D"/>
                      <w:kern w:val="0"/>
                      <w:sz w:val="21"/>
                      <w:szCs w:val="21"/>
                    </w:rPr>
                  </w:pPr>
                  <w:r>
                    <w:rPr>
                      <w:rFonts w:hint="eastAsia" w:ascii="宋体" w:hAnsi="宋体" w:eastAsia="宋体" w:cs="宋体"/>
                      <w:b/>
                      <w:color w:val="0D0D0D"/>
                      <w:kern w:val="0"/>
                      <w:sz w:val="21"/>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384"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1</w:t>
                  </w:r>
                </w:p>
              </w:tc>
              <w:tc>
                <w:tcPr>
                  <w:tcW w:w="910"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手套箱锁总成</w:t>
                  </w:r>
                </w:p>
              </w:tc>
              <w:tc>
                <w:tcPr>
                  <w:tcW w:w="910" w:type="pct"/>
                  <w:vAlign w:val="center"/>
                </w:tcPr>
                <w:p>
                  <w:pPr>
                    <w:adjustRightInd w:val="0"/>
                    <w:snapToGrid w:val="0"/>
                    <w:jc w:val="center"/>
                    <w:rPr>
                      <w:rFonts w:hint="eastAsia"/>
                      <w:color w:val="auto"/>
                      <w:sz w:val="21"/>
                      <w:szCs w:val="21"/>
                      <w:lang w:val="en-US" w:eastAsia="zh-CN"/>
                    </w:rPr>
                  </w:pPr>
                  <w:r>
                    <w:rPr>
                      <w:rFonts w:hint="eastAsia"/>
                      <w:color w:val="auto"/>
                      <w:sz w:val="21"/>
                      <w:szCs w:val="21"/>
                    </w:rPr>
                    <w:t>PC/ABS</w:t>
                  </w:r>
                </w:p>
              </w:tc>
              <w:tc>
                <w:tcPr>
                  <w:tcW w:w="999"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50811</w:t>
                  </w:r>
                </w:p>
              </w:tc>
              <w:tc>
                <w:tcPr>
                  <w:tcW w:w="855"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KG</w:t>
                  </w:r>
                </w:p>
              </w:tc>
              <w:tc>
                <w:tcPr>
                  <w:tcW w:w="939"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384"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2</w:t>
                  </w:r>
                </w:p>
              </w:tc>
              <w:tc>
                <w:tcPr>
                  <w:tcW w:w="910"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盖板</w:t>
                  </w:r>
                </w:p>
              </w:tc>
              <w:tc>
                <w:tcPr>
                  <w:tcW w:w="910" w:type="pct"/>
                  <w:vAlign w:val="center"/>
                </w:tcPr>
                <w:p>
                  <w:pPr>
                    <w:adjustRightInd w:val="0"/>
                    <w:snapToGrid w:val="0"/>
                    <w:jc w:val="center"/>
                    <w:rPr>
                      <w:rFonts w:hint="eastAsia"/>
                      <w:color w:val="auto"/>
                      <w:sz w:val="21"/>
                      <w:szCs w:val="21"/>
                      <w:lang w:val="en-US" w:eastAsia="zh-CN"/>
                    </w:rPr>
                  </w:pPr>
                  <w:r>
                    <w:rPr>
                      <w:rFonts w:hint="eastAsia"/>
                      <w:color w:val="auto"/>
                      <w:sz w:val="21"/>
                      <w:szCs w:val="21"/>
                      <w:lang w:val="en-US" w:eastAsia="zh-CN"/>
                    </w:rPr>
                    <w:t>ABS</w:t>
                  </w:r>
                </w:p>
              </w:tc>
              <w:tc>
                <w:tcPr>
                  <w:tcW w:w="999"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9647</w:t>
                  </w:r>
                </w:p>
              </w:tc>
              <w:tc>
                <w:tcPr>
                  <w:tcW w:w="855"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KG</w:t>
                  </w:r>
                </w:p>
              </w:tc>
              <w:tc>
                <w:tcPr>
                  <w:tcW w:w="939"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384"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3</w:t>
                  </w:r>
                </w:p>
              </w:tc>
              <w:tc>
                <w:tcPr>
                  <w:tcW w:w="910"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扶手滑轨总成</w:t>
                  </w:r>
                </w:p>
              </w:tc>
              <w:tc>
                <w:tcPr>
                  <w:tcW w:w="910" w:type="pct"/>
                  <w:vAlign w:val="center"/>
                </w:tcPr>
                <w:p>
                  <w:pPr>
                    <w:adjustRightInd w:val="0"/>
                    <w:snapToGrid w:val="0"/>
                    <w:jc w:val="center"/>
                    <w:rPr>
                      <w:rFonts w:hint="eastAsia"/>
                      <w:color w:val="auto"/>
                      <w:sz w:val="21"/>
                      <w:szCs w:val="21"/>
                      <w:lang w:val="en-US" w:eastAsia="zh-CN"/>
                    </w:rPr>
                  </w:pPr>
                  <w:r>
                    <w:rPr>
                      <w:rFonts w:hint="eastAsia"/>
                      <w:color w:val="auto"/>
                      <w:sz w:val="21"/>
                      <w:szCs w:val="21"/>
                    </w:rPr>
                    <w:t>PA6</w:t>
                  </w:r>
                  <w:r>
                    <w:rPr>
                      <w:rFonts w:hint="eastAsia"/>
                      <w:color w:val="auto"/>
                      <w:sz w:val="21"/>
                      <w:szCs w:val="21"/>
                      <w:lang w:val="en-US" w:eastAsia="zh-CN"/>
                    </w:rPr>
                    <w:t>+GF</w:t>
                  </w:r>
                </w:p>
              </w:tc>
              <w:tc>
                <w:tcPr>
                  <w:tcW w:w="999"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85499</w:t>
                  </w:r>
                </w:p>
              </w:tc>
              <w:tc>
                <w:tcPr>
                  <w:tcW w:w="855"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KG</w:t>
                  </w:r>
                </w:p>
              </w:tc>
              <w:tc>
                <w:tcPr>
                  <w:tcW w:w="939"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sz w:val="21"/>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384"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4</w:t>
                  </w:r>
                </w:p>
              </w:tc>
              <w:tc>
                <w:tcPr>
                  <w:tcW w:w="910"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安全带夹片</w:t>
                  </w:r>
                </w:p>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行李箱挂钩</w:t>
                  </w:r>
                </w:p>
              </w:tc>
              <w:tc>
                <w:tcPr>
                  <w:tcW w:w="910" w:type="pct"/>
                  <w:vAlign w:val="center"/>
                </w:tcPr>
                <w:p>
                  <w:pPr>
                    <w:adjustRightInd w:val="0"/>
                    <w:snapToGrid w:val="0"/>
                    <w:jc w:val="center"/>
                    <w:rPr>
                      <w:rFonts w:hint="eastAsia"/>
                      <w:color w:val="auto"/>
                      <w:sz w:val="21"/>
                      <w:szCs w:val="21"/>
                      <w:lang w:val="en-US" w:eastAsia="zh-CN"/>
                    </w:rPr>
                  </w:pPr>
                  <w:r>
                    <w:rPr>
                      <w:rFonts w:hint="eastAsia"/>
                      <w:color w:val="auto"/>
                      <w:sz w:val="21"/>
                      <w:szCs w:val="21"/>
                    </w:rPr>
                    <w:t>PA66</w:t>
                  </w:r>
                  <w:r>
                    <w:rPr>
                      <w:rFonts w:hint="eastAsia"/>
                      <w:color w:val="auto"/>
                      <w:sz w:val="21"/>
                      <w:szCs w:val="21"/>
                      <w:lang w:val="en-US" w:eastAsia="zh-CN"/>
                    </w:rPr>
                    <w:t>+</w:t>
                  </w:r>
                  <w:r>
                    <w:rPr>
                      <w:rFonts w:hint="eastAsia"/>
                      <w:color w:val="auto"/>
                      <w:sz w:val="21"/>
                      <w:szCs w:val="21"/>
                      <w:highlight w:val="none"/>
                      <w:lang w:val="en-US" w:eastAsia="zh-CN"/>
                    </w:rPr>
                    <w:t>GF</w:t>
                  </w:r>
                </w:p>
              </w:tc>
              <w:tc>
                <w:tcPr>
                  <w:tcW w:w="999"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8990</w:t>
                  </w:r>
                </w:p>
              </w:tc>
              <w:tc>
                <w:tcPr>
                  <w:tcW w:w="855"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KG</w:t>
                  </w:r>
                </w:p>
              </w:tc>
              <w:tc>
                <w:tcPr>
                  <w:tcW w:w="939"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sz w:val="21"/>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384"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5</w:t>
                  </w:r>
                </w:p>
              </w:tc>
              <w:tc>
                <w:tcPr>
                  <w:tcW w:w="910"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牌照固定螺母</w:t>
                  </w:r>
                </w:p>
              </w:tc>
              <w:tc>
                <w:tcPr>
                  <w:tcW w:w="910" w:type="pct"/>
                  <w:vAlign w:val="center"/>
                </w:tcPr>
                <w:p>
                  <w:pPr>
                    <w:adjustRightInd w:val="0"/>
                    <w:snapToGrid w:val="0"/>
                    <w:jc w:val="center"/>
                    <w:rPr>
                      <w:rFonts w:hint="eastAsia"/>
                      <w:color w:val="auto"/>
                      <w:sz w:val="21"/>
                      <w:szCs w:val="21"/>
                      <w:lang w:val="en-US" w:eastAsia="zh-CN"/>
                    </w:rPr>
                  </w:pPr>
                  <w:r>
                    <w:rPr>
                      <w:rFonts w:hint="eastAsia"/>
                      <w:color w:val="auto"/>
                      <w:sz w:val="21"/>
                      <w:szCs w:val="21"/>
                    </w:rPr>
                    <w:t>POM</w:t>
                  </w:r>
                </w:p>
              </w:tc>
              <w:tc>
                <w:tcPr>
                  <w:tcW w:w="999"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98764</w:t>
                  </w:r>
                </w:p>
              </w:tc>
              <w:tc>
                <w:tcPr>
                  <w:tcW w:w="855"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KG</w:t>
                  </w:r>
                </w:p>
              </w:tc>
              <w:tc>
                <w:tcPr>
                  <w:tcW w:w="939"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sz w:val="21"/>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384"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6</w:t>
                  </w:r>
                </w:p>
              </w:tc>
              <w:tc>
                <w:tcPr>
                  <w:tcW w:w="910"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盖板</w:t>
                  </w:r>
                </w:p>
              </w:tc>
              <w:tc>
                <w:tcPr>
                  <w:tcW w:w="910" w:type="pct"/>
                  <w:vAlign w:val="center"/>
                </w:tcPr>
                <w:p>
                  <w:pPr>
                    <w:adjustRightInd w:val="0"/>
                    <w:snapToGrid w:val="0"/>
                    <w:jc w:val="center"/>
                    <w:rPr>
                      <w:rFonts w:hint="eastAsia"/>
                      <w:color w:val="auto"/>
                      <w:sz w:val="21"/>
                      <w:szCs w:val="21"/>
                      <w:lang w:val="en-US" w:eastAsia="zh-CN"/>
                    </w:rPr>
                  </w:pPr>
                  <w:r>
                    <w:rPr>
                      <w:rFonts w:hint="eastAsia"/>
                      <w:color w:val="auto"/>
                      <w:sz w:val="21"/>
                      <w:szCs w:val="21"/>
                      <w:lang w:val="en-US" w:eastAsia="zh-CN"/>
                    </w:rPr>
                    <w:t>PMMA-H1</w:t>
                  </w:r>
                </w:p>
              </w:tc>
              <w:tc>
                <w:tcPr>
                  <w:tcW w:w="999"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228</w:t>
                  </w:r>
                </w:p>
              </w:tc>
              <w:tc>
                <w:tcPr>
                  <w:tcW w:w="855"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KG</w:t>
                  </w:r>
                </w:p>
              </w:tc>
              <w:tc>
                <w:tcPr>
                  <w:tcW w:w="939"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sz w:val="21"/>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384"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7</w:t>
                  </w:r>
                </w:p>
              </w:tc>
              <w:tc>
                <w:tcPr>
                  <w:tcW w:w="910"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手套箱锁总成</w:t>
                  </w:r>
                </w:p>
              </w:tc>
              <w:tc>
                <w:tcPr>
                  <w:tcW w:w="910" w:type="pct"/>
                  <w:vAlign w:val="center"/>
                </w:tcPr>
                <w:p>
                  <w:pPr>
                    <w:adjustRightInd w:val="0"/>
                    <w:snapToGrid w:val="0"/>
                    <w:jc w:val="center"/>
                    <w:rPr>
                      <w:rFonts w:hint="eastAsia"/>
                      <w:color w:val="auto"/>
                      <w:sz w:val="21"/>
                      <w:szCs w:val="21"/>
                      <w:lang w:val="en-US" w:eastAsia="zh-CN"/>
                    </w:rPr>
                  </w:pPr>
                  <w:r>
                    <w:rPr>
                      <w:rFonts w:hint="eastAsia"/>
                      <w:color w:val="auto"/>
                      <w:sz w:val="21"/>
                      <w:szCs w:val="21"/>
                      <w:lang w:val="en-US" w:eastAsia="zh-CN"/>
                    </w:rPr>
                    <w:t>PP</w:t>
                  </w:r>
                </w:p>
              </w:tc>
              <w:tc>
                <w:tcPr>
                  <w:tcW w:w="999"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27972</w:t>
                  </w:r>
                </w:p>
              </w:tc>
              <w:tc>
                <w:tcPr>
                  <w:tcW w:w="855"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KG</w:t>
                  </w:r>
                </w:p>
              </w:tc>
              <w:tc>
                <w:tcPr>
                  <w:tcW w:w="939"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sz w:val="21"/>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384"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8</w:t>
                  </w:r>
                </w:p>
              </w:tc>
              <w:tc>
                <w:tcPr>
                  <w:tcW w:w="910"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盖板</w:t>
                  </w:r>
                </w:p>
              </w:tc>
              <w:tc>
                <w:tcPr>
                  <w:tcW w:w="910" w:type="pct"/>
                  <w:vAlign w:val="center"/>
                </w:tcPr>
                <w:p>
                  <w:pPr>
                    <w:adjustRightInd w:val="0"/>
                    <w:snapToGrid w:val="0"/>
                    <w:jc w:val="center"/>
                    <w:rPr>
                      <w:rFonts w:hint="eastAsia"/>
                      <w:color w:val="auto"/>
                      <w:sz w:val="21"/>
                      <w:szCs w:val="21"/>
                      <w:lang w:val="en-US" w:eastAsia="zh-CN"/>
                    </w:rPr>
                  </w:pPr>
                  <w:r>
                    <w:rPr>
                      <w:rFonts w:hint="eastAsia"/>
                      <w:color w:val="auto"/>
                      <w:sz w:val="21"/>
                      <w:szCs w:val="21"/>
                      <w:lang w:val="en-US" w:eastAsia="zh-CN"/>
                    </w:rPr>
                    <w:t>ASA+PC</w:t>
                  </w:r>
                </w:p>
              </w:tc>
              <w:tc>
                <w:tcPr>
                  <w:tcW w:w="999"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1400</w:t>
                  </w:r>
                </w:p>
              </w:tc>
              <w:tc>
                <w:tcPr>
                  <w:tcW w:w="855"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KG</w:t>
                  </w:r>
                </w:p>
              </w:tc>
              <w:tc>
                <w:tcPr>
                  <w:tcW w:w="939" w:type="pct"/>
                  <w:vAlign w:val="center"/>
                </w:tcPr>
                <w:p>
                  <w:pPr>
                    <w:widowControl/>
                    <w:spacing w:line="240" w:lineRule="exact"/>
                    <w:ind w:left="-105" w:leftChars="-50" w:right="-105" w:rightChars="-5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384"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9</w:t>
                  </w:r>
                </w:p>
              </w:tc>
              <w:tc>
                <w:tcPr>
                  <w:tcW w:w="910"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盖板</w:t>
                  </w:r>
                </w:p>
              </w:tc>
              <w:tc>
                <w:tcPr>
                  <w:tcW w:w="910" w:type="pct"/>
                  <w:vAlign w:val="center"/>
                </w:tcPr>
                <w:p>
                  <w:pPr>
                    <w:adjustRightInd w:val="0"/>
                    <w:snapToGrid w:val="0"/>
                    <w:jc w:val="center"/>
                    <w:rPr>
                      <w:rFonts w:hint="eastAsia"/>
                      <w:color w:val="auto"/>
                      <w:sz w:val="21"/>
                      <w:szCs w:val="21"/>
                      <w:lang w:val="en-US" w:eastAsia="zh-CN"/>
                    </w:rPr>
                  </w:pPr>
                  <w:r>
                    <w:rPr>
                      <w:rFonts w:hint="eastAsia"/>
                      <w:color w:val="auto"/>
                      <w:sz w:val="21"/>
                      <w:szCs w:val="21"/>
                      <w:lang w:val="en-US" w:eastAsia="zh-CN"/>
                    </w:rPr>
                    <w:t>TPV</w:t>
                  </w:r>
                </w:p>
              </w:tc>
              <w:tc>
                <w:tcPr>
                  <w:tcW w:w="999"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19052</w:t>
                  </w:r>
                </w:p>
              </w:tc>
              <w:tc>
                <w:tcPr>
                  <w:tcW w:w="855"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KG</w:t>
                  </w:r>
                </w:p>
              </w:tc>
              <w:tc>
                <w:tcPr>
                  <w:tcW w:w="939" w:type="pct"/>
                  <w:vAlign w:val="center"/>
                </w:tcPr>
                <w:p>
                  <w:pPr>
                    <w:widowControl/>
                    <w:spacing w:line="240" w:lineRule="exact"/>
                    <w:ind w:left="-105" w:leftChars="-50" w:right="-105" w:rightChars="-5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384"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10</w:t>
                  </w:r>
                </w:p>
              </w:tc>
              <w:tc>
                <w:tcPr>
                  <w:tcW w:w="910"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移动支架总成</w:t>
                  </w:r>
                </w:p>
              </w:tc>
              <w:tc>
                <w:tcPr>
                  <w:tcW w:w="910" w:type="pct"/>
                  <w:vAlign w:val="center"/>
                </w:tcPr>
                <w:p>
                  <w:pPr>
                    <w:adjustRightInd w:val="0"/>
                    <w:snapToGrid w:val="0"/>
                    <w:jc w:val="center"/>
                    <w:rPr>
                      <w:rFonts w:hint="eastAsia"/>
                      <w:color w:val="auto"/>
                      <w:sz w:val="21"/>
                      <w:szCs w:val="21"/>
                      <w:lang w:val="en-US" w:eastAsia="zh-CN"/>
                    </w:rPr>
                  </w:pPr>
                  <w:r>
                    <w:rPr>
                      <w:rFonts w:hint="eastAsia"/>
                      <w:color w:val="auto"/>
                      <w:sz w:val="21"/>
                      <w:szCs w:val="21"/>
                      <w:lang w:val="en-US" w:eastAsia="zh-CN"/>
                    </w:rPr>
                    <w:t>PBT</w:t>
                  </w:r>
                </w:p>
              </w:tc>
              <w:tc>
                <w:tcPr>
                  <w:tcW w:w="999"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1945</w:t>
                  </w:r>
                </w:p>
              </w:tc>
              <w:tc>
                <w:tcPr>
                  <w:tcW w:w="855"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KG</w:t>
                  </w:r>
                </w:p>
              </w:tc>
              <w:tc>
                <w:tcPr>
                  <w:tcW w:w="939" w:type="pct"/>
                  <w:vAlign w:val="center"/>
                </w:tcPr>
                <w:p>
                  <w:pPr>
                    <w:widowControl/>
                    <w:spacing w:line="240" w:lineRule="exact"/>
                    <w:ind w:left="-105" w:leftChars="-50" w:right="-105" w:rightChars="-5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384"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11</w:t>
                  </w:r>
                </w:p>
              </w:tc>
              <w:tc>
                <w:tcPr>
                  <w:tcW w:w="910"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t>扶手滑轨总成</w:t>
                  </w:r>
                </w:p>
              </w:tc>
              <w:tc>
                <w:tcPr>
                  <w:tcW w:w="910" w:type="pct"/>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储油环</w:t>
                  </w:r>
                </w:p>
              </w:tc>
              <w:tc>
                <w:tcPr>
                  <w:tcW w:w="999"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621840</w:t>
                  </w:r>
                </w:p>
              </w:tc>
              <w:tc>
                <w:tcPr>
                  <w:tcW w:w="855" w:type="pct"/>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只</w:t>
                  </w:r>
                </w:p>
              </w:tc>
              <w:tc>
                <w:tcPr>
                  <w:tcW w:w="939" w:type="pct"/>
                  <w:vAlign w:val="center"/>
                </w:tcPr>
                <w:p>
                  <w:pPr>
                    <w:widowControl/>
                    <w:spacing w:line="240" w:lineRule="exact"/>
                    <w:ind w:left="-105" w:leftChars="-50" w:right="-105" w:rightChars="-5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exact"/>
                <w:jc w:val="center"/>
              </w:trPr>
              <w:tc>
                <w:tcPr>
                  <w:tcW w:w="384"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t>12</w:t>
                  </w:r>
                </w:p>
              </w:tc>
              <w:tc>
                <w:tcPr>
                  <w:tcW w:w="910"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t>包装</w:t>
                  </w:r>
                </w:p>
              </w:tc>
              <w:tc>
                <w:tcPr>
                  <w:tcW w:w="910" w:type="pct"/>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纸箱</w:t>
                  </w:r>
                </w:p>
              </w:tc>
              <w:tc>
                <w:tcPr>
                  <w:tcW w:w="999"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60000</w:t>
                  </w:r>
                </w:p>
              </w:tc>
              <w:tc>
                <w:tcPr>
                  <w:tcW w:w="855" w:type="pct"/>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rPr>
                    <w:t>个</w:t>
                  </w:r>
                </w:p>
              </w:tc>
              <w:tc>
                <w:tcPr>
                  <w:tcW w:w="939"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pPr>
                  <w:r>
                    <w:rPr>
                      <w:rFonts w:hint="eastAsia" w:ascii="宋体" w:hAnsi="宋体" w:eastAsia="宋体" w:cs="宋体"/>
                      <w:sz w:val="21"/>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9" w:hRule="exact"/>
                <w:jc w:val="center"/>
              </w:trPr>
              <w:tc>
                <w:tcPr>
                  <w:tcW w:w="384"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t>13</w:t>
                  </w:r>
                </w:p>
              </w:tc>
              <w:tc>
                <w:tcPr>
                  <w:tcW w:w="910" w:type="pct"/>
                  <w:vAlign w:val="center"/>
                </w:tcPr>
                <w:p>
                  <w:pPr>
                    <w:widowControl/>
                    <w:spacing w:line="240" w:lineRule="exact"/>
                    <w:ind w:left="-105" w:leftChars="-50" w:right="-105" w:rightChars="-50"/>
                    <w:jc w:val="center"/>
                    <w:rPr>
                      <w:rFonts w:hint="default"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lang w:val="en-US" w:eastAsia="zh-CN"/>
                      <w14:textFill>
                        <w14:solidFill>
                          <w14:schemeClr w14:val="tx1">
                            <w14:lumMod w14:val="95000"/>
                            <w14:lumOff w14:val="5000"/>
                          </w14:schemeClr>
                        </w14:solidFill>
                      </w14:textFill>
                    </w:rPr>
                    <w:t>机器维护</w:t>
                  </w:r>
                </w:p>
              </w:tc>
              <w:tc>
                <w:tcPr>
                  <w:tcW w:w="910" w:type="pct"/>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eastAsia="zh-CN"/>
                    </w:rPr>
                    <w:t>润滑油</w:t>
                  </w:r>
                </w:p>
              </w:tc>
              <w:tc>
                <w:tcPr>
                  <w:tcW w:w="999" w:type="pct"/>
                  <w:vAlign w:val="center"/>
                </w:tcPr>
                <w:p>
                  <w:pPr>
                    <w:widowControl/>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260</w:t>
                  </w:r>
                </w:p>
              </w:tc>
              <w:tc>
                <w:tcPr>
                  <w:tcW w:w="855" w:type="pct"/>
                  <w:vAlign w:val="center"/>
                </w:tcPr>
                <w:p>
                  <w:pPr>
                    <w:widowControl/>
                    <w:jc w:val="center"/>
                    <w:rPr>
                      <w:rFonts w:hint="eastAsia" w:ascii="宋体" w:hAnsi="宋体" w:eastAsia="宋体" w:cs="宋体"/>
                      <w:kern w:val="0"/>
                      <w:sz w:val="21"/>
                      <w:szCs w:val="21"/>
                      <w:lang w:val="en-US" w:eastAsia="zh-CN" w:bidi="ar-SA"/>
                    </w:rPr>
                  </w:pPr>
                  <w:r>
                    <w:rPr>
                      <w:rFonts w:hint="default" w:ascii="Times New Roman" w:hAnsi="Times New Roman" w:eastAsia="宋体" w:cs="Times New Roman"/>
                      <w:kern w:val="0"/>
                      <w:sz w:val="21"/>
                      <w:szCs w:val="21"/>
                      <w:lang w:val="en-US" w:eastAsia="zh-CN"/>
                    </w:rPr>
                    <w:t>KG</w:t>
                  </w:r>
                </w:p>
              </w:tc>
              <w:tc>
                <w:tcPr>
                  <w:tcW w:w="939" w:type="pct"/>
                  <w:vAlign w:val="center"/>
                </w:tcPr>
                <w:p>
                  <w:pPr>
                    <w:widowControl/>
                    <w:spacing w:line="240" w:lineRule="exact"/>
                    <w:ind w:left="-105" w:leftChars="-50" w:right="-105" w:rightChars="-50"/>
                    <w:jc w:val="center"/>
                    <w:rPr>
                      <w:rFonts w:hint="eastAsia" w:ascii="宋体" w:hAnsi="宋体" w:eastAsia="宋体" w:cs="宋体"/>
                      <w:color w:val="0D0D0D" w:themeColor="text1" w:themeTint="F2"/>
                      <w:kern w:val="0"/>
                      <w:sz w:val="21"/>
                      <w:szCs w:val="21"/>
                      <w14:textFill>
                        <w14:solidFill>
                          <w14:schemeClr w14:val="tx1">
                            <w14:lumMod w14:val="95000"/>
                            <w14:lumOff w14:val="5000"/>
                          </w14:schemeClr>
                        </w14:solidFill>
                      </w14:textFill>
                    </w:rPr>
                  </w:pPr>
                  <w:r>
                    <w:rPr>
                      <w:rFonts w:hint="eastAsia" w:ascii="宋体" w:hAnsi="宋体" w:eastAsia="宋体" w:cs="宋体"/>
                      <w:sz w:val="21"/>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9" w:hRule="exact"/>
                <w:jc w:val="center"/>
              </w:trPr>
              <w:tc>
                <w:tcPr>
                  <w:tcW w:w="384" w:type="pct"/>
                  <w:vAlign w:val="center"/>
                </w:tcPr>
                <w:p>
                  <w:pPr>
                    <w:widowControl/>
                    <w:spacing w:line="240" w:lineRule="exact"/>
                    <w:ind w:left="-105" w:leftChars="-50" w:right="-105" w:rightChars="-50"/>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rPr>
                    <w:t>14</w:t>
                  </w:r>
                </w:p>
              </w:tc>
              <w:tc>
                <w:tcPr>
                  <w:tcW w:w="910" w:type="pct"/>
                  <w:vMerge w:val="restart"/>
                  <w:vAlign w:val="center"/>
                </w:tcPr>
                <w:p>
                  <w:pPr>
                    <w:widowControl/>
                    <w:jc w:val="center"/>
                    <w:rPr>
                      <w:rFonts w:hint="default" w:ascii="宋体" w:hAnsi="宋体" w:eastAsia="宋体" w:cs="宋体"/>
                      <w:i w:val="0"/>
                      <w:iCs w:val="0"/>
                      <w:color w:val="auto"/>
                      <w:kern w:val="0"/>
                      <w:sz w:val="21"/>
                      <w:szCs w:val="21"/>
                      <w:u w:val="none"/>
                      <w:lang w:val="en-US" w:eastAsia="zh-CN" w:bidi="ar"/>
                    </w:rPr>
                  </w:pPr>
                  <w:r>
                    <w:rPr>
                      <w:rFonts w:hint="eastAsia" w:ascii="宋体" w:hAnsi="宋体" w:cs="宋体"/>
                      <w:i w:val="0"/>
                      <w:iCs w:val="0"/>
                      <w:color w:val="auto"/>
                      <w:kern w:val="0"/>
                      <w:sz w:val="21"/>
                      <w:szCs w:val="21"/>
                      <w:u w:val="none"/>
                      <w:lang w:val="en-US" w:eastAsia="zh-CN" w:bidi="ar"/>
                    </w:rPr>
                    <w:t>产品镶嵌零件</w:t>
                  </w:r>
                </w:p>
              </w:tc>
              <w:tc>
                <w:tcPr>
                  <w:tcW w:w="910" w:type="pct"/>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金属销轴</w:t>
                  </w:r>
                </w:p>
              </w:tc>
              <w:tc>
                <w:tcPr>
                  <w:tcW w:w="999" w:type="pct"/>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rPr>
                    <w:t>220</w:t>
                  </w:r>
                </w:p>
              </w:tc>
              <w:tc>
                <w:tcPr>
                  <w:tcW w:w="855" w:type="pct"/>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rPr>
                    <w:t>万个</w:t>
                  </w:r>
                </w:p>
              </w:tc>
              <w:tc>
                <w:tcPr>
                  <w:tcW w:w="939" w:type="pct"/>
                  <w:vAlign w:val="center"/>
                </w:tcPr>
                <w:p>
                  <w:pPr>
                    <w:widowControl/>
                    <w:spacing w:line="240" w:lineRule="exact"/>
                    <w:ind w:left="-105" w:leftChars="-50" w:right="-105" w:rightChars="-5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9" w:hRule="exact"/>
                <w:jc w:val="center"/>
              </w:trPr>
              <w:tc>
                <w:tcPr>
                  <w:tcW w:w="384" w:type="pct"/>
                  <w:vAlign w:val="center"/>
                </w:tcPr>
                <w:p>
                  <w:pPr>
                    <w:widowControl/>
                    <w:spacing w:line="240" w:lineRule="exact"/>
                    <w:ind w:left="-105" w:leftChars="-50" w:right="-105" w:rightChars="-50"/>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rPr>
                    <w:t>15</w:t>
                  </w:r>
                </w:p>
              </w:tc>
              <w:tc>
                <w:tcPr>
                  <w:tcW w:w="910" w:type="pct"/>
                  <w:vMerge w:val="continue"/>
                  <w:vAlign w:val="center"/>
                </w:tcPr>
                <w:p>
                  <w:pPr>
                    <w:widowControl/>
                    <w:jc w:val="center"/>
                    <w:rPr>
                      <w:rFonts w:hint="eastAsia" w:ascii="宋体" w:hAnsi="宋体" w:eastAsia="宋体" w:cs="宋体"/>
                      <w:i w:val="0"/>
                      <w:iCs w:val="0"/>
                      <w:color w:val="auto"/>
                      <w:kern w:val="0"/>
                      <w:sz w:val="21"/>
                      <w:szCs w:val="21"/>
                      <w:u w:val="none"/>
                      <w:lang w:val="en-US" w:eastAsia="zh-CN" w:bidi="ar"/>
                    </w:rPr>
                  </w:pPr>
                </w:p>
              </w:tc>
              <w:tc>
                <w:tcPr>
                  <w:tcW w:w="910" w:type="pct"/>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导轨杆</w:t>
                  </w:r>
                </w:p>
              </w:tc>
              <w:tc>
                <w:tcPr>
                  <w:tcW w:w="999" w:type="pct"/>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rPr>
                    <w:t>100</w:t>
                  </w:r>
                </w:p>
              </w:tc>
              <w:tc>
                <w:tcPr>
                  <w:tcW w:w="855" w:type="pct"/>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rPr>
                    <w:t>万个</w:t>
                  </w:r>
                </w:p>
              </w:tc>
              <w:tc>
                <w:tcPr>
                  <w:tcW w:w="939" w:type="pct"/>
                  <w:vAlign w:val="center"/>
                </w:tcPr>
                <w:p>
                  <w:pPr>
                    <w:widowControl/>
                    <w:spacing w:line="240" w:lineRule="exact"/>
                    <w:ind w:left="-105" w:leftChars="-50" w:right="-105" w:rightChars="-5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9" w:hRule="exact"/>
                <w:jc w:val="center"/>
              </w:trPr>
              <w:tc>
                <w:tcPr>
                  <w:tcW w:w="384" w:type="pct"/>
                  <w:vAlign w:val="center"/>
                </w:tcPr>
                <w:p>
                  <w:pPr>
                    <w:widowControl/>
                    <w:spacing w:line="240" w:lineRule="exact"/>
                    <w:ind w:left="-105" w:leftChars="-50" w:right="-105" w:rightChars="-50"/>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rPr>
                    <w:t>16</w:t>
                  </w:r>
                </w:p>
              </w:tc>
              <w:tc>
                <w:tcPr>
                  <w:tcW w:w="910" w:type="pct"/>
                  <w:vMerge w:val="continue"/>
                  <w:vAlign w:val="center"/>
                </w:tcPr>
                <w:p>
                  <w:pPr>
                    <w:widowControl/>
                    <w:jc w:val="center"/>
                    <w:rPr>
                      <w:rFonts w:hint="eastAsia" w:ascii="宋体" w:hAnsi="宋体" w:cs="宋体"/>
                      <w:color w:val="auto"/>
                      <w:kern w:val="0"/>
                      <w:sz w:val="21"/>
                      <w:szCs w:val="21"/>
                      <w:lang w:val="en-US" w:eastAsia="zh-CN"/>
                    </w:rPr>
                  </w:pPr>
                </w:p>
              </w:tc>
              <w:tc>
                <w:tcPr>
                  <w:tcW w:w="910" w:type="pct"/>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rPr>
                    <w:t>镁铝合金</w:t>
                  </w:r>
                </w:p>
              </w:tc>
              <w:tc>
                <w:tcPr>
                  <w:tcW w:w="999" w:type="pct"/>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rPr>
                    <w:t>80</w:t>
                  </w:r>
                </w:p>
              </w:tc>
              <w:tc>
                <w:tcPr>
                  <w:tcW w:w="855" w:type="pct"/>
                  <w:vAlign w:val="center"/>
                </w:tcPr>
                <w:p>
                  <w:pPr>
                    <w:widowControl/>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rPr>
                    <w:t>万个</w:t>
                  </w:r>
                </w:p>
              </w:tc>
              <w:tc>
                <w:tcPr>
                  <w:tcW w:w="939" w:type="pct"/>
                  <w:vAlign w:val="center"/>
                </w:tcPr>
                <w:p>
                  <w:pPr>
                    <w:widowControl/>
                    <w:spacing w:line="240" w:lineRule="exact"/>
                    <w:ind w:left="-105" w:leftChars="-50" w:right="-105" w:rightChars="-5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9" w:hRule="exact"/>
                <w:jc w:val="center"/>
              </w:trPr>
              <w:tc>
                <w:tcPr>
                  <w:tcW w:w="384" w:type="pct"/>
                  <w:vAlign w:val="center"/>
                </w:tcPr>
                <w:p>
                  <w:pPr>
                    <w:widowControl/>
                    <w:spacing w:line="240" w:lineRule="exact"/>
                    <w:ind w:left="-105" w:leftChars="-50" w:right="-105" w:rightChars="-50"/>
                    <w:jc w:val="center"/>
                    <w:rPr>
                      <w:rFonts w:hint="default" w:ascii="宋体" w:hAnsi="宋体" w:cs="宋体"/>
                      <w:color w:val="auto"/>
                      <w:kern w:val="0"/>
                      <w:sz w:val="21"/>
                      <w:szCs w:val="21"/>
                      <w:lang w:val="en-US" w:eastAsia="zh-CN"/>
                    </w:rPr>
                  </w:pPr>
                  <w:r>
                    <w:rPr>
                      <w:rFonts w:hint="eastAsia" w:ascii="宋体" w:hAnsi="宋体" w:cs="宋体"/>
                      <w:color w:val="auto"/>
                      <w:kern w:val="0"/>
                      <w:sz w:val="21"/>
                      <w:szCs w:val="21"/>
                      <w:lang w:val="en-US" w:eastAsia="zh-CN"/>
                    </w:rPr>
                    <w:t>17</w:t>
                  </w:r>
                </w:p>
              </w:tc>
              <w:tc>
                <w:tcPr>
                  <w:tcW w:w="910" w:type="pct"/>
                  <w:vMerge w:val="continue"/>
                  <w:vAlign w:val="center"/>
                </w:tcPr>
                <w:p>
                  <w:pPr>
                    <w:widowControl/>
                    <w:jc w:val="center"/>
                    <w:rPr>
                      <w:rFonts w:hint="eastAsia" w:ascii="宋体" w:hAnsi="宋体" w:cs="宋体"/>
                      <w:color w:val="auto"/>
                      <w:kern w:val="0"/>
                      <w:sz w:val="21"/>
                      <w:szCs w:val="21"/>
                      <w:lang w:val="en-US" w:eastAsia="zh-CN"/>
                    </w:rPr>
                  </w:pPr>
                </w:p>
              </w:tc>
              <w:tc>
                <w:tcPr>
                  <w:tcW w:w="910" w:type="pct"/>
                  <w:vAlign w:val="center"/>
                </w:tcPr>
                <w:p>
                  <w:pPr>
                    <w:widowControl/>
                    <w:jc w:val="center"/>
                    <w:rPr>
                      <w:rFonts w:hint="default" w:ascii="宋体" w:hAnsi="宋体" w:cs="宋体"/>
                      <w:color w:val="auto"/>
                      <w:kern w:val="0"/>
                      <w:sz w:val="21"/>
                      <w:szCs w:val="21"/>
                      <w:lang w:val="en-US" w:eastAsia="zh-CN"/>
                    </w:rPr>
                  </w:pPr>
                  <w:r>
                    <w:rPr>
                      <w:rFonts w:hint="eastAsia" w:ascii="宋体" w:hAnsi="宋体" w:cs="宋体"/>
                      <w:color w:val="auto"/>
                      <w:kern w:val="0"/>
                      <w:sz w:val="21"/>
                      <w:szCs w:val="21"/>
                      <w:lang w:val="en-US" w:eastAsia="zh-CN"/>
                    </w:rPr>
                    <w:t>铜螺母</w:t>
                  </w:r>
                </w:p>
              </w:tc>
              <w:tc>
                <w:tcPr>
                  <w:tcW w:w="999" w:type="pct"/>
                  <w:vAlign w:val="center"/>
                </w:tcPr>
                <w:p>
                  <w:pPr>
                    <w:widowControl/>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180</w:t>
                  </w:r>
                </w:p>
              </w:tc>
              <w:tc>
                <w:tcPr>
                  <w:tcW w:w="855" w:type="pct"/>
                  <w:vAlign w:val="center"/>
                </w:tcPr>
                <w:p>
                  <w:pPr>
                    <w:widowControl/>
                    <w:jc w:val="center"/>
                    <w:rPr>
                      <w:rFonts w:hint="eastAsia" w:cs="Times New Roman"/>
                      <w:color w:val="auto"/>
                      <w:kern w:val="0"/>
                      <w:sz w:val="21"/>
                      <w:szCs w:val="21"/>
                      <w:lang w:val="en-US" w:eastAsia="zh-CN"/>
                    </w:rPr>
                  </w:pPr>
                  <w:r>
                    <w:rPr>
                      <w:rFonts w:hint="eastAsia" w:cs="Times New Roman"/>
                      <w:color w:val="auto"/>
                      <w:kern w:val="0"/>
                      <w:sz w:val="21"/>
                      <w:szCs w:val="21"/>
                      <w:lang w:val="en-US" w:eastAsia="zh-CN"/>
                    </w:rPr>
                    <w:t>万个</w:t>
                  </w:r>
                </w:p>
              </w:tc>
              <w:tc>
                <w:tcPr>
                  <w:tcW w:w="939" w:type="pct"/>
                  <w:vAlign w:val="center"/>
                </w:tcPr>
                <w:p>
                  <w:pPr>
                    <w:widowControl/>
                    <w:spacing w:line="240" w:lineRule="exact"/>
                    <w:ind w:left="-105" w:leftChars="-50" w:right="-105" w:rightChars="-5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9" w:hRule="exact"/>
                <w:jc w:val="center"/>
              </w:trPr>
              <w:tc>
                <w:tcPr>
                  <w:tcW w:w="384" w:type="pct"/>
                  <w:vAlign w:val="center"/>
                </w:tcPr>
                <w:p>
                  <w:pPr>
                    <w:widowControl/>
                    <w:spacing w:line="240" w:lineRule="exact"/>
                    <w:ind w:left="-105" w:leftChars="-50" w:right="-105" w:rightChars="-50"/>
                    <w:jc w:val="center"/>
                    <w:rPr>
                      <w:rFonts w:hint="default" w:ascii="宋体" w:hAnsi="宋体" w:cs="宋体"/>
                      <w:color w:val="auto"/>
                      <w:kern w:val="0"/>
                      <w:sz w:val="21"/>
                      <w:szCs w:val="21"/>
                      <w:lang w:val="en-US" w:eastAsia="zh-CN"/>
                    </w:rPr>
                  </w:pPr>
                  <w:r>
                    <w:rPr>
                      <w:rFonts w:hint="eastAsia" w:ascii="宋体" w:hAnsi="宋体" w:cs="宋体"/>
                      <w:color w:val="auto"/>
                      <w:kern w:val="0"/>
                      <w:sz w:val="21"/>
                      <w:szCs w:val="21"/>
                      <w:lang w:val="en-US" w:eastAsia="zh-CN"/>
                    </w:rPr>
                    <w:t>18</w:t>
                  </w:r>
                </w:p>
              </w:tc>
              <w:tc>
                <w:tcPr>
                  <w:tcW w:w="910" w:type="pct"/>
                  <w:vMerge w:val="continue"/>
                  <w:vAlign w:val="center"/>
                </w:tcPr>
                <w:p>
                  <w:pPr>
                    <w:widowControl/>
                    <w:jc w:val="center"/>
                    <w:rPr>
                      <w:rFonts w:hint="eastAsia" w:ascii="宋体" w:hAnsi="宋体" w:cs="宋体"/>
                      <w:color w:val="auto"/>
                      <w:kern w:val="0"/>
                      <w:sz w:val="21"/>
                      <w:szCs w:val="21"/>
                      <w:lang w:val="en-US" w:eastAsia="zh-CN"/>
                    </w:rPr>
                  </w:pPr>
                </w:p>
              </w:tc>
              <w:tc>
                <w:tcPr>
                  <w:tcW w:w="910" w:type="pct"/>
                  <w:vAlign w:val="center"/>
                </w:tcPr>
                <w:p>
                  <w:pPr>
                    <w:widowControl/>
                    <w:jc w:val="center"/>
                    <w:rPr>
                      <w:rFonts w:hint="default" w:ascii="宋体" w:hAnsi="宋体" w:cs="宋体"/>
                      <w:color w:val="auto"/>
                      <w:kern w:val="0"/>
                      <w:sz w:val="21"/>
                      <w:szCs w:val="21"/>
                      <w:lang w:val="en-US" w:eastAsia="zh-CN"/>
                    </w:rPr>
                  </w:pPr>
                  <w:r>
                    <w:rPr>
                      <w:rFonts w:hint="eastAsia" w:ascii="宋体" w:hAnsi="宋体" w:cs="宋体"/>
                      <w:color w:val="auto"/>
                      <w:kern w:val="0"/>
                      <w:sz w:val="21"/>
                      <w:szCs w:val="21"/>
                      <w:lang w:val="en-US" w:eastAsia="zh-CN"/>
                    </w:rPr>
                    <w:t>夹片</w:t>
                  </w:r>
                </w:p>
              </w:tc>
              <w:tc>
                <w:tcPr>
                  <w:tcW w:w="999" w:type="pct"/>
                  <w:vAlign w:val="center"/>
                </w:tcPr>
                <w:p>
                  <w:pPr>
                    <w:widowControl/>
                    <w:jc w:val="center"/>
                    <w:rPr>
                      <w:rFonts w:hint="default" w:cs="Times New Roman"/>
                      <w:color w:val="auto"/>
                      <w:kern w:val="0"/>
                      <w:sz w:val="21"/>
                      <w:szCs w:val="21"/>
                      <w:lang w:val="en-US" w:eastAsia="zh-CN"/>
                    </w:rPr>
                  </w:pPr>
                  <w:r>
                    <w:rPr>
                      <w:rFonts w:hint="eastAsia" w:cs="Times New Roman"/>
                      <w:color w:val="auto"/>
                      <w:kern w:val="0"/>
                      <w:sz w:val="21"/>
                      <w:szCs w:val="21"/>
                      <w:lang w:val="en-US" w:eastAsia="zh-CN"/>
                    </w:rPr>
                    <w:t>120</w:t>
                  </w:r>
                </w:p>
              </w:tc>
              <w:tc>
                <w:tcPr>
                  <w:tcW w:w="855" w:type="pct"/>
                  <w:vAlign w:val="center"/>
                </w:tcPr>
                <w:p>
                  <w:pPr>
                    <w:widowControl/>
                    <w:jc w:val="center"/>
                    <w:rPr>
                      <w:rFonts w:hint="eastAsia" w:cs="Times New Roman"/>
                      <w:color w:val="auto"/>
                      <w:kern w:val="0"/>
                      <w:sz w:val="21"/>
                      <w:szCs w:val="21"/>
                      <w:lang w:val="en-US" w:eastAsia="zh-CN"/>
                    </w:rPr>
                  </w:pPr>
                  <w:r>
                    <w:rPr>
                      <w:rFonts w:hint="eastAsia" w:cs="Times New Roman"/>
                      <w:color w:val="auto"/>
                      <w:kern w:val="0"/>
                      <w:sz w:val="21"/>
                      <w:szCs w:val="21"/>
                      <w:lang w:val="en-US" w:eastAsia="zh-CN"/>
                    </w:rPr>
                    <w:t>万个</w:t>
                  </w:r>
                </w:p>
              </w:tc>
              <w:tc>
                <w:tcPr>
                  <w:tcW w:w="939" w:type="pct"/>
                  <w:vAlign w:val="center"/>
                </w:tcPr>
                <w:p>
                  <w:pPr>
                    <w:widowControl/>
                    <w:spacing w:line="240" w:lineRule="exact"/>
                    <w:ind w:left="-105" w:leftChars="-50" w:right="-105" w:rightChars="-5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rPr>
                    <w:t>外购</w:t>
                  </w:r>
                </w:p>
              </w:tc>
            </w:tr>
          </w:tbl>
          <w:p>
            <w:pPr>
              <w:tabs>
                <w:tab w:val="left" w:pos="4178"/>
              </w:tabs>
              <w:spacing w:before="74"/>
              <w:ind w:right="0"/>
              <w:jc w:val="center"/>
              <w:rPr>
                <w:b/>
                <w:sz w:val="12"/>
              </w:rPr>
            </w:pPr>
            <w:r>
              <w:rPr>
                <w:rFonts w:hint="eastAsia" w:ascii="宋体" w:hAnsi="宋体" w:eastAsia="宋体" w:cs="宋体"/>
                <w:b/>
                <w:bCs/>
                <w:sz w:val="24"/>
                <w:szCs w:val="24"/>
              </w:rPr>
              <w:t>表</w:t>
            </w:r>
            <w:r>
              <w:rPr>
                <w:rFonts w:hint="eastAsia" w:ascii="宋体" w:hAnsi="宋体" w:eastAsia="宋体" w:cs="宋体"/>
                <w:b/>
                <w:bCs/>
                <w:sz w:val="24"/>
                <w:szCs w:val="24"/>
                <w:lang w:val="en-US" w:eastAsia="zh-CN"/>
              </w:rPr>
              <w:t xml:space="preserve">2-7  </w:t>
            </w:r>
            <w:r>
              <w:rPr>
                <w:rFonts w:hint="eastAsia" w:ascii="宋体" w:hAnsi="宋体" w:eastAsia="宋体" w:cs="宋体"/>
                <w:b/>
                <w:bCs/>
                <w:sz w:val="24"/>
                <w:szCs w:val="24"/>
              </w:rPr>
              <w:t>原辅材料成分及理化</w:t>
            </w:r>
            <w:r>
              <w:rPr>
                <w:b/>
                <w:sz w:val="24"/>
              </w:rPr>
              <w:t>性质一览表</w:t>
            </w:r>
          </w:p>
          <w:tbl>
            <w:tblPr>
              <w:tblStyle w:val="58"/>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0" w:type="dxa"/>
                <w:bottom w:w="0" w:type="dxa"/>
                <w:right w:w="0" w:type="dxa"/>
              </w:tblCellMar>
            </w:tblPr>
            <w:tblGrid>
              <w:gridCol w:w="735"/>
              <w:gridCol w:w="1258"/>
              <w:gridCol w:w="1259"/>
              <w:gridCol w:w="444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 w:hRule="atLeast"/>
                <w:jc w:val="center"/>
              </w:trPr>
              <w:tc>
                <w:tcPr>
                  <w:tcW w:w="735" w:type="dxa"/>
                  <w:tcBorders>
                    <w:left w:val="nil"/>
                    <w:bottom w:val="single" w:color="000000" w:sz="4" w:space="0"/>
                    <w:right w:val="single" w:color="000000" w:sz="4" w:space="0"/>
                  </w:tcBorders>
                  <w:vAlign w:val="center"/>
                </w:tcPr>
                <w:p>
                  <w:pPr>
                    <w:pStyle w:val="218"/>
                    <w:spacing w:before="36"/>
                    <w:ind w:left="43" w:right="-15"/>
                    <w:jc w:val="center"/>
                    <w:rPr>
                      <w:b/>
                      <w:sz w:val="21"/>
                    </w:rPr>
                  </w:pPr>
                  <w:r>
                    <w:rPr>
                      <w:b/>
                      <w:sz w:val="21"/>
                    </w:rPr>
                    <w:t>序号</w:t>
                  </w:r>
                </w:p>
              </w:tc>
              <w:tc>
                <w:tcPr>
                  <w:tcW w:w="1258" w:type="dxa"/>
                  <w:tcBorders>
                    <w:left w:val="single" w:color="000000" w:sz="4" w:space="0"/>
                    <w:bottom w:val="single" w:color="000000" w:sz="4" w:space="0"/>
                    <w:right w:val="single" w:color="000000" w:sz="4" w:space="0"/>
                  </w:tcBorders>
                  <w:vAlign w:val="center"/>
                </w:tcPr>
                <w:p>
                  <w:pPr>
                    <w:pStyle w:val="218"/>
                    <w:spacing w:before="36"/>
                    <w:ind w:left="450"/>
                    <w:jc w:val="both"/>
                    <w:rPr>
                      <w:b/>
                      <w:sz w:val="21"/>
                    </w:rPr>
                  </w:pPr>
                  <w:r>
                    <w:rPr>
                      <w:b/>
                      <w:sz w:val="21"/>
                    </w:rPr>
                    <w:t>名称</w:t>
                  </w:r>
                </w:p>
              </w:tc>
              <w:tc>
                <w:tcPr>
                  <w:tcW w:w="1259" w:type="dxa"/>
                  <w:tcBorders>
                    <w:left w:val="single" w:color="000000" w:sz="4" w:space="0"/>
                    <w:bottom w:val="single" w:color="000000" w:sz="4" w:space="0"/>
                    <w:right w:val="single" w:color="000000" w:sz="4" w:space="0"/>
                  </w:tcBorders>
                  <w:vAlign w:val="center"/>
                </w:tcPr>
                <w:p>
                  <w:pPr>
                    <w:pStyle w:val="218"/>
                    <w:spacing w:before="36"/>
                    <w:ind w:left="154" w:right="126"/>
                    <w:jc w:val="center"/>
                    <w:rPr>
                      <w:b/>
                      <w:sz w:val="21"/>
                    </w:rPr>
                  </w:pPr>
                  <w:r>
                    <w:rPr>
                      <w:b/>
                      <w:sz w:val="21"/>
                    </w:rPr>
                    <w:t>主要成分</w:t>
                  </w:r>
                </w:p>
              </w:tc>
              <w:tc>
                <w:tcPr>
                  <w:tcW w:w="4440" w:type="dxa"/>
                  <w:tcBorders>
                    <w:left w:val="single" w:color="000000" w:sz="4" w:space="0"/>
                    <w:bottom w:val="single" w:color="000000" w:sz="4" w:space="0"/>
                    <w:right w:val="nil"/>
                  </w:tcBorders>
                  <w:vAlign w:val="center"/>
                </w:tcPr>
                <w:p>
                  <w:pPr>
                    <w:pStyle w:val="218"/>
                    <w:spacing w:before="36"/>
                    <w:ind w:left="110" w:right="89"/>
                    <w:jc w:val="center"/>
                    <w:rPr>
                      <w:b/>
                      <w:sz w:val="21"/>
                    </w:rPr>
                  </w:pPr>
                  <w:r>
                    <w:rPr>
                      <w:b/>
                      <w:sz w:val="21"/>
                    </w:rPr>
                    <w:t>理化性质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633" w:hRule="atLeast"/>
                <w:jc w:val="center"/>
              </w:trPr>
              <w:tc>
                <w:tcPr>
                  <w:tcW w:w="735" w:type="dxa"/>
                  <w:tcBorders>
                    <w:top w:val="single" w:color="000000" w:sz="4" w:space="0"/>
                    <w:left w:val="nil"/>
                    <w:bottom w:val="single" w:color="000000" w:sz="4" w:space="0"/>
                    <w:right w:val="single" w:color="000000" w:sz="4" w:space="0"/>
                  </w:tcBorders>
                  <w:vAlign w:val="center"/>
                </w:tcPr>
                <w:p>
                  <w:pPr>
                    <w:pStyle w:val="218"/>
                    <w:ind w:left="47"/>
                    <w:jc w:val="center"/>
                    <w:rPr>
                      <w:rFonts w:ascii="Times New Roman"/>
                      <w:sz w:val="21"/>
                    </w:rPr>
                  </w:pPr>
                  <w:r>
                    <w:rPr>
                      <w:rFonts w:ascii="Times New Roman"/>
                      <w:w w:val="100"/>
                      <w:sz w:val="21"/>
                    </w:rPr>
                    <w:t>1</w:t>
                  </w:r>
                </w:p>
              </w:tc>
              <w:tc>
                <w:tcPr>
                  <w:tcW w:w="1258" w:type="dxa"/>
                  <w:tcBorders>
                    <w:top w:val="single" w:color="000000" w:sz="4" w:space="0"/>
                    <w:left w:val="single" w:color="000000" w:sz="4" w:space="0"/>
                    <w:bottom w:val="single" w:color="000000" w:sz="4" w:space="0"/>
                    <w:right w:val="single" w:color="000000" w:sz="4" w:space="0"/>
                  </w:tcBorders>
                  <w:vAlign w:val="center"/>
                </w:tcPr>
                <w:p>
                  <w:pPr>
                    <w:pStyle w:val="218"/>
                    <w:ind w:right="192"/>
                    <w:jc w:val="center"/>
                    <w:rPr>
                      <w:sz w:val="21"/>
                    </w:rPr>
                  </w:pPr>
                  <w:r>
                    <w:rPr>
                      <w:rFonts w:ascii="Times New Roman" w:eastAsia="Times New Roman"/>
                      <w:sz w:val="21"/>
                    </w:rPr>
                    <w:t xml:space="preserve">ABS </w:t>
                  </w:r>
                  <w:r>
                    <w:rPr>
                      <w:sz w:val="21"/>
                    </w:rPr>
                    <w:t>粒子</w:t>
                  </w:r>
                </w:p>
              </w:tc>
              <w:tc>
                <w:tcPr>
                  <w:tcW w:w="1259" w:type="dxa"/>
                  <w:tcBorders>
                    <w:top w:val="single" w:color="000000" w:sz="4" w:space="0"/>
                    <w:left w:val="single" w:color="000000" w:sz="4" w:space="0"/>
                    <w:bottom w:val="single" w:color="000000" w:sz="4" w:space="0"/>
                    <w:right w:val="single" w:color="000000" w:sz="4" w:space="0"/>
                  </w:tcBorders>
                  <w:vAlign w:val="center"/>
                </w:tcPr>
                <w:p>
                  <w:pPr>
                    <w:pStyle w:val="218"/>
                    <w:ind w:left="138"/>
                    <w:rPr>
                      <w:sz w:val="21"/>
                    </w:rPr>
                  </w:pPr>
                  <w:r>
                    <w:rPr>
                      <w:sz w:val="21"/>
                    </w:rPr>
                    <w:t>丙烯腈</w:t>
                  </w:r>
                  <w:r>
                    <w:rPr>
                      <w:rFonts w:ascii="Times New Roman" w:eastAsia="Times New Roman"/>
                      <w:spacing w:val="-4"/>
                      <w:sz w:val="21"/>
                    </w:rPr>
                    <w:t>-</w:t>
                  </w:r>
                  <w:r>
                    <w:rPr>
                      <w:spacing w:val="-3"/>
                      <w:sz w:val="21"/>
                    </w:rPr>
                    <w:t>苯乙烯</w:t>
                  </w:r>
                  <w:r>
                    <w:rPr>
                      <w:rFonts w:ascii="Times New Roman" w:eastAsia="Times New Roman"/>
                      <w:spacing w:val="-4"/>
                      <w:sz w:val="21"/>
                    </w:rPr>
                    <w:t>-</w:t>
                  </w:r>
                  <w:r>
                    <w:rPr>
                      <w:spacing w:val="-1"/>
                      <w:sz w:val="21"/>
                    </w:rPr>
                    <w:t>丁二烯共聚物</w:t>
                  </w:r>
                </w:p>
              </w:tc>
              <w:tc>
                <w:tcPr>
                  <w:tcW w:w="4440" w:type="dxa"/>
                  <w:tcBorders>
                    <w:top w:val="single" w:color="000000" w:sz="4" w:space="0"/>
                    <w:left w:val="single" w:color="000000" w:sz="4" w:space="0"/>
                    <w:bottom w:val="single" w:color="000000" w:sz="4" w:space="0"/>
                    <w:right w:val="nil"/>
                  </w:tcBorders>
                  <w:vAlign w:val="center"/>
                </w:tcPr>
                <w:p>
                  <w:pPr>
                    <w:pStyle w:val="218"/>
                    <w:spacing w:before="3" w:line="242" w:lineRule="auto"/>
                    <w:ind w:left="115" w:right="-15" w:hanging="107"/>
                    <w:jc w:val="center"/>
                    <w:rPr>
                      <w:sz w:val="21"/>
                    </w:rPr>
                  </w:pPr>
                  <w:r>
                    <w:rPr>
                      <w:spacing w:val="-3"/>
                      <w:sz w:val="21"/>
                    </w:rPr>
                    <w:t>一种高强、韧性好、易于加工成型的热塑型树脂，常温</w:t>
                  </w:r>
                  <w:r>
                    <w:rPr>
                      <w:spacing w:val="-12"/>
                      <w:sz w:val="21"/>
                    </w:rPr>
                    <w:t xml:space="preserve">下为微黄色固体，密度 </w:t>
                  </w:r>
                  <w:r>
                    <w:rPr>
                      <w:rFonts w:ascii="Times New Roman" w:hAnsi="Times New Roman" w:eastAsia="Times New Roman"/>
                      <w:spacing w:val="-5"/>
                      <w:sz w:val="21"/>
                    </w:rPr>
                    <w:t>1.04~1.06g/cm</w:t>
                  </w:r>
                  <w:r>
                    <w:rPr>
                      <w:rFonts w:ascii="Times New Roman" w:hAnsi="Times New Roman" w:eastAsia="Times New Roman"/>
                      <w:spacing w:val="-5"/>
                      <w:sz w:val="21"/>
                      <w:vertAlign w:val="superscript"/>
                    </w:rPr>
                    <w:t>3</w:t>
                  </w:r>
                  <w:r>
                    <w:rPr>
                      <w:spacing w:val="-12"/>
                      <w:sz w:val="21"/>
                      <w:vertAlign w:val="baseline"/>
                    </w:rPr>
                    <w:t xml:space="preserve">，熔点 </w:t>
                  </w:r>
                  <w:r>
                    <w:rPr>
                      <w:rFonts w:ascii="Times New Roman" w:hAnsi="Times New Roman" w:eastAsia="Times New Roman"/>
                      <w:sz w:val="21"/>
                      <w:vertAlign w:val="baseline"/>
                    </w:rPr>
                    <w:t>200~240</w:t>
                  </w:r>
                  <w:r>
                    <w:rPr>
                      <w:sz w:val="21"/>
                      <w:vertAlign w:val="baseline"/>
                    </w:rPr>
                    <w:t xml:space="preserve">℃， </w:t>
                  </w:r>
                  <w:r>
                    <w:rPr>
                      <w:spacing w:val="-5"/>
                      <w:sz w:val="21"/>
                      <w:vertAlign w:val="baseline"/>
                    </w:rPr>
                    <w:t xml:space="preserve">分解温度大于 </w:t>
                  </w:r>
                  <w:r>
                    <w:rPr>
                      <w:rFonts w:ascii="Times New Roman" w:hAnsi="Times New Roman" w:eastAsia="Times New Roman"/>
                      <w:spacing w:val="-11"/>
                      <w:sz w:val="21"/>
                      <w:vertAlign w:val="baseline"/>
                    </w:rPr>
                    <w:t>270</w:t>
                  </w:r>
                  <w:r>
                    <w:rPr>
                      <w:spacing w:val="-15"/>
                      <w:sz w:val="21"/>
                      <w:vertAlign w:val="baseline"/>
                    </w:rPr>
                    <w:t>℃，化学性能稳定、无毒、无味，抗酸、</w:t>
                  </w:r>
                  <w:r>
                    <w:rPr>
                      <w:spacing w:val="-7"/>
                      <w:sz w:val="21"/>
                      <w:vertAlign w:val="baseline"/>
                    </w:rPr>
                    <w:t>碱、盐的腐蚀能力比较强，也可在一定程度上耐受有机溶剂溶解。具有很好的成型性，加工出的产品表面光洁，</w:t>
                  </w:r>
                </w:p>
                <w:p>
                  <w:pPr>
                    <w:pStyle w:val="218"/>
                    <w:spacing w:before="2" w:line="250" w:lineRule="exact"/>
                    <w:ind w:left="110" w:right="89"/>
                    <w:jc w:val="center"/>
                    <w:rPr>
                      <w:sz w:val="21"/>
                    </w:rPr>
                  </w:pPr>
                  <w:r>
                    <w:rPr>
                      <w:sz w:val="21"/>
                    </w:rPr>
                    <w:t>易于表面涂覆。</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8" w:hRule="atLeast"/>
                <w:jc w:val="center"/>
              </w:trPr>
              <w:tc>
                <w:tcPr>
                  <w:tcW w:w="735" w:type="dxa"/>
                  <w:tcBorders>
                    <w:top w:val="single" w:color="000000" w:sz="4" w:space="0"/>
                    <w:left w:val="nil"/>
                    <w:bottom w:val="single" w:color="000000" w:sz="4" w:space="0"/>
                    <w:right w:val="single" w:color="000000" w:sz="4" w:space="0"/>
                  </w:tcBorders>
                  <w:vAlign w:val="center"/>
                </w:tcPr>
                <w:p>
                  <w:pPr>
                    <w:pStyle w:val="218"/>
                    <w:spacing w:before="1"/>
                    <w:ind w:left="47"/>
                    <w:jc w:val="center"/>
                    <w:rPr>
                      <w:rFonts w:ascii="Times New Roman"/>
                      <w:sz w:val="21"/>
                    </w:rPr>
                  </w:pPr>
                  <w:r>
                    <w:rPr>
                      <w:rFonts w:ascii="Times New Roman"/>
                      <w:w w:val="100"/>
                      <w:sz w:val="21"/>
                    </w:rPr>
                    <w:t>2</w:t>
                  </w:r>
                </w:p>
              </w:tc>
              <w:tc>
                <w:tcPr>
                  <w:tcW w:w="1258" w:type="dxa"/>
                  <w:tcBorders>
                    <w:top w:val="single" w:color="000000" w:sz="4" w:space="0"/>
                    <w:left w:val="single" w:color="000000" w:sz="4" w:space="0"/>
                    <w:bottom w:val="single" w:color="000000" w:sz="4" w:space="0"/>
                    <w:right w:val="single" w:color="000000" w:sz="4" w:space="0"/>
                  </w:tcBorders>
                  <w:vAlign w:val="center"/>
                </w:tcPr>
                <w:p>
                  <w:pPr>
                    <w:pStyle w:val="218"/>
                    <w:ind w:right="166"/>
                    <w:jc w:val="center"/>
                    <w:rPr>
                      <w:sz w:val="21"/>
                    </w:rPr>
                  </w:pPr>
                  <w:r>
                    <w:rPr>
                      <w:rFonts w:ascii="Times New Roman" w:eastAsia="Times New Roman"/>
                      <w:sz w:val="21"/>
                    </w:rPr>
                    <w:t xml:space="preserve">POM </w:t>
                  </w:r>
                  <w:r>
                    <w:rPr>
                      <w:sz w:val="21"/>
                    </w:rPr>
                    <w:t>粒子</w:t>
                  </w:r>
                </w:p>
              </w:tc>
              <w:tc>
                <w:tcPr>
                  <w:tcW w:w="1259" w:type="dxa"/>
                  <w:tcBorders>
                    <w:top w:val="single" w:color="000000" w:sz="4" w:space="0"/>
                    <w:left w:val="single" w:color="000000" w:sz="4" w:space="0"/>
                    <w:bottom w:val="single" w:color="000000" w:sz="4" w:space="0"/>
                    <w:right w:val="single" w:color="000000" w:sz="4" w:space="0"/>
                  </w:tcBorders>
                  <w:vAlign w:val="center"/>
                </w:tcPr>
                <w:p>
                  <w:pPr>
                    <w:pStyle w:val="218"/>
                    <w:ind w:left="154" w:right="128"/>
                    <w:jc w:val="center"/>
                    <w:rPr>
                      <w:sz w:val="21"/>
                    </w:rPr>
                  </w:pPr>
                  <w:r>
                    <w:rPr>
                      <w:sz w:val="21"/>
                    </w:rPr>
                    <w:t>聚甲醛树脂</w:t>
                  </w:r>
                </w:p>
              </w:tc>
              <w:tc>
                <w:tcPr>
                  <w:tcW w:w="4440" w:type="dxa"/>
                  <w:tcBorders>
                    <w:top w:val="single" w:color="000000" w:sz="4" w:space="0"/>
                    <w:left w:val="single" w:color="000000" w:sz="4" w:space="0"/>
                    <w:bottom w:val="single" w:color="000000" w:sz="4" w:space="0"/>
                    <w:right w:val="nil"/>
                  </w:tcBorders>
                  <w:vAlign w:val="center"/>
                </w:tcPr>
                <w:p>
                  <w:pPr>
                    <w:pStyle w:val="218"/>
                    <w:spacing w:before="3" w:line="242" w:lineRule="auto"/>
                    <w:ind w:left="115" w:right="89"/>
                    <w:jc w:val="center"/>
                    <w:rPr>
                      <w:sz w:val="21"/>
                    </w:rPr>
                  </w:pPr>
                  <w:r>
                    <w:rPr>
                      <w:spacing w:val="-3"/>
                      <w:sz w:val="21"/>
                    </w:rPr>
                    <w:t>一种白色或黑色</w:t>
                  </w:r>
                  <w:r>
                    <w:fldChar w:fldCharType="begin"/>
                  </w:r>
                  <w:r>
                    <w:instrText xml:space="preserve"> HYPERLINK "https://baike.so.com/doc/1726633-1825430.html" \h </w:instrText>
                  </w:r>
                  <w:r>
                    <w:fldChar w:fldCharType="separate"/>
                  </w:r>
                  <w:r>
                    <w:rPr>
                      <w:spacing w:val="-3"/>
                      <w:sz w:val="21"/>
                    </w:rPr>
                    <w:t>塑料颗粒</w:t>
                  </w:r>
                  <w:r>
                    <w:rPr>
                      <w:spacing w:val="-3"/>
                      <w:sz w:val="21"/>
                    </w:rPr>
                    <w:fldChar w:fldCharType="end"/>
                  </w:r>
                  <w:r>
                    <w:rPr>
                      <w:spacing w:val="-19"/>
                      <w:sz w:val="21"/>
                    </w:rPr>
                    <w:t xml:space="preserve">，密度 </w:t>
                  </w:r>
                  <w:r>
                    <w:rPr>
                      <w:rFonts w:ascii="Times New Roman" w:hAnsi="Times New Roman" w:eastAsia="Times New Roman"/>
                      <w:sz w:val="21"/>
                    </w:rPr>
                    <w:t xml:space="preserve">1.41-1.43 </w:t>
                  </w:r>
                  <w:r>
                    <w:rPr>
                      <w:rFonts w:ascii="Times New Roman" w:hAnsi="Times New Roman" w:eastAsia="Times New Roman"/>
                      <w:spacing w:val="-6"/>
                      <w:sz w:val="21"/>
                    </w:rPr>
                    <w:t>g/cm</w:t>
                  </w:r>
                  <w:r>
                    <w:rPr>
                      <w:rFonts w:ascii="Times New Roman" w:hAnsi="Times New Roman" w:eastAsia="Times New Roman"/>
                      <w:spacing w:val="-6"/>
                      <w:sz w:val="21"/>
                      <w:vertAlign w:val="superscript"/>
                    </w:rPr>
                    <w:t>3</w:t>
                  </w:r>
                  <w:r>
                    <w:rPr>
                      <w:spacing w:val="-2"/>
                      <w:sz w:val="21"/>
                      <w:vertAlign w:val="baseline"/>
                    </w:rPr>
                    <w:t>，成型温</w:t>
                  </w:r>
                  <w:r>
                    <w:rPr>
                      <w:spacing w:val="-25"/>
                      <w:sz w:val="21"/>
                      <w:vertAlign w:val="baseline"/>
                    </w:rPr>
                    <w:t xml:space="preserve">度 </w:t>
                  </w:r>
                  <w:r>
                    <w:rPr>
                      <w:rFonts w:ascii="Times New Roman" w:hAnsi="Times New Roman" w:eastAsia="Times New Roman"/>
                      <w:sz w:val="21"/>
                      <w:vertAlign w:val="baseline"/>
                    </w:rPr>
                    <w:t>170-200</w:t>
                  </w:r>
                  <w:r>
                    <w:rPr>
                      <w:spacing w:val="-9"/>
                      <w:sz w:val="21"/>
                      <w:vertAlign w:val="baseline"/>
                    </w:rPr>
                    <w:t xml:space="preserve">℃，分解温度 </w:t>
                  </w:r>
                  <w:r>
                    <w:rPr>
                      <w:rFonts w:ascii="Times New Roman" w:hAnsi="Times New Roman" w:eastAsia="Times New Roman"/>
                      <w:sz w:val="21"/>
                      <w:vertAlign w:val="baseline"/>
                    </w:rPr>
                    <w:t>240</w:t>
                  </w:r>
                  <w:r>
                    <w:rPr>
                      <w:spacing w:val="-3"/>
                      <w:sz w:val="21"/>
                      <w:vertAlign w:val="baseline"/>
                    </w:rPr>
                    <w:t>℃，具有高硬度、高钢性、</w:t>
                  </w:r>
                  <w:r>
                    <w:rPr>
                      <w:sz w:val="21"/>
                    </w:rPr>
                    <w:t>高耐磨的特性。</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89" w:hRule="atLeast"/>
                <w:jc w:val="center"/>
              </w:trPr>
              <w:tc>
                <w:tcPr>
                  <w:tcW w:w="735" w:type="dxa"/>
                  <w:tcBorders>
                    <w:top w:val="single" w:color="000000" w:sz="4" w:space="0"/>
                    <w:left w:val="nil"/>
                    <w:bottom w:val="single" w:color="000000" w:sz="4" w:space="0"/>
                    <w:right w:val="single" w:color="000000" w:sz="4" w:space="0"/>
                  </w:tcBorders>
                  <w:vAlign w:val="center"/>
                </w:tcPr>
                <w:p>
                  <w:pPr>
                    <w:pStyle w:val="218"/>
                    <w:ind w:left="47"/>
                    <w:jc w:val="center"/>
                    <w:rPr>
                      <w:rFonts w:ascii="Times New Roman"/>
                      <w:sz w:val="21"/>
                    </w:rPr>
                  </w:pPr>
                  <w:r>
                    <w:rPr>
                      <w:rFonts w:ascii="Times New Roman"/>
                      <w:w w:val="100"/>
                      <w:sz w:val="21"/>
                    </w:rPr>
                    <w:t>3</w:t>
                  </w:r>
                </w:p>
              </w:tc>
              <w:tc>
                <w:tcPr>
                  <w:tcW w:w="1258" w:type="dxa"/>
                  <w:tcBorders>
                    <w:top w:val="single" w:color="000000" w:sz="4" w:space="0"/>
                    <w:left w:val="single" w:color="000000" w:sz="4" w:space="0"/>
                    <w:bottom w:val="single" w:color="000000" w:sz="4" w:space="0"/>
                    <w:right w:val="single" w:color="000000" w:sz="4" w:space="0"/>
                  </w:tcBorders>
                  <w:vAlign w:val="center"/>
                </w:tcPr>
                <w:p>
                  <w:pPr>
                    <w:pStyle w:val="218"/>
                    <w:spacing w:before="1"/>
                    <w:jc w:val="center"/>
                    <w:rPr>
                      <w:sz w:val="21"/>
                    </w:rPr>
                  </w:pPr>
                  <w:r>
                    <w:rPr>
                      <w:rFonts w:ascii="Times New Roman" w:eastAsia="Times New Roman"/>
                      <w:sz w:val="21"/>
                    </w:rPr>
                    <w:t xml:space="preserve">PC </w:t>
                  </w:r>
                  <w:r>
                    <w:rPr>
                      <w:sz w:val="21"/>
                    </w:rPr>
                    <w:t>粒子</w:t>
                  </w:r>
                </w:p>
              </w:tc>
              <w:tc>
                <w:tcPr>
                  <w:tcW w:w="1259" w:type="dxa"/>
                  <w:tcBorders>
                    <w:top w:val="single" w:color="000000" w:sz="4" w:space="0"/>
                    <w:left w:val="single" w:color="000000" w:sz="4" w:space="0"/>
                    <w:bottom w:val="single" w:color="000000" w:sz="4" w:space="0"/>
                    <w:right w:val="single" w:color="000000" w:sz="4" w:space="0"/>
                  </w:tcBorders>
                  <w:vAlign w:val="center"/>
                </w:tcPr>
                <w:p>
                  <w:pPr>
                    <w:pStyle w:val="218"/>
                    <w:spacing w:before="153"/>
                    <w:ind w:left="154" w:right="128"/>
                    <w:jc w:val="center"/>
                    <w:rPr>
                      <w:sz w:val="21"/>
                    </w:rPr>
                  </w:pPr>
                  <w:r>
                    <w:rPr>
                      <w:sz w:val="21"/>
                    </w:rPr>
                    <w:t>聚碳酸酯树脂</w:t>
                  </w:r>
                </w:p>
              </w:tc>
              <w:tc>
                <w:tcPr>
                  <w:tcW w:w="4440" w:type="dxa"/>
                  <w:tcBorders>
                    <w:top w:val="single" w:color="000000" w:sz="4" w:space="0"/>
                    <w:left w:val="single" w:color="000000" w:sz="4" w:space="0"/>
                    <w:bottom w:val="single" w:color="000000" w:sz="4" w:space="0"/>
                    <w:right w:val="nil"/>
                  </w:tcBorders>
                  <w:vAlign w:val="center"/>
                </w:tcPr>
                <w:p>
                  <w:pPr>
                    <w:pStyle w:val="218"/>
                    <w:spacing w:before="1" w:line="242" w:lineRule="auto"/>
                    <w:ind w:left="115" w:right="-15"/>
                    <w:rPr>
                      <w:sz w:val="21"/>
                    </w:rPr>
                  </w:pPr>
                  <w:r>
                    <w:rPr>
                      <w:spacing w:val="-16"/>
                      <w:sz w:val="21"/>
                    </w:rPr>
                    <w:t>一种强韧的热塑性树脂，无色透明。密度</w:t>
                  </w:r>
                  <w:r>
                    <w:rPr>
                      <w:rFonts w:ascii="Times New Roman" w:hAnsi="Times New Roman" w:eastAsia="Times New Roman"/>
                      <w:sz w:val="21"/>
                    </w:rPr>
                    <w:t>:1.18-1.22</w:t>
                  </w:r>
                  <w:r>
                    <w:rPr>
                      <w:rFonts w:ascii="Times New Roman" w:hAnsi="Times New Roman" w:eastAsia="Times New Roman"/>
                      <w:spacing w:val="8"/>
                      <w:sz w:val="21"/>
                    </w:rPr>
                    <w:t xml:space="preserve"> </w:t>
                  </w:r>
                  <w:r>
                    <w:rPr>
                      <w:rFonts w:ascii="Times New Roman" w:hAnsi="Times New Roman" w:eastAsia="Times New Roman"/>
                      <w:sz w:val="21"/>
                    </w:rPr>
                    <w:t>g/cm</w:t>
                  </w:r>
                  <w:r>
                    <w:rPr>
                      <w:rFonts w:ascii="Times New Roman" w:hAnsi="Times New Roman" w:eastAsia="Times New Roman"/>
                      <w:sz w:val="21"/>
                      <w:vertAlign w:val="superscript"/>
                    </w:rPr>
                    <w:t>3</w:t>
                  </w:r>
                  <w:r>
                    <w:rPr>
                      <w:sz w:val="21"/>
                      <w:vertAlign w:val="baseline"/>
                    </w:rPr>
                    <w:t xml:space="preserve">， </w:t>
                  </w:r>
                  <w:r>
                    <w:rPr>
                      <w:spacing w:val="-15"/>
                      <w:sz w:val="21"/>
                      <w:vertAlign w:val="baseline"/>
                    </w:rPr>
                    <w:t xml:space="preserve">熔点 </w:t>
                  </w:r>
                  <w:r>
                    <w:rPr>
                      <w:rFonts w:ascii="Times New Roman" w:hAnsi="Times New Roman" w:eastAsia="Times New Roman"/>
                      <w:spacing w:val="-3"/>
                      <w:sz w:val="21"/>
                      <w:vertAlign w:val="baseline"/>
                    </w:rPr>
                    <w:t>220~230</w:t>
                  </w:r>
                  <w:r>
                    <w:rPr>
                      <w:spacing w:val="-3"/>
                      <w:sz w:val="21"/>
                      <w:vertAlign w:val="baseline"/>
                    </w:rPr>
                    <w:t>℃，热变形温度</w:t>
                  </w:r>
                  <w:r>
                    <w:rPr>
                      <w:rFonts w:ascii="Times New Roman" w:hAnsi="Times New Roman" w:eastAsia="Times New Roman"/>
                      <w:spacing w:val="-3"/>
                      <w:sz w:val="21"/>
                      <w:vertAlign w:val="baseline"/>
                    </w:rPr>
                    <w:t>:135°C</w:t>
                  </w:r>
                  <w:r>
                    <w:rPr>
                      <w:spacing w:val="-7"/>
                      <w:sz w:val="21"/>
                      <w:vertAlign w:val="baseline"/>
                    </w:rPr>
                    <w:t>，耐热、耐磨、抗氧</w:t>
                  </w:r>
                  <w:r>
                    <w:rPr>
                      <w:spacing w:val="1"/>
                      <w:sz w:val="21"/>
                      <w:vertAlign w:val="baseline"/>
                    </w:rPr>
                    <w:t>化、抗冲击，阻燃</w:t>
                  </w:r>
                  <w:r>
                    <w:rPr>
                      <w:rFonts w:ascii="Times New Roman" w:hAnsi="Times New Roman" w:eastAsia="Times New Roman"/>
                      <w:sz w:val="21"/>
                      <w:vertAlign w:val="baseline"/>
                    </w:rPr>
                    <w:t>BI</w:t>
                  </w:r>
                  <w:r>
                    <w:rPr>
                      <w:rFonts w:ascii="Times New Roman" w:hAnsi="Times New Roman" w:eastAsia="Times New Roman"/>
                      <w:spacing w:val="5"/>
                      <w:sz w:val="21"/>
                      <w:vertAlign w:val="baseline"/>
                    </w:rPr>
                    <w:t xml:space="preserve"> </w:t>
                  </w:r>
                  <w:r>
                    <w:rPr>
                      <w:spacing w:val="-4"/>
                      <w:sz w:val="21"/>
                      <w:vertAlign w:val="baseline"/>
                    </w:rPr>
                    <w:t>级，加工性能好，长期暴露于紫外</w:t>
                  </w:r>
                  <w:r>
                    <w:rPr>
                      <w:sz w:val="21"/>
                    </w:rPr>
                    <w:t>线中会发黄，容易受某些有机溶剂的侵蚀。</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8" w:hRule="atLeast"/>
                <w:jc w:val="center"/>
              </w:trPr>
              <w:tc>
                <w:tcPr>
                  <w:tcW w:w="735" w:type="dxa"/>
                  <w:tcBorders>
                    <w:top w:val="single" w:color="000000" w:sz="4" w:space="0"/>
                    <w:left w:val="nil"/>
                    <w:bottom w:val="single" w:color="000000" w:sz="4" w:space="0"/>
                    <w:right w:val="single" w:color="000000" w:sz="4" w:space="0"/>
                  </w:tcBorders>
                  <w:vAlign w:val="center"/>
                </w:tcPr>
                <w:p>
                  <w:pPr>
                    <w:pStyle w:val="218"/>
                    <w:ind w:left="47"/>
                    <w:jc w:val="center"/>
                    <w:rPr>
                      <w:rFonts w:ascii="Times New Roman"/>
                      <w:sz w:val="21"/>
                    </w:rPr>
                  </w:pPr>
                  <w:r>
                    <w:rPr>
                      <w:rFonts w:ascii="Times New Roman"/>
                      <w:w w:val="100"/>
                      <w:sz w:val="21"/>
                    </w:rPr>
                    <w:t>4</w:t>
                  </w:r>
                </w:p>
              </w:tc>
              <w:tc>
                <w:tcPr>
                  <w:tcW w:w="1258" w:type="dxa"/>
                  <w:tcBorders>
                    <w:top w:val="single" w:color="000000" w:sz="4" w:space="0"/>
                    <w:left w:val="single" w:color="000000" w:sz="4" w:space="0"/>
                    <w:bottom w:val="single" w:color="000000" w:sz="4" w:space="0"/>
                    <w:right w:val="single" w:color="000000" w:sz="4" w:space="0"/>
                  </w:tcBorders>
                  <w:vAlign w:val="center"/>
                </w:tcPr>
                <w:p>
                  <w:pPr>
                    <w:pStyle w:val="218"/>
                    <w:jc w:val="center"/>
                    <w:rPr>
                      <w:sz w:val="21"/>
                    </w:rPr>
                  </w:pPr>
                  <w:r>
                    <w:rPr>
                      <w:rFonts w:ascii="Times New Roman" w:eastAsia="Times New Roman"/>
                      <w:sz w:val="21"/>
                    </w:rPr>
                    <w:t xml:space="preserve">PP </w:t>
                  </w:r>
                  <w:r>
                    <w:rPr>
                      <w:sz w:val="21"/>
                    </w:rPr>
                    <w:t>粒子</w:t>
                  </w:r>
                </w:p>
              </w:tc>
              <w:tc>
                <w:tcPr>
                  <w:tcW w:w="1259" w:type="dxa"/>
                  <w:tcBorders>
                    <w:top w:val="single" w:color="000000" w:sz="4" w:space="0"/>
                    <w:left w:val="single" w:color="000000" w:sz="4" w:space="0"/>
                    <w:bottom w:val="single" w:color="000000" w:sz="4" w:space="0"/>
                    <w:right w:val="single" w:color="000000" w:sz="4" w:space="0"/>
                  </w:tcBorders>
                  <w:vAlign w:val="center"/>
                </w:tcPr>
                <w:p>
                  <w:pPr>
                    <w:pStyle w:val="218"/>
                    <w:ind w:left="154" w:right="128"/>
                    <w:jc w:val="center"/>
                    <w:rPr>
                      <w:sz w:val="21"/>
                    </w:rPr>
                  </w:pPr>
                  <w:r>
                    <w:rPr>
                      <w:sz w:val="21"/>
                    </w:rPr>
                    <w:t>聚丙烯树脂</w:t>
                  </w:r>
                </w:p>
              </w:tc>
              <w:tc>
                <w:tcPr>
                  <w:tcW w:w="4440" w:type="dxa"/>
                  <w:tcBorders>
                    <w:top w:val="single" w:color="000000" w:sz="4" w:space="0"/>
                    <w:left w:val="single" w:color="000000" w:sz="4" w:space="0"/>
                    <w:bottom w:val="single" w:color="000000" w:sz="4" w:space="0"/>
                    <w:right w:val="nil"/>
                  </w:tcBorders>
                  <w:vAlign w:val="center"/>
                </w:tcPr>
                <w:p>
                  <w:pPr>
                    <w:pStyle w:val="218"/>
                    <w:spacing w:before="1"/>
                    <w:ind w:left="115" w:firstLine="43"/>
                    <w:rPr>
                      <w:sz w:val="21"/>
                    </w:rPr>
                  </w:pPr>
                  <w:r>
                    <w:rPr>
                      <w:sz w:val="21"/>
                    </w:rPr>
                    <w:t xml:space="preserve">是由丙烯聚合而制得的一种热塑性树脂。无毒、无臭、无味，密度为 </w:t>
                  </w:r>
                  <w:r>
                    <w:rPr>
                      <w:rFonts w:ascii="Times New Roman" w:hAnsi="Times New Roman" w:eastAsia="Times New Roman"/>
                      <w:sz w:val="21"/>
                    </w:rPr>
                    <w:t>0.90-0.91g/cm</w:t>
                  </w:r>
                  <w:r>
                    <w:rPr>
                      <w:rFonts w:ascii="Times New Roman" w:hAnsi="Times New Roman" w:eastAsia="Times New Roman"/>
                      <w:sz w:val="21"/>
                      <w:vertAlign w:val="superscript"/>
                    </w:rPr>
                    <w:t>3</w:t>
                  </w:r>
                  <w:r>
                    <w:rPr>
                      <w:sz w:val="21"/>
                      <w:vertAlign w:val="baseline"/>
                    </w:rPr>
                    <w:t xml:space="preserve">，具有良好的耐热性，熔融温度约为 </w:t>
                  </w:r>
                  <w:r>
                    <w:rPr>
                      <w:rFonts w:ascii="Times New Roman" w:hAnsi="Times New Roman" w:eastAsia="Times New Roman"/>
                      <w:sz w:val="21"/>
                      <w:vertAlign w:val="baseline"/>
                    </w:rPr>
                    <w:t>164~170</w:t>
                  </w:r>
                  <w:r>
                    <w:rPr>
                      <w:sz w:val="21"/>
                      <w:vertAlign w:val="baseline"/>
                    </w:rPr>
                    <w:t xml:space="preserve">℃，热分解温度约 </w:t>
                  </w:r>
                  <w:r>
                    <w:rPr>
                      <w:rFonts w:ascii="Times New Roman" w:hAnsi="Times New Roman" w:eastAsia="Times New Roman"/>
                      <w:sz w:val="21"/>
                      <w:vertAlign w:val="baseline"/>
                    </w:rPr>
                    <w:t>360</w:t>
                  </w:r>
                  <w:r>
                    <w:rPr>
                      <w:sz w:val="21"/>
                      <w:vertAlign w:val="baseli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89" w:hRule="atLeast"/>
                <w:jc w:val="center"/>
              </w:trPr>
              <w:tc>
                <w:tcPr>
                  <w:tcW w:w="735" w:type="dxa"/>
                  <w:tcBorders>
                    <w:top w:val="single" w:color="000000" w:sz="4" w:space="0"/>
                    <w:left w:val="nil"/>
                    <w:bottom w:val="single" w:color="000000" w:sz="4" w:space="0"/>
                    <w:right w:val="single" w:color="000000" w:sz="4" w:space="0"/>
                  </w:tcBorders>
                  <w:vAlign w:val="center"/>
                </w:tcPr>
                <w:p>
                  <w:pPr>
                    <w:pStyle w:val="218"/>
                    <w:ind w:left="47"/>
                    <w:jc w:val="center"/>
                    <w:rPr>
                      <w:rFonts w:ascii="Times New Roman"/>
                      <w:sz w:val="21"/>
                    </w:rPr>
                  </w:pPr>
                  <w:r>
                    <w:rPr>
                      <w:rFonts w:ascii="Times New Roman"/>
                      <w:w w:val="100"/>
                      <w:sz w:val="21"/>
                    </w:rPr>
                    <w:t>5</w:t>
                  </w:r>
                </w:p>
              </w:tc>
              <w:tc>
                <w:tcPr>
                  <w:tcW w:w="1258" w:type="dxa"/>
                  <w:tcBorders>
                    <w:top w:val="single" w:color="000000" w:sz="4" w:space="0"/>
                    <w:left w:val="single" w:color="000000" w:sz="4" w:space="0"/>
                    <w:bottom w:val="single" w:color="000000" w:sz="4" w:space="0"/>
                    <w:right w:val="single" w:color="000000" w:sz="4" w:space="0"/>
                  </w:tcBorders>
                  <w:vAlign w:val="center"/>
                </w:tcPr>
                <w:p>
                  <w:pPr>
                    <w:pStyle w:val="218"/>
                    <w:spacing w:before="1"/>
                    <w:jc w:val="center"/>
                    <w:rPr>
                      <w:sz w:val="21"/>
                    </w:rPr>
                  </w:pPr>
                  <w:r>
                    <w:rPr>
                      <w:rFonts w:ascii="Times New Roman" w:eastAsia="Times New Roman"/>
                      <w:color w:val="auto"/>
                      <w:sz w:val="21"/>
                    </w:rPr>
                    <w:t>P</w:t>
                  </w:r>
                  <w:r>
                    <w:rPr>
                      <w:rFonts w:hint="eastAsia" w:ascii="Times New Roman" w:eastAsia="宋体"/>
                      <w:color w:val="auto"/>
                      <w:sz w:val="21"/>
                      <w:lang w:val="en-US" w:eastAsia="zh-CN"/>
                    </w:rPr>
                    <w:t>MMA</w:t>
                  </w:r>
                  <w:r>
                    <w:rPr>
                      <w:rFonts w:ascii="Times New Roman" w:eastAsia="Times New Roman"/>
                      <w:color w:val="auto"/>
                      <w:sz w:val="21"/>
                    </w:rPr>
                    <w:t xml:space="preserve"> </w:t>
                  </w:r>
                  <w:r>
                    <w:rPr>
                      <w:color w:val="auto"/>
                      <w:sz w:val="21"/>
                    </w:rPr>
                    <w:t>粒子</w:t>
                  </w:r>
                </w:p>
              </w:tc>
              <w:tc>
                <w:tcPr>
                  <w:tcW w:w="1259" w:type="dxa"/>
                  <w:tcBorders>
                    <w:top w:val="single" w:color="000000" w:sz="4" w:space="0"/>
                    <w:left w:val="single" w:color="000000" w:sz="4" w:space="0"/>
                    <w:bottom w:val="single" w:color="000000" w:sz="4" w:space="0"/>
                    <w:right w:val="single" w:color="000000" w:sz="4" w:space="0"/>
                  </w:tcBorders>
                  <w:vAlign w:val="center"/>
                </w:tcPr>
                <w:p>
                  <w:pPr>
                    <w:pStyle w:val="218"/>
                    <w:spacing w:before="153"/>
                    <w:ind w:left="151" w:right="128"/>
                    <w:jc w:val="center"/>
                    <w:rPr>
                      <w:sz w:val="21"/>
                    </w:rPr>
                  </w:pPr>
                  <w:r>
                    <w:rPr>
                      <w:rFonts w:hint="eastAsia"/>
                      <w:sz w:val="21"/>
                    </w:rPr>
                    <w:t>聚甲基丙烯酸甲酯</w:t>
                  </w:r>
                </w:p>
              </w:tc>
              <w:tc>
                <w:tcPr>
                  <w:tcW w:w="4440" w:type="dxa"/>
                  <w:tcBorders>
                    <w:top w:val="single" w:color="000000" w:sz="4" w:space="0"/>
                    <w:left w:val="single" w:color="000000" w:sz="4" w:space="0"/>
                    <w:bottom w:val="single" w:color="000000" w:sz="4" w:space="0"/>
                    <w:right w:val="nil"/>
                  </w:tcBorders>
                  <w:vAlign w:val="center"/>
                </w:tcPr>
                <w:p>
                  <w:pPr>
                    <w:pStyle w:val="218"/>
                    <w:spacing w:before="1" w:line="242" w:lineRule="auto"/>
                    <w:ind w:right="-15"/>
                    <w:jc w:val="both"/>
                    <w:rPr>
                      <w:rFonts w:hint="default" w:eastAsia="宋体"/>
                      <w:sz w:val="21"/>
                      <w:lang w:val="en-US" w:eastAsia="zh-CN"/>
                    </w:rPr>
                  </w:pPr>
                  <w:r>
                    <w:rPr>
                      <w:rFonts w:hint="eastAsia"/>
                      <w:sz w:val="21"/>
                      <w:lang w:val="en-US" w:eastAsia="zh-CN"/>
                    </w:rPr>
                    <w:t>非晶体聚合物，92%光线穿透率，热变性温度102℃</w:t>
                  </w:r>
                  <w:r>
                    <w:rPr>
                      <w:sz w:val="21"/>
                    </w:rPr>
                    <w:t>。</w:t>
                  </w:r>
                  <w:r>
                    <w:rPr>
                      <w:rFonts w:hint="eastAsia"/>
                      <w:sz w:val="21"/>
                      <w:lang w:val="en-US" w:eastAsia="zh-CN"/>
                    </w:rPr>
                    <w:t>高光学透明性、耐候性佳、耐刚性、易染色。用作窗玻璃、标示牌、光学透镜、汽车零件。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89" w:hRule="atLeast"/>
                <w:jc w:val="center"/>
              </w:trPr>
              <w:tc>
                <w:tcPr>
                  <w:tcW w:w="735" w:type="dxa"/>
                  <w:tcBorders>
                    <w:top w:val="single" w:color="000000" w:sz="4" w:space="0"/>
                    <w:left w:val="nil"/>
                    <w:bottom w:val="single" w:color="000000" w:sz="4" w:space="0"/>
                    <w:right w:val="single" w:color="000000" w:sz="4" w:space="0"/>
                  </w:tcBorders>
                  <w:vAlign w:val="center"/>
                </w:tcPr>
                <w:p>
                  <w:pPr>
                    <w:pStyle w:val="218"/>
                    <w:ind w:left="47"/>
                    <w:jc w:val="center"/>
                    <w:rPr>
                      <w:rFonts w:ascii="Times New Roman"/>
                      <w:sz w:val="21"/>
                    </w:rPr>
                  </w:pPr>
                  <w:r>
                    <w:rPr>
                      <w:rFonts w:ascii="Times New Roman"/>
                      <w:w w:val="100"/>
                      <w:sz w:val="21"/>
                    </w:rPr>
                    <w:t>6</w:t>
                  </w:r>
                </w:p>
              </w:tc>
              <w:tc>
                <w:tcPr>
                  <w:tcW w:w="1258" w:type="dxa"/>
                  <w:tcBorders>
                    <w:top w:val="single" w:color="000000" w:sz="4" w:space="0"/>
                    <w:left w:val="single" w:color="000000" w:sz="4" w:space="0"/>
                    <w:bottom w:val="single" w:color="000000" w:sz="4" w:space="0"/>
                    <w:right w:val="single" w:color="000000" w:sz="4" w:space="0"/>
                  </w:tcBorders>
                  <w:vAlign w:val="center"/>
                </w:tcPr>
                <w:p>
                  <w:pPr>
                    <w:pStyle w:val="218"/>
                    <w:spacing w:before="1"/>
                    <w:jc w:val="center"/>
                    <w:rPr>
                      <w:sz w:val="21"/>
                    </w:rPr>
                  </w:pPr>
                  <w:r>
                    <w:rPr>
                      <w:rFonts w:ascii="Times New Roman" w:eastAsia="Times New Roman"/>
                      <w:sz w:val="21"/>
                    </w:rPr>
                    <w:t>PA</w:t>
                  </w:r>
                  <w:r>
                    <w:rPr>
                      <w:rFonts w:hint="eastAsia" w:ascii="Times New Roman" w:eastAsia="宋体"/>
                      <w:sz w:val="21"/>
                      <w:lang w:val="en-US" w:eastAsia="zh-CN"/>
                    </w:rPr>
                    <w:t>6</w:t>
                  </w:r>
                  <w:r>
                    <w:rPr>
                      <w:rFonts w:ascii="Times New Roman" w:eastAsia="Times New Roman"/>
                      <w:sz w:val="21"/>
                    </w:rPr>
                    <w:t xml:space="preserve"> </w:t>
                  </w:r>
                  <w:r>
                    <w:rPr>
                      <w:sz w:val="21"/>
                    </w:rPr>
                    <w:t>粒子</w:t>
                  </w:r>
                </w:p>
              </w:tc>
              <w:tc>
                <w:tcPr>
                  <w:tcW w:w="1259" w:type="dxa"/>
                  <w:tcBorders>
                    <w:top w:val="single" w:color="000000" w:sz="4" w:space="0"/>
                    <w:left w:val="single" w:color="000000" w:sz="4" w:space="0"/>
                    <w:bottom w:val="single" w:color="000000" w:sz="4" w:space="0"/>
                    <w:right w:val="single" w:color="000000" w:sz="4" w:space="0"/>
                  </w:tcBorders>
                  <w:vAlign w:val="center"/>
                </w:tcPr>
                <w:p>
                  <w:pPr>
                    <w:pStyle w:val="218"/>
                    <w:spacing w:before="153"/>
                    <w:ind w:left="154" w:right="128"/>
                    <w:jc w:val="center"/>
                    <w:rPr>
                      <w:sz w:val="21"/>
                    </w:rPr>
                  </w:pPr>
                  <w:r>
                    <w:rPr>
                      <w:rFonts w:hint="eastAsia"/>
                      <w:color w:val="auto"/>
                      <w:sz w:val="21"/>
                    </w:rPr>
                    <w:t>聚己内酰胺</w:t>
                  </w:r>
                </w:p>
              </w:tc>
              <w:tc>
                <w:tcPr>
                  <w:tcW w:w="4440" w:type="dxa"/>
                  <w:tcBorders>
                    <w:top w:val="single" w:color="000000" w:sz="4" w:space="0"/>
                    <w:left w:val="single" w:color="000000" w:sz="4" w:space="0"/>
                    <w:bottom w:val="single" w:color="000000" w:sz="4" w:space="0"/>
                    <w:right w:val="nil"/>
                  </w:tcBorders>
                  <w:vAlign w:val="center"/>
                </w:tcPr>
                <w:p>
                  <w:pPr>
                    <w:pStyle w:val="218"/>
                    <w:spacing w:before="1" w:line="242" w:lineRule="auto"/>
                    <w:ind w:left="115" w:right="91" w:hanging="3"/>
                    <w:jc w:val="center"/>
                    <w:rPr>
                      <w:sz w:val="21"/>
                    </w:rPr>
                  </w:pPr>
                  <w:r>
                    <w:rPr>
                      <w:rFonts w:hint="eastAsia"/>
                      <w:spacing w:val="-3"/>
                      <w:sz w:val="21"/>
                    </w:rPr>
                    <w:t>聚酰胺6，又名尼龙6，是半透明或不透明乳白色粒子，具有最优越的综合性能，密度1.13g/cm3左右；吸水性比PA66更强，成型后仍然具有吸湿性，平衡吸水率3.5%左右，水中饱和吸水率10%左右，吸水后会降低表面硬度、影响尺寸稳定性；容易着色；熔点220-225℃，最高使用温度为180℃，无外力下可在130℃以下长期使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089" w:hRule="atLeast"/>
                <w:jc w:val="center"/>
              </w:trPr>
              <w:tc>
                <w:tcPr>
                  <w:tcW w:w="735" w:type="dxa"/>
                  <w:tcBorders>
                    <w:top w:val="single" w:color="000000" w:sz="4" w:space="0"/>
                    <w:left w:val="nil"/>
                    <w:bottom w:val="single" w:color="000000" w:sz="4" w:space="0"/>
                    <w:right w:val="single" w:color="000000" w:sz="4" w:space="0"/>
                  </w:tcBorders>
                  <w:vAlign w:val="center"/>
                </w:tcPr>
                <w:p>
                  <w:pPr>
                    <w:pStyle w:val="218"/>
                    <w:ind w:left="47"/>
                    <w:jc w:val="center"/>
                    <w:rPr>
                      <w:rFonts w:hint="eastAsia" w:ascii="Times New Roman" w:eastAsia="宋体"/>
                      <w:w w:val="100"/>
                      <w:sz w:val="21"/>
                      <w:lang w:val="en-US" w:eastAsia="zh-CN"/>
                    </w:rPr>
                  </w:pPr>
                  <w:r>
                    <w:rPr>
                      <w:rFonts w:hint="eastAsia" w:ascii="Times New Roman"/>
                      <w:w w:val="100"/>
                      <w:sz w:val="21"/>
                      <w:lang w:val="en-US" w:eastAsia="zh-CN"/>
                    </w:rPr>
                    <w:t>7</w:t>
                  </w:r>
                </w:p>
              </w:tc>
              <w:tc>
                <w:tcPr>
                  <w:tcW w:w="1258" w:type="dxa"/>
                  <w:tcBorders>
                    <w:top w:val="single" w:color="000000" w:sz="4" w:space="0"/>
                    <w:left w:val="single" w:color="000000" w:sz="4" w:space="0"/>
                    <w:bottom w:val="single" w:color="000000" w:sz="4" w:space="0"/>
                    <w:right w:val="single" w:color="000000" w:sz="4" w:space="0"/>
                  </w:tcBorders>
                  <w:vAlign w:val="center"/>
                </w:tcPr>
                <w:p>
                  <w:pPr>
                    <w:pStyle w:val="218"/>
                    <w:spacing w:before="1"/>
                    <w:jc w:val="center"/>
                    <w:rPr>
                      <w:rFonts w:ascii="Times New Roman" w:eastAsia="Times New Roman"/>
                      <w:sz w:val="21"/>
                    </w:rPr>
                  </w:pPr>
                  <w:r>
                    <w:rPr>
                      <w:rFonts w:ascii="Times New Roman" w:eastAsia="Times New Roman"/>
                      <w:sz w:val="21"/>
                    </w:rPr>
                    <w:t>PA</w:t>
                  </w:r>
                  <w:r>
                    <w:rPr>
                      <w:rFonts w:hint="eastAsia" w:ascii="Times New Roman" w:eastAsia="宋体"/>
                      <w:sz w:val="21"/>
                      <w:lang w:val="en-US" w:eastAsia="zh-CN"/>
                    </w:rPr>
                    <w:t>6</w:t>
                  </w:r>
                  <w:r>
                    <w:rPr>
                      <w:rFonts w:hint="eastAsia" w:ascii="Times New Roman"/>
                      <w:sz w:val="21"/>
                      <w:lang w:val="en-US" w:eastAsia="zh-CN"/>
                    </w:rPr>
                    <w:t>6</w:t>
                  </w:r>
                  <w:r>
                    <w:rPr>
                      <w:rFonts w:ascii="Times New Roman" w:eastAsia="Times New Roman"/>
                      <w:sz w:val="21"/>
                    </w:rPr>
                    <w:t xml:space="preserve"> </w:t>
                  </w:r>
                  <w:r>
                    <w:rPr>
                      <w:sz w:val="21"/>
                    </w:rPr>
                    <w:t>粒子</w:t>
                  </w:r>
                </w:p>
              </w:tc>
              <w:tc>
                <w:tcPr>
                  <w:tcW w:w="1259" w:type="dxa"/>
                  <w:tcBorders>
                    <w:top w:val="single" w:color="000000" w:sz="4" w:space="0"/>
                    <w:left w:val="single" w:color="000000" w:sz="4" w:space="0"/>
                    <w:bottom w:val="single" w:color="000000" w:sz="4" w:space="0"/>
                    <w:right w:val="single" w:color="000000" w:sz="4" w:space="0"/>
                  </w:tcBorders>
                  <w:vAlign w:val="center"/>
                </w:tcPr>
                <w:p>
                  <w:pPr>
                    <w:pStyle w:val="218"/>
                    <w:spacing w:before="153"/>
                    <w:ind w:left="154" w:right="128"/>
                    <w:jc w:val="center"/>
                    <w:rPr>
                      <w:sz w:val="21"/>
                    </w:rPr>
                  </w:pPr>
                  <w:r>
                    <w:rPr>
                      <w:rFonts w:hint="eastAsia"/>
                      <w:sz w:val="21"/>
                    </w:rPr>
                    <w:t>聚己二酸己二胺</w:t>
                  </w:r>
                </w:p>
              </w:tc>
              <w:tc>
                <w:tcPr>
                  <w:tcW w:w="4440" w:type="dxa"/>
                  <w:tcBorders>
                    <w:top w:val="single" w:color="000000" w:sz="4" w:space="0"/>
                    <w:left w:val="single" w:color="000000" w:sz="4" w:space="0"/>
                    <w:bottom w:val="single" w:color="000000" w:sz="4" w:space="0"/>
                    <w:right w:val="nil"/>
                  </w:tcBorders>
                  <w:vAlign w:val="center"/>
                </w:tcPr>
                <w:p>
                  <w:pPr>
                    <w:pStyle w:val="218"/>
                    <w:spacing w:before="1" w:line="242" w:lineRule="auto"/>
                    <w:ind w:left="115" w:right="91" w:hanging="3"/>
                    <w:jc w:val="center"/>
                    <w:rPr>
                      <w:spacing w:val="-3"/>
                      <w:sz w:val="21"/>
                    </w:rPr>
                  </w:pPr>
                  <w:r>
                    <w:rPr>
                      <w:rFonts w:hint="eastAsia"/>
                      <w:spacing w:val="-3"/>
                      <w:sz w:val="21"/>
                    </w:rPr>
                    <w:t>半透明或不透明乳白色结晶形聚合物，具有可塑性。密度1．15g/cm3。熔点252℃。脆化温度-30℃。热分解温度大于350℃。 连续耐热80-120℃,平衡吸水率2．5%。能耐酸、碱、大多数无机盐水溶液、卤代烷、烃类、酯类、酮类等腐蚀，但易溶于苯酚、甲酸等极性溶剂。具有优良的耐磨性、自润滑性，机械强度较高。但吸水性较大，因而尺寸稳定性较差。优良的耐磨性，耐高冲击性好，尺寸稳定性好。</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7" w:hRule="atLeast"/>
                <w:jc w:val="center"/>
              </w:trPr>
              <w:tc>
                <w:tcPr>
                  <w:tcW w:w="735" w:type="dxa"/>
                  <w:tcBorders>
                    <w:top w:val="single" w:color="000000" w:sz="4" w:space="0"/>
                    <w:left w:val="nil"/>
                    <w:bottom w:val="single" w:color="000000" w:sz="4" w:space="0"/>
                    <w:right w:val="single" w:color="000000" w:sz="4" w:space="0"/>
                  </w:tcBorders>
                  <w:vAlign w:val="center"/>
                </w:tcPr>
                <w:p>
                  <w:pPr>
                    <w:pStyle w:val="218"/>
                    <w:jc w:val="center"/>
                    <w:rPr>
                      <w:rFonts w:hint="eastAsia" w:ascii="Times New Roman" w:eastAsia="宋体"/>
                      <w:sz w:val="21"/>
                      <w:lang w:eastAsia="zh-CN"/>
                    </w:rPr>
                  </w:pPr>
                  <w:r>
                    <w:rPr>
                      <w:rFonts w:hint="eastAsia" w:ascii="Times New Roman"/>
                      <w:w w:val="100"/>
                      <w:sz w:val="21"/>
                      <w:lang w:val="en-US" w:eastAsia="zh-CN"/>
                    </w:rPr>
                    <w:t>8</w:t>
                  </w:r>
                </w:p>
              </w:tc>
              <w:tc>
                <w:tcPr>
                  <w:tcW w:w="1258" w:type="dxa"/>
                  <w:tcBorders>
                    <w:top w:val="single" w:color="000000" w:sz="4" w:space="0"/>
                    <w:left w:val="single" w:color="000000" w:sz="4" w:space="0"/>
                    <w:bottom w:val="single" w:color="000000" w:sz="4" w:space="0"/>
                    <w:right w:val="single" w:color="000000" w:sz="4" w:space="0"/>
                  </w:tcBorders>
                  <w:vAlign w:val="center"/>
                </w:tcPr>
                <w:p>
                  <w:pPr>
                    <w:pStyle w:val="218"/>
                    <w:ind w:right="204"/>
                    <w:jc w:val="center"/>
                    <w:rPr>
                      <w:sz w:val="21"/>
                    </w:rPr>
                  </w:pPr>
                  <w:r>
                    <w:rPr>
                      <w:rFonts w:ascii="Times New Roman" w:eastAsia="Times New Roman"/>
                      <w:sz w:val="21"/>
                    </w:rPr>
                    <w:t xml:space="preserve">PBT </w:t>
                  </w:r>
                  <w:r>
                    <w:rPr>
                      <w:sz w:val="21"/>
                    </w:rPr>
                    <w:t>粒子</w:t>
                  </w:r>
                </w:p>
              </w:tc>
              <w:tc>
                <w:tcPr>
                  <w:tcW w:w="1259" w:type="dxa"/>
                  <w:tcBorders>
                    <w:top w:val="single" w:color="000000" w:sz="4" w:space="0"/>
                    <w:left w:val="single" w:color="000000" w:sz="4" w:space="0"/>
                    <w:bottom w:val="single" w:color="000000" w:sz="4" w:space="0"/>
                    <w:right w:val="single" w:color="000000" w:sz="4" w:space="0"/>
                  </w:tcBorders>
                  <w:vAlign w:val="center"/>
                </w:tcPr>
                <w:p>
                  <w:pPr>
                    <w:pStyle w:val="218"/>
                    <w:spacing w:before="137" w:line="242" w:lineRule="auto"/>
                    <w:ind w:left="351" w:right="100" w:hanging="226"/>
                    <w:rPr>
                      <w:sz w:val="21"/>
                    </w:rPr>
                  </w:pPr>
                  <w:r>
                    <w:rPr>
                      <w:sz w:val="21"/>
                    </w:rPr>
                    <w:t>聚对苯二甲酸丁二醇酯</w:t>
                  </w:r>
                </w:p>
              </w:tc>
              <w:tc>
                <w:tcPr>
                  <w:tcW w:w="4440" w:type="dxa"/>
                  <w:tcBorders>
                    <w:top w:val="single" w:color="000000" w:sz="4" w:space="0"/>
                    <w:left w:val="single" w:color="000000" w:sz="4" w:space="0"/>
                    <w:bottom w:val="single" w:color="000000" w:sz="4" w:space="0"/>
                    <w:right w:val="nil"/>
                  </w:tcBorders>
                  <w:vAlign w:val="center"/>
                </w:tcPr>
                <w:p>
                  <w:pPr>
                    <w:pStyle w:val="218"/>
                    <w:spacing w:before="1"/>
                    <w:ind w:left="115" w:firstLine="43"/>
                    <w:rPr>
                      <w:sz w:val="21"/>
                    </w:rPr>
                  </w:pPr>
                  <w:r>
                    <w:rPr>
                      <w:sz w:val="21"/>
                    </w:rPr>
                    <w:t>又名聚对苯二甲酸四次甲基酯，一种热塑性聚酯，熔化</w:t>
                  </w:r>
                  <w:r>
                    <w:rPr>
                      <w:spacing w:val="-10"/>
                      <w:sz w:val="21"/>
                    </w:rPr>
                    <w:t xml:space="preserve">温度 </w:t>
                  </w:r>
                  <w:r>
                    <w:rPr>
                      <w:rFonts w:ascii="Times New Roman" w:hAnsi="Times New Roman" w:eastAsia="Times New Roman"/>
                      <w:spacing w:val="-4"/>
                      <w:sz w:val="21"/>
                    </w:rPr>
                    <w:t>225~275</w:t>
                  </w:r>
                  <w:r>
                    <w:rPr>
                      <w:spacing w:val="-7"/>
                      <w:sz w:val="21"/>
                    </w:rPr>
                    <w:t>℃，具有良好的化学稳定性、机械强度、电</w:t>
                  </w:r>
                  <w:r>
                    <w:rPr>
                      <w:spacing w:val="-5"/>
                      <w:sz w:val="21"/>
                    </w:rPr>
                    <w:t>绝缘特性和热稳定性。</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7" w:hRule="atLeast"/>
                <w:jc w:val="center"/>
              </w:trPr>
              <w:tc>
                <w:tcPr>
                  <w:tcW w:w="735" w:type="dxa"/>
                  <w:tcBorders>
                    <w:top w:val="single" w:color="000000" w:sz="4" w:space="0"/>
                    <w:left w:val="nil"/>
                    <w:bottom w:val="single" w:color="000000" w:sz="4" w:space="0"/>
                    <w:right w:val="single" w:color="000000" w:sz="4" w:space="0"/>
                  </w:tcBorders>
                  <w:vAlign w:val="center"/>
                </w:tcPr>
                <w:p>
                  <w:pPr>
                    <w:pStyle w:val="218"/>
                    <w:ind w:left="47"/>
                    <w:jc w:val="center"/>
                    <w:rPr>
                      <w:rFonts w:hint="eastAsia" w:ascii="Times New Roman" w:eastAsia="宋体"/>
                      <w:w w:val="100"/>
                      <w:sz w:val="21"/>
                      <w:lang w:val="en-US" w:eastAsia="zh-CN"/>
                    </w:rPr>
                  </w:pPr>
                  <w:r>
                    <w:rPr>
                      <w:rFonts w:hint="eastAsia" w:ascii="Times New Roman"/>
                      <w:w w:val="100"/>
                      <w:sz w:val="21"/>
                      <w:lang w:val="en-US" w:eastAsia="zh-CN"/>
                    </w:rPr>
                    <w:t>9</w:t>
                  </w:r>
                </w:p>
              </w:tc>
              <w:tc>
                <w:tcPr>
                  <w:tcW w:w="1258" w:type="dxa"/>
                  <w:tcBorders>
                    <w:top w:val="single" w:color="000000" w:sz="4" w:space="0"/>
                    <w:left w:val="single" w:color="000000" w:sz="4" w:space="0"/>
                    <w:bottom w:val="single" w:color="000000" w:sz="4" w:space="0"/>
                    <w:right w:val="single" w:color="000000" w:sz="4" w:space="0"/>
                  </w:tcBorders>
                  <w:vAlign w:val="center"/>
                </w:tcPr>
                <w:p>
                  <w:pPr>
                    <w:pStyle w:val="218"/>
                    <w:ind w:right="204"/>
                    <w:jc w:val="center"/>
                    <w:rPr>
                      <w:rFonts w:ascii="Times New Roman" w:eastAsia="Times New Roman"/>
                      <w:sz w:val="21"/>
                    </w:rPr>
                  </w:pPr>
                  <w:r>
                    <w:rPr>
                      <w:rFonts w:hint="eastAsia" w:ascii="Times New Roman" w:eastAsia="宋体"/>
                      <w:sz w:val="21"/>
                      <w:lang w:val="en-US" w:eastAsia="zh-CN"/>
                    </w:rPr>
                    <w:t>ASA</w:t>
                  </w:r>
                  <w:r>
                    <w:rPr>
                      <w:rFonts w:ascii="Times New Roman" w:eastAsia="Times New Roman"/>
                      <w:sz w:val="21"/>
                    </w:rPr>
                    <w:t xml:space="preserve"> </w:t>
                  </w:r>
                  <w:r>
                    <w:rPr>
                      <w:sz w:val="21"/>
                    </w:rPr>
                    <w:t>粒子</w:t>
                  </w:r>
                </w:p>
              </w:tc>
              <w:tc>
                <w:tcPr>
                  <w:tcW w:w="1259" w:type="dxa"/>
                  <w:tcBorders>
                    <w:top w:val="single" w:color="000000" w:sz="4" w:space="0"/>
                    <w:left w:val="single" w:color="000000" w:sz="4" w:space="0"/>
                    <w:bottom w:val="single" w:color="000000" w:sz="4" w:space="0"/>
                    <w:right w:val="single" w:color="000000" w:sz="4" w:space="0"/>
                  </w:tcBorders>
                  <w:vAlign w:val="center"/>
                </w:tcPr>
                <w:p>
                  <w:pPr>
                    <w:pStyle w:val="218"/>
                    <w:spacing w:before="137" w:line="242" w:lineRule="auto"/>
                    <w:ind w:left="351" w:right="100" w:hanging="226"/>
                    <w:rPr>
                      <w:sz w:val="21"/>
                    </w:rPr>
                  </w:pPr>
                  <w:r>
                    <w:rPr>
                      <w:rFonts w:hint="eastAsia"/>
                      <w:sz w:val="21"/>
                    </w:rPr>
                    <w:t>改性树脂</w:t>
                  </w:r>
                </w:p>
              </w:tc>
              <w:tc>
                <w:tcPr>
                  <w:tcW w:w="4440" w:type="dxa"/>
                  <w:tcBorders>
                    <w:top w:val="single" w:color="000000" w:sz="4" w:space="0"/>
                    <w:left w:val="single" w:color="000000" w:sz="4" w:space="0"/>
                    <w:bottom w:val="single" w:color="000000" w:sz="4" w:space="0"/>
                    <w:right w:val="nil"/>
                  </w:tcBorders>
                  <w:vAlign w:val="center"/>
                </w:tcPr>
                <w:p>
                  <w:pPr>
                    <w:pStyle w:val="218"/>
                    <w:spacing w:before="3" w:line="270" w:lineRule="atLeast"/>
                    <w:ind w:left="1630" w:right="91" w:hanging="1515"/>
                    <w:rPr>
                      <w:spacing w:val="-10"/>
                      <w:sz w:val="21"/>
                    </w:rPr>
                  </w:pPr>
                  <w:r>
                    <w:rPr>
                      <w:rFonts w:hint="eastAsia"/>
                      <w:spacing w:val="-10"/>
                      <w:sz w:val="21"/>
                    </w:rPr>
                    <w:t>是丙烯酸酯类橡胶体与丙烯腈、苯乙烯的接枝共聚物。成型温度为170-230℃。</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7" w:hRule="atLeast"/>
                <w:jc w:val="center"/>
              </w:trPr>
              <w:tc>
                <w:tcPr>
                  <w:tcW w:w="735" w:type="dxa"/>
                  <w:tcBorders>
                    <w:top w:val="single" w:color="000000" w:sz="4" w:space="0"/>
                    <w:left w:val="nil"/>
                    <w:bottom w:val="single" w:color="000000" w:sz="4" w:space="0"/>
                    <w:right w:val="single" w:color="000000" w:sz="4" w:space="0"/>
                  </w:tcBorders>
                  <w:vAlign w:val="center"/>
                </w:tcPr>
                <w:p>
                  <w:pPr>
                    <w:pStyle w:val="218"/>
                    <w:ind w:left="47"/>
                    <w:jc w:val="center"/>
                    <w:rPr>
                      <w:rFonts w:hint="default" w:ascii="Times New Roman" w:eastAsia="宋体"/>
                      <w:w w:val="100"/>
                      <w:sz w:val="21"/>
                      <w:lang w:val="en-US" w:eastAsia="zh-CN"/>
                    </w:rPr>
                  </w:pPr>
                  <w:r>
                    <w:rPr>
                      <w:rFonts w:hint="eastAsia" w:ascii="Times New Roman"/>
                      <w:w w:val="100"/>
                      <w:sz w:val="21"/>
                      <w:lang w:val="en-US" w:eastAsia="zh-CN"/>
                    </w:rPr>
                    <w:t>10</w:t>
                  </w:r>
                </w:p>
              </w:tc>
              <w:tc>
                <w:tcPr>
                  <w:tcW w:w="1258" w:type="dxa"/>
                  <w:tcBorders>
                    <w:top w:val="single" w:color="000000" w:sz="4" w:space="0"/>
                    <w:left w:val="single" w:color="000000" w:sz="4" w:space="0"/>
                    <w:bottom w:val="single" w:color="000000" w:sz="4" w:space="0"/>
                    <w:right w:val="single" w:color="000000" w:sz="4" w:space="0"/>
                  </w:tcBorders>
                  <w:vAlign w:val="center"/>
                </w:tcPr>
                <w:p>
                  <w:pPr>
                    <w:pStyle w:val="218"/>
                    <w:ind w:right="204"/>
                    <w:jc w:val="center"/>
                    <w:rPr>
                      <w:rFonts w:ascii="Times New Roman" w:eastAsia="Times New Roman"/>
                      <w:sz w:val="21"/>
                    </w:rPr>
                  </w:pPr>
                  <w:r>
                    <w:rPr>
                      <w:rFonts w:hint="eastAsia" w:ascii="Times New Roman" w:eastAsia="宋体"/>
                      <w:sz w:val="21"/>
                      <w:lang w:val="en-US" w:eastAsia="zh-CN"/>
                    </w:rPr>
                    <w:t>TPV</w:t>
                  </w:r>
                  <w:r>
                    <w:rPr>
                      <w:rFonts w:ascii="Times New Roman" w:eastAsia="Times New Roman"/>
                      <w:sz w:val="21"/>
                    </w:rPr>
                    <w:t xml:space="preserve"> </w:t>
                  </w:r>
                  <w:r>
                    <w:rPr>
                      <w:sz w:val="21"/>
                    </w:rPr>
                    <w:t>粒子</w:t>
                  </w:r>
                </w:p>
              </w:tc>
              <w:tc>
                <w:tcPr>
                  <w:tcW w:w="1259" w:type="dxa"/>
                  <w:tcBorders>
                    <w:top w:val="single" w:color="000000" w:sz="4" w:space="0"/>
                    <w:left w:val="single" w:color="000000" w:sz="4" w:space="0"/>
                    <w:bottom w:val="single" w:color="000000" w:sz="4" w:space="0"/>
                    <w:right w:val="single" w:color="000000" w:sz="4" w:space="0"/>
                  </w:tcBorders>
                  <w:vAlign w:val="center"/>
                </w:tcPr>
                <w:p>
                  <w:r>
                    <w:rPr>
                      <w:rFonts w:hint="eastAsia"/>
                    </w:rPr>
                    <w:t>热塑性硫化橡胶</w:t>
                  </w:r>
                </w:p>
              </w:tc>
              <w:tc>
                <w:tcPr>
                  <w:tcW w:w="4440" w:type="dxa"/>
                  <w:tcBorders>
                    <w:top w:val="single" w:color="000000" w:sz="4" w:space="0"/>
                    <w:left w:val="single" w:color="000000" w:sz="4" w:space="0"/>
                    <w:bottom w:val="single" w:color="000000" w:sz="4" w:space="0"/>
                    <w:right w:val="nil"/>
                  </w:tcBorders>
                  <w:vAlign w:val="center"/>
                </w:tcPr>
                <w:p>
                  <w:r>
                    <w:rPr>
                      <w:rFonts w:hint="eastAsia"/>
                    </w:rPr>
                    <w:t>TPV主要由二部分组成，一是塑料，作为连续相，二是橡胶作为分散相。通常橡胶需要与软化油或增塑剂与之配合。硫化剂和一些辅助助剂也是必不可少的。另外为了降低成本或者提高某方面的性能，一些无机填料会被填加。</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7" w:hRule="atLeast"/>
                <w:jc w:val="center"/>
              </w:trPr>
              <w:tc>
                <w:tcPr>
                  <w:tcW w:w="735" w:type="dxa"/>
                  <w:tcBorders>
                    <w:top w:val="single" w:color="000000" w:sz="4" w:space="0"/>
                    <w:left w:val="nil"/>
                    <w:right w:val="single" w:color="000000" w:sz="4" w:space="0"/>
                  </w:tcBorders>
                  <w:vAlign w:val="center"/>
                </w:tcPr>
                <w:p>
                  <w:pPr>
                    <w:pStyle w:val="218"/>
                    <w:ind w:left="47"/>
                    <w:jc w:val="center"/>
                    <w:rPr>
                      <w:rFonts w:hint="default" w:ascii="Times New Roman"/>
                      <w:w w:val="100"/>
                      <w:sz w:val="21"/>
                      <w:lang w:val="en-US" w:eastAsia="zh-CN"/>
                    </w:rPr>
                  </w:pPr>
                  <w:r>
                    <w:rPr>
                      <w:rFonts w:hint="eastAsia" w:ascii="Times New Roman"/>
                      <w:w w:val="100"/>
                      <w:sz w:val="21"/>
                      <w:lang w:val="en-US" w:eastAsia="zh-CN"/>
                    </w:rPr>
                    <w:t>11</w:t>
                  </w:r>
                </w:p>
              </w:tc>
              <w:tc>
                <w:tcPr>
                  <w:tcW w:w="1258" w:type="dxa"/>
                  <w:tcBorders>
                    <w:top w:val="single" w:color="000000" w:sz="4" w:space="0"/>
                    <w:left w:val="single" w:color="000000" w:sz="4" w:space="0"/>
                    <w:right w:val="single" w:color="000000" w:sz="4" w:space="0"/>
                  </w:tcBorders>
                  <w:vAlign w:val="center"/>
                </w:tcPr>
                <w:p>
                  <w:pPr>
                    <w:pStyle w:val="218"/>
                    <w:ind w:right="204" w:rightChars="0"/>
                    <w:jc w:val="center"/>
                    <w:rPr>
                      <w:rFonts w:hint="eastAsia" w:ascii="Times New Roman" w:hAnsi="宋体" w:eastAsia="宋体" w:cs="宋体"/>
                      <w:color w:val="auto"/>
                      <w:kern w:val="0"/>
                      <w:sz w:val="21"/>
                      <w:szCs w:val="22"/>
                      <w:lang w:val="en-US" w:eastAsia="zh-CN" w:bidi="zh-CN"/>
                    </w:rPr>
                  </w:pPr>
                  <w:r>
                    <w:rPr>
                      <w:rFonts w:hint="eastAsia" w:ascii="Times New Roman"/>
                      <w:color w:val="auto"/>
                      <w:sz w:val="21"/>
                      <w:lang w:val="en-US" w:eastAsia="zh-CN"/>
                    </w:rPr>
                    <w:t>GF</w:t>
                  </w:r>
                </w:p>
              </w:tc>
              <w:tc>
                <w:tcPr>
                  <w:tcW w:w="1259" w:type="dxa"/>
                  <w:tcBorders>
                    <w:top w:val="single" w:color="000000" w:sz="4" w:space="0"/>
                    <w:left w:val="single" w:color="000000" w:sz="4" w:space="0"/>
                    <w:right w:val="single" w:color="000000" w:sz="4" w:space="0"/>
                  </w:tcBorders>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rPr>
                    <w:t>玻璃纤维</w:t>
                  </w:r>
                </w:p>
              </w:tc>
              <w:tc>
                <w:tcPr>
                  <w:tcW w:w="4440" w:type="dxa"/>
                  <w:tcBorders>
                    <w:top w:val="single" w:color="000000" w:sz="4" w:space="0"/>
                    <w:left w:val="single" w:color="000000" w:sz="4" w:space="0"/>
                    <w:right w:val="nil"/>
                  </w:tcBorders>
                  <w:vAlign w:val="center"/>
                </w:tcPr>
                <w:p>
                  <w:pPr>
                    <w:rPr>
                      <w:rFonts w:hint="eastAsia" w:ascii="Times New Roman" w:hAnsi="Times New Roman" w:eastAsia="宋体" w:cs="Times New Roman"/>
                      <w:color w:val="auto"/>
                      <w:kern w:val="2"/>
                      <w:sz w:val="21"/>
                      <w:szCs w:val="24"/>
                      <w:lang w:val="en-US" w:eastAsia="zh-CN" w:bidi="ar-SA"/>
                    </w:rPr>
                  </w:pPr>
                  <w:r>
                    <w:rPr>
                      <w:rFonts w:hint="eastAsia"/>
                      <w:color w:val="auto"/>
                    </w:rPr>
                    <w:t>是一种性能优异的无机非金属材料，种类繁多，优点是绝缘性好、耐热性强、抗腐蚀性好，机械强度高，但缺点是性脆，耐磨性较差</w:t>
                  </w:r>
                  <w:r>
                    <w:rPr>
                      <w:rFonts w:hint="eastAsia"/>
                      <w:color w:val="auto"/>
                      <w:lang w:eastAsia="zh-CN"/>
                    </w:rPr>
                    <w:t>。主要用于增强热塑性塑料。</w:t>
                  </w:r>
                </w:p>
              </w:tc>
            </w:tr>
          </w:tbl>
          <w:p>
            <w:pPr>
              <w:spacing w:before="240" w:beforeLines="100" w:line="360" w:lineRule="auto"/>
              <w:ind w:firstLine="482" w:firstLineChars="200"/>
              <w:rPr>
                <w:rFonts w:hint="eastAsia" w:eastAsia="宋体"/>
                <w:b/>
                <w:color w:val="0D0D0D" w:themeColor="text1" w:themeTint="F2"/>
                <w:kern w:val="0"/>
                <w:sz w:val="24"/>
                <w:lang w:eastAsia="zh-CN"/>
                <w14:textFill>
                  <w14:solidFill>
                    <w14:schemeClr w14:val="tx1">
                      <w14:lumMod w14:val="95000"/>
                      <w14:lumOff w14:val="5000"/>
                    </w14:schemeClr>
                  </w14:solidFill>
                </w14:textFill>
              </w:rPr>
            </w:pPr>
            <w:r>
              <w:rPr>
                <w:rFonts w:hint="eastAsia"/>
                <w:b/>
                <w:color w:val="0D0D0D" w:themeColor="text1" w:themeTint="F2"/>
                <w:kern w:val="0"/>
                <w:sz w:val="24"/>
                <w14:textFill>
                  <w14:solidFill>
                    <w14:schemeClr w14:val="tx1">
                      <w14:lumMod w14:val="95000"/>
                      <w14:lumOff w14:val="5000"/>
                    </w14:schemeClr>
                  </w14:solidFill>
                </w14:textFill>
              </w:rPr>
              <w:t>6、项目平面布局合理性</w:t>
            </w:r>
          </w:p>
          <w:p>
            <w:pPr>
              <w:autoSpaceDE w:val="0"/>
              <w:autoSpaceDN w:val="0"/>
              <w:adjustRightInd w:val="0"/>
              <w:spacing w:line="480" w:lineRule="exact"/>
              <w:ind w:firstLine="480" w:firstLineChars="200"/>
              <w:rPr>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24"/>
                <w:sz w:val="24"/>
                <w14:textFill>
                  <w14:solidFill>
                    <w14:schemeClr w14:val="tx1">
                      <w14:lumMod w14:val="95000"/>
                      <w14:lumOff w14:val="5000"/>
                    </w14:schemeClr>
                  </w14:solidFill>
                </w14:textFill>
              </w:rPr>
              <w:t>本项目购置芜湖联东金江实业有限公司</w:t>
            </w:r>
            <w:r>
              <w:rPr>
                <w:rFonts w:hint="eastAsia" w:hAnsi="宋体"/>
                <w:color w:val="0D0D0D" w:themeColor="text1" w:themeTint="F2"/>
                <w:kern w:val="24"/>
                <w:sz w:val="24"/>
                <w14:textFill>
                  <w14:solidFill>
                    <w14:schemeClr w14:val="tx1">
                      <w14:lumMod w14:val="95000"/>
                      <w14:lumOff w14:val="5000"/>
                    </w14:schemeClr>
                  </w14:solidFill>
                </w14:textFill>
              </w:rPr>
              <w:t>厂房</w:t>
            </w:r>
            <w:r>
              <w:rPr>
                <w:rFonts w:hint="eastAsia"/>
                <w:bCs/>
                <w:color w:val="0D0D0D" w:themeColor="text1" w:themeTint="F2"/>
                <w:kern w:val="24"/>
                <w:sz w:val="24"/>
                <w14:textFill>
                  <w14:solidFill>
                    <w14:schemeClr w14:val="tx1">
                      <w14:lumMod w14:val="95000"/>
                      <w14:lumOff w14:val="5000"/>
                    </w14:schemeClr>
                  </w14:solidFill>
                </w14:textFill>
              </w:rPr>
              <w:t>生产</w:t>
            </w:r>
            <w:r>
              <w:rPr>
                <w:rFonts w:hint="eastAsia" w:hAnsi="宋体"/>
                <w:color w:val="0D0D0D" w:themeColor="text1" w:themeTint="F2"/>
                <w:kern w:val="24"/>
                <w:sz w:val="24"/>
                <w14:textFill>
                  <w14:solidFill>
                    <w14:schemeClr w14:val="tx1">
                      <w14:lumMod w14:val="95000"/>
                      <w14:lumOff w14:val="5000"/>
                    </w14:schemeClr>
                  </w14:solidFill>
                </w14:textFill>
              </w:rPr>
              <w:t>，</w:t>
            </w:r>
            <w:r>
              <w:rPr>
                <w:rFonts w:hint="eastAsia" w:ascii="Times New Roman" w:hAnsi="宋体" w:cs="Times New Roman"/>
                <w:color w:val="0D0D0D"/>
                <w:kern w:val="24"/>
                <w:sz w:val="24"/>
              </w:rPr>
              <w:t>总建筑</w:t>
            </w:r>
            <w:r>
              <w:rPr>
                <w:rFonts w:ascii="Times New Roman" w:hAnsi="宋体" w:cs="Times New Roman"/>
                <w:color w:val="0D0D0D"/>
                <w:kern w:val="24"/>
                <w:sz w:val="24"/>
              </w:rPr>
              <w:t>面积约</w:t>
            </w:r>
            <w:r>
              <w:rPr>
                <w:rFonts w:hint="eastAsia" w:hAnsi="宋体"/>
                <w:color w:val="0D0D0D" w:themeColor="text1" w:themeTint="F2"/>
                <w:kern w:val="24"/>
                <w:sz w:val="24"/>
                <w14:textFill>
                  <w14:solidFill>
                    <w14:schemeClr w14:val="tx1">
                      <w14:lumMod w14:val="95000"/>
                      <w14:lumOff w14:val="5000"/>
                    </w14:schemeClr>
                  </w14:solidFill>
                </w14:textFill>
              </w:rPr>
              <w:t>为</w:t>
            </w:r>
            <w:r>
              <w:rPr>
                <w:rFonts w:hAnsi="宋体"/>
                <w:color w:val="0D0D0D" w:themeColor="text1" w:themeTint="F2"/>
                <w:kern w:val="24"/>
                <w:sz w:val="24"/>
                <w14:textFill>
                  <w14:solidFill>
                    <w14:schemeClr w14:val="tx1">
                      <w14:lumMod w14:val="95000"/>
                      <w14:lumOff w14:val="5000"/>
                    </w14:schemeClr>
                  </w14:solidFill>
                </w14:textFill>
              </w:rPr>
              <w:t>3766.56</w:t>
            </w:r>
            <w:r>
              <w:rPr>
                <w:rFonts w:hint="eastAsia" w:hAnsi="宋体"/>
                <w:color w:val="0D0D0D" w:themeColor="text1" w:themeTint="F2"/>
                <w:kern w:val="24"/>
                <w:sz w:val="24"/>
                <w14:textFill>
                  <w14:solidFill>
                    <w14:schemeClr w14:val="tx1">
                      <w14:lumMod w14:val="95000"/>
                      <w14:lumOff w14:val="5000"/>
                    </w14:schemeClr>
                  </w14:solidFill>
                </w14:textFill>
              </w:rPr>
              <w:t>m</w:t>
            </w:r>
            <w:r>
              <w:rPr>
                <w:rFonts w:hint="eastAsia" w:hAnsi="宋体"/>
                <w:color w:val="0D0D0D" w:themeColor="text1" w:themeTint="F2"/>
                <w:kern w:val="24"/>
                <w:sz w:val="24"/>
                <w:vertAlign w:val="superscript"/>
                <w14:textFill>
                  <w14:solidFill>
                    <w14:schemeClr w14:val="tx1">
                      <w14:lumMod w14:val="95000"/>
                      <w14:lumOff w14:val="5000"/>
                    </w14:schemeClr>
                  </w14:solidFill>
                </w14:textFill>
              </w:rPr>
              <w:t>2</w:t>
            </w:r>
            <w:r>
              <w:rPr>
                <w:rFonts w:hint="eastAsia"/>
                <w:color w:val="0D0D0D" w:themeColor="text1" w:themeTint="F2"/>
                <w:kern w:val="0"/>
                <w:sz w:val="24"/>
                <w14:textFill>
                  <w14:solidFill>
                    <w14:schemeClr w14:val="tx1">
                      <w14:lumMod w14:val="95000"/>
                      <w14:lumOff w14:val="5000"/>
                    </w14:schemeClr>
                  </w14:solidFill>
                </w14:textFill>
              </w:rPr>
              <w:t>。</w:t>
            </w:r>
            <w:r>
              <w:rPr>
                <w:rFonts w:hint="eastAsia"/>
                <w:color w:val="0D0D0D"/>
                <w:kern w:val="24"/>
                <w:sz w:val="24"/>
              </w:rPr>
              <w:t>厂房依据出入口位置和围绕成品区在车间内设置过道。项目平面布置详见</w:t>
            </w:r>
            <w:r>
              <w:rPr>
                <w:rFonts w:hint="eastAsia"/>
                <w:kern w:val="24"/>
                <w:sz w:val="24"/>
              </w:rPr>
              <w:t>附图3</w:t>
            </w:r>
            <w:r>
              <w:rPr>
                <w:rFonts w:hint="eastAsia"/>
                <w:color w:val="0D0D0D"/>
                <w:kern w:val="24"/>
                <w:sz w:val="24"/>
              </w:rPr>
              <w:t>。厂区平面布置有利于项目生产运行过程中各部门的生产协作，提高生产效率。总体来说，拟建项目的总平面布置较为合理</w:t>
            </w:r>
            <w:r>
              <w:rPr>
                <w:rFonts w:hint="eastAsia"/>
                <w:color w:val="0D0D0D" w:themeColor="text1" w:themeTint="F2"/>
                <w:kern w:val="24"/>
                <w:sz w:val="24"/>
                <w14:textFill>
                  <w14:solidFill>
                    <w14:schemeClr w14:val="tx1">
                      <w14:lumMod w14:val="95000"/>
                      <w14:lumOff w14:val="5000"/>
                    </w14:schemeClr>
                  </w14:solidFill>
                </w14:textFill>
              </w:rPr>
              <w:t>。</w:t>
            </w:r>
          </w:p>
          <w:p>
            <w:pPr>
              <w:spacing w:before="120" w:beforeLines="50" w:line="360" w:lineRule="auto"/>
              <w:ind w:firstLine="480"/>
              <w:rPr>
                <w:color w:val="000000"/>
                <w:sz w:val="24"/>
              </w:rPr>
            </w:pPr>
            <w:r>
              <w:rPr>
                <w:rFonts w:hint="eastAsia"/>
                <w:b/>
                <w:color w:val="000000"/>
                <w:kern w:val="0"/>
                <w:sz w:val="24"/>
              </w:rPr>
              <w:t>7、生产制度和劳动定员</w:t>
            </w:r>
          </w:p>
          <w:p>
            <w:pPr>
              <w:autoSpaceDE w:val="0"/>
              <w:autoSpaceDN w:val="0"/>
              <w:adjustRightInd w:val="0"/>
              <w:snapToGrid w:val="0"/>
              <w:spacing w:line="360" w:lineRule="auto"/>
              <w:jc w:val="left"/>
              <w:rPr>
                <w:rFonts w:cs="宋体"/>
                <w:color w:val="000000"/>
                <w:kern w:val="0"/>
                <w:sz w:val="24"/>
              </w:rPr>
            </w:pPr>
            <w:r>
              <w:rPr>
                <w:rFonts w:hint="eastAsia" w:hAnsi="宋体"/>
                <w:kern w:val="24"/>
                <w:sz w:val="24"/>
              </w:rPr>
              <w:t xml:space="preserve">   </w:t>
            </w:r>
            <w:r>
              <w:rPr>
                <w:rFonts w:hAnsi="宋体"/>
                <w:kern w:val="24"/>
                <w:sz w:val="24"/>
              </w:rPr>
              <w:t>本项目定</w:t>
            </w:r>
            <w:r>
              <w:rPr>
                <w:rFonts w:hAnsi="宋体"/>
                <w:color w:val="0D0D0D"/>
                <w:kern w:val="24"/>
                <w:sz w:val="24"/>
              </w:rPr>
              <w:t>员15人</w:t>
            </w:r>
            <w:r>
              <w:rPr>
                <w:rFonts w:hint="eastAsia" w:hAnsi="宋体"/>
                <w:color w:val="0D0D0D"/>
                <w:kern w:val="24"/>
                <w:sz w:val="24"/>
              </w:rPr>
              <w:t>，</w:t>
            </w:r>
            <w:r>
              <w:rPr>
                <w:rFonts w:hint="eastAsia" w:hAnsi="宋体"/>
                <w:color w:val="auto"/>
                <w:kern w:val="24"/>
                <w:sz w:val="24"/>
                <w:lang w:val="en-US" w:eastAsia="zh-CN"/>
              </w:rPr>
              <w:t>不提供住宿</w:t>
            </w:r>
            <w:r>
              <w:rPr>
                <w:rFonts w:hint="eastAsia" w:hAnsi="宋体"/>
                <w:color w:val="0D0D0D"/>
                <w:kern w:val="24"/>
                <w:sz w:val="24"/>
                <w:lang w:val="en-US" w:eastAsia="zh-CN"/>
              </w:rPr>
              <w:t>，</w:t>
            </w:r>
            <w:r>
              <w:rPr>
                <w:rFonts w:hint="eastAsia" w:hAnsi="宋体"/>
                <w:color w:val="0D0D0D"/>
                <w:kern w:val="24"/>
                <w:sz w:val="24"/>
              </w:rPr>
              <w:t>两班制，日工作</w:t>
            </w:r>
            <w:r>
              <w:rPr>
                <w:rFonts w:hAnsi="宋体"/>
                <w:color w:val="0D0D0D"/>
                <w:kern w:val="24"/>
                <w:sz w:val="24"/>
              </w:rPr>
              <w:t>24</w:t>
            </w:r>
            <w:r>
              <w:rPr>
                <w:rFonts w:hint="eastAsia" w:hAnsi="宋体"/>
                <w:color w:val="0D0D0D"/>
                <w:kern w:val="24"/>
                <w:sz w:val="24"/>
              </w:rPr>
              <w:t>小</w:t>
            </w:r>
            <w:r>
              <w:rPr>
                <w:rFonts w:hint="eastAsia" w:hAnsi="宋体"/>
                <w:kern w:val="24"/>
                <w:sz w:val="24"/>
              </w:rPr>
              <w:t>时，年工作日300天</w:t>
            </w:r>
            <w:r>
              <w:rPr>
                <w:rFonts w:hint="eastAsia" w:hAnsi="宋体"/>
                <w:color w:val="0D0D0D" w:themeColor="text1" w:themeTint="F2"/>
                <w:kern w:val="24"/>
                <w:sz w:val="24"/>
                <w14:textFill>
                  <w14:solidFill>
                    <w14:schemeClr w14:val="tx1">
                      <w14:lumMod w14:val="95000"/>
                      <w14:lumOff w14:val="5000"/>
                    </w14:schemeClr>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0" w:hRule="atLeast"/>
          <w:jc w:val="center"/>
        </w:trPr>
        <w:tc>
          <w:tcPr>
            <w:tcW w:w="823"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工艺流程和产排污环节</w:t>
            </w:r>
          </w:p>
        </w:tc>
        <w:tc>
          <w:tcPr>
            <w:tcW w:w="8235" w:type="dxa"/>
          </w:tcPr>
          <w:p>
            <w:pPr>
              <w:autoSpaceDE w:val="0"/>
              <w:autoSpaceDN w:val="0"/>
              <w:adjustRightInd w:val="0"/>
              <w:snapToGrid w:val="0"/>
              <w:spacing w:before="120" w:beforeLines="50"/>
              <w:jc w:val="left"/>
              <w:rPr>
                <w:rFonts w:cs="宋体"/>
                <w:b/>
                <w:bCs/>
                <w:color w:val="000000"/>
                <w:kern w:val="0"/>
                <w:sz w:val="24"/>
              </w:rPr>
            </w:pPr>
            <w:r>
              <w:rPr>
                <w:rFonts w:hint="eastAsia" w:cs="宋体"/>
                <w:b/>
                <w:color w:val="000000"/>
                <w:kern w:val="0"/>
                <w:sz w:val="24"/>
              </w:rPr>
              <w:t>一、营运期</w:t>
            </w:r>
            <w:r>
              <w:rPr>
                <w:rFonts w:cs="宋体"/>
                <w:b/>
                <w:bCs/>
                <w:color w:val="000000"/>
                <w:kern w:val="0"/>
                <w:sz w:val="24"/>
              </w:rPr>
              <w:t>生产工艺流程及产污环节分析</w:t>
            </w:r>
          </w:p>
          <w:p>
            <w:pPr>
              <w:autoSpaceDE w:val="0"/>
              <w:autoSpaceDN w:val="0"/>
              <w:adjustRightInd w:val="0"/>
              <w:snapToGrid w:val="0"/>
              <w:jc w:val="center"/>
              <w:rPr>
                <w:b/>
                <w:color w:val="000000"/>
                <w:sz w:val="24"/>
              </w:rPr>
            </w:pPr>
            <w:r>
              <w:drawing>
                <wp:inline distT="0" distB="0" distL="114300" distR="114300">
                  <wp:extent cx="5347970" cy="4077970"/>
                  <wp:effectExtent l="0" t="0" r="5080" b="1778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9"/>
                          <a:stretch>
                            <a:fillRect/>
                          </a:stretch>
                        </pic:blipFill>
                        <pic:spPr>
                          <a:xfrm>
                            <a:off x="0" y="0"/>
                            <a:ext cx="5347970" cy="4077970"/>
                          </a:xfrm>
                          <a:prstGeom prst="rect">
                            <a:avLst/>
                          </a:prstGeom>
                          <a:noFill/>
                          <a:ln>
                            <a:noFill/>
                          </a:ln>
                        </pic:spPr>
                      </pic:pic>
                    </a:graphicData>
                  </a:graphic>
                </wp:inline>
              </w:drawing>
            </w:r>
          </w:p>
          <w:p>
            <w:pPr>
              <w:spacing w:before="120" w:after="240" w:line="360" w:lineRule="auto"/>
              <w:jc w:val="center"/>
              <w:rPr>
                <w:szCs w:val="21"/>
              </w:rPr>
            </w:pPr>
            <w:r>
              <w:rPr>
                <w:b/>
                <w:sz w:val="24"/>
              </w:rPr>
              <w:t>图</w:t>
            </w:r>
            <w:r>
              <w:rPr>
                <w:rFonts w:hint="eastAsia"/>
                <w:b/>
                <w:sz w:val="24"/>
              </w:rPr>
              <w:t>2</w:t>
            </w:r>
            <w:r>
              <w:rPr>
                <w:b/>
                <w:sz w:val="24"/>
              </w:rPr>
              <w:t>-</w:t>
            </w:r>
            <w:r>
              <w:rPr>
                <w:rFonts w:hint="eastAsia"/>
                <w:b/>
                <w:sz w:val="24"/>
              </w:rPr>
              <w:t>1</w:t>
            </w:r>
            <w:r>
              <w:rPr>
                <w:b/>
                <w:sz w:val="24"/>
              </w:rPr>
              <w:t xml:space="preserve">  生产工艺流程及产污环节图</w:t>
            </w:r>
          </w:p>
          <w:p>
            <w:pPr>
              <w:spacing w:line="360" w:lineRule="auto"/>
              <w:ind w:right="113"/>
              <w:rPr>
                <w:color w:val="000000"/>
                <w:sz w:val="24"/>
              </w:rPr>
            </w:pPr>
            <w:r>
              <w:rPr>
                <w:color w:val="000000"/>
                <w:sz w:val="24"/>
              </w:rPr>
              <w:t>生产工艺流程简述：</w:t>
            </w:r>
          </w:p>
          <w:p>
            <w:pPr>
              <w:spacing w:line="360" w:lineRule="auto"/>
              <w:ind w:firstLine="566" w:firstLineChars="236"/>
              <w:rPr>
                <w:color w:val="000000"/>
                <w:sz w:val="24"/>
              </w:rPr>
            </w:pPr>
            <w:r>
              <w:rPr>
                <w:rFonts w:hint="eastAsia"/>
                <w:color w:val="000000"/>
                <w:sz w:val="24"/>
                <w:lang w:eastAsia="zh-CN"/>
              </w:rPr>
              <w:t>（</w:t>
            </w:r>
            <w:r>
              <w:rPr>
                <w:rFonts w:hint="eastAsia"/>
                <w:color w:val="000000"/>
                <w:sz w:val="24"/>
                <w:lang w:val="en-US" w:eastAsia="zh-CN"/>
              </w:rPr>
              <w:t>1</w:t>
            </w:r>
            <w:r>
              <w:rPr>
                <w:rFonts w:hint="eastAsia"/>
                <w:color w:val="000000"/>
                <w:sz w:val="24"/>
                <w:lang w:eastAsia="zh-CN"/>
              </w:rPr>
              <w:t>）</w:t>
            </w:r>
            <w:r>
              <w:rPr>
                <w:color w:val="000000"/>
                <w:sz w:val="24"/>
              </w:rPr>
              <w:t>干燥：外购的塑料粒子具有一定的水分，则在成型前需进行干燥处理。塑料粒子经过</w:t>
            </w:r>
            <w:r>
              <w:rPr>
                <w:rFonts w:hint="eastAsia"/>
                <w:color w:val="000000"/>
                <w:sz w:val="24"/>
              </w:rPr>
              <w:t>三机一体</w:t>
            </w:r>
            <w:r>
              <w:rPr>
                <w:rFonts w:hint="eastAsia"/>
                <w:color w:val="000000"/>
                <w:sz w:val="24"/>
                <w:lang w:val="en-US" w:eastAsia="zh-CN"/>
              </w:rPr>
              <w:t>机</w:t>
            </w:r>
            <w:r>
              <w:rPr>
                <w:rFonts w:hint="eastAsia"/>
                <w:color w:val="000000"/>
                <w:sz w:val="24"/>
              </w:rPr>
              <w:t>进行</w:t>
            </w:r>
            <w:r>
              <w:rPr>
                <w:color w:val="000000"/>
                <w:sz w:val="24"/>
              </w:rPr>
              <w:t>除湿干燥，此工序有噪声（N）产生。</w:t>
            </w:r>
          </w:p>
          <w:p>
            <w:pPr>
              <w:spacing w:line="360" w:lineRule="auto"/>
              <w:ind w:firstLine="566" w:firstLineChars="236"/>
              <w:rPr>
                <w:color w:val="000000"/>
                <w:sz w:val="24"/>
              </w:rPr>
            </w:pPr>
            <w:r>
              <w:rPr>
                <w:rFonts w:hint="eastAsia"/>
                <w:color w:val="000000"/>
                <w:sz w:val="24"/>
              </w:rPr>
              <w:t>（2）吸料</w:t>
            </w:r>
            <w:r>
              <w:rPr>
                <w:color w:val="000000"/>
                <w:sz w:val="24"/>
              </w:rPr>
              <w:t>：</w:t>
            </w:r>
            <w:r>
              <w:rPr>
                <w:rFonts w:hint="eastAsia"/>
                <w:color w:val="000000"/>
                <w:sz w:val="24"/>
              </w:rPr>
              <w:t>干燥后的塑料粒子，通过三机一体将</w:t>
            </w:r>
            <w:r>
              <w:rPr>
                <w:color w:val="000000"/>
                <w:sz w:val="24"/>
              </w:rPr>
              <w:t>塑料粒子</w:t>
            </w:r>
            <w:r>
              <w:rPr>
                <w:rFonts w:hint="eastAsia"/>
                <w:color w:val="000000"/>
                <w:sz w:val="24"/>
              </w:rPr>
              <w:t>送到注塑机内，当料达到一定程度的时候，会停止吸料，需要进料时继续吸。</w:t>
            </w:r>
            <w:r>
              <w:rPr>
                <w:color w:val="000000"/>
                <w:sz w:val="24"/>
              </w:rPr>
              <w:t>此工序有噪声（N）产生</w:t>
            </w:r>
            <w:r>
              <w:rPr>
                <w:rFonts w:hint="eastAsia"/>
                <w:color w:val="000000"/>
                <w:sz w:val="24"/>
              </w:rPr>
              <w:t>。</w:t>
            </w:r>
          </w:p>
          <w:p>
            <w:pPr>
              <w:spacing w:line="360" w:lineRule="auto"/>
              <w:ind w:firstLine="566" w:firstLineChars="236"/>
              <w:rPr>
                <w:color w:val="000000"/>
                <w:sz w:val="24"/>
              </w:rPr>
            </w:pPr>
            <w:r>
              <w:rPr>
                <w:rFonts w:hint="eastAsia"/>
                <w:color w:val="000000"/>
                <w:sz w:val="24"/>
              </w:rPr>
              <w:t>（3）</w:t>
            </w:r>
            <w:r>
              <w:rPr>
                <w:color w:val="000000"/>
                <w:sz w:val="24"/>
              </w:rPr>
              <w:t>注塑</w:t>
            </w:r>
            <w:r>
              <w:rPr>
                <w:rFonts w:hint="eastAsia" w:ascii="宋体" w:hAnsi="宋体" w:cs="宋体"/>
                <w:color w:val="000000"/>
                <w:sz w:val="24"/>
              </w:rPr>
              <w:t>∶</w:t>
            </w:r>
            <w:r>
              <w:rPr>
                <w:color w:val="000000"/>
                <w:sz w:val="24"/>
              </w:rPr>
              <w:t xml:space="preserve">外购的塑料粒子根据产品订单要求，加入注塑机料斗中，塑料粒子经注塑机加热至熔融态注入模腔内，制成一定形状的塑料融体，温度控制在 </w:t>
            </w:r>
            <w:r>
              <w:rPr>
                <w:color w:val="auto"/>
                <w:sz w:val="24"/>
              </w:rPr>
              <w:t>1</w:t>
            </w:r>
            <w:r>
              <w:rPr>
                <w:rFonts w:hint="eastAsia"/>
                <w:color w:val="auto"/>
                <w:sz w:val="24"/>
              </w:rPr>
              <w:t>65</w:t>
            </w:r>
            <w:r>
              <w:rPr>
                <w:color w:val="auto"/>
                <w:sz w:val="24"/>
              </w:rPr>
              <w:t>℃</w:t>
            </w:r>
            <w:r>
              <w:rPr>
                <w:rFonts w:hint="eastAsia"/>
                <w:color w:val="auto"/>
                <w:sz w:val="24"/>
                <w:lang w:val="en-US" w:eastAsia="zh-CN"/>
              </w:rPr>
              <w:t>-260</w:t>
            </w:r>
            <w:r>
              <w:rPr>
                <w:color w:val="000000"/>
                <w:sz w:val="24"/>
              </w:rPr>
              <w:t>℃。此工序产生少量有机废气（G</w:t>
            </w:r>
            <w:r>
              <w:rPr>
                <w:rFonts w:hint="eastAsia"/>
                <w:color w:val="000000"/>
                <w:sz w:val="24"/>
                <w:lang w:val="en-US" w:eastAsia="zh-CN"/>
              </w:rPr>
              <w:t>1</w:t>
            </w:r>
            <w:r>
              <w:rPr>
                <w:color w:val="000000"/>
                <w:sz w:val="24"/>
              </w:rPr>
              <w:t>）。</w:t>
            </w:r>
          </w:p>
          <w:p>
            <w:pPr>
              <w:spacing w:line="360" w:lineRule="auto"/>
              <w:ind w:firstLine="566" w:firstLineChars="236"/>
              <w:rPr>
                <w:color w:val="000000"/>
                <w:sz w:val="24"/>
              </w:rPr>
            </w:pPr>
            <w:r>
              <w:rPr>
                <w:color w:val="000000"/>
                <w:sz w:val="24"/>
              </w:rPr>
              <w:t>注塑废气采用集气罩收集后，汇入两级活性炭箱吸附处理，尾气高空排放。活性炭吸附剂定期更换产生废活性炭（S1）。另外，外购塑料原料在使用后产生少量的废包装袋（S2），设备运行产生机械噪声</w:t>
            </w:r>
            <w:r>
              <w:rPr>
                <w:rFonts w:hint="eastAsia"/>
                <w:color w:val="000000"/>
                <w:sz w:val="24"/>
              </w:rPr>
              <w:t>（N）</w:t>
            </w:r>
            <w:r>
              <w:rPr>
                <w:color w:val="000000"/>
                <w:sz w:val="24"/>
              </w:rPr>
              <w:t>。</w:t>
            </w:r>
          </w:p>
          <w:p>
            <w:pPr>
              <w:spacing w:line="360" w:lineRule="auto"/>
              <w:ind w:firstLine="566" w:firstLineChars="236"/>
              <w:rPr>
                <w:rFonts w:hint="eastAsia"/>
                <w:color w:val="000000"/>
                <w:sz w:val="24"/>
              </w:rPr>
            </w:pPr>
            <w:r>
              <w:rPr>
                <w:color w:val="000000"/>
                <w:sz w:val="24"/>
              </w:rPr>
              <w:t>（</w:t>
            </w:r>
            <w:r>
              <w:rPr>
                <w:rFonts w:hint="eastAsia"/>
                <w:color w:val="000000"/>
                <w:sz w:val="24"/>
              </w:rPr>
              <w:t>4</w:t>
            </w:r>
            <w:r>
              <w:rPr>
                <w:color w:val="000000"/>
                <w:sz w:val="24"/>
              </w:rPr>
              <w:t>）冷却脱模</w:t>
            </w:r>
            <w:r>
              <w:rPr>
                <w:rFonts w:hint="eastAsia" w:ascii="宋体" w:hAnsi="宋体" w:cs="宋体"/>
                <w:color w:val="000000"/>
                <w:sz w:val="24"/>
              </w:rPr>
              <w:t>∶</w:t>
            </w:r>
            <w:r>
              <w:rPr>
                <w:color w:val="000000"/>
                <w:sz w:val="24"/>
              </w:rPr>
              <w:t>注塑机模具内塑料熔体通过冷却水进行冷却，使其固化成型，冷却水经过冷却塔冷却后循环使用，</w:t>
            </w:r>
            <w:r>
              <w:rPr>
                <w:rFonts w:hint="eastAsia"/>
                <w:color w:val="000000"/>
                <w:sz w:val="24"/>
              </w:rPr>
              <w:t>不外排，注塑件冷却固化后，便可开模取出塑料制品。</w:t>
            </w:r>
          </w:p>
          <w:p>
            <w:pPr>
              <w:spacing w:line="360" w:lineRule="auto"/>
              <w:ind w:firstLine="566" w:firstLineChars="236"/>
              <w:rPr>
                <w:color w:val="000000"/>
                <w:sz w:val="24"/>
              </w:rPr>
            </w:pPr>
            <w:r>
              <w:rPr>
                <w:rFonts w:hint="eastAsia"/>
                <w:color w:val="000000"/>
                <w:sz w:val="24"/>
              </w:rPr>
              <w:t>（5）去边角、检验、粉碎回用：脱模的塑料制品取下边角料与检验不合格产品送入粉碎机粉碎成约 3~6mm 的粒料后回用于注塑工序。该工序会产生破碎粉尘（G</w:t>
            </w:r>
            <w:r>
              <w:rPr>
                <w:rFonts w:hint="eastAsia"/>
                <w:color w:val="000000"/>
                <w:sz w:val="24"/>
                <w:lang w:val="en-US" w:eastAsia="zh-CN"/>
              </w:rPr>
              <w:t>2</w:t>
            </w:r>
            <w:r>
              <w:rPr>
                <w:rFonts w:hint="eastAsia"/>
                <w:color w:val="000000"/>
                <w:sz w:val="24"/>
              </w:rPr>
              <w:t>）及噪声（N）。</w:t>
            </w:r>
          </w:p>
          <w:p>
            <w:pPr>
              <w:spacing w:line="360" w:lineRule="auto"/>
              <w:ind w:firstLine="566" w:firstLineChars="236"/>
              <w:rPr>
                <w:rFonts w:hint="eastAsia" w:eastAsia="宋体"/>
                <w:lang w:eastAsia="zh-CN"/>
              </w:rPr>
            </w:pPr>
            <w:r>
              <w:rPr>
                <w:rFonts w:hint="eastAsia" w:ascii="Times New Roman" w:hAnsi="Times New Roman" w:eastAsia="宋体" w:cs="Times New Roman"/>
                <w:color w:val="000000"/>
                <w:kern w:val="2"/>
                <w:sz w:val="24"/>
                <w:szCs w:val="24"/>
                <w:lang w:val="en-US" w:eastAsia="zh-CN" w:bidi="ar-SA"/>
              </w:rPr>
              <w:t>（6）包装入库：合格成品，经</w:t>
            </w:r>
            <w:r>
              <w:rPr>
                <w:rFonts w:hint="eastAsia" w:ascii="Times New Roman" w:hAnsi="Times New Roman"/>
                <w:sz w:val="24"/>
                <w:szCs w:val="24"/>
                <w:lang w:val="en-US" w:eastAsia="zh-CN"/>
              </w:rPr>
              <w:t>包装</w:t>
            </w:r>
            <w:r>
              <w:rPr>
                <w:rFonts w:ascii="Times New Roman" w:hAnsi="Times New Roman" w:eastAsia="宋体"/>
                <w:sz w:val="24"/>
                <w:szCs w:val="24"/>
              </w:rPr>
              <w:t>暂存待外运出售</w:t>
            </w:r>
            <w:r>
              <w:rPr>
                <w:rFonts w:hint="eastAsia" w:ascii="Times New Roman" w:hAnsi="Times New Roman"/>
                <w:sz w:val="24"/>
                <w:szCs w:val="24"/>
                <w:lang w:eastAsia="zh-CN"/>
              </w:rPr>
              <w:t>。</w:t>
            </w:r>
            <w:r>
              <w:rPr>
                <w:rFonts w:hint="eastAsia"/>
                <w:color w:val="000000"/>
                <w:sz w:val="24"/>
              </w:rPr>
              <w:t>该工序会产生</w:t>
            </w:r>
            <w:r>
              <w:rPr>
                <w:rFonts w:hint="eastAsia"/>
                <w:color w:val="000000"/>
                <w:sz w:val="24"/>
                <w:lang w:val="en-US" w:eastAsia="zh-CN"/>
              </w:rPr>
              <w:t>废包装袋</w:t>
            </w:r>
            <w:r>
              <w:rPr>
                <w:rFonts w:hint="eastAsia"/>
                <w:color w:val="000000"/>
                <w:sz w:val="24"/>
              </w:rPr>
              <w:t>（</w:t>
            </w:r>
            <w:r>
              <w:rPr>
                <w:color w:val="000000"/>
                <w:sz w:val="24"/>
              </w:rPr>
              <w:t>S2</w:t>
            </w:r>
            <w:r>
              <w:rPr>
                <w:rFonts w:hint="eastAsia"/>
                <w:color w:val="000000"/>
                <w:sz w:val="24"/>
              </w:rPr>
              <w:t>）</w:t>
            </w:r>
            <w:r>
              <w:rPr>
                <w:rFonts w:hint="eastAsia"/>
                <w:color w:val="000000"/>
                <w:sz w:val="24"/>
                <w:lang w:eastAsia="zh-CN"/>
              </w:rPr>
              <w:t>。</w:t>
            </w:r>
          </w:p>
          <w:p>
            <w:pPr>
              <w:widowControl/>
              <w:autoSpaceDE w:val="0"/>
              <w:autoSpaceDN w:val="0"/>
              <w:adjustRightInd w:val="0"/>
              <w:spacing w:line="360" w:lineRule="auto"/>
              <w:ind w:firstLine="480" w:firstLineChars="200"/>
              <w:jc w:val="left"/>
              <w:rPr>
                <w:kern w:val="0"/>
                <w:sz w:val="24"/>
                <w:szCs w:val="20"/>
              </w:rPr>
            </w:pPr>
            <w:r>
              <w:rPr>
                <w:rFonts w:hint="eastAsia"/>
                <w:kern w:val="0"/>
                <w:sz w:val="24"/>
                <w:szCs w:val="20"/>
              </w:rPr>
              <w:t>本</w:t>
            </w:r>
            <w:r>
              <w:rPr>
                <w:kern w:val="0"/>
                <w:sz w:val="24"/>
                <w:szCs w:val="20"/>
              </w:rPr>
              <w:t>项目运营期主要污染工序及污染因子见下表。</w:t>
            </w:r>
          </w:p>
          <w:p>
            <w:pPr>
              <w:jc w:val="center"/>
              <w:rPr>
                <w:b/>
                <w:sz w:val="24"/>
              </w:rPr>
            </w:pPr>
            <w:r>
              <w:rPr>
                <w:b/>
                <w:sz w:val="24"/>
              </w:rPr>
              <w:t>表</w:t>
            </w:r>
            <w:r>
              <w:rPr>
                <w:rFonts w:hint="eastAsia"/>
                <w:b/>
                <w:sz w:val="24"/>
              </w:rPr>
              <w:t>2</w:t>
            </w:r>
            <w:r>
              <w:rPr>
                <w:b/>
                <w:sz w:val="24"/>
              </w:rPr>
              <w:t>-</w:t>
            </w:r>
            <w:r>
              <w:rPr>
                <w:rFonts w:hint="eastAsia"/>
                <w:b/>
                <w:sz w:val="24"/>
                <w:lang w:val="en-US" w:eastAsia="zh-CN"/>
              </w:rPr>
              <w:t xml:space="preserve">8 </w:t>
            </w:r>
            <w:r>
              <w:rPr>
                <w:b/>
                <w:sz w:val="24"/>
              </w:rPr>
              <w:t xml:space="preserve"> </w:t>
            </w:r>
            <w:r>
              <w:rPr>
                <w:rFonts w:hint="eastAsia"/>
                <w:b/>
                <w:sz w:val="24"/>
              </w:rPr>
              <w:t>本项目</w:t>
            </w:r>
            <w:r>
              <w:rPr>
                <w:b/>
                <w:sz w:val="24"/>
              </w:rPr>
              <w:t>运营期主要污染工序一览表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49"/>
              <w:gridCol w:w="1133"/>
              <w:gridCol w:w="2268"/>
              <w:gridCol w:w="373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4" w:type="pct"/>
                  <w:vAlign w:val="center"/>
                </w:tcPr>
                <w:p>
                  <w:pPr>
                    <w:adjustRightInd w:val="0"/>
                    <w:snapToGrid w:val="0"/>
                    <w:jc w:val="center"/>
                    <w:rPr>
                      <w:b/>
                      <w:bCs/>
                      <w:szCs w:val="21"/>
                    </w:rPr>
                  </w:pPr>
                  <w:r>
                    <w:rPr>
                      <w:b/>
                      <w:bCs/>
                      <w:szCs w:val="21"/>
                    </w:rPr>
                    <w:t>污</w:t>
                  </w:r>
                  <w:r>
                    <w:rPr>
                      <w:rFonts w:hint="eastAsia"/>
                      <w:b/>
                      <w:bCs/>
                      <w:szCs w:val="21"/>
                    </w:rPr>
                    <w:t>染</w:t>
                  </w:r>
                  <w:r>
                    <w:rPr>
                      <w:b/>
                      <w:bCs/>
                      <w:szCs w:val="21"/>
                    </w:rPr>
                    <w:t>类别</w:t>
                  </w:r>
                </w:p>
              </w:tc>
              <w:tc>
                <w:tcPr>
                  <w:tcW w:w="675" w:type="pct"/>
                  <w:vAlign w:val="center"/>
                </w:tcPr>
                <w:p>
                  <w:pPr>
                    <w:adjustRightInd w:val="0"/>
                    <w:snapToGrid w:val="0"/>
                    <w:jc w:val="center"/>
                    <w:rPr>
                      <w:b/>
                      <w:bCs/>
                      <w:szCs w:val="21"/>
                    </w:rPr>
                  </w:pPr>
                  <w:r>
                    <w:rPr>
                      <w:b/>
                      <w:bCs/>
                      <w:szCs w:val="21"/>
                    </w:rPr>
                    <w:t>污染源</w:t>
                  </w:r>
                </w:p>
                <w:p>
                  <w:pPr>
                    <w:adjustRightInd w:val="0"/>
                    <w:snapToGrid w:val="0"/>
                    <w:jc w:val="center"/>
                    <w:rPr>
                      <w:b/>
                      <w:bCs/>
                      <w:szCs w:val="21"/>
                    </w:rPr>
                  </w:pPr>
                  <w:r>
                    <w:rPr>
                      <w:b/>
                      <w:bCs/>
                      <w:szCs w:val="21"/>
                    </w:rPr>
                    <w:t>编号</w:t>
                  </w:r>
                </w:p>
              </w:tc>
              <w:tc>
                <w:tcPr>
                  <w:tcW w:w="1351" w:type="pct"/>
                  <w:vAlign w:val="center"/>
                </w:tcPr>
                <w:p>
                  <w:pPr>
                    <w:adjustRightInd w:val="0"/>
                    <w:snapToGrid w:val="0"/>
                    <w:jc w:val="center"/>
                    <w:rPr>
                      <w:b/>
                      <w:bCs/>
                      <w:szCs w:val="21"/>
                    </w:rPr>
                  </w:pPr>
                  <w:r>
                    <w:rPr>
                      <w:b/>
                      <w:bCs/>
                      <w:szCs w:val="21"/>
                    </w:rPr>
                    <w:t>产生工序</w:t>
                  </w:r>
                </w:p>
              </w:tc>
              <w:tc>
                <w:tcPr>
                  <w:tcW w:w="2228" w:type="pct"/>
                  <w:vAlign w:val="center"/>
                </w:tcPr>
                <w:p>
                  <w:pPr>
                    <w:adjustRightInd w:val="0"/>
                    <w:snapToGrid w:val="0"/>
                    <w:jc w:val="center"/>
                    <w:rPr>
                      <w:b/>
                      <w:bCs/>
                      <w:szCs w:val="21"/>
                    </w:rPr>
                  </w:pPr>
                  <w:r>
                    <w:rPr>
                      <w:rFonts w:hint="eastAsia"/>
                      <w:b/>
                      <w:bCs/>
                      <w:szCs w:val="21"/>
                    </w:rPr>
                    <w:t>主要</w:t>
                  </w:r>
                  <w:r>
                    <w:rPr>
                      <w:b/>
                      <w:bCs/>
                      <w:szCs w:val="21"/>
                    </w:rPr>
                    <w:t>污染因子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4" w:type="pct"/>
                  <w:vMerge w:val="restart"/>
                  <w:vAlign w:val="center"/>
                </w:tcPr>
                <w:p>
                  <w:pPr>
                    <w:adjustRightInd w:val="0"/>
                    <w:snapToGrid w:val="0"/>
                    <w:jc w:val="center"/>
                    <w:rPr>
                      <w:rFonts w:hint="eastAsia" w:eastAsia="宋体"/>
                      <w:bCs/>
                      <w:szCs w:val="21"/>
                      <w:lang w:val="en-US" w:eastAsia="zh-CN"/>
                    </w:rPr>
                  </w:pPr>
                  <w:r>
                    <w:rPr>
                      <w:rFonts w:hint="eastAsia"/>
                      <w:bCs/>
                      <w:szCs w:val="21"/>
                      <w:lang w:val="en-US" w:eastAsia="zh-CN"/>
                    </w:rPr>
                    <w:t>废气</w:t>
                  </w:r>
                </w:p>
              </w:tc>
              <w:tc>
                <w:tcPr>
                  <w:tcW w:w="675" w:type="pct"/>
                  <w:vAlign w:val="center"/>
                </w:tcPr>
                <w:p>
                  <w:pPr>
                    <w:adjustRightInd w:val="0"/>
                    <w:snapToGrid w:val="0"/>
                    <w:jc w:val="center"/>
                    <w:rPr>
                      <w:rFonts w:hint="eastAsia" w:eastAsia="宋体"/>
                      <w:bCs/>
                      <w:szCs w:val="21"/>
                      <w:lang w:eastAsia="zh-CN"/>
                    </w:rPr>
                  </w:pPr>
                  <w:r>
                    <w:rPr>
                      <w:bCs/>
                      <w:szCs w:val="21"/>
                    </w:rPr>
                    <w:t>G</w:t>
                  </w:r>
                  <w:r>
                    <w:rPr>
                      <w:rFonts w:hint="eastAsia"/>
                      <w:bCs/>
                      <w:szCs w:val="21"/>
                      <w:lang w:val="en-US" w:eastAsia="zh-CN"/>
                    </w:rPr>
                    <w:t>1</w:t>
                  </w:r>
                </w:p>
              </w:tc>
              <w:tc>
                <w:tcPr>
                  <w:tcW w:w="1351" w:type="pct"/>
                  <w:vAlign w:val="center"/>
                </w:tcPr>
                <w:p>
                  <w:pPr>
                    <w:adjustRightInd w:val="0"/>
                    <w:snapToGrid w:val="0"/>
                    <w:jc w:val="center"/>
                    <w:rPr>
                      <w:rFonts w:hint="default"/>
                      <w:bCs/>
                      <w:szCs w:val="21"/>
                      <w:lang w:val="en-US" w:eastAsia="zh-CN"/>
                    </w:rPr>
                  </w:pPr>
                  <w:r>
                    <w:rPr>
                      <w:rFonts w:hint="eastAsia"/>
                      <w:bCs/>
                      <w:szCs w:val="21"/>
                      <w:lang w:val="en-US" w:eastAsia="zh-CN"/>
                    </w:rPr>
                    <w:t>注塑</w:t>
                  </w:r>
                </w:p>
              </w:tc>
              <w:tc>
                <w:tcPr>
                  <w:tcW w:w="2228" w:type="pct"/>
                  <w:vAlign w:val="center"/>
                </w:tcPr>
                <w:p>
                  <w:pPr>
                    <w:adjustRightInd w:val="0"/>
                    <w:snapToGrid w:val="0"/>
                    <w:jc w:val="center"/>
                    <w:rPr>
                      <w:rFonts w:hint="default" w:eastAsia="宋体"/>
                      <w:bCs/>
                      <w:szCs w:val="21"/>
                      <w:lang w:val="en-US" w:eastAsia="zh-CN"/>
                    </w:rPr>
                  </w:pPr>
                  <w:r>
                    <w:rPr>
                      <w:rFonts w:hint="eastAsia"/>
                      <w:bCs/>
                      <w:szCs w:val="21"/>
                      <w:lang w:val="en-US" w:eastAsia="zh-CN"/>
                    </w:rPr>
                    <w:t>非甲烷总烃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4" w:type="pct"/>
                  <w:vMerge w:val="continue"/>
                  <w:vAlign w:val="center"/>
                </w:tcPr>
                <w:p>
                  <w:pPr>
                    <w:adjustRightInd w:val="0"/>
                    <w:snapToGrid w:val="0"/>
                    <w:jc w:val="center"/>
                    <w:rPr>
                      <w:bCs/>
                      <w:szCs w:val="21"/>
                    </w:rPr>
                  </w:pPr>
                </w:p>
              </w:tc>
              <w:tc>
                <w:tcPr>
                  <w:tcW w:w="675" w:type="pct"/>
                  <w:vAlign w:val="center"/>
                </w:tcPr>
                <w:p>
                  <w:pPr>
                    <w:adjustRightInd w:val="0"/>
                    <w:snapToGrid w:val="0"/>
                    <w:jc w:val="center"/>
                    <w:rPr>
                      <w:rFonts w:hint="eastAsia" w:eastAsia="宋体"/>
                      <w:bCs/>
                      <w:szCs w:val="21"/>
                      <w:lang w:eastAsia="zh-CN"/>
                    </w:rPr>
                  </w:pPr>
                  <w:r>
                    <w:rPr>
                      <w:bCs/>
                      <w:szCs w:val="21"/>
                    </w:rPr>
                    <w:t>G</w:t>
                  </w:r>
                  <w:r>
                    <w:rPr>
                      <w:rFonts w:hint="eastAsia"/>
                      <w:bCs/>
                      <w:szCs w:val="21"/>
                      <w:lang w:val="en-US" w:eastAsia="zh-CN"/>
                    </w:rPr>
                    <w:t>2</w:t>
                  </w:r>
                </w:p>
              </w:tc>
              <w:tc>
                <w:tcPr>
                  <w:tcW w:w="1351" w:type="pct"/>
                  <w:vAlign w:val="center"/>
                </w:tcPr>
                <w:p>
                  <w:pPr>
                    <w:adjustRightInd w:val="0"/>
                    <w:snapToGrid w:val="0"/>
                    <w:jc w:val="center"/>
                    <w:rPr>
                      <w:rFonts w:hint="eastAsia" w:eastAsia="宋体"/>
                      <w:bCs/>
                      <w:szCs w:val="21"/>
                      <w:lang w:eastAsia="zh-CN"/>
                    </w:rPr>
                  </w:pPr>
                  <w:r>
                    <w:rPr>
                      <w:rFonts w:hint="eastAsia"/>
                      <w:bCs/>
                      <w:szCs w:val="21"/>
                      <w:lang w:val="en-US" w:eastAsia="zh-CN"/>
                    </w:rPr>
                    <w:t>破碎</w:t>
                  </w:r>
                </w:p>
              </w:tc>
              <w:tc>
                <w:tcPr>
                  <w:tcW w:w="2228" w:type="pct"/>
                  <w:vAlign w:val="center"/>
                </w:tcPr>
                <w:p>
                  <w:pPr>
                    <w:adjustRightInd w:val="0"/>
                    <w:snapToGrid w:val="0"/>
                    <w:jc w:val="center"/>
                    <w:rPr>
                      <w:bCs/>
                      <w:szCs w:val="21"/>
                    </w:rPr>
                  </w:pPr>
                  <w:r>
                    <w:rPr>
                      <w:rFonts w:hint="eastAsia"/>
                      <w:bCs/>
                      <w:szCs w:val="21"/>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4" w:type="pct"/>
                  <w:vAlign w:val="center"/>
                </w:tcPr>
                <w:p>
                  <w:pPr>
                    <w:adjustRightInd w:val="0"/>
                    <w:snapToGrid w:val="0"/>
                    <w:jc w:val="center"/>
                    <w:rPr>
                      <w:bCs/>
                      <w:szCs w:val="21"/>
                    </w:rPr>
                  </w:pPr>
                  <w:r>
                    <w:rPr>
                      <w:bCs/>
                      <w:szCs w:val="21"/>
                    </w:rPr>
                    <w:t>噪声</w:t>
                  </w:r>
                </w:p>
              </w:tc>
              <w:tc>
                <w:tcPr>
                  <w:tcW w:w="675" w:type="pct"/>
                  <w:vAlign w:val="center"/>
                </w:tcPr>
                <w:p>
                  <w:pPr>
                    <w:adjustRightInd w:val="0"/>
                    <w:snapToGrid w:val="0"/>
                    <w:jc w:val="center"/>
                    <w:rPr>
                      <w:bCs/>
                      <w:szCs w:val="21"/>
                    </w:rPr>
                  </w:pPr>
                  <w:r>
                    <w:rPr>
                      <w:bCs/>
                      <w:szCs w:val="21"/>
                    </w:rPr>
                    <w:t>设备噪声</w:t>
                  </w:r>
                </w:p>
              </w:tc>
              <w:tc>
                <w:tcPr>
                  <w:tcW w:w="1351" w:type="pct"/>
                  <w:vAlign w:val="center"/>
                </w:tcPr>
                <w:p>
                  <w:pPr>
                    <w:adjustRightInd w:val="0"/>
                    <w:snapToGrid w:val="0"/>
                    <w:jc w:val="center"/>
                    <w:rPr>
                      <w:bCs/>
                      <w:szCs w:val="21"/>
                    </w:rPr>
                  </w:pPr>
                  <w:r>
                    <w:rPr>
                      <w:bCs/>
                      <w:szCs w:val="21"/>
                    </w:rPr>
                    <w:t>设备运行</w:t>
                  </w:r>
                </w:p>
              </w:tc>
              <w:tc>
                <w:tcPr>
                  <w:tcW w:w="2228" w:type="pct"/>
                  <w:vAlign w:val="center"/>
                </w:tcPr>
                <w:p>
                  <w:pPr>
                    <w:adjustRightInd w:val="0"/>
                    <w:snapToGrid w:val="0"/>
                    <w:ind w:left="-105" w:leftChars="-50" w:right="-105" w:rightChars="-50"/>
                    <w:jc w:val="center"/>
                    <w:rPr>
                      <w:rFonts w:hAnsi="宋体"/>
                      <w:szCs w:val="21"/>
                    </w:rPr>
                  </w:pPr>
                  <w:r>
                    <w:rPr>
                      <w:rFonts w:hAnsi="宋体"/>
                      <w:szCs w:val="21"/>
                    </w:rPr>
                    <w:t>机械噪声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4" w:type="pct"/>
                  <w:vMerge w:val="restart"/>
                  <w:vAlign w:val="center"/>
                </w:tcPr>
                <w:p>
                  <w:pPr>
                    <w:adjustRightInd w:val="0"/>
                    <w:snapToGrid w:val="0"/>
                    <w:jc w:val="center"/>
                    <w:rPr>
                      <w:bCs/>
                      <w:szCs w:val="21"/>
                    </w:rPr>
                  </w:pPr>
                  <w:r>
                    <w:rPr>
                      <w:bCs/>
                      <w:szCs w:val="21"/>
                    </w:rPr>
                    <w:t>固废</w:t>
                  </w:r>
                </w:p>
              </w:tc>
              <w:tc>
                <w:tcPr>
                  <w:tcW w:w="675" w:type="pct"/>
                  <w:vAlign w:val="center"/>
                </w:tcPr>
                <w:p>
                  <w:pPr>
                    <w:adjustRightInd w:val="0"/>
                    <w:snapToGrid w:val="0"/>
                    <w:jc w:val="center"/>
                    <w:rPr>
                      <w:bCs/>
                      <w:szCs w:val="21"/>
                    </w:rPr>
                  </w:pPr>
                  <w:r>
                    <w:rPr>
                      <w:bCs/>
                      <w:szCs w:val="21"/>
                    </w:rPr>
                    <w:t>S</w:t>
                  </w:r>
                  <w:r>
                    <w:rPr>
                      <w:rFonts w:hint="eastAsia"/>
                      <w:bCs/>
                      <w:szCs w:val="21"/>
                    </w:rPr>
                    <w:t>1</w:t>
                  </w:r>
                </w:p>
              </w:tc>
              <w:tc>
                <w:tcPr>
                  <w:tcW w:w="1351" w:type="pct"/>
                  <w:vAlign w:val="center"/>
                </w:tcPr>
                <w:p>
                  <w:pPr>
                    <w:adjustRightInd w:val="0"/>
                    <w:snapToGrid w:val="0"/>
                    <w:jc w:val="center"/>
                    <w:rPr>
                      <w:rFonts w:hint="default" w:eastAsia="宋体"/>
                      <w:bCs/>
                      <w:szCs w:val="21"/>
                      <w:lang w:val="en-US" w:eastAsia="zh-CN"/>
                    </w:rPr>
                  </w:pPr>
                  <w:r>
                    <w:rPr>
                      <w:rFonts w:hint="eastAsia"/>
                      <w:bCs/>
                      <w:szCs w:val="21"/>
                      <w:lang w:val="en-US" w:eastAsia="zh-CN"/>
                    </w:rPr>
                    <w:t>注塑废气处理</w:t>
                  </w:r>
                </w:p>
              </w:tc>
              <w:tc>
                <w:tcPr>
                  <w:tcW w:w="2228" w:type="pct"/>
                  <w:vAlign w:val="center"/>
                </w:tcPr>
                <w:p>
                  <w:pPr>
                    <w:adjustRightInd w:val="0"/>
                    <w:snapToGrid w:val="0"/>
                    <w:ind w:left="-105" w:leftChars="-50" w:right="-105" w:rightChars="-50"/>
                    <w:jc w:val="center"/>
                    <w:rPr>
                      <w:rFonts w:hint="eastAsia" w:hAnsi="宋体" w:eastAsia="宋体"/>
                      <w:szCs w:val="21"/>
                      <w:lang w:eastAsia="zh-CN"/>
                    </w:rPr>
                  </w:pPr>
                  <w:r>
                    <w:rPr>
                      <w:rFonts w:hint="eastAsia" w:hAnsi="宋体"/>
                      <w:szCs w:val="21"/>
                      <w:lang w:val="en-US" w:eastAsia="zh-CN"/>
                    </w:rPr>
                    <w:t>废活性炭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4" w:type="pct"/>
                  <w:vMerge w:val="continue"/>
                  <w:vAlign w:val="center"/>
                </w:tcPr>
                <w:p>
                  <w:pPr>
                    <w:adjustRightInd w:val="0"/>
                    <w:snapToGrid w:val="0"/>
                    <w:jc w:val="center"/>
                    <w:rPr>
                      <w:bCs/>
                      <w:szCs w:val="21"/>
                    </w:rPr>
                  </w:pPr>
                </w:p>
              </w:tc>
              <w:tc>
                <w:tcPr>
                  <w:tcW w:w="675" w:type="pct"/>
                  <w:vAlign w:val="center"/>
                </w:tcPr>
                <w:p>
                  <w:pPr>
                    <w:adjustRightInd w:val="0"/>
                    <w:snapToGrid w:val="0"/>
                    <w:jc w:val="center"/>
                    <w:rPr>
                      <w:bCs/>
                      <w:szCs w:val="21"/>
                    </w:rPr>
                  </w:pPr>
                  <w:r>
                    <w:rPr>
                      <w:bCs/>
                      <w:szCs w:val="21"/>
                    </w:rPr>
                    <w:t>S</w:t>
                  </w:r>
                  <w:r>
                    <w:rPr>
                      <w:rFonts w:hint="eastAsia"/>
                      <w:bCs/>
                      <w:szCs w:val="21"/>
                    </w:rPr>
                    <w:t>2</w:t>
                  </w:r>
                </w:p>
              </w:tc>
              <w:tc>
                <w:tcPr>
                  <w:tcW w:w="1351" w:type="pct"/>
                  <w:vAlign w:val="center"/>
                </w:tcPr>
                <w:p>
                  <w:pPr>
                    <w:adjustRightInd w:val="0"/>
                    <w:snapToGrid w:val="0"/>
                    <w:jc w:val="center"/>
                    <w:rPr>
                      <w:rFonts w:hint="default" w:eastAsia="宋体"/>
                      <w:szCs w:val="21"/>
                      <w:lang w:val="en-US" w:eastAsia="zh-CN"/>
                    </w:rPr>
                  </w:pPr>
                  <w:r>
                    <w:rPr>
                      <w:rFonts w:hint="eastAsia"/>
                      <w:szCs w:val="21"/>
                      <w:lang w:val="en-US" w:eastAsia="zh-CN"/>
                    </w:rPr>
                    <w:t>打包</w:t>
                  </w:r>
                </w:p>
              </w:tc>
              <w:tc>
                <w:tcPr>
                  <w:tcW w:w="2228" w:type="pct"/>
                  <w:vAlign w:val="center"/>
                </w:tcPr>
                <w:p>
                  <w:pPr>
                    <w:adjustRightInd w:val="0"/>
                    <w:snapToGrid w:val="0"/>
                    <w:ind w:left="-105" w:leftChars="-50" w:right="-105" w:rightChars="-50"/>
                    <w:jc w:val="center"/>
                    <w:rPr>
                      <w:rFonts w:hint="default" w:hAnsi="宋体" w:eastAsia="宋体"/>
                      <w:szCs w:val="21"/>
                      <w:lang w:val="en-US" w:eastAsia="zh-CN"/>
                    </w:rPr>
                  </w:pPr>
                  <w:r>
                    <w:rPr>
                      <w:rFonts w:hint="eastAsia" w:hAnsi="宋体"/>
                      <w:szCs w:val="21"/>
                    </w:rPr>
                    <w:t>废</w:t>
                  </w:r>
                  <w:r>
                    <w:rPr>
                      <w:rFonts w:hint="eastAsia" w:hAnsi="宋体"/>
                      <w:szCs w:val="21"/>
                      <w:lang w:val="en-US" w:eastAsia="zh-CN"/>
                    </w:rPr>
                    <w:t>包装袋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4" w:type="pct"/>
                  <w:vMerge w:val="continue"/>
                  <w:vAlign w:val="center"/>
                </w:tcPr>
                <w:p>
                  <w:pPr>
                    <w:adjustRightInd w:val="0"/>
                    <w:snapToGrid w:val="0"/>
                    <w:jc w:val="center"/>
                    <w:rPr>
                      <w:bCs/>
                      <w:szCs w:val="21"/>
                    </w:rPr>
                  </w:pPr>
                </w:p>
              </w:tc>
              <w:tc>
                <w:tcPr>
                  <w:tcW w:w="675" w:type="pct"/>
                  <w:vAlign w:val="center"/>
                </w:tcPr>
                <w:p>
                  <w:pPr>
                    <w:adjustRightInd w:val="0"/>
                    <w:snapToGrid w:val="0"/>
                    <w:jc w:val="center"/>
                    <w:rPr>
                      <w:rFonts w:hint="default" w:eastAsia="宋体"/>
                      <w:bCs/>
                      <w:color w:val="000000"/>
                      <w:szCs w:val="21"/>
                      <w:lang w:val="en-US" w:eastAsia="zh-CN"/>
                    </w:rPr>
                  </w:pPr>
                  <w:r>
                    <w:rPr>
                      <w:rFonts w:hint="eastAsia"/>
                      <w:bCs/>
                      <w:color w:val="000000"/>
                      <w:szCs w:val="21"/>
                      <w:lang w:val="en-US" w:eastAsia="zh-CN"/>
                    </w:rPr>
                    <w:t>S3</w:t>
                  </w:r>
                </w:p>
              </w:tc>
              <w:tc>
                <w:tcPr>
                  <w:tcW w:w="1351" w:type="pct"/>
                  <w:vAlign w:val="center"/>
                </w:tcPr>
                <w:p>
                  <w:pPr>
                    <w:adjustRightInd w:val="0"/>
                    <w:snapToGrid w:val="0"/>
                    <w:jc w:val="center"/>
                    <w:rPr>
                      <w:rFonts w:hint="default" w:eastAsia="宋体"/>
                      <w:bCs/>
                      <w:color w:val="000000"/>
                      <w:szCs w:val="21"/>
                      <w:lang w:val="en-US" w:eastAsia="zh-CN"/>
                    </w:rPr>
                  </w:pPr>
                  <w:r>
                    <w:rPr>
                      <w:rFonts w:hint="eastAsia"/>
                      <w:bCs/>
                      <w:color w:val="000000"/>
                      <w:szCs w:val="21"/>
                      <w:lang w:val="en-US" w:eastAsia="zh-CN"/>
                    </w:rPr>
                    <w:t>机械润滑</w:t>
                  </w:r>
                </w:p>
              </w:tc>
              <w:tc>
                <w:tcPr>
                  <w:tcW w:w="2228" w:type="pct"/>
                  <w:vAlign w:val="center"/>
                </w:tcPr>
                <w:p>
                  <w:pPr>
                    <w:adjustRightInd w:val="0"/>
                    <w:snapToGrid w:val="0"/>
                    <w:ind w:left="-105" w:leftChars="-50" w:right="-105" w:rightChars="-50"/>
                    <w:jc w:val="center"/>
                    <w:rPr>
                      <w:rFonts w:hint="default" w:hAnsi="宋体" w:eastAsia="宋体"/>
                      <w:szCs w:val="21"/>
                      <w:lang w:val="en-US" w:eastAsia="zh-CN"/>
                    </w:rPr>
                  </w:pPr>
                  <w:r>
                    <w:rPr>
                      <w:rFonts w:hint="eastAsia" w:hAnsi="宋体"/>
                      <w:szCs w:val="21"/>
                      <w:lang w:val="en-US" w:eastAsia="zh-CN"/>
                    </w:rPr>
                    <w:t>废润滑油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4" w:type="pct"/>
                  <w:vMerge w:val="continue"/>
                  <w:vAlign w:val="center"/>
                </w:tcPr>
                <w:p>
                  <w:pPr>
                    <w:adjustRightInd w:val="0"/>
                    <w:snapToGrid w:val="0"/>
                    <w:jc w:val="center"/>
                    <w:rPr>
                      <w:bCs/>
                      <w:szCs w:val="21"/>
                    </w:rPr>
                  </w:pPr>
                </w:p>
              </w:tc>
              <w:tc>
                <w:tcPr>
                  <w:tcW w:w="675" w:type="pct"/>
                  <w:vAlign w:val="center"/>
                </w:tcPr>
                <w:p>
                  <w:pPr>
                    <w:adjustRightInd w:val="0"/>
                    <w:snapToGrid w:val="0"/>
                    <w:jc w:val="center"/>
                    <w:rPr>
                      <w:rFonts w:hint="eastAsia"/>
                      <w:bCs/>
                      <w:color w:val="000000"/>
                      <w:szCs w:val="21"/>
                      <w:lang w:val="en-US" w:eastAsia="zh-CN"/>
                    </w:rPr>
                  </w:pPr>
                  <w:r>
                    <w:rPr>
                      <w:rFonts w:hint="eastAsia"/>
                      <w:bCs/>
                      <w:color w:val="000000"/>
                      <w:szCs w:val="21"/>
                      <w:lang w:val="en-US" w:eastAsia="zh-CN"/>
                    </w:rPr>
                    <w:t>S4</w:t>
                  </w:r>
                </w:p>
              </w:tc>
              <w:tc>
                <w:tcPr>
                  <w:tcW w:w="1351" w:type="pct"/>
                  <w:vAlign w:val="center"/>
                </w:tcPr>
                <w:p>
                  <w:pPr>
                    <w:adjustRightInd w:val="0"/>
                    <w:snapToGrid w:val="0"/>
                    <w:jc w:val="center"/>
                    <w:rPr>
                      <w:rFonts w:hint="eastAsia"/>
                      <w:bCs/>
                      <w:color w:val="000000"/>
                      <w:szCs w:val="21"/>
                      <w:lang w:val="en-US" w:eastAsia="zh-CN"/>
                    </w:rPr>
                  </w:pPr>
                  <w:r>
                    <w:rPr>
                      <w:rFonts w:hint="eastAsia"/>
                      <w:bCs/>
                      <w:color w:val="000000"/>
                      <w:szCs w:val="21"/>
                      <w:lang w:val="en-US" w:eastAsia="zh-CN"/>
                    </w:rPr>
                    <w:t>机械润滑</w:t>
                  </w:r>
                </w:p>
              </w:tc>
              <w:tc>
                <w:tcPr>
                  <w:tcW w:w="2228" w:type="pct"/>
                  <w:vAlign w:val="center"/>
                </w:tcPr>
                <w:p>
                  <w:pPr>
                    <w:adjustRightInd w:val="0"/>
                    <w:snapToGrid w:val="0"/>
                    <w:ind w:left="-105" w:leftChars="-50" w:right="-105" w:rightChars="-50"/>
                    <w:jc w:val="center"/>
                    <w:rPr>
                      <w:rFonts w:hint="default" w:hAnsi="宋体"/>
                      <w:szCs w:val="21"/>
                      <w:lang w:val="en-US" w:eastAsia="zh-CN"/>
                    </w:rPr>
                  </w:pPr>
                  <w:r>
                    <w:rPr>
                      <w:rFonts w:hint="eastAsia" w:hAnsi="宋体"/>
                      <w:szCs w:val="21"/>
                      <w:lang w:val="en-US" w:eastAsia="zh-CN"/>
                    </w:rPr>
                    <w:t>废润滑油桶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4" w:type="pct"/>
                  <w:vMerge w:val="continue"/>
                  <w:vAlign w:val="center"/>
                </w:tcPr>
                <w:p>
                  <w:pPr>
                    <w:adjustRightInd w:val="0"/>
                    <w:snapToGrid w:val="0"/>
                    <w:jc w:val="center"/>
                    <w:rPr>
                      <w:bCs/>
                      <w:szCs w:val="21"/>
                    </w:rPr>
                  </w:pPr>
                </w:p>
              </w:tc>
              <w:tc>
                <w:tcPr>
                  <w:tcW w:w="675" w:type="pct"/>
                  <w:vAlign w:val="center"/>
                </w:tcPr>
                <w:p>
                  <w:pPr>
                    <w:adjustRightInd w:val="0"/>
                    <w:snapToGrid w:val="0"/>
                    <w:jc w:val="center"/>
                    <w:rPr>
                      <w:rFonts w:hint="eastAsia"/>
                      <w:bCs/>
                      <w:color w:val="000000"/>
                      <w:szCs w:val="21"/>
                      <w:lang w:val="en-US" w:eastAsia="zh-CN"/>
                    </w:rPr>
                  </w:pPr>
                  <w:r>
                    <w:rPr>
                      <w:rFonts w:hint="eastAsia"/>
                      <w:bCs/>
                      <w:color w:val="000000"/>
                      <w:szCs w:val="21"/>
                      <w:lang w:val="en-US" w:eastAsia="zh-CN"/>
                    </w:rPr>
                    <w:t>S5</w:t>
                  </w:r>
                </w:p>
              </w:tc>
              <w:tc>
                <w:tcPr>
                  <w:tcW w:w="1351" w:type="pct"/>
                  <w:vAlign w:val="center"/>
                </w:tcPr>
                <w:p>
                  <w:pPr>
                    <w:adjustRightInd w:val="0"/>
                    <w:snapToGrid w:val="0"/>
                    <w:jc w:val="center"/>
                    <w:rPr>
                      <w:rFonts w:hint="eastAsia"/>
                      <w:bCs/>
                      <w:color w:val="000000"/>
                      <w:szCs w:val="21"/>
                      <w:lang w:val="en-US" w:eastAsia="zh-CN"/>
                    </w:rPr>
                  </w:pPr>
                  <w:r>
                    <w:rPr>
                      <w:rFonts w:hint="eastAsia"/>
                      <w:bCs/>
                      <w:color w:val="000000"/>
                      <w:szCs w:val="21"/>
                      <w:lang w:val="en-US" w:eastAsia="zh-CN"/>
                    </w:rPr>
                    <w:t>机械维护</w:t>
                  </w:r>
                </w:p>
              </w:tc>
              <w:tc>
                <w:tcPr>
                  <w:tcW w:w="2228" w:type="pct"/>
                  <w:vAlign w:val="center"/>
                </w:tcPr>
                <w:p>
                  <w:pPr>
                    <w:adjustRightInd w:val="0"/>
                    <w:snapToGrid w:val="0"/>
                    <w:ind w:left="-105" w:leftChars="-50" w:right="-105" w:rightChars="-50"/>
                    <w:jc w:val="center"/>
                    <w:rPr>
                      <w:rFonts w:hint="default" w:hAnsi="宋体"/>
                      <w:szCs w:val="21"/>
                      <w:lang w:val="en-US" w:eastAsia="zh-CN"/>
                    </w:rPr>
                  </w:pPr>
                  <w:r>
                    <w:rPr>
                      <w:rFonts w:hint="eastAsia" w:hAnsi="宋体"/>
                      <w:szCs w:val="21"/>
                      <w:lang w:val="en-US" w:eastAsia="zh-CN"/>
                    </w:rPr>
                    <w:t>废含油手套抹布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4" w:type="pct"/>
                  <w:vMerge w:val="continue"/>
                  <w:vAlign w:val="center"/>
                </w:tcPr>
                <w:p>
                  <w:pPr>
                    <w:adjustRightInd w:val="0"/>
                    <w:snapToGrid w:val="0"/>
                    <w:jc w:val="center"/>
                    <w:rPr>
                      <w:bCs/>
                      <w:szCs w:val="21"/>
                    </w:rPr>
                  </w:pPr>
                </w:p>
              </w:tc>
              <w:tc>
                <w:tcPr>
                  <w:tcW w:w="675" w:type="pct"/>
                  <w:vAlign w:val="center"/>
                </w:tcPr>
                <w:p>
                  <w:pPr>
                    <w:adjustRightInd w:val="0"/>
                    <w:snapToGrid w:val="0"/>
                    <w:jc w:val="center"/>
                    <w:rPr>
                      <w:rFonts w:hint="default" w:eastAsia="宋体"/>
                      <w:bCs/>
                      <w:color w:val="000000"/>
                      <w:szCs w:val="21"/>
                      <w:lang w:val="en-US" w:eastAsia="zh-CN"/>
                    </w:rPr>
                  </w:pPr>
                  <w:r>
                    <w:rPr>
                      <w:rFonts w:hint="eastAsia"/>
                      <w:bCs/>
                      <w:color w:val="000000"/>
                      <w:szCs w:val="21"/>
                      <w:lang w:val="en-US" w:eastAsia="zh-CN"/>
                    </w:rPr>
                    <w:t>S6</w:t>
                  </w:r>
                </w:p>
              </w:tc>
              <w:tc>
                <w:tcPr>
                  <w:tcW w:w="1351" w:type="pct"/>
                  <w:vAlign w:val="center"/>
                </w:tcPr>
                <w:p>
                  <w:pPr>
                    <w:adjustRightInd w:val="0"/>
                    <w:snapToGrid w:val="0"/>
                    <w:jc w:val="center"/>
                    <w:rPr>
                      <w:bCs/>
                      <w:color w:val="000000"/>
                      <w:szCs w:val="21"/>
                    </w:rPr>
                  </w:pPr>
                  <w:r>
                    <w:rPr>
                      <w:bCs/>
                      <w:color w:val="000000"/>
                      <w:szCs w:val="21"/>
                    </w:rPr>
                    <w:t>职工生活</w:t>
                  </w:r>
                </w:p>
              </w:tc>
              <w:tc>
                <w:tcPr>
                  <w:tcW w:w="2228" w:type="pct"/>
                  <w:vAlign w:val="center"/>
                </w:tcPr>
                <w:p>
                  <w:pPr>
                    <w:adjustRightInd w:val="0"/>
                    <w:snapToGrid w:val="0"/>
                    <w:ind w:left="-105" w:leftChars="-50" w:right="-105" w:rightChars="-50"/>
                    <w:jc w:val="center"/>
                    <w:rPr>
                      <w:rFonts w:hAnsi="宋体"/>
                      <w:szCs w:val="21"/>
                    </w:rPr>
                  </w:pPr>
                  <w:r>
                    <w:rPr>
                      <w:rFonts w:hAnsi="宋体"/>
                      <w:szCs w:val="21"/>
                    </w:rPr>
                    <w:t>生活垃圾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4" w:type="pct"/>
                  <w:vMerge w:val="continue"/>
                  <w:vAlign w:val="center"/>
                </w:tcPr>
                <w:p>
                  <w:pPr>
                    <w:adjustRightInd w:val="0"/>
                    <w:snapToGrid w:val="0"/>
                    <w:jc w:val="center"/>
                    <w:rPr>
                      <w:bCs/>
                      <w:szCs w:val="21"/>
                    </w:rPr>
                  </w:pPr>
                </w:p>
              </w:tc>
              <w:tc>
                <w:tcPr>
                  <w:tcW w:w="675" w:type="pct"/>
                  <w:vAlign w:val="center"/>
                </w:tcPr>
                <w:p>
                  <w:pPr>
                    <w:adjustRightInd w:val="0"/>
                    <w:snapToGrid w:val="0"/>
                    <w:jc w:val="center"/>
                    <w:rPr>
                      <w:rFonts w:hint="default"/>
                      <w:bCs/>
                      <w:color w:val="000000"/>
                      <w:szCs w:val="21"/>
                      <w:lang w:val="en-US" w:eastAsia="zh-CN"/>
                    </w:rPr>
                  </w:pPr>
                  <w:r>
                    <w:rPr>
                      <w:rFonts w:hint="eastAsia"/>
                      <w:bCs/>
                      <w:color w:val="000000"/>
                      <w:szCs w:val="21"/>
                      <w:lang w:val="en-US" w:eastAsia="zh-CN"/>
                    </w:rPr>
                    <w:t>S7</w:t>
                  </w:r>
                </w:p>
              </w:tc>
              <w:tc>
                <w:tcPr>
                  <w:tcW w:w="1351" w:type="pct"/>
                  <w:vAlign w:val="center"/>
                </w:tcPr>
                <w:p>
                  <w:pPr>
                    <w:adjustRightInd w:val="0"/>
                    <w:snapToGrid w:val="0"/>
                    <w:jc w:val="center"/>
                    <w:rPr>
                      <w:rFonts w:hint="default" w:eastAsia="宋体"/>
                      <w:bCs/>
                      <w:color w:val="000000"/>
                      <w:szCs w:val="21"/>
                      <w:lang w:val="en-US" w:eastAsia="zh-CN"/>
                    </w:rPr>
                  </w:pPr>
                  <w:r>
                    <w:rPr>
                      <w:rFonts w:hint="eastAsia"/>
                      <w:bCs/>
                      <w:color w:val="000000"/>
                      <w:szCs w:val="21"/>
                      <w:lang w:val="en-US" w:eastAsia="zh-CN"/>
                    </w:rPr>
                    <w:t>破碎废气处理</w:t>
                  </w:r>
                </w:p>
              </w:tc>
              <w:tc>
                <w:tcPr>
                  <w:tcW w:w="2228" w:type="pct"/>
                  <w:vAlign w:val="center"/>
                </w:tcPr>
                <w:p>
                  <w:pPr>
                    <w:adjustRightInd w:val="0"/>
                    <w:snapToGrid w:val="0"/>
                    <w:ind w:left="-105" w:leftChars="-50" w:right="-105" w:rightChars="-50"/>
                    <w:jc w:val="center"/>
                    <w:rPr>
                      <w:rFonts w:hint="default" w:hAnsi="宋体" w:eastAsia="宋体"/>
                      <w:szCs w:val="21"/>
                      <w:lang w:val="en-US" w:eastAsia="zh-CN"/>
                    </w:rPr>
                  </w:pPr>
                  <w:r>
                    <w:rPr>
                      <w:rFonts w:hint="eastAsia" w:hAnsi="宋体"/>
                      <w:szCs w:val="21"/>
                      <w:lang w:val="en-US" w:eastAsia="zh-CN"/>
                    </w:rPr>
                    <w:t>布袋除尘器收集的粉尘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4" w:type="pct"/>
                  <w:vAlign w:val="center"/>
                </w:tcPr>
                <w:p>
                  <w:pPr>
                    <w:adjustRightInd w:val="0"/>
                    <w:snapToGrid w:val="0"/>
                    <w:jc w:val="center"/>
                    <w:rPr>
                      <w:rFonts w:hint="eastAsia" w:eastAsia="宋体"/>
                      <w:bCs/>
                      <w:color w:val="auto"/>
                      <w:szCs w:val="21"/>
                      <w:lang w:val="en-US" w:eastAsia="zh-CN"/>
                    </w:rPr>
                  </w:pPr>
                  <w:r>
                    <w:rPr>
                      <w:rFonts w:hint="eastAsia"/>
                      <w:bCs/>
                      <w:color w:val="auto"/>
                      <w:szCs w:val="21"/>
                      <w:lang w:val="en-US" w:eastAsia="zh-CN"/>
                    </w:rPr>
                    <w:t>废水</w:t>
                  </w:r>
                </w:p>
              </w:tc>
              <w:tc>
                <w:tcPr>
                  <w:tcW w:w="675" w:type="pct"/>
                  <w:vAlign w:val="center"/>
                </w:tcPr>
                <w:p>
                  <w:pPr>
                    <w:adjustRightInd w:val="0"/>
                    <w:snapToGrid w:val="0"/>
                    <w:jc w:val="center"/>
                    <w:rPr>
                      <w:rFonts w:hint="default"/>
                      <w:bCs/>
                      <w:color w:val="auto"/>
                      <w:szCs w:val="21"/>
                      <w:lang w:val="en-US" w:eastAsia="zh-CN"/>
                    </w:rPr>
                  </w:pPr>
                  <w:r>
                    <w:rPr>
                      <w:rFonts w:hint="eastAsia"/>
                      <w:bCs/>
                      <w:color w:val="auto"/>
                      <w:szCs w:val="21"/>
                      <w:lang w:val="en-US" w:eastAsia="zh-CN"/>
                    </w:rPr>
                    <w:t>W1</w:t>
                  </w:r>
                </w:p>
              </w:tc>
              <w:tc>
                <w:tcPr>
                  <w:tcW w:w="1351" w:type="pct"/>
                  <w:vAlign w:val="center"/>
                </w:tcPr>
                <w:p>
                  <w:pPr>
                    <w:adjustRightInd w:val="0"/>
                    <w:snapToGrid w:val="0"/>
                    <w:jc w:val="center"/>
                    <w:rPr>
                      <w:rFonts w:hint="default"/>
                      <w:bCs/>
                      <w:color w:val="auto"/>
                      <w:szCs w:val="21"/>
                      <w:lang w:val="en-US" w:eastAsia="zh-CN"/>
                    </w:rPr>
                  </w:pPr>
                  <w:r>
                    <w:rPr>
                      <w:rFonts w:hint="eastAsia"/>
                      <w:bCs/>
                      <w:color w:val="auto"/>
                      <w:szCs w:val="21"/>
                      <w:lang w:val="en-US" w:eastAsia="zh-CN"/>
                    </w:rPr>
                    <w:t>职工生活</w:t>
                  </w:r>
                </w:p>
              </w:tc>
              <w:tc>
                <w:tcPr>
                  <w:tcW w:w="2228" w:type="pct"/>
                  <w:vAlign w:val="center"/>
                </w:tcPr>
                <w:p>
                  <w:pPr>
                    <w:adjustRightInd w:val="0"/>
                    <w:snapToGrid w:val="0"/>
                    <w:ind w:left="-105" w:leftChars="-50" w:right="-105" w:rightChars="-50"/>
                    <w:jc w:val="center"/>
                    <w:rPr>
                      <w:rFonts w:hint="default" w:hAnsi="宋体" w:eastAsia="宋体"/>
                      <w:color w:val="auto"/>
                      <w:szCs w:val="21"/>
                      <w:lang w:val="en-US" w:eastAsia="zh-CN"/>
                    </w:rPr>
                  </w:pPr>
                  <w:r>
                    <w:rPr>
                      <w:rFonts w:hint="eastAsia" w:eastAsia="TimesNewRomanPSMT" w:cs="TimesNewRomanPSMT"/>
                      <w:color w:val="auto"/>
                      <w:kern w:val="0"/>
                      <w:szCs w:val="21"/>
                    </w:rPr>
                    <w:t>pH</w:t>
                  </w:r>
                  <w:r>
                    <w:rPr>
                      <w:rFonts w:hint="eastAsia" w:ascii="宋体" w:hAnsi="宋体" w:cs="宋体"/>
                      <w:color w:val="auto"/>
                      <w:kern w:val="0"/>
                      <w:szCs w:val="21"/>
                    </w:rPr>
                    <w:t>、</w:t>
                  </w:r>
                  <w:r>
                    <w:rPr>
                      <w:rFonts w:eastAsia="TimesNewRomanPSMT" w:cs="TimesNewRomanPSMT"/>
                      <w:color w:val="auto"/>
                      <w:kern w:val="0"/>
                      <w:szCs w:val="21"/>
                    </w:rPr>
                    <w:t>COD</w:t>
                  </w:r>
                  <w:r>
                    <w:rPr>
                      <w:rFonts w:hint="eastAsia" w:cs="宋体"/>
                      <w:color w:val="auto"/>
                      <w:kern w:val="0"/>
                      <w:szCs w:val="21"/>
                    </w:rPr>
                    <w:t>、BOD</w:t>
                  </w:r>
                  <w:r>
                    <w:rPr>
                      <w:rFonts w:hint="eastAsia" w:cs="宋体"/>
                      <w:color w:val="auto"/>
                      <w:kern w:val="0"/>
                      <w:szCs w:val="21"/>
                      <w:vertAlign w:val="subscript"/>
                    </w:rPr>
                    <w:t>5</w:t>
                  </w:r>
                  <w:r>
                    <w:rPr>
                      <w:rFonts w:hint="eastAsia" w:cs="宋体"/>
                      <w:color w:val="auto"/>
                      <w:kern w:val="0"/>
                      <w:szCs w:val="21"/>
                    </w:rPr>
                    <w:t>、</w:t>
                  </w:r>
                  <w:r>
                    <w:rPr>
                      <w:rFonts w:eastAsia="TimesNewRomanPSMT" w:cs="TimesNewRomanPSMT"/>
                      <w:color w:val="auto"/>
                      <w:kern w:val="0"/>
                      <w:szCs w:val="21"/>
                    </w:rPr>
                    <w:t>SS</w:t>
                  </w:r>
                  <w:r>
                    <w:rPr>
                      <w:rFonts w:hint="eastAsia" w:cs="宋体"/>
                      <w:color w:val="auto"/>
                      <w:kern w:val="0"/>
                      <w:szCs w:val="21"/>
                    </w:rPr>
                    <w:t>、氨氮</w:t>
                  </w:r>
                </w:p>
              </w:tc>
            </w:tr>
          </w:tbl>
          <w:p>
            <w:pPr>
              <w:jc w:val="center"/>
              <w:rPr>
                <w:b/>
                <w:sz w:val="24"/>
              </w:rPr>
            </w:pPr>
          </w:p>
          <w:p>
            <w:pPr>
              <w:pStyle w:val="73"/>
              <w:rPr>
                <w:b/>
                <w:sz w:val="24"/>
              </w:rPr>
            </w:pPr>
          </w:p>
          <w:p>
            <w:pPr>
              <w:pStyle w:val="74"/>
              <w:rPr>
                <w:b/>
                <w:sz w:val="24"/>
              </w:rPr>
            </w:pPr>
          </w:p>
          <w:p>
            <w:pPr>
              <w:pStyle w:val="74"/>
              <w:rPr>
                <w:b/>
                <w:sz w:val="24"/>
              </w:rPr>
            </w:pPr>
          </w:p>
          <w:p>
            <w:pPr>
              <w:pStyle w:val="74"/>
              <w:rPr>
                <w:b/>
                <w:sz w:val="24"/>
              </w:rPr>
            </w:pPr>
          </w:p>
          <w:p>
            <w:pPr>
              <w:pStyle w:val="74"/>
              <w:rPr>
                <w:b/>
                <w:sz w:val="24"/>
              </w:rPr>
            </w:pPr>
          </w:p>
          <w:p>
            <w:pPr>
              <w:pStyle w:val="74"/>
              <w:rPr>
                <w:b/>
                <w:sz w:val="24"/>
              </w:rPr>
            </w:pPr>
          </w:p>
          <w:p>
            <w:pPr>
              <w:pStyle w:val="74"/>
              <w:rPr>
                <w:b/>
                <w:sz w:val="24"/>
              </w:rPr>
            </w:pPr>
          </w:p>
          <w:p>
            <w:pPr>
              <w:pStyle w:val="74"/>
              <w:rPr>
                <w:b/>
                <w:sz w:val="24"/>
              </w:rPr>
            </w:pPr>
          </w:p>
          <w:p>
            <w:pPr>
              <w:autoSpaceDE w:val="0"/>
              <w:autoSpaceDN w:val="0"/>
              <w:adjustRightInd w:val="0"/>
              <w:snapToGrid w:val="0"/>
              <w:rPr>
                <w:rFonts w:cs="宋体"/>
                <w:color w:val="000000"/>
                <w:kern w:val="0"/>
                <w:sz w:val="24"/>
              </w:rPr>
            </w:pPr>
          </w:p>
        </w:tc>
      </w:tr>
    </w:tbl>
    <w:p>
      <w:pPr>
        <w:tabs>
          <w:tab w:val="left" w:pos="1165"/>
        </w:tabs>
        <w:rPr>
          <w:rFonts w:cs="宋体"/>
          <w:color w:val="000000"/>
          <w:sz w:val="24"/>
        </w:rPr>
        <w:sectPr>
          <w:pgSz w:w="11906" w:h="16838"/>
          <w:pgMar w:top="1701" w:right="1531" w:bottom="1701" w:left="1531" w:header="851" w:footer="851" w:gutter="0"/>
          <w:cols w:space="720" w:num="1"/>
          <w:docGrid w:linePitch="312" w:charSpace="0"/>
        </w:sectPr>
      </w:pPr>
    </w:p>
    <w:tbl>
      <w:tblPr>
        <w:tblStyle w:val="58"/>
        <w:tblW w:w="9033"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456"/>
        <w:gridCol w:w="8577"/>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609" w:hRule="atLeast"/>
        </w:trPr>
        <w:tc>
          <w:tcPr>
            <w:tcW w:w="456" w:type="dxa"/>
            <w:shd w:val="clear" w:color="auto" w:fill="auto"/>
            <w:vAlign w:val="center"/>
          </w:tcPr>
          <w:p>
            <w:pPr>
              <w:jc w:val="center"/>
              <w:rPr>
                <w:rFonts w:cs="宋体"/>
                <w:sz w:val="24"/>
              </w:rPr>
            </w:pPr>
            <w:r>
              <w:rPr>
                <w:rFonts w:hint="eastAsia" w:cs="宋体"/>
                <w:sz w:val="24"/>
              </w:rPr>
              <w:t>与项目有关的原有环境污染问题</w:t>
            </w:r>
          </w:p>
        </w:tc>
        <w:tc>
          <w:tcPr>
            <w:tcW w:w="8577" w:type="dxa"/>
            <w:shd w:val="clear" w:color="auto" w:fill="auto"/>
          </w:tcPr>
          <w:p>
            <w:pPr>
              <w:tabs>
                <w:tab w:val="left" w:pos="5040"/>
              </w:tabs>
              <w:rPr>
                <w:color w:val="000000"/>
                <w:sz w:val="24"/>
              </w:rPr>
            </w:pPr>
          </w:p>
          <w:p>
            <w:pPr>
              <w:spacing w:line="360" w:lineRule="auto"/>
              <w:ind w:firstLine="480" w:firstLineChars="200"/>
              <w:rPr>
                <w:color w:val="0D0D0D" w:themeColor="text1" w:themeTint="F2"/>
                <w:sz w:val="24"/>
                <w14:textFill>
                  <w14:solidFill>
                    <w14:schemeClr w14:val="tx1">
                      <w14:lumMod w14:val="95000"/>
                      <w14:lumOff w14:val="5000"/>
                    </w14:schemeClr>
                  </w14:solidFill>
                </w14:textFill>
              </w:rPr>
            </w:pPr>
            <w:r>
              <w:rPr>
                <w:color w:val="0D0D0D"/>
                <w:sz w:val="24"/>
              </w:rPr>
              <w:t>项目选址于</w:t>
            </w:r>
            <w:r>
              <w:rPr>
                <w:rFonts w:hint="eastAsia"/>
                <w:color w:val="0D0D0D"/>
                <w:sz w:val="24"/>
              </w:rPr>
              <w:t>中国（安徽）自由贸易试验区芜湖片区官陡门路101号</w:t>
            </w:r>
            <w:r>
              <w:rPr>
                <w:rFonts w:hint="eastAsia"/>
                <w:color w:val="0D0D0D" w:themeColor="text1" w:themeTint="F2"/>
                <w:sz w:val="24"/>
                <w14:textFill>
                  <w14:solidFill>
                    <w14:schemeClr w14:val="tx1">
                      <w14:lumMod w14:val="95000"/>
                      <w14:lumOff w14:val="5000"/>
                    </w14:schemeClr>
                  </w14:solidFill>
                </w14:textFill>
              </w:rPr>
              <w:t>，该厂房是</w:t>
            </w:r>
            <w:r>
              <w:rPr>
                <w:rFonts w:hint="eastAsia"/>
                <w:color w:val="0D0D0D" w:themeColor="text1" w:themeTint="F2"/>
                <w:sz w:val="24"/>
                <w:lang w:val="en-US" w:eastAsia="zh-CN"/>
                <w14:textFill>
                  <w14:solidFill>
                    <w14:schemeClr w14:val="tx1">
                      <w14:lumMod w14:val="95000"/>
                      <w14:lumOff w14:val="5000"/>
                    </w14:schemeClr>
                  </w14:solidFill>
                </w14:textFill>
              </w:rPr>
              <w:t>购置芜湖联东金江实业</w:t>
            </w:r>
            <w:r>
              <w:rPr>
                <w:rFonts w:hint="eastAsia"/>
                <w:color w:val="0D0D0D" w:themeColor="text1" w:themeTint="F2"/>
                <w:sz w:val="24"/>
                <w14:textFill>
                  <w14:solidFill>
                    <w14:schemeClr w14:val="tx1">
                      <w14:lumMod w14:val="95000"/>
                      <w14:lumOff w14:val="5000"/>
                    </w14:schemeClr>
                  </w14:solidFill>
                </w14:textFill>
              </w:rPr>
              <w:t>有限公司</w:t>
            </w:r>
            <w:r>
              <w:rPr>
                <w:rFonts w:hint="eastAsia" w:hAnsi="宋体"/>
                <w:color w:val="0D0D0D" w:themeColor="text1" w:themeTint="F2"/>
                <w:kern w:val="24"/>
                <w:sz w:val="24"/>
                <w14:textFill>
                  <w14:solidFill>
                    <w14:schemeClr w14:val="tx1">
                      <w14:lumMod w14:val="95000"/>
                      <w14:lumOff w14:val="5000"/>
                    </w14:schemeClr>
                  </w14:solidFill>
                </w14:textFill>
              </w:rPr>
              <w:t>空置厂房</w:t>
            </w:r>
            <w:r>
              <w:rPr>
                <w:spacing w:val="-3"/>
                <w:sz w:val="24"/>
              </w:rPr>
              <w:t>，建设性质为新建</w:t>
            </w:r>
            <w:r>
              <w:rPr>
                <w:rFonts w:hint="eastAsia" w:hAnsi="宋体"/>
                <w:color w:val="0D0D0D" w:themeColor="text1" w:themeTint="F2"/>
                <w:kern w:val="24"/>
                <w:sz w:val="24"/>
                <w14:textFill>
                  <w14:solidFill>
                    <w14:schemeClr w14:val="tx1">
                      <w14:lumMod w14:val="95000"/>
                      <w14:lumOff w14:val="5000"/>
                    </w14:schemeClr>
                  </w14:solidFill>
                </w14:textFill>
              </w:rPr>
              <w:t>。</w:t>
            </w:r>
            <w:r>
              <w:rPr>
                <w:sz w:val="24"/>
              </w:rPr>
              <w:t>根据现场踏勘，不存在原有污染及环境问题。</w:t>
            </w:r>
          </w:p>
          <w:p>
            <w:pPr>
              <w:tabs>
                <w:tab w:val="left" w:pos="5040"/>
              </w:tabs>
              <w:spacing w:line="360" w:lineRule="auto"/>
              <w:ind w:firstLine="480" w:firstLineChars="200"/>
              <w:rPr>
                <w:rFonts w:cs="宋体" w:asciiTheme="minorEastAsia" w:hAnsiTheme="minorEastAsia" w:eastAsiaTheme="minorEastAsia"/>
                <w:sz w:val="24"/>
              </w:rPr>
            </w:pPr>
          </w:p>
        </w:tc>
      </w:tr>
    </w:tbl>
    <w:p>
      <w:pPr>
        <w:pStyle w:val="54"/>
        <w:jc w:val="center"/>
        <w:outlineLvl w:val="0"/>
        <w:rPr>
          <w:rFonts w:ascii="Times New Roman" w:hAnsi="Times New Roman"/>
          <w:b/>
          <w:snapToGrid w:val="0"/>
          <w:color w:val="000000"/>
          <w:sz w:val="30"/>
          <w:szCs w:val="30"/>
        </w:rPr>
        <w:sectPr>
          <w:pgSz w:w="11907" w:h="16840"/>
          <w:pgMar w:top="1701" w:right="1531" w:bottom="2127" w:left="1531" w:header="851" w:footer="851" w:gutter="0"/>
          <w:cols w:space="720" w:num="1"/>
          <w:docGrid w:linePitch="312" w:charSpace="0"/>
        </w:sectPr>
      </w:pPr>
    </w:p>
    <w:p>
      <w:pPr>
        <w:pStyle w:val="54"/>
        <w:spacing w:before="200" w:beforeAutospacing="0" w:line="360" w:lineRule="auto"/>
        <w:jc w:val="center"/>
        <w:outlineLvl w:val="0"/>
        <w:rPr>
          <w:rFonts w:ascii="Times New Roman" w:hAnsi="Times New Roman"/>
          <w:b/>
          <w:snapToGrid w:val="0"/>
          <w:color w:val="000000"/>
          <w:sz w:val="30"/>
          <w:szCs w:val="30"/>
        </w:rPr>
      </w:pPr>
      <w:r>
        <w:rPr>
          <w:rFonts w:hint="eastAsia" w:ascii="Times New Roman" w:hAnsi="Times New Roman"/>
          <w:b/>
          <w:snapToGrid w:val="0"/>
          <w:color w:val="000000"/>
          <w:sz w:val="30"/>
          <w:szCs w:val="30"/>
        </w:rPr>
        <w:t>三、区域环境质量现状、环境保护目标及评价标准</w:t>
      </w:r>
    </w:p>
    <w:tbl>
      <w:tblPr>
        <w:tblStyle w:val="5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800"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区域</w:t>
            </w:r>
          </w:p>
          <w:p>
            <w:pPr>
              <w:autoSpaceDE w:val="0"/>
              <w:autoSpaceDN w:val="0"/>
              <w:adjustRightInd w:val="0"/>
              <w:snapToGrid w:val="0"/>
              <w:jc w:val="center"/>
              <w:rPr>
                <w:rFonts w:cs="宋体"/>
                <w:color w:val="000000"/>
                <w:kern w:val="0"/>
                <w:sz w:val="24"/>
              </w:rPr>
            </w:pPr>
            <w:r>
              <w:rPr>
                <w:rFonts w:hint="eastAsia" w:cs="宋体"/>
                <w:color w:val="000000"/>
                <w:kern w:val="0"/>
                <w:sz w:val="24"/>
              </w:rPr>
              <w:t>环境</w:t>
            </w:r>
          </w:p>
          <w:p>
            <w:pPr>
              <w:autoSpaceDE w:val="0"/>
              <w:autoSpaceDN w:val="0"/>
              <w:adjustRightInd w:val="0"/>
              <w:snapToGrid w:val="0"/>
              <w:jc w:val="center"/>
              <w:rPr>
                <w:rFonts w:cs="宋体"/>
                <w:color w:val="000000"/>
                <w:kern w:val="0"/>
                <w:sz w:val="24"/>
              </w:rPr>
            </w:pPr>
            <w:r>
              <w:rPr>
                <w:rFonts w:hint="eastAsia" w:cs="宋体"/>
                <w:color w:val="000000"/>
                <w:kern w:val="0"/>
                <w:sz w:val="24"/>
              </w:rPr>
              <w:t>质量</w:t>
            </w:r>
          </w:p>
          <w:p>
            <w:pPr>
              <w:autoSpaceDE w:val="0"/>
              <w:autoSpaceDN w:val="0"/>
              <w:adjustRightInd w:val="0"/>
              <w:snapToGrid w:val="0"/>
              <w:jc w:val="center"/>
              <w:rPr>
                <w:rFonts w:cs="宋体"/>
                <w:color w:val="000000"/>
                <w:kern w:val="0"/>
                <w:sz w:val="24"/>
              </w:rPr>
            </w:pPr>
            <w:r>
              <w:rPr>
                <w:rFonts w:hint="eastAsia" w:cs="宋体"/>
                <w:color w:val="000000"/>
                <w:kern w:val="0"/>
                <w:sz w:val="24"/>
              </w:rPr>
              <w:t>现状</w:t>
            </w:r>
          </w:p>
        </w:tc>
        <w:tc>
          <w:tcPr>
            <w:tcW w:w="8190" w:type="dxa"/>
            <w:vAlign w:val="center"/>
          </w:tcPr>
          <w:p>
            <w:pPr>
              <w:spacing w:before="120" w:beforeLines="50" w:line="360" w:lineRule="auto"/>
              <w:ind w:firstLine="482" w:firstLineChars="200"/>
              <w:rPr>
                <w:b/>
                <w:sz w:val="24"/>
              </w:rPr>
            </w:pPr>
            <w:r>
              <w:rPr>
                <w:rFonts w:hint="eastAsia"/>
                <w:b/>
                <w:sz w:val="24"/>
              </w:rPr>
              <w:t>1、区域大气环境质量现状</w:t>
            </w:r>
          </w:p>
          <w:p>
            <w:pPr>
              <w:pStyle w:val="122"/>
              <w:spacing w:line="360" w:lineRule="auto"/>
              <w:ind w:firstLine="424" w:firstLineChars="177"/>
              <w:rPr>
                <w:color w:val="000000"/>
                <w:sz w:val="24"/>
                <w:szCs w:val="24"/>
              </w:rPr>
            </w:pPr>
            <w:r>
              <w:rPr>
                <w:color w:val="000000"/>
                <w:sz w:val="24"/>
                <w:szCs w:val="24"/>
              </w:rPr>
              <w:t>（1）区域环境空气达标情况</w:t>
            </w:r>
          </w:p>
          <w:p>
            <w:pPr>
              <w:spacing w:line="360" w:lineRule="auto"/>
              <w:ind w:firstLine="480" w:firstLineChars="200"/>
              <w:rPr>
                <w:rFonts w:hint="eastAsia"/>
                <w:sz w:val="24"/>
              </w:rPr>
            </w:pPr>
            <w:r>
              <w:rPr>
                <w:rFonts w:hint="eastAsia"/>
                <w:sz w:val="24"/>
              </w:rPr>
              <w:t>本次评价选取 2020 年作为评价基准年，根据芜湖市生态环境局网站公示的2020 年 度 生 态 环 境 状 况 公 报（http://sthjj.wuhu.gov.cn/hbyw/hjzl/hjzlgb/8284951.html）。全年环境空气优良天数为 323 天，优良率达 88.3%，较 2019 年增加 63 天，空气质量优良天数比例为88.3%，同比提高 16.5%，改善幅度位居全省第二位，；轻度污染 37 天，中度污染 5 天，重度污染 1 天，无严重污染天气，重度污染天数比 2019 年减少 1 天，比 2015 年减少 6 天。</w:t>
            </w:r>
          </w:p>
          <w:p>
            <w:pPr>
              <w:spacing w:line="360" w:lineRule="auto"/>
              <w:ind w:firstLine="480" w:firstLineChars="200"/>
              <w:rPr>
                <w:rFonts w:hint="eastAsia"/>
                <w:sz w:val="24"/>
              </w:rPr>
            </w:pPr>
            <w:r>
              <w:rPr>
                <w:rFonts w:hint="eastAsia"/>
                <w:sz w:val="24"/>
              </w:rPr>
              <w:t>2020 年，芜湖市共设置 9 座空气质量监测站点，所有站点均采用空气质量自动监测系统监测，鸠江区设置 1 座空气质量监测站点。以下为鸠江区 1 座监测站首要污染物浓度一览表。</w:t>
            </w:r>
          </w:p>
          <w:p>
            <w:pPr>
              <w:spacing w:before="120" w:beforeLines="50"/>
              <w:jc w:val="center"/>
              <w:rPr>
                <w:b/>
                <w:sz w:val="24"/>
              </w:rPr>
            </w:pPr>
            <w:r>
              <w:rPr>
                <w:b/>
                <w:sz w:val="24"/>
              </w:rPr>
              <w:t>表</w:t>
            </w:r>
            <w:r>
              <w:rPr>
                <w:rFonts w:hint="eastAsia"/>
                <w:b/>
                <w:sz w:val="24"/>
              </w:rPr>
              <w:t>3-1</w:t>
            </w:r>
            <w:r>
              <w:rPr>
                <w:b/>
                <w:sz w:val="24"/>
              </w:rPr>
              <w:t xml:space="preserve">  </w:t>
            </w:r>
            <w:r>
              <w:rPr>
                <w:rFonts w:hint="eastAsia"/>
                <w:b/>
                <w:sz w:val="24"/>
              </w:rPr>
              <w:t>鸠江区</w:t>
            </w:r>
            <w:r>
              <w:rPr>
                <w:b/>
                <w:sz w:val="24"/>
              </w:rPr>
              <w:t>环境空气</w:t>
            </w:r>
            <w:r>
              <w:rPr>
                <w:rFonts w:hint="eastAsia"/>
                <w:b/>
                <w:sz w:val="24"/>
              </w:rPr>
              <w:t>首要污染物平均浓度值汇总</w:t>
            </w:r>
            <w:r>
              <w:rPr>
                <w:b/>
                <w:sz w:val="24"/>
              </w:rPr>
              <w:t>表</w:t>
            </w:r>
          </w:p>
          <w:tbl>
            <w:tblPr>
              <w:tblStyle w:val="5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71"/>
              <w:gridCol w:w="2023"/>
              <w:gridCol w:w="2157"/>
              <w:gridCol w:w="192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967" w:type="dxa"/>
                  <w:vMerge w:val="restart"/>
                  <w:tcBorders>
                    <w:tl2br w:val="single" w:color="auto" w:sz="4" w:space="0"/>
                  </w:tcBorders>
                  <w:vAlign w:val="center"/>
                </w:tcPr>
                <w:p>
                  <w:pPr>
                    <w:jc w:val="right"/>
                    <w:rPr>
                      <w:b/>
                      <w:szCs w:val="21"/>
                    </w:rPr>
                  </w:pPr>
                  <w:r>
                    <w:rPr>
                      <w:rFonts w:hint="eastAsia"/>
                      <w:b/>
                      <w:szCs w:val="21"/>
                    </w:rPr>
                    <w:t>站点</w:t>
                  </w:r>
                </w:p>
                <w:p>
                  <w:pPr>
                    <w:rPr>
                      <w:b/>
                      <w:szCs w:val="21"/>
                    </w:rPr>
                  </w:pPr>
                  <w:r>
                    <w:rPr>
                      <w:b/>
                      <w:szCs w:val="21"/>
                    </w:rPr>
                    <w:t>监测项</w:t>
                  </w:r>
                </w:p>
              </w:tc>
              <w:tc>
                <w:tcPr>
                  <w:tcW w:w="6416" w:type="dxa"/>
                  <w:gridSpan w:val="3"/>
                  <w:vAlign w:val="center"/>
                </w:tcPr>
                <w:p>
                  <w:pPr>
                    <w:jc w:val="center"/>
                    <w:rPr>
                      <w:b/>
                      <w:szCs w:val="21"/>
                    </w:rPr>
                  </w:pPr>
                  <w:r>
                    <w:rPr>
                      <w:rFonts w:hint="eastAsia"/>
                      <w:b/>
                      <w:szCs w:val="21"/>
                    </w:rPr>
                    <w:t>20</w:t>
                  </w:r>
                  <w:r>
                    <w:rPr>
                      <w:b/>
                      <w:szCs w:val="21"/>
                    </w:rPr>
                    <w:t>20</w:t>
                  </w:r>
                  <w:r>
                    <w:rPr>
                      <w:rFonts w:hint="eastAsia"/>
                      <w:b/>
                      <w:szCs w:val="21"/>
                    </w:rPr>
                    <w:t>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967" w:type="dxa"/>
                  <w:vMerge w:val="continue"/>
                  <w:tcBorders>
                    <w:tl2br w:val="single" w:color="auto" w:sz="4" w:space="0"/>
                  </w:tcBorders>
                  <w:vAlign w:val="center"/>
                </w:tcPr>
                <w:p>
                  <w:pPr>
                    <w:rPr>
                      <w:b/>
                      <w:szCs w:val="21"/>
                    </w:rPr>
                  </w:pPr>
                </w:p>
              </w:tc>
              <w:tc>
                <w:tcPr>
                  <w:tcW w:w="2126" w:type="dxa"/>
                  <w:vAlign w:val="center"/>
                </w:tcPr>
                <w:p>
                  <w:pPr>
                    <w:ind w:left="-105" w:leftChars="-50" w:right="-105" w:rightChars="-50"/>
                    <w:jc w:val="center"/>
                    <w:rPr>
                      <w:b/>
                      <w:szCs w:val="21"/>
                    </w:rPr>
                  </w:pPr>
                  <w:r>
                    <w:rPr>
                      <w:rFonts w:hint="eastAsia"/>
                      <w:b/>
                      <w:szCs w:val="21"/>
                    </w:rPr>
                    <w:t>济民医院</w:t>
                  </w:r>
                </w:p>
              </w:tc>
              <w:tc>
                <w:tcPr>
                  <w:tcW w:w="2268" w:type="dxa"/>
                  <w:vAlign w:val="center"/>
                </w:tcPr>
                <w:p>
                  <w:pPr>
                    <w:jc w:val="center"/>
                    <w:rPr>
                      <w:b/>
                      <w:szCs w:val="21"/>
                    </w:rPr>
                  </w:pPr>
                  <w:r>
                    <w:rPr>
                      <w:b/>
                      <w:szCs w:val="21"/>
                    </w:rPr>
                    <w:t>标准值</w:t>
                  </w:r>
                </w:p>
              </w:tc>
              <w:tc>
                <w:tcPr>
                  <w:tcW w:w="2022" w:type="dxa"/>
                </w:tcPr>
                <w:p>
                  <w:pPr>
                    <w:jc w:val="center"/>
                    <w:rPr>
                      <w:b/>
                      <w:szCs w:val="21"/>
                    </w:rPr>
                  </w:pPr>
                  <w:r>
                    <w:rPr>
                      <w:b/>
                      <w:szCs w:val="21"/>
                    </w:rPr>
                    <w:t>达标情况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967" w:type="dxa"/>
                  <w:vAlign w:val="center"/>
                </w:tcPr>
                <w:p>
                  <w:pPr>
                    <w:jc w:val="center"/>
                    <w:rPr>
                      <w:szCs w:val="21"/>
                    </w:rPr>
                  </w:pPr>
                  <w:r>
                    <w:rPr>
                      <w:rFonts w:hint="eastAsia"/>
                      <w:szCs w:val="21"/>
                    </w:rPr>
                    <w:t>S</w:t>
                  </w:r>
                  <w:r>
                    <w:rPr>
                      <w:szCs w:val="21"/>
                    </w:rPr>
                    <w:t>O</w:t>
                  </w:r>
                  <w:r>
                    <w:rPr>
                      <w:szCs w:val="21"/>
                      <w:vertAlign w:val="subscript"/>
                    </w:rPr>
                    <w:t>2</w:t>
                  </w:r>
                  <w:r>
                    <w:rPr>
                      <w:szCs w:val="21"/>
                    </w:rPr>
                    <w:t>年平均</w:t>
                  </w:r>
                </w:p>
              </w:tc>
              <w:tc>
                <w:tcPr>
                  <w:tcW w:w="2126" w:type="dxa"/>
                  <w:vAlign w:val="center"/>
                </w:tcPr>
                <w:p>
                  <w:pPr>
                    <w:jc w:val="center"/>
                    <w:rPr>
                      <w:szCs w:val="21"/>
                    </w:rPr>
                  </w:pPr>
                  <w:r>
                    <w:rPr>
                      <w:rFonts w:hint="eastAsia"/>
                      <w:szCs w:val="21"/>
                    </w:rPr>
                    <w:t>8</w:t>
                  </w:r>
                  <w:r>
                    <w:rPr>
                      <w:szCs w:val="21"/>
                    </w:rPr>
                    <w:t>μg/m3</w:t>
                  </w:r>
                </w:p>
              </w:tc>
              <w:tc>
                <w:tcPr>
                  <w:tcW w:w="2268" w:type="dxa"/>
                  <w:vAlign w:val="center"/>
                </w:tcPr>
                <w:p>
                  <w:pPr>
                    <w:jc w:val="center"/>
                    <w:rPr>
                      <w:szCs w:val="21"/>
                    </w:rPr>
                  </w:pPr>
                  <w:r>
                    <w:rPr>
                      <w:rFonts w:hint="eastAsia"/>
                      <w:szCs w:val="21"/>
                    </w:rPr>
                    <w:t>6</w:t>
                  </w:r>
                  <w:r>
                    <w:rPr>
                      <w:szCs w:val="21"/>
                    </w:rPr>
                    <w:t>0</w:t>
                  </w:r>
                  <w:r>
                    <w:rPr>
                      <w:rFonts w:hint="eastAsia"/>
                      <w:szCs w:val="21"/>
                    </w:rPr>
                    <w:t xml:space="preserve"> </w:t>
                  </w:r>
                  <w:r>
                    <w:rPr>
                      <w:szCs w:val="21"/>
                    </w:rPr>
                    <w:t>μg/m</w:t>
                  </w:r>
                  <w:r>
                    <w:rPr>
                      <w:szCs w:val="21"/>
                      <w:vertAlign w:val="superscript"/>
                    </w:rPr>
                    <w:t>3</w:t>
                  </w:r>
                </w:p>
              </w:tc>
              <w:tc>
                <w:tcPr>
                  <w:tcW w:w="2022" w:type="dxa"/>
                </w:tcPr>
                <w:p>
                  <w:pPr>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967" w:type="dxa"/>
                  <w:vAlign w:val="center"/>
                </w:tcPr>
                <w:p>
                  <w:pPr>
                    <w:jc w:val="center"/>
                    <w:rPr>
                      <w:szCs w:val="21"/>
                    </w:rPr>
                  </w:pPr>
                  <w:r>
                    <w:rPr>
                      <w:szCs w:val="21"/>
                    </w:rPr>
                    <w:t>NO</w:t>
                  </w:r>
                  <w:r>
                    <w:rPr>
                      <w:szCs w:val="21"/>
                      <w:vertAlign w:val="subscript"/>
                    </w:rPr>
                    <w:t>2</w:t>
                  </w:r>
                  <w:r>
                    <w:rPr>
                      <w:szCs w:val="21"/>
                    </w:rPr>
                    <w:t>年平均</w:t>
                  </w:r>
                </w:p>
              </w:tc>
              <w:tc>
                <w:tcPr>
                  <w:tcW w:w="2126" w:type="dxa"/>
                  <w:vAlign w:val="center"/>
                </w:tcPr>
                <w:p>
                  <w:pPr>
                    <w:jc w:val="center"/>
                    <w:rPr>
                      <w:szCs w:val="21"/>
                    </w:rPr>
                  </w:pPr>
                  <w:r>
                    <w:rPr>
                      <w:szCs w:val="21"/>
                    </w:rPr>
                    <w:t>34μg/m</w:t>
                  </w:r>
                  <w:r>
                    <w:rPr>
                      <w:szCs w:val="21"/>
                      <w:vertAlign w:val="superscript"/>
                    </w:rPr>
                    <w:t>3</w:t>
                  </w:r>
                </w:p>
              </w:tc>
              <w:tc>
                <w:tcPr>
                  <w:tcW w:w="2268" w:type="dxa"/>
                  <w:vAlign w:val="center"/>
                </w:tcPr>
                <w:p>
                  <w:pPr>
                    <w:jc w:val="center"/>
                    <w:rPr>
                      <w:szCs w:val="21"/>
                    </w:rPr>
                  </w:pPr>
                  <w:r>
                    <w:rPr>
                      <w:szCs w:val="21"/>
                    </w:rPr>
                    <w:t>40</w:t>
                  </w:r>
                  <w:r>
                    <w:rPr>
                      <w:rFonts w:hint="eastAsia"/>
                      <w:szCs w:val="21"/>
                    </w:rPr>
                    <w:t xml:space="preserve"> </w:t>
                  </w:r>
                  <w:r>
                    <w:rPr>
                      <w:szCs w:val="21"/>
                    </w:rPr>
                    <w:t>μg/m</w:t>
                  </w:r>
                  <w:r>
                    <w:rPr>
                      <w:szCs w:val="21"/>
                      <w:vertAlign w:val="superscript"/>
                    </w:rPr>
                    <w:t>3</w:t>
                  </w:r>
                </w:p>
              </w:tc>
              <w:tc>
                <w:tcPr>
                  <w:tcW w:w="2022" w:type="dxa"/>
                </w:tcPr>
                <w:p>
                  <w:pPr>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967" w:type="dxa"/>
                  <w:vAlign w:val="center"/>
                </w:tcPr>
                <w:p>
                  <w:pPr>
                    <w:jc w:val="center"/>
                    <w:rPr>
                      <w:szCs w:val="21"/>
                    </w:rPr>
                  </w:pPr>
                  <w:r>
                    <w:rPr>
                      <w:szCs w:val="21"/>
                    </w:rPr>
                    <w:t>PM</w:t>
                  </w:r>
                  <w:r>
                    <w:rPr>
                      <w:szCs w:val="21"/>
                      <w:vertAlign w:val="subscript"/>
                    </w:rPr>
                    <w:t>10</w:t>
                  </w:r>
                  <w:r>
                    <w:rPr>
                      <w:szCs w:val="21"/>
                    </w:rPr>
                    <w:t>年平均</w:t>
                  </w:r>
                </w:p>
              </w:tc>
              <w:tc>
                <w:tcPr>
                  <w:tcW w:w="2126" w:type="dxa"/>
                  <w:vAlign w:val="center"/>
                </w:tcPr>
                <w:p>
                  <w:pPr>
                    <w:jc w:val="center"/>
                    <w:rPr>
                      <w:szCs w:val="21"/>
                    </w:rPr>
                  </w:pPr>
                  <w:r>
                    <w:rPr>
                      <w:szCs w:val="21"/>
                    </w:rPr>
                    <w:t>49μg/m</w:t>
                  </w:r>
                  <w:r>
                    <w:rPr>
                      <w:szCs w:val="21"/>
                      <w:vertAlign w:val="superscript"/>
                    </w:rPr>
                    <w:t>3</w:t>
                  </w:r>
                </w:p>
              </w:tc>
              <w:tc>
                <w:tcPr>
                  <w:tcW w:w="2268" w:type="dxa"/>
                  <w:vAlign w:val="center"/>
                </w:tcPr>
                <w:p>
                  <w:pPr>
                    <w:jc w:val="center"/>
                    <w:rPr>
                      <w:szCs w:val="21"/>
                    </w:rPr>
                  </w:pPr>
                  <w:r>
                    <w:rPr>
                      <w:szCs w:val="21"/>
                    </w:rPr>
                    <w:t>70</w:t>
                  </w:r>
                  <w:r>
                    <w:rPr>
                      <w:rFonts w:hint="eastAsia"/>
                      <w:szCs w:val="21"/>
                    </w:rPr>
                    <w:t xml:space="preserve"> </w:t>
                  </w:r>
                  <w:r>
                    <w:rPr>
                      <w:szCs w:val="21"/>
                    </w:rPr>
                    <w:t>μg/m</w:t>
                  </w:r>
                  <w:r>
                    <w:rPr>
                      <w:szCs w:val="21"/>
                      <w:vertAlign w:val="superscript"/>
                    </w:rPr>
                    <w:t>3</w:t>
                  </w:r>
                </w:p>
              </w:tc>
              <w:tc>
                <w:tcPr>
                  <w:tcW w:w="2022" w:type="dxa"/>
                </w:tcPr>
                <w:p>
                  <w:pPr>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967" w:type="dxa"/>
                  <w:vAlign w:val="center"/>
                </w:tcPr>
                <w:p>
                  <w:pPr>
                    <w:jc w:val="center"/>
                    <w:rPr>
                      <w:szCs w:val="21"/>
                    </w:rPr>
                  </w:pPr>
                  <w:r>
                    <w:rPr>
                      <w:szCs w:val="21"/>
                    </w:rPr>
                    <w:t>PM</w:t>
                  </w:r>
                  <w:r>
                    <w:rPr>
                      <w:szCs w:val="21"/>
                      <w:vertAlign w:val="subscript"/>
                    </w:rPr>
                    <w:t>2.5</w:t>
                  </w:r>
                  <w:r>
                    <w:rPr>
                      <w:szCs w:val="21"/>
                    </w:rPr>
                    <w:t>年平均</w:t>
                  </w:r>
                </w:p>
              </w:tc>
              <w:tc>
                <w:tcPr>
                  <w:tcW w:w="2126" w:type="dxa"/>
                  <w:vAlign w:val="center"/>
                </w:tcPr>
                <w:p>
                  <w:pPr>
                    <w:jc w:val="center"/>
                    <w:rPr>
                      <w:szCs w:val="21"/>
                    </w:rPr>
                  </w:pPr>
                  <w:r>
                    <w:rPr>
                      <w:rFonts w:hint="eastAsia"/>
                      <w:szCs w:val="21"/>
                    </w:rPr>
                    <w:t>3</w:t>
                  </w:r>
                  <w:r>
                    <w:rPr>
                      <w:szCs w:val="21"/>
                    </w:rPr>
                    <w:t>6μg/m</w:t>
                  </w:r>
                  <w:r>
                    <w:rPr>
                      <w:szCs w:val="21"/>
                      <w:vertAlign w:val="superscript"/>
                    </w:rPr>
                    <w:t>3</w:t>
                  </w:r>
                </w:p>
              </w:tc>
              <w:tc>
                <w:tcPr>
                  <w:tcW w:w="2268" w:type="dxa"/>
                  <w:vAlign w:val="center"/>
                </w:tcPr>
                <w:p>
                  <w:pPr>
                    <w:jc w:val="center"/>
                    <w:rPr>
                      <w:szCs w:val="21"/>
                    </w:rPr>
                  </w:pPr>
                  <w:r>
                    <w:rPr>
                      <w:szCs w:val="21"/>
                    </w:rPr>
                    <w:t>35</w:t>
                  </w:r>
                  <w:r>
                    <w:rPr>
                      <w:rFonts w:hint="eastAsia"/>
                      <w:szCs w:val="21"/>
                    </w:rPr>
                    <w:t xml:space="preserve"> </w:t>
                  </w:r>
                  <w:r>
                    <w:rPr>
                      <w:szCs w:val="21"/>
                    </w:rPr>
                    <w:t>μg/m</w:t>
                  </w:r>
                  <w:r>
                    <w:rPr>
                      <w:szCs w:val="21"/>
                      <w:vertAlign w:val="superscript"/>
                    </w:rPr>
                    <w:t>3</w:t>
                  </w:r>
                </w:p>
              </w:tc>
              <w:tc>
                <w:tcPr>
                  <w:tcW w:w="2022" w:type="dxa"/>
                </w:tcPr>
                <w:p>
                  <w:pPr>
                    <w:jc w:val="center"/>
                    <w:rPr>
                      <w:szCs w:val="21"/>
                    </w:rPr>
                  </w:pPr>
                  <w:r>
                    <w:rPr>
                      <w:rFonts w:hint="eastAsia"/>
                      <w:szCs w:val="21"/>
                    </w:rPr>
                    <w:t>不达标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967" w:type="dxa"/>
                  <w:vAlign w:val="center"/>
                </w:tcPr>
                <w:p>
                  <w:pPr>
                    <w:jc w:val="center"/>
                    <w:rPr>
                      <w:szCs w:val="21"/>
                    </w:rPr>
                  </w:pPr>
                  <w:r>
                    <w:rPr>
                      <w:rFonts w:hint="eastAsia"/>
                      <w:szCs w:val="21"/>
                    </w:rPr>
                    <w:t>C</w:t>
                  </w:r>
                  <w:r>
                    <w:rPr>
                      <w:szCs w:val="21"/>
                    </w:rPr>
                    <w:t>O年平均</w:t>
                  </w:r>
                </w:p>
              </w:tc>
              <w:tc>
                <w:tcPr>
                  <w:tcW w:w="2126" w:type="dxa"/>
                  <w:vAlign w:val="center"/>
                </w:tcPr>
                <w:p>
                  <w:pPr>
                    <w:jc w:val="center"/>
                    <w:rPr>
                      <w:szCs w:val="21"/>
                    </w:rPr>
                  </w:pPr>
                  <w:r>
                    <w:rPr>
                      <w:rFonts w:hint="eastAsia"/>
                      <w:szCs w:val="21"/>
                    </w:rPr>
                    <w:t>1.</w:t>
                  </w:r>
                  <w:r>
                    <w:rPr>
                      <w:szCs w:val="21"/>
                    </w:rPr>
                    <w:t>2 mg/m3</w:t>
                  </w:r>
                </w:p>
              </w:tc>
              <w:tc>
                <w:tcPr>
                  <w:tcW w:w="2268" w:type="dxa"/>
                  <w:vAlign w:val="center"/>
                </w:tcPr>
                <w:p>
                  <w:pPr>
                    <w:jc w:val="center"/>
                    <w:rPr>
                      <w:szCs w:val="21"/>
                    </w:rPr>
                  </w:pPr>
                  <w:r>
                    <w:rPr>
                      <w:szCs w:val="21"/>
                    </w:rPr>
                    <w:t>4</w:t>
                  </w:r>
                  <w:r>
                    <w:t xml:space="preserve"> </w:t>
                  </w:r>
                  <w:r>
                    <w:rPr>
                      <w:szCs w:val="21"/>
                    </w:rPr>
                    <w:t>mg/m3</w:t>
                  </w:r>
                </w:p>
              </w:tc>
              <w:tc>
                <w:tcPr>
                  <w:tcW w:w="2022" w:type="dxa"/>
                </w:tcPr>
                <w:p>
                  <w:pPr>
                    <w:jc w:val="center"/>
                    <w:rPr>
                      <w:szCs w:val="21"/>
                    </w:rPr>
                  </w:pPr>
                  <w:r>
                    <w:rPr>
                      <w:rFonts w:hint="eastAsia"/>
                      <w:szCs w:val="21"/>
                    </w:rPr>
                    <w:t>达标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967" w:type="dxa"/>
                  <w:vAlign w:val="center"/>
                </w:tcPr>
                <w:p>
                  <w:pPr>
                    <w:ind w:left="-105" w:leftChars="-50" w:right="-105" w:rightChars="-50"/>
                    <w:jc w:val="center"/>
                    <w:rPr>
                      <w:szCs w:val="21"/>
                    </w:rPr>
                  </w:pPr>
                  <w:r>
                    <w:rPr>
                      <w:szCs w:val="21"/>
                    </w:rPr>
                    <w:t>O</w:t>
                  </w:r>
                  <w:r>
                    <w:rPr>
                      <w:szCs w:val="21"/>
                      <w:vertAlign w:val="subscript"/>
                    </w:rPr>
                    <w:t>3</w:t>
                  </w:r>
                  <w:r>
                    <w:rPr>
                      <w:szCs w:val="21"/>
                    </w:rPr>
                    <w:t xml:space="preserve"> </w:t>
                  </w:r>
                  <w:r>
                    <w:rPr>
                      <w:rFonts w:hint="eastAsia"/>
                      <w:szCs w:val="21"/>
                    </w:rPr>
                    <w:t>日最大</w:t>
                  </w:r>
                  <w:r>
                    <w:rPr>
                      <w:szCs w:val="21"/>
                    </w:rPr>
                    <w:t>8h平均</w:t>
                  </w:r>
                </w:p>
              </w:tc>
              <w:tc>
                <w:tcPr>
                  <w:tcW w:w="2126" w:type="dxa"/>
                  <w:vAlign w:val="center"/>
                </w:tcPr>
                <w:p>
                  <w:pPr>
                    <w:jc w:val="center"/>
                    <w:rPr>
                      <w:szCs w:val="21"/>
                    </w:rPr>
                  </w:pPr>
                  <w:r>
                    <w:rPr>
                      <w:szCs w:val="21"/>
                    </w:rPr>
                    <w:t>148μg/m</w:t>
                  </w:r>
                  <w:r>
                    <w:rPr>
                      <w:szCs w:val="21"/>
                      <w:vertAlign w:val="superscript"/>
                    </w:rPr>
                    <w:t>3</w:t>
                  </w:r>
                </w:p>
              </w:tc>
              <w:tc>
                <w:tcPr>
                  <w:tcW w:w="2268" w:type="dxa"/>
                  <w:vAlign w:val="center"/>
                </w:tcPr>
                <w:p>
                  <w:pPr>
                    <w:jc w:val="center"/>
                    <w:rPr>
                      <w:szCs w:val="21"/>
                    </w:rPr>
                  </w:pPr>
                  <w:r>
                    <w:rPr>
                      <w:rFonts w:hint="eastAsia"/>
                      <w:szCs w:val="21"/>
                    </w:rPr>
                    <w:t xml:space="preserve">160 </w:t>
                  </w:r>
                  <w:r>
                    <w:rPr>
                      <w:szCs w:val="21"/>
                    </w:rPr>
                    <w:t>μg/m</w:t>
                  </w:r>
                  <w:r>
                    <w:rPr>
                      <w:szCs w:val="21"/>
                      <w:vertAlign w:val="superscript"/>
                    </w:rPr>
                    <w:t>3</w:t>
                  </w:r>
                </w:p>
              </w:tc>
              <w:tc>
                <w:tcPr>
                  <w:tcW w:w="2022" w:type="dxa"/>
                </w:tcPr>
                <w:p>
                  <w:pPr>
                    <w:jc w:val="center"/>
                    <w:rPr>
                      <w:szCs w:val="21"/>
                    </w:rPr>
                  </w:pPr>
                  <w:r>
                    <w:rPr>
                      <w:rFonts w:hint="eastAsia"/>
                      <w:szCs w:val="21"/>
                    </w:rPr>
                    <w:t>达标</w:t>
                  </w:r>
                </w:p>
              </w:tc>
            </w:tr>
          </w:tbl>
          <w:p>
            <w:pPr>
              <w:spacing w:line="360" w:lineRule="auto"/>
              <w:ind w:firstLine="480" w:firstLineChars="200"/>
              <w:rPr>
                <w:kern w:val="0"/>
                <w:sz w:val="24"/>
              </w:rPr>
            </w:pPr>
            <w:r>
              <w:rPr>
                <w:rFonts w:hint="eastAsia"/>
                <w:kern w:val="0"/>
                <w:sz w:val="24"/>
              </w:rPr>
              <w:t>由上表分析可知：判定项目所在地芜湖市鸠江区环境空气为“不达标区”，超标因子为PM2.5。超标原因可能为：市区受区域扬尘、工业污染源排放量偏高，以及外源污染传输叠加影响。</w:t>
            </w:r>
          </w:p>
          <w:p>
            <w:pPr>
              <w:pStyle w:val="122"/>
              <w:spacing w:line="360" w:lineRule="auto"/>
              <w:ind w:firstLine="424" w:firstLineChars="177"/>
              <w:rPr>
                <w:color w:val="000000"/>
                <w:sz w:val="24"/>
                <w:szCs w:val="24"/>
              </w:rPr>
            </w:pPr>
            <w:r>
              <w:rPr>
                <w:color w:val="000000"/>
                <w:sz w:val="24"/>
                <w:szCs w:val="24"/>
              </w:rPr>
              <w:t>（</w:t>
            </w:r>
            <w:r>
              <w:rPr>
                <w:rFonts w:hint="eastAsia"/>
                <w:color w:val="000000"/>
                <w:sz w:val="24"/>
                <w:szCs w:val="24"/>
              </w:rPr>
              <w:t>2</w:t>
            </w:r>
            <w:r>
              <w:rPr>
                <w:color w:val="000000"/>
                <w:sz w:val="24"/>
                <w:szCs w:val="24"/>
              </w:rPr>
              <w:t>）</w:t>
            </w:r>
            <w:r>
              <w:rPr>
                <w:rFonts w:hint="eastAsia"/>
                <w:kern w:val="0"/>
                <w:sz w:val="24"/>
              </w:rPr>
              <w:t>其他污染物环境质量现状（引用数据）</w:t>
            </w:r>
          </w:p>
          <w:p>
            <w:pPr>
              <w:spacing w:line="360" w:lineRule="auto"/>
              <w:ind w:firstLine="480" w:firstLineChars="200"/>
              <w:rPr>
                <w:bCs/>
                <w:color w:val="000000"/>
                <w:sz w:val="24"/>
              </w:rPr>
            </w:pPr>
            <w:r>
              <w:rPr>
                <w:rFonts w:hint="eastAsia"/>
                <w:bCs/>
                <w:color w:val="000000"/>
                <w:sz w:val="24"/>
              </w:rPr>
              <w:t>为调查项目评价范围内非甲烷总烃质量状况，本报告引用合肥天海检测技术服务有限公司于 2020 年 6 月 10 日~6 月 16 日对《安徽省克纳福汽车零部件有限责任公司汽车零件、橡胶件、注塑件、传感器自动生产线项目环境影响报告书》所作的监测数据作为评价依据。本项目与安徽省克纳福汽车零部件有限责任公司项目相距约</w:t>
            </w:r>
            <w:r>
              <w:rPr>
                <w:rFonts w:hint="eastAsia"/>
                <w:bCs/>
                <w:color w:val="000000"/>
                <w:sz w:val="24"/>
                <w:lang w:val="en-US" w:eastAsia="zh-CN"/>
              </w:rPr>
              <w:t>1300</w:t>
            </w:r>
            <w:r>
              <w:rPr>
                <w:rFonts w:hint="eastAsia"/>
                <w:bCs/>
                <w:color w:val="000000"/>
                <w:sz w:val="24"/>
              </w:rPr>
              <w:t xml:space="preserve"> m。根据《建设项目环境影响报告表编制技术指南（污染影响类）（试行）》（环办环评〔2020〕33 号）：排放国家、地方环境空气质量标准中有标准限值要求的特征污染物时，引用建设项目周边 5 千米范围内近 3 年的现有监测数据。故本次监测数据引用合理。区域非甲烷总烃大气环境质量现状监测结果见下表。</w:t>
            </w:r>
          </w:p>
          <w:p>
            <w:pPr>
              <w:autoSpaceDE w:val="0"/>
              <w:autoSpaceDN w:val="0"/>
              <w:spacing w:before="120" w:beforeLines="50"/>
              <w:ind w:firstLine="482" w:firstLineChars="200"/>
              <w:jc w:val="center"/>
              <w:rPr>
                <w:b/>
                <w:bCs/>
                <w:sz w:val="24"/>
              </w:rPr>
            </w:pPr>
            <w:r>
              <w:rPr>
                <w:rFonts w:hAnsi="宋体"/>
                <w:b/>
                <w:bCs/>
                <w:sz w:val="24"/>
              </w:rPr>
              <w:t>表</w:t>
            </w:r>
            <w:r>
              <w:rPr>
                <w:rFonts w:hint="eastAsia"/>
                <w:b/>
                <w:bCs/>
                <w:sz w:val="24"/>
              </w:rPr>
              <w:t>3-2</w:t>
            </w:r>
            <w:r>
              <w:rPr>
                <w:rFonts w:hint="eastAsia"/>
                <w:b/>
                <w:bCs/>
                <w:sz w:val="24"/>
                <w:lang w:val="en-US" w:eastAsia="zh-CN"/>
              </w:rPr>
              <w:t xml:space="preserve">  </w:t>
            </w:r>
            <w:r>
              <w:rPr>
                <w:rFonts w:hAnsi="宋体"/>
                <w:b/>
                <w:bCs/>
                <w:sz w:val="24"/>
              </w:rPr>
              <w:t>监测点位基本信息</w:t>
            </w:r>
          </w:p>
          <w:tbl>
            <w:tblPr>
              <w:tblStyle w:val="58"/>
              <w:tblW w:w="497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50"/>
              <w:gridCol w:w="1151"/>
              <w:gridCol w:w="1519"/>
              <w:gridCol w:w="1155"/>
              <w:gridCol w:w="1170"/>
              <w:gridCol w:w="9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228" w:type="pct"/>
                  <w:vMerge w:val="restart"/>
                  <w:vAlign w:val="center"/>
                </w:tcPr>
                <w:p>
                  <w:pPr>
                    <w:jc w:val="center"/>
                    <w:rPr>
                      <w:b/>
                      <w:bCs/>
                      <w:szCs w:val="21"/>
                    </w:rPr>
                  </w:pPr>
                  <w:r>
                    <w:rPr>
                      <w:rFonts w:hAnsi="宋体"/>
                      <w:b/>
                      <w:bCs/>
                      <w:szCs w:val="21"/>
                    </w:rPr>
                    <w:t>点位</w:t>
                  </w:r>
                  <w:r>
                    <w:rPr>
                      <w:rFonts w:hAnsi="Calibri"/>
                      <w:b/>
                      <w:bCs/>
                      <w:szCs w:val="21"/>
                    </w:rPr>
                    <w:t>名称</w:t>
                  </w:r>
                </w:p>
              </w:tc>
              <w:tc>
                <w:tcPr>
                  <w:tcW w:w="724" w:type="pct"/>
                  <w:vMerge w:val="restart"/>
                  <w:vAlign w:val="center"/>
                </w:tcPr>
                <w:p>
                  <w:pPr>
                    <w:jc w:val="center"/>
                    <w:rPr>
                      <w:b/>
                      <w:bCs/>
                      <w:szCs w:val="21"/>
                    </w:rPr>
                  </w:pPr>
                  <w:r>
                    <w:rPr>
                      <w:rFonts w:hAnsi="宋体"/>
                      <w:b/>
                      <w:bCs/>
                      <w:szCs w:val="21"/>
                    </w:rPr>
                    <w:t>监测</w:t>
                  </w:r>
                  <w:r>
                    <w:rPr>
                      <w:rFonts w:hAnsi="Calibri"/>
                      <w:b/>
                      <w:bCs/>
                      <w:szCs w:val="21"/>
                    </w:rPr>
                    <w:t>因子</w:t>
                  </w:r>
                </w:p>
              </w:tc>
              <w:tc>
                <w:tcPr>
                  <w:tcW w:w="956" w:type="pct"/>
                  <w:vMerge w:val="restart"/>
                  <w:vAlign w:val="center"/>
                </w:tcPr>
                <w:p>
                  <w:pPr>
                    <w:jc w:val="center"/>
                    <w:rPr>
                      <w:b/>
                      <w:bCs/>
                      <w:szCs w:val="21"/>
                    </w:rPr>
                  </w:pPr>
                  <w:r>
                    <w:rPr>
                      <w:rFonts w:hAnsi="宋体"/>
                      <w:b/>
                      <w:bCs/>
                      <w:szCs w:val="21"/>
                    </w:rPr>
                    <w:t>监测时段</w:t>
                  </w:r>
                </w:p>
              </w:tc>
              <w:tc>
                <w:tcPr>
                  <w:tcW w:w="2090" w:type="pct"/>
                  <w:gridSpan w:val="3"/>
                  <w:vAlign w:val="center"/>
                </w:tcPr>
                <w:p>
                  <w:pPr>
                    <w:jc w:val="center"/>
                    <w:rPr>
                      <w:rFonts w:hAnsi="宋体"/>
                      <w:b/>
                      <w:bCs/>
                      <w:szCs w:val="21"/>
                    </w:rPr>
                  </w:pPr>
                  <w:r>
                    <w:rPr>
                      <w:rFonts w:ascii="Times New Roman" w:eastAsia="Times New Roman"/>
                      <w:b/>
                      <w:sz w:val="21"/>
                    </w:rPr>
                    <w:t>1</w:t>
                  </w:r>
                  <w:r>
                    <w:rPr>
                      <w:b/>
                      <w:sz w:val="21"/>
                    </w:rPr>
                    <w:t>小时平均浓度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228" w:type="pct"/>
                  <w:vMerge w:val="continue"/>
                  <w:vAlign w:val="center"/>
                </w:tcPr>
                <w:p>
                  <w:pPr>
                    <w:jc w:val="center"/>
                    <w:rPr>
                      <w:rFonts w:hint="eastAsia"/>
                      <w:color w:val="0D0D0D" w:themeColor="text1" w:themeTint="F2"/>
                      <w:szCs w:val="21"/>
                      <w14:textFill>
                        <w14:solidFill>
                          <w14:schemeClr w14:val="tx1">
                            <w14:lumMod w14:val="95000"/>
                            <w14:lumOff w14:val="5000"/>
                          </w14:schemeClr>
                        </w14:solidFill>
                      </w14:textFill>
                    </w:rPr>
                  </w:pPr>
                </w:p>
              </w:tc>
              <w:tc>
                <w:tcPr>
                  <w:tcW w:w="724" w:type="pct"/>
                  <w:vMerge w:val="continue"/>
                  <w:vAlign w:val="center"/>
                </w:tcPr>
                <w:p>
                  <w:pPr>
                    <w:jc w:val="center"/>
                    <w:rPr>
                      <w:rFonts w:hAnsi="宋体"/>
                      <w:szCs w:val="21"/>
                    </w:rPr>
                  </w:pPr>
                </w:p>
              </w:tc>
              <w:tc>
                <w:tcPr>
                  <w:tcW w:w="956" w:type="pct"/>
                  <w:vMerge w:val="continue"/>
                  <w:vAlign w:val="center"/>
                </w:tcPr>
                <w:p>
                  <w:pPr>
                    <w:pStyle w:val="218"/>
                    <w:spacing w:before="1" w:line="193" w:lineRule="exact"/>
                    <w:ind w:left="107"/>
                    <w:rPr>
                      <w:rFonts w:ascii="Times New Roman"/>
                      <w:sz w:val="21"/>
                    </w:rPr>
                  </w:pPr>
                </w:p>
              </w:tc>
              <w:tc>
                <w:tcPr>
                  <w:tcW w:w="727" w:type="pct"/>
                  <w:vAlign w:val="center"/>
                </w:tcPr>
                <w:p>
                  <w:pPr>
                    <w:pStyle w:val="218"/>
                    <w:spacing w:before="3"/>
                    <w:jc w:val="both"/>
                    <w:rPr>
                      <w:rFonts w:hint="eastAsia"/>
                    </w:rPr>
                  </w:pPr>
                  <w:r>
                    <w:rPr>
                      <w:b/>
                      <w:sz w:val="21"/>
                    </w:rPr>
                    <w:t>监测浓度（</w:t>
                  </w:r>
                  <w:r>
                    <w:rPr>
                      <w:rFonts w:ascii="Times New Roman" w:eastAsia="Times New Roman"/>
                      <w:sz w:val="21"/>
                    </w:rPr>
                    <w:t>mg/m</w:t>
                  </w:r>
                  <w:r>
                    <w:rPr>
                      <w:rFonts w:ascii="Times New Roman" w:eastAsia="Times New Roman"/>
                      <w:sz w:val="21"/>
                      <w:vertAlign w:val="superscript"/>
                    </w:rPr>
                    <w:t>3</w:t>
                  </w:r>
                  <w:r>
                    <w:rPr>
                      <w:b/>
                      <w:sz w:val="21"/>
                      <w:vertAlign w:val="baseline"/>
                    </w:rPr>
                    <w:t>）</w:t>
                  </w:r>
                </w:p>
              </w:tc>
              <w:tc>
                <w:tcPr>
                  <w:tcW w:w="736" w:type="pct"/>
                  <w:vAlign w:val="center"/>
                </w:tcPr>
                <w:p>
                  <w:pPr>
                    <w:pStyle w:val="218"/>
                    <w:spacing w:before="3"/>
                    <w:ind w:right="2"/>
                    <w:jc w:val="both"/>
                    <w:rPr>
                      <w:b/>
                      <w:sz w:val="21"/>
                    </w:rPr>
                  </w:pPr>
                  <w:r>
                    <w:rPr>
                      <w:b/>
                      <w:sz w:val="21"/>
                    </w:rPr>
                    <w:t>标准值</w:t>
                  </w:r>
                </w:p>
                <w:p>
                  <w:pPr>
                    <w:jc w:val="center"/>
                    <w:rPr>
                      <w:rFonts w:hint="eastAsia"/>
                    </w:rPr>
                  </w:pPr>
                  <w:r>
                    <w:rPr>
                      <w:b/>
                      <w:sz w:val="21"/>
                    </w:rPr>
                    <w:t>（</w:t>
                  </w:r>
                  <w:r>
                    <w:rPr>
                      <w:rFonts w:ascii="Times New Roman" w:eastAsia="Times New Roman"/>
                      <w:sz w:val="21"/>
                    </w:rPr>
                    <w:t>mg/m</w:t>
                  </w:r>
                  <w:r>
                    <w:rPr>
                      <w:rFonts w:ascii="Times New Roman" w:eastAsia="Times New Roman"/>
                      <w:sz w:val="21"/>
                      <w:vertAlign w:val="superscript"/>
                    </w:rPr>
                    <w:t>3</w:t>
                  </w:r>
                  <w:r>
                    <w:rPr>
                      <w:b/>
                      <w:sz w:val="21"/>
                      <w:vertAlign w:val="baseline"/>
                    </w:rPr>
                    <w:t>）</w:t>
                  </w:r>
                </w:p>
              </w:tc>
              <w:tc>
                <w:tcPr>
                  <w:tcW w:w="626" w:type="pct"/>
                  <w:vAlign w:val="center"/>
                </w:tcPr>
                <w:p>
                  <w:pPr>
                    <w:jc w:val="center"/>
                    <w:rPr>
                      <w:rFonts w:hint="eastAsia" w:hAnsi="宋体"/>
                      <w:b/>
                      <w:bCs/>
                      <w:szCs w:val="21"/>
                    </w:rPr>
                  </w:pPr>
                  <w:r>
                    <w:rPr>
                      <w:b/>
                      <w:sz w:val="21"/>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44" w:hRule="atLeast"/>
                <w:jc w:val="center"/>
              </w:trPr>
              <w:tc>
                <w:tcPr>
                  <w:tcW w:w="1228" w:type="pct"/>
                  <w:vAlign w:val="center"/>
                </w:tcPr>
                <w:p>
                  <w:pPr>
                    <w:jc w:val="center"/>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安徽省克纳福汽车零部件有限责任公司项目所在地</w:t>
                  </w:r>
                </w:p>
                <w:p>
                  <w:pPr>
                    <w:jc w:val="center"/>
                    <w:rPr>
                      <w:rFonts w:hint="eastAsia" w:eastAsia="宋体"/>
                      <w:lang w:eastAsia="zh-CN"/>
                    </w:rPr>
                  </w:pPr>
                  <w:r>
                    <w:rPr>
                      <w:rFonts w:hint="eastAsia"/>
                      <w:color w:val="0D0D0D" w:themeColor="text1" w:themeTint="F2"/>
                      <w:szCs w:val="21"/>
                      <w14:textFill>
                        <w14:solidFill>
                          <w14:schemeClr w14:val="tx1">
                            <w14:lumMod w14:val="95000"/>
                            <w14:lumOff w14:val="5000"/>
                          </w14:schemeClr>
                        </w14:solidFill>
                      </w14:textFill>
                    </w:rPr>
                    <w:t>（鸠江经济开发区官陡门路 208 号</w:t>
                  </w:r>
                  <w:r>
                    <w:rPr>
                      <w:rFonts w:hint="eastAsia"/>
                      <w:color w:val="0D0D0D" w:themeColor="text1" w:themeTint="F2"/>
                      <w:szCs w:val="21"/>
                      <w:lang w:eastAsia="zh-CN"/>
                      <w14:textFill>
                        <w14:solidFill>
                          <w14:schemeClr w14:val="tx1">
                            <w14:lumMod w14:val="95000"/>
                            <w14:lumOff w14:val="5000"/>
                          </w14:schemeClr>
                        </w14:solidFill>
                      </w14:textFill>
                    </w:rPr>
                    <w:t>）</w:t>
                  </w:r>
                </w:p>
              </w:tc>
              <w:tc>
                <w:tcPr>
                  <w:tcW w:w="724" w:type="pct"/>
                  <w:vAlign w:val="center"/>
                </w:tcPr>
                <w:p>
                  <w:pPr>
                    <w:jc w:val="center"/>
                    <w:rPr>
                      <w:szCs w:val="21"/>
                    </w:rPr>
                  </w:pPr>
                  <w:r>
                    <w:rPr>
                      <w:rFonts w:hAnsi="宋体"/>
                      <w:szCs w:val="21"/>
                    </w:rPr>
                    <w:t>非甲烷总烃</w:t>
                  </w:r>
                </w:p>
              </w:tc>
              <w:tc>
                <w:tcPr>
                  <w:tcW w:w="956" w:type="pct"/>
                  <w:vAlign w:val="center"/>
                </w:tcPr>
                <w:p>
                  <w:pPr>
                    <w:pStyle w:val="218"/>
                    <w:spacing w:before="159"/>
                    <w:ind w:left="162"/>
                    <w:rPr>
                      <w:rFonts w:ascii="Times New Roman"/>
                      <w:sz w:val="21"/>
                    </w:rPr>
                  </w:pPr>
                  <w:r>
                    <w:rPr>
                      <w:rFonts w:ascii="Times New Roman"/>
                      <w:sz w:val="21"/>
                    </w:rPr>
                    <w:t>2020.06.10</w:t>
                  </w:r>
                </w:p>
                <w:p>
                  <w:pPr>
                    <w:pStyle w:val="218"/>
                    <w:spacing w:before="1" w:line="193" w:lineRule="exact"/>
                    <w:ind w:left="107"/>
                    <w:rPr>
                      <w:szCs w:val="21"/>
                    </w:rPr>
                  </w:pPr>
                  <w:r>
                    <w:rPr>
                      <w:rFonts w:ascii="Times New Roman"/>
                      <w:sz w:val="21"/>
                    </w:rPr>
                    <w:t>~2020.06.16</w:t>
                  </w:r>
                </w:p>
              </w:tc>
              <w:tc>
                <w:tcPr>
                  <w:tcW w:w="727" w:type="pct"/>
                  <w:vAlign w:val="center"/>
                </w:tcPr>
                <w:p>
                  <w:pPr>
                    <w:jc w:val="center"/>
                  </w:pPr>
                  <w:r>
                    <w:rPr>
                      <w:rFonts w:ascii="Times New Roman" w:eastAsia="Times New Roman"/>
                      <w:sz w:val="21"/>
                    </w:rPr>
                    <w:t>0.07~0.39</w:t>
                  </w:r>
                </w:p>
              </w:tc>
              <w:tc>
                <w:tcPr>
                  <w:tcW w:w="736" w:type="pct"/>
                  <w:vAlign w:val="center"/>
                </w:tcPr>
                <w:p>
                  <w:pPr>
                    <w:jc w:val="center"/>
                  </w:pPr>
                  <w:r>
                    <w:rPr>
                      <w:rFonts w:ascii="Times New Roman"/>
                      <w:sz w:val="21"/>
                    </w:rPr>
                    <w:t>2.0</w:t>
                  </w:r>
                </w:p>
              </w:tc>
              <w:tc>
                <w:tcPr>
                  <w:tcW w:w="626" w:type="pct"/>
                  <w:vAlign w:val="center"/>
                </w:tcPr>
                <w:p>
                  <w:pPr>
                    <w:jc w:val="center"/>
                  </w:pPr>
                  <w:r>
                    <w:rPr>
                      <w:rFonts w:hint="eastAsia" w:hAnsi="宋体"/>
                      <w:b w:val="0"/>
                      <w:bCs w:val="0"/>
                      <w:szCs w:val="21"/>
                    </w:rPr>
                    <w:t>达标</w:t>
                  </w:r>
                </w:p>
              </w:tc>
            </w:tr>
          </w:tbl>
          <w:p/>
          <w:p>
            <w:pPr>
              <w:spacing w:line="360" w:lineRule="auto"/>
              <w:ind w:firstLine="480" w:firstLineChars="200"/>
              <w:rPr>
                <w:rFonts w:hAnsi="宋体"/>
                <w:sz w:val="24"/>
              </w:rPr>
            </w:pPr>
            <w:r>
              <w:rPr>
                <w:rFonts w:hAnsi="宋体"/>
                <w:sz w:val="24"/>
              </w:rPr>
              <w:t>由上表可知，项目所在区域非甲烷总烃小时浓度值满足</w:t>
            </w:r>
            <w:r>
              <w:rPr>
                <w:rFonts w:hint="eastAsia" w:hAnsi="宋体"/>
                <w:sz w:val="24"/>
              </w:rPr>
              <w:t>《大气污染物综合排放标准详解》中</w:t>
            </w:r>
            <w:r>
              <w:rPr>
                <w:rFonts w:hint="eastAsia" w:hAnsi="宋体"/>
                <w:sz w:val="24"/>
                <w:lang w:val="en-US" w:eastAsia="zh-CN"/>
              </w:rPr>
              <w:t>参考</w:t>
            </w:r>
            <w:r>
              <w:rPr>
                <w:rFonts w:hAnsi="宋体"/>
                <w:sz w:val="24"/>
              </w:rPr>
              <w:t>值</w:t>
            </w:r>
            <w:r>
              <w:rPr>
                <w:rFonts w:hint="eastAsia" w:hAnsi="宋体"/>
                <w:sz w:val="24"/>
              </w:rPr>
              <w:t>（2.0mg/m</w:t>
            </w:r>
            <w:r>
              <w:rPr>
                <w:rFonts w:hint="eastAsia" w:hAnsi="宋体"/>
                <w:sz w:val="24"/>
                <w:vertAlign w:val="superscript"/>
              </w:rPr>
              <w:t>3</w:t>
            </w:r>
            <w:r>
              <w:rPr>
                <w:rFonts w:hint="eastAsia" w:hAnsi="宋体"/>
                <w:sz w:val="24"/>
              </w:rPr>
              <w:t>）</w:t>
            </w:r>
            <w:r>
              <w:rPr>
                <w:rFonts w:hAnsi="宋体"/>
                <w:sz w:val="24"/>
              </w:rPr>
              <w:t>。</w:t>
            </w:r>
          </w:p>
          <w:p>
            <w:pPr>
              <w:widowControl/>
              <w:spacing w:line="360" w:lineRule="auto"/>
              <w:ind w:firstLine="458" w:firstLineChars="190"/>
              <w:jc w:val="left"/>
              <w:rPr>
                <w:b/>
                <w:bCs/>
                <w:color w:val="000000"/>
                <w:kern w:val="0"/>
                <w:sz w:val="24"/>
              </w:rPr>
            </w:pPr>
            <w:r>
              <w:rPr>
                <w:b/>
                <w:color w:val="000000"/>
                <w:kern w:val="0"/>
                <w:sz w:val="24"/>
              </w:rPr>
              <w:t>2、</w:t>
            </w:r>
            <w:r>
              <w:rPr>
                <w:b/>
                <w:bCs/>
                <w:color w:val="000000"/>
                <w:kern w:val="0"/>
                <w:sz w:val="24"/>
              </w:rPr>
              <w:t>地表水环境质量现状</w:t>
            </w:r>
          </w:p>
          <w:p>
            <w:pPr>
              <w:spacing w:line="360" w:lineRule="auto"/>
              <w:ind w:firstLine="480" w:firstLineChars="200"/>
              <w:rPr>
                <w:bCs/>
                <w:sz w:val="24"/>
              </w:rPr>
            </w:pPr>
            <w:r>
              <w:rPr>
                <w:bCs/>
                <w:sz w:val="24"/>
              </w:rPr>
              <w:t>本次环评依据芜湖市生态环境局发布的《2020年芜湖市环境状况公报》进行区域达标性判断评价，对项目所在区域水环境质量现状进行分析。</w:t>
            </w:r>
          </w:p>
          <w:p>
            <w:pPr>
              <w:spacing w:line="360" w:lineRule="auto"/>
              <w:ind w:firstLine="480" w:firstLineChars="200"/>
              <w:rPr>
                <w:bCs/>
                <w:color w:val="auto"/>
                <w:sz w:val="24"/>
              </w:rPr>
            </w:pPr>
            <w:r>
              <w:rPr>
                <w:bCs/>
                <w:color w:val="auto"/>
                <w:sz w:val="24"/>
              </w:rPr>
              <w:t>全市列入国家水质考核断面共有6个，长江东西梁山、漳河澛港桥、青山河查湾、青弋江宝塔根、裕溪河裕溪口、黄浒河荻港6个断面水质均值达到《地表水环境质量标准》（GB3838-2002）Ⅱ类标准，其中青弋江宝塔根、裕溪河裕溪口、黄浒河荻港3个国控断面优于国家考核要求。</w:t>
            </w:r>
          </w:p>
          <w:p>
            <w:pPr>
              <w:spacing w:line="360" w:lineRule="auto"/>
              <w:ind w:firstLine="480" w:firstLineChars="200"/>
              <w:rPr>
                <w:bCs/>
                <w:color w:val="auto"/>
                <w:sz w:val="24"/>
              </w:rPr>
            </w:pPr>
            <w:r>
              <w:rPr>
                <w:bCs/>
                <w:color w:val="auto"/>
                <w:sz w:val="24"/>
              </w:rPr>
              <w:t>监测结果详见表3-</w:t>
            </w:r>
            <w:r>
              <w:rPr>
                <w:rFonts w:hint="eastAsia"/>
                <w:bCs/>
                <w:color w:val="auto"/>
                <w:sz w:val="24"/>
              </w:rPr>
              <w:t>3：</w:t>
            </w:r>
          </w:p>
          <w:p>
            <w:pPr>
              <w:ind w:firstLine="482" w:firstLineChars="200"/>
              <w:jc w:val="center"/>
              <w:rPr>
                <w:rFonts w:hint="default" w:eastAsia="宋体"/>
                <w:b/>
                <w:bCs/>
                <w:color w:val="auto"/>
                <w:sz w:val="24"/>
                <w:lang w:val="en-US" w:eastAsia="zh-CN"/>
              </w:rPr>
            </w:pPr>
            <w:r>
              <w:rPr>
                <w:rFonts w:hint="eastAsia"/>
                <w:b/>
                <w:bCs/>
                <w:color w:val="auto"/>
                <w:sz w:val="24"/>
              </w:rPr>
              <w:t>表</w:t>
            </w:r>
            <w:r>
              <w:rPr>
                <w:b/>
                <w:bCs/>
                <w:color w:val="auto"/>
                <w:sz w:val="24"/>
              </w:rPr>
              <w:t>3-</w:t>
            </w:r>
            <w:r>
              <w:rPr>
                <w:rFonts w:hint="eastAsia"/>
                <w:b/>
                <w:bCs/>
                <w:color w:val="auto"/>
                <w:sz w:val="24"/>
              </w:rPr>
              <w:t>3</w:t>
            </w:r>
            <w:r>
              <w:rPr>
                <w:rFonts w:hint="eastAsia"/>
                <w:b/>
                <w:bCs/>
                <w:color w:val="auto"/>
                <w:sz w:val="24"/>
                <w:lang w:val="en-US" w:eastAsia="zh-CN"/>
              </w:rPr>
              <w:t xml:space="preserve"> 芜湖市河流国控断面达</w:t>
            </w:r>
            <w:r>
              <w:rPr>
                <w:rFonts w:hint="eastAsia"/>
                <w:b/>
                <w:bCs/>
                <w:color w:val="auto"/>
                <w:sz w:val="24"/>
              </w:rPr>
              <w:t>标情况</w:t>
            </w:r>
            <w:r>
              <w:rPr>
                <w:rFonts w:hint="eastAsia"/>
                <w:b/>
                <w:bCs/>
                <w:color w:val="auto"/>
                <w:sz w:val="24"/>
                <w:lang w:val="en-US" w:eastAsia="zh-CN"/>
              </w:rPr>
              <w:t>一览表</w:t>
            </w:r>
          </w:p>
          <w:tbl>
            <w:tblPr>
              <w:tblStyle w:val="5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473"/>
              <w:gridCol w:w="1228"/>
              <w:gridCol w:w="1057"/>
              <w:gridCol w:w="2345"/>
              <w:gridCol w:w="8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3" w:type="dxa"/>
                  <w:vAlign w:val="center"/>
                </w:tcPr>
                <w:p>
                  <w:pPr>
                    <w:pStyle w:val="54"/>
                    <w:spacing w:before="0" w:beforeAutospacing="0" w:after="0" w:afterAutospacing="0"/>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河流名称</w:t>
                  </w:r>
                </w:p>
              </w:tc>
              <w:tc>
                <w:tcPr>
                  <w:tcW w:w="1228" w:type="dxa"/>
                  <w:vAlign w:val="center"/>
                </w:tcPr>
                <w:p>
                  <w:pPr>
                    <w:pStyle w:val="54"/>
                    <w:spacing w:before="0" w:beforeAutospacing="0" w:after="0" w:afterAutospacing="0"/>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断面名称</w:t>
                  </w:r>
                </w:p>
              </w:tc>
              <w:tc>
                <w:tcPr>
                  <w:tcW w:w="1057" w:type="dxa"/>
                  <w:vAlign w:val="center"/>
                </w:tcPr>
                <w:p>
                  <w:pPr>
                    <w:pStyle w:val="54"/>
                    <w:spacing w:before="0" w:beforeAutospacing="0" w:after="0" w:afterAutospacing="0"/>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断面水质现状</w:t>
                  </w:r>
                </w:p>
              </w:tc>
              <w:tc>
                <w:tcPr>
                  <w:tcW w:w="2345" w:type="dxa"/>
                  <w:vAlign w:val="center"/>
                </w:tcPr>
                <w:p>
                  <w:pPr>
                    <w:pStyle w:val="54"/>
                    <w:spacing w:before="0" w:beforeAutospacing="0" w:after="0" w:afterAutospacing="0"/>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执行标准</w:t>
                  </w:r>
                </w:p>
              </w:tc>
              <w:tc>
                <w:tcPr>
                  <w:tcW w:w="871" w:type="dxa"/>
                  <w:vAlign w:val="center"/>
                </w:tcPr>
                <w:p>
                  <w:pPr>
                    <w:pStyle w:val="54"/>
                    <w:spacing w:before="0" w:beforeAutospacing="0" w:after="0" w:afterAutospacing="0"/>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3" w:type="dxa"/>
                  <w:vAlign w:val="center"/>
                </w:tcPr>
                <w:p>
                  <w:pPr>
                    <w:pStyle w:val="54"/>
                    <w:spacing w:before="0" w:beforeAutospacing="0" w:after="0" w:afterAutospacing="0"/>
                    <w:jc w:val="center"/>
                    <w:rPr>
                      <w:rFonts w:hint="eastAsia"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长江</w:t>
                  </w:r>
                </w:p>
              </w:tc>
              <w:tc>
                <w:tcPr>
                  <w:tcW w:w="1228" w:type="dxa"/>
                  <w:vAlign w:val="center"/>
                </w:tcPr>
                <w:p>
                  <w:pPr>
                    <w:pStyle w:val="54"/>
                    <w:spacing w:before="0" w:beforeAutospacing="0" w:after="0" w:afterAutospacing="0"/>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东西梁山</w:t>
                  </w:r>
                </w:p>
              </w:tc>
              <w:tc>
                <w:tcPr>
                  <w:tcW w:w="1057" w:type="dxa"/>
                  <w:vAlign w:val="center"/>
                </w:tcPr>
                <w:p>
                  <w:pPr>
                    <w:pStyle w:val="54"/>
                    <w:spacing w:before="0" w:beforeAutospacing="0" w:after="0" w:afterAutospacing="0"/>
                    <w:jc w:val="center"/>
                    <w:rPr>
                      <w:rFonts w:ascii="Times New Roman" w:hAnsi="Times New Roman"/>
                      <w:color w:val="auto"/>
                      <w:sz w:val="21"/>
                      <w:szCs w:val="21"/>
                    </w:rPr>
                  </w:pPr>
                  <w:r>
                    <w:rPr>
                      <w:bCs/>
                      <w:color w:val="auto"/>
                      <w:sz w:val="24"/>
                    </w:rPr>
                    <w:t>Ⅱ类</w:t>
                  </w:r>
                </w:p>
              </w:tc>
              <w:tc>
                <w:tcPr>
                  <w:tcW w:w="2345" w:type="dxa"/>
                  <w:vAlign w:val="center"/>
                </w:tcPr>
                <w:p>
                  <w:pPr>
                    <w:pStyle w:val="54"/>
                    <w:spacing w:before="0" w:beforeAutospacing="0" w:after="0" w:afterAutospacing="0"/>
                    <w:jc w:val="center"/>
                    <w:rPr>
                      <w:rFonts w:ascii="Times New Roman" w:hAnsi="Times New Roman"/>
                      <w:color w:val="auto"/>
                      <w:sz w:val="21"/>
                      <w:szCs w:val="21"/>
                    </w:rPr>
                  </w:pPr>
                  <w:r>
                    <w:rPr>
                      <w:rFonts w:hint="eastAsia"/>
                      <w:bCs/>
                      <w:color w:val="auto"/>
                      <w:sz w:val="24"/>
                    </w:rPr>
                    <w:t>III 类</w:t>
                  </w:r>
                </w:p>
              </w:tc>
              <w:tc>
                <w:tcPr>
                  <w:tcW w:w="871" w:type="dxa"/>
                  <w:vAlign w:val="center"/>
                </w:tcPr>
                <w:p>
                  <w:pPr>
                    <w:pStyle w:val="54"/>
                    <w:spacing w:before="0" w:beforeAutospacing="0" w:after="0" w:afterAutospacing="0"/>
                    <w:jc w:val="center"/>
                    <w:rPr>
                      <w:rFonts w:hint="eastAsia" w:ascii="Times New Roman" w:hAnsi="Times New Roman" w:eastAsia="宋体"/>
                      <w:color w:val="auto"/>
                      <w:sz w:val="21"/>
                      <w:szCs w:val="21"/>
                      <w:lang w:eastAsia="zh-CN"/>
                    </w:rPr>
                  </w:pPr>
                  <w:r>
                    <w:rPr>
                      <w:rFonts w:hint="eastAsia" w:ascii="Times New Roman" w:hAnsi="Times New Roman"/>
                      <w:color w:val="auto"/>
                      <w:sz w:val="21"/>
                      <w:szCs w:val="21"/>
                      <w:lang w:val="en-US" w:eastAsia="zh-CN"/>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3" w:type="dxa"/>
                  <w:vAlign w:val="center"/>
                </w:tcPr>
                <w:p>
                  <w:pPr>
                    <w:pStyle w:val="54"/>
                    <w:spacing w:before="0" w:beforeAutospacing="0" w:after="0" w:afterAutospacing="0"/>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青弋江</w:t>
                  </w:r>
                </w:p>
              </w:tc>
              <w:tc>
                <w:tcPr>
                  <w:tcW w:w="1228" w:type="dxa"/>
                  <w:vAlign w:val="center"/>
                </w:tcPr>
                <w:p>
                  <w:pPr>
                    <w:pStyle w:val="54"/>
                    <w:spacing w:before="0" w:beforeAutospacing="0" w:after="0" w:afterAutospacing="0"/>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宝塔根</w:t>
                  </w:r>
                </w:p>
              </w:tc>
              <w:tc>
                <w:tcPr>
                  <w:tcW w:w="1057" w:type="dxa"/>
                  <w:vAlign w:val="center"/>
                </w:tcPr>
                <w:p>
                  <w:pPr>
                    <w:pStyle w:val="54"/>
                    <w:spacing w:before="0" w:beforeAutospacing="0" w:after="0" w:afterAutospacing="0"/>
                    <w:jc w:val="center"/>
                    <w:rPr>
                      <w:rFonts w:ascii="Times New Roman" w:hAnsi="Times New Roman"/>
                      <w:color w:val="auto"/>
                      <w:sz w:val="21"/>
                      <w:szCs w:val="21"/>
                    </w:rPr>
                  </w:pPr>
                  <w:r>
                    <w:rPr>
                      <w:bCs/>
                      <w:color w:val="auto"/>
                      <w:sz w:val="24"/>
                    </w:rPr>
                    <w:t>Ⅱ类</w:t>
                  </w:r>
                </w:p>
              </w:tc>
              <w:tc>
                <w:tcPr>
                  <w:tcW w:w="2345" w:type="dxa"/>
                  <w:vAlign w:val="center"/>
                </w:tcPr>
                <w:p>
                  <w:pPr>
                    <w:pStyle w:val="54"/>
                    <w:spacing w:before="0" w:beforeAutospacing="0" w:after="0" w:afterAutospacing="0"/>
                    <w:jc w:val="center"/>
                    <w:rPr>
                      <w:rFonts w:ascii="Times New Roman" w:hAnsi="Times New Roman"/>
                      <w:color w:val="auto"/>
                      <w:sz w:val="21"/>
                      <w:szCs w:val="21"/>
                    </w:rPr>
                  </w:pPr>
                  <w:r>
                    <w:rPr>
                      <w:rFonts w:hint="eastAsia"/>
                      <w:bCs/>
                      <w:color w:val="auto"/>
                      <w:sz w:val="24"/>
                    </w:rPr>
                    <w:t>III 类</w:t>
                  </w:r>
                </w:p>
              </w:tc>
              <w:tc>
                <w:tcPr>
                  <w:tcW w:w="871" w:type="dxa"/>
                  <w:vAlign w:val="center"/>
                </w:tcPr>
                <w:p>
                  <w:pPr>
                    <w:pStyle w:val="54"/>
                    <w:spacing w:before="0" w:beforeAutospacing="0" w:after="0" w:afterAutospacing="0"/>
                    <w:jc w:val="center"/>
                    <w:rPr>
                      <w:rFonts w:hint="eastAsia" w:ascii="Times New Roman" w:hAnsi="Times New Roman" w:eastAsia="宋体"/>
                      <w:color w:val="auto"/>
                      <w:sz w:val="21"/>
                      <w:szCs w:val="21"/>
                      <w:lang w:eastAsia="zh-CN"/>
                    </w:rPr>
                  </w:pPr>
                  <w:r>
                    <w:rPr>
                      <w:rFonts w:hint="eastAsia" w:ascii="Times New Roman" w:hAnsi="Times New Roman"/>
                      <w:color w:val="auto"/>
                      <w:sz w:val="21"/>
                      <w:szCs w:val="21"/>
                      <w:lang w:val="en-US" w:eastAsia="zh-CN"/>
                    </w:rPr>
                    <w:t>达标</w:t>
                  </w:r>
                </w:p>
              </w:tc>
            </w:tr>
          </w:tbl>
          <w:p>
            <w:pPr>
              <w:rPr>
                <w:color w:val="auto"/>
              </w:rPr>
            </w:pPr>
          </w:p>
          <w:p>
            <w:pPr>
              <w:widowControl/>
              <w:spacing w:line="360" w:lineRule="auto"/>
              <w:ind w:firstLine="456" w:firstLineChars="190"/>
              <w:jc w:val="left"/>
              <w:rPr>
                <w:rFonts w:hint="eastAsia"/>
                <w:bCs/>
                <w:color w:val="auto"/>
                <w:sz w:val="24"/>
              </w:rPr>
            </w:pPr>
            <w:r>
              <w:rPr>
                <w:rFonts w:hint="eastAsia"/>
                <w:bCs/>
                <w:color w:val="auto"/>
                <w:sz w:val="24"/>
              </w:rPr>
              <w:t>由上表可知，区域地表水环境优于《地表水环境质量标准》（GB3838-2002）中Ⅲ类标准的要求。</w:t>
            </w:r>
          </w:p>
          <w:p>
            <w:pPr>
              <w:widowControl/>
              <w:spacing w:line="360" w:lineRule="auto"/>
              <w:ind w:firstLine="458" w:firstLineChars="190"/>
              <w:jc w:val="left"/>
              <w:rPr>
                <w:b/>
                <w:bCs/>
                <w:color w:val="000000"/>
                <w:kern w:val="0"/>
                <w:sz w:val="24"/>
              </w:rPr>
            </w:pPr>
            <w:r>
              <w:rPr>
                <w:rFonts w:hint="eastAsia"/>
                <w:b/>
                <w:color w:val="000000"/>
                <w:kern w:val="0"/>
                <w:sz w:val="24"/>
              </w:rPr>
              <w:t>3</w:t>
            </w:r>
            <w:r>
              <w:rPr>
                <w:b/>
                <w:color w:val="000000"/>
                <w:kern w:val="0"/>
                <w:sz w:val="24"/>
              </w:rPr>
              <w:t>、</w:t>
            </w:r>
            <w:r>
              <w:rPr>
                <w:rFonts w:hint="eastAsia"/>
                <w:b/>
                <w:bCs/>
                <w:color w:val="000000"/>
                <w:kern w:val="0"/>
                <w:sz w:val="24"/>
              </w:rPr>
              <w:t>噪声</w:t>
            </w:r>
            <w:r>
              <w:rPr>
                <w:b/>
                <w:bCs/>
                <w:color w:val="000000"/>
                <w:kern w:val="0"/>
                <w:sz w:val="24"/>
              </w:rPr>
              <w:t>环境质量现状</w:t>
            </w:r>
          </w:p>
          <w:p>
            <w:pPr>
              <w:spacing w:line="360" w:lineRule="auto"/>
              <w:ind w:firstLine="480" w:firstLineChars="200"/>
              <w:rPr>
                <w:bCs/>
                <w:sz w:val="24"/>
              </w:rPr>
            </w:pPr>
            <w:r>
              <w:rPr>
                <w:rFonts w:hint="eastAsia" w:ascii="宋体" w:hAnsi="宋体"/>
                <w:bCs/>
                <w:sz w:val="24"/>
              </w:rPr>
              <w:t>根据《</w:t>
            </w:r>
            <w:r>
              <w:rPr>
                <w:bCs/>
                <w:sz w:val="24"/>
              </w:rPr>
              <w:t>建设项目环境影响报告表编制技术指南(污染影响类) (试行)》中“区域环境质量”的“3、声环境—厂界外周边50米范围内存在声环境保护目标的建设项目，应监测保护目标声环境质量现状并评价达标情况。各点位应监测昼夜间噪声，监测时间不少于1天。”。</w:t>
            </w:r>
          </w:p>
          <w:p>
            <w:pPr>
              <w:spacing w:line="360" w:lineRule="auto"/>
              <w:ind w:firstLine="480" w:firstLineChars="200"/>
              <w:rPr>
                <w:bCs/>
                <w:sz w:val="24"/>
              </w:rPr>
            </w:pPr>
            <w:r>
              <w:rPr>
                <w:bCs/>
                <w:sz w:val="24"/>
              </w:rPr>
              <w:t>本项目厂界外周边50米范围内不存在声环境保护目标，故无需进行声现状监测。</w:t>
            </w:r>
          </w:p>
          <w:p>
            <w:pPr>
              <w:spacing w:line="360" w:lineRule="auto"/>
              <w:ind w:firstLine="480" w:firstLineChars="200"/>
              <w:rPr>
                <w:bCs/>
                <w:sz w:val="24"/>
              </w:rPr>
            </w:pPr>
            <w:r>
              <w:rPr>
                <w:bCs/>
                <w:sz w:val="24"/>
              </w:rPr>
              <w:t xml:space="preserve">根据《芜湖市2020年环境状况公报》：2020 年共设监测点10个，其中：1类标准适用区设监测点1个，2类标准适用区设监测点5个，3类标准适用区设监测点2个，4类标准适用区设监测点2个，各监测点每季度监测一次，全年监测四次，功能区噪声等效声级达标率97.5%。     </w:t>
            </w:r>
            <w:r>
              <w:rPr>
                <w:rFonts w:hint="eastAsia"/>
                <w:bCs/>
                <w:sz w:val="24"/>
              </w:rPr>
              <w:t xml:space="preserve">                                                                                                                                                                                                                                                                                                                                                                                                                                                                                                                                                                                                                                                                                                                                                                                                                                                                                                                                                                                                            </w:t>
            </w:r>
          </w:p>
          <w:p>
            <w:pPr>
              <w:jc w:val="center"/>
              <w:rPr>
                <w:rFonts w:hAnsi="宋体"/>
                <w:b/>
                <w:sz w:val="24"/>
              </w:rPr>
            </w:pPr>
            <w:r>
              <w:rPr>
                <w:rFonts w:hAnsi="宋体"/>
                <w:b/>
                <w:sz w:val="24"/>
              </w:rPr>
              <w:t>表</w:t>
            </w:r>
            <w:r>
              <w:rPr>
                <w:rFonts w:hint="eastAsia" w:hAnsi="宋体"/>
                <w:b/>
                <w:sz w:val="24"/>
              </w:rPr>
              <w:t>3-4</w:t>
            </w:r>
            <w:r>
              <w:rPr>
                <w:rFonts w:hint="eastAsia" w:hAnsi="宋体"/>
                <w:b/>
                <w:sz w:val="24"/>
                <w:lang w:val="en-US" w:eastAsia="zh-CN"/>
              </w:rPr>
              <w:t xml:space="preserve">  </w:t>
            </w:r>
            <w:r>
              <w:rPr>
                <w:rFonts w:hAnsi="宋体"/>
                <w:b/>
                <w:sz w:val="24"/>
              </w:rPr>
              <w:t>全市功能区</w:t>
            </w:r>
            <w:r>
              <w:rPr>
                <w:rFonts w:hint="eastAsia" w:hAnsi="宋体"/>
                <w:b/>
                <w:sz w:val="24"/>
              </w:rPr>
              <w:t>声环境</w:t>
            </w:r>
            <w:r>
              <w:rPr>
                <w:rFonts w:hAnsi="宋体"/>
                <w:b/>
                <w:sz w:val="24"/>
              </w:rPr>
              <w:t>治理达标情况一览表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2035"/>
              <w:gridCol w:w="2800"/>
              <w:gridCol w:w="1317"/>
              <w:gridCol w:w="18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1276" w:type="pct"/>
                  <w:vMerge w:val="restart"/>
                  <w:shd w:val="clear" w:color="auto" w:fill="FFFFFF"/>
                  <w:vAlign w:val="center"/>
                </w:tcPr>
                <w:p>
                  <w:pPr>
                    <w:jc w:val="center"/>
                    <w:rPr>
                      <w:b/>
                      <w:szCs w:val="21"/>
                    </w:rPr>
                  </w:pPr>
                  <w:r>
                    <w:rPr>
                      <w:rFonts w:hint="eastAsia"/>
                      <w:b/>
                      <w:szCs w:val="21"/>
                    </w:rPr>
                    <w:t>功能区</w:t>
                  </w:r>
                </w:p>
              </w:tc>
              <w:tc>
                <w:tcPr>
                  <w:tcW w:w="1756" w:type="pct"/>
                  <w:vMerge w:val="restart"/>
                  <w:shd w:val="clear" w:color="auto" w:fill="FFFFFF"/>
                  <w:vAlign w:val="center"/>
                </w:tcPr>
                <w:p>
                  <w:pPr>
                    <w:jc w:val="center"/>
                    <w:rPr>
                      <w:b/>
                      <w:szCs w:val="21"/>
                    </w:rPr>
                  </w:pPr>
                  <w:r>
                    <w:rPr>
                      <w:rFonts w:hint="eastAsia"/>
                      <w:b/>
                      <w:szCs w:val="21"/>
                    </w:rPr>
                    <w:t>监测</w:t>
                  </w:r>
                  <w:r>
                    <w:rPr>
                      <w:b/>
                      <w:szCs w:val="21"/>
                    </w:rPr>
                    <w:t>点位个数</w:t>
                  </w:r>
                </w:p>
              </w:tc>
              <w:tc>
                <w:tcPr>
                  <w:tcW w:w="1968" w:type="pct"/>
                  <w:gridSpan w:val="2"/>
                  <w:shd w:val="clear" w:color="auto" w:fill="FFFFFF"/>
                  <w:vAlign w:val="center"/>
                </w:tcPr>
                <w:p>
                  <w:pPr>
                    <w:jc w:val="center"/>
                    <w:rPr>
                      <w:b/>
                      <w:szCs w:val="21"/>
                    </w:rPr>
                  </w:pPr>
                  <w:r>
                    <w:rPr>
                      <w:b/>
                      <w:szCs w:val="21"/>
                    </w:rPr>
                    <w:t>功能区达标率</w:t>
                  </w:r>
                  <w:r>
                    <w:rPr>
                      <w:rFonts w:hint="eastAsia"/>
                      <w:b/>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1276" w:type="pct"/>
                  <w:vMerge w:val="continue"/>
                  <w:shd w:val="clear" w:color="auto" w:fill="FFFFFF"/>
                  <w:vAlign w:val="center"/>
                </w:tcPr>
                <w:p>
                  <w:pPr>
                    <w:jc w:val="center"/>
                    <w:rPr>
                      <w:b/>
                      <w:szCs w:val="21"/>
                    </w:rPr>
                  </w:pPr>
                </w:p>
              </w:tc>
              <w:tc>
                <w:tcPr>
                  <w:tcW w:w="1756" w:type="pct"/>
                  <w:vMerge w:val="continue"/>
                  <w:shd w:val="clear" w:color="auto" w:fill="FFFFFF"/>
                  <w:vAlign w:val="center"/>
                </w:tcPr>
                <w:p>
                  <w:pPr>
                    <w:jc w:val="center"/>
                    <w:rPr>
                      <w:b/>
                      <w:szCs w:val="21"/>
                    </w:rPr>
                  </w:pPr>
                </w:p>
              </w:tc>
              <w:tc>
                <w:tcPr>
                  <w:tcW w:w="826" w:type="pct"/>
                  <w:shd w:val="clear" w:color="auto" w:fill="FFFFFF"/>
                  <w:vAlign w:val="center"/>
                </w:tcPr>
                <w:p>
                  <w:pPr>
                    <w:jc w:val="center"/>
                    <w:rPr>
                      <w:b/>
                      <w:szCs w:val="21"/>
                    </w:rPr>
                  </w:pPr>
                  <w:r>
                    <w:rPr>
                      <w:rFonts w:hint="eastAsia"/>
                      <w:b/>
                      <w:szCs w:val="21"/>
                    </w:rPr>
                    <w:t>昼间</w:t>
                  </w:r>
                </w:p>
              </w:tc>
              <w:tc>
                <w:tcPr>
                  <w:tcW w:w="1142" w:type="pct"/>
                  <w:shd w:val="clear" w:color="auto" w:fill="FFFFFF"/>
                  <w:vAlign w:val="center"/>
                </w:tcPr>
                <w:p>
                  <w:pPr>
                    <w:jc w:val="center"/>
                    <w:rPr>
                      <w:b/>
                      <w:szCs w:val="21"/>
                    </w:rPr>
                  </w:pPr>
                  <w:r>
                    <w:rPr>
                      <w:b/>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szCs w:val="21"/>
                    </w:rPr>
                  </w:pPr>
                  <w:r>
                    <w:rPr>
                      <w:rFonts w:hint="eastAsia"/>
                      <w:szCs w:val="21"/>
                    </w:rPr>
                    <w:t>0类区</w:t>
                  </w:r>
                </w:p>
              </w:tc>
              <w:tc>
                <w:tcPr>
                  <w:tcW w:w="1756" w:type="pct"/>
                  <w:shd w:val="clear" w:color="auto" w:fill="FFFFFF"/>
                  <w:vAlign w:val="center"/>
                </w:tcPr>
                <w:p>
                  <w:pPr>
                    <w:jc w:val="center"/>
                    <w:rPr>
                      <w:szCs w:val="21"/>
                    </w:rPr>
                  </w:pPr>
                  <w:r>
                    <w:rPr>
                      <w:rFonts w:hint="eastAsia"/>
                      <w:szCs w:val="21"/>
                    </w:rPr>
                    <w:t>0</w:t>
                  </w:r>
                </w:p>
              </w:tc>
              <w:tc>
                <w:tcPr>
                  <w:tcW w:w="826" w:type="pct"/>
                  <w:shd w:val="clear" w:color="auto" w:fill="FFFFFF"/>
                  <w:vAlign w:val="center"/>
                </w:tcPr>
                <w:p>
                  <w:pPr>
                    <w:jc w:val="center"/>
                    <w:rPr>
                      <w:szCs w:val="21"/>
                    </w:rPr>
                  </w:pPr>
                  <w:r>
                    <w:rPr>
                      <w:rFonts w:hint="eastAsia"/>
                      <w:szCs w:val="21"/>
                    </w:rPr>
                    <w:t>/</w:t>
                  </w:r>
                </w:p>
              </w:tc>
              <w:tc>
                <w:tcPr>
                  <w:tcW w:w="1142" w:type="pct"/>
                  <w:shd w:val="clear" w:color="auto" w:fill="FFFFFF"/>
                  <w:vAlign w:val="center"/>
                </w:tcPr>
                <w:p>
                  <w:pPr>
                    <w:jc w:val="center"/>
                    <w:rPr>
                      <w:szCs w:val="21"/>
                    </w:rPr>
                  </w:pPr>
                  <w:r>
                    <w:rPr>
                      <w:rFonts w:hint="eastAsia"/>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szCs w:val="21"/>
                    </w:rPr>
                  </w:pPr>
                  <w:r>
                    <w:rPr>
                      <w:rFonts w:hint="eastAsia"/>
                      <w:szCs w:val="21"/>
                    </w:rPr>
                    <w:t>1类区</w:t>
                  </w:r>
                </w:p>
              </w:tc>
              <w:tc>
                <w:tcPr>
                  <w:tcW w:w="1756" w:type="pct"/>
                  <w:shd w:val="clear" w:color="auto" w:fill="FFFFFF"/>
                  <w:vAlign w:val="center"/>
                </w:tcPr>
                <w:p>
                  <w:pPr>
                    <w:jc w:val="center"/>
                    <w:rPr>
                      <w:szCs w:val="21"/>
                    </w:rPr>
                  </w:pPr>
                  <w:r>
                    <w:rPr>
                      <w:rFonts w:hint="eastAsia"/>
                      <w:szCs w:val="21"/>
                    </w:rPr>
                    <w:t>1</w:t>
                  </w:r>
                </w:p>
              </w:tc>
              <w:tc>
                <w:tcPr>
                  <w:tcW w:w="826" w:type="pct"/>
                  <w:shd w:val="clear" w:color="auto" w:fill="FFFFFF"/>
                  <w:vAlign w:val="center"/>
                </w:tcPr>
                <w:p>
                  <w:pPr>
                    <w:jc w:val="center"/>
                    <w:rPr>
                      <w:szCs w:val="21"/>
                    </w:rPr>
                  </w:pPr>
                  <w:r>
                    <w:rPr>
                      <w:rFonts w:hint="eastAsia"/>
                      <w:szCs w:val="21"/>
                    </w:rPr>
                    <w:t>100</w:t>
                  </w:r>
                </w:p>
              </w:tc>
              <w:tc>
                <w:tcPr>
                  <w:tcW w:w="1142" w:type="pct"/>
                  <w:shd w:val="clear" w:color="auto" w:fill="FFFFFF"/>
                  <w:vAlign w:val="center"/>
                </w:tcPr>
                <w:p>
                  <w:pPr>
                    <w:jc w:val="center"/>
                    <w:rPr>
                      <w:szCs w:val="21"/>
                    </w:rPr>
                  </w:pPr>
                  <w:r>
                    <w:rPr>
                      <w:rFonts w:hint="eastAsia"/>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szCs w:val="21"/>
                    </w:rPr>
                  </w:pPr>
                  <w:r>
                    <w:rPr>
                      <w:rFonts w:hint="eastAsia"/>
                      <w:szCs w:val="21"/>
                    </w:rPr>
                    <w:t>2类区</w:t>
                  </w:r>
                </w:p>
              </w:tc>
              <w:tc>
                <w:tcPr>
                  <w:tcW w:w="1756" w:type="pct"/>
                  <w:shd w:val="clear" w:color="auto" w:fill="FFFFFF"/>
                  <w:vAlign w:val="center"/>
                </w:tcPr>
                <w:p>
                  <w:pPr>
                    <w:jc w:val="center"/>
                    <w:rPr>
                      <w:szCs w:val="21"/>
                    </w:rPr>
                  </w:pPr>
                  <w:r>
                    <w:rPr>
                      <w:rFonts w:hint="eastAsia"/>
                      <w:szCs w:val="21"/>
                    </w:rPr>
                    <w:t>5</w:t>
                  </w:r>
                </w:p>
              </w:tc>
              <w:tc>
                <w:tcPr>
                  <w:tcW w:w="826" w:type="pct"/>
                  <w:shd w:val="clear" w:color="auto" w:fill="FFFFFF"/>
                  <w:vAlign w:val="center"/>
                </w:tcPr>
                <w:p>
                  <w:pPr>
                    <w:jc w:val="center"/>
                    <w:rPr>
                      <w:szCs w:val="21"/>
                    </w:rPr>
                  </w:pPr>
                  <w:r>
                    <w:rPr>
                      <w:rFonts w:hint="eastAsia"/>
                      <w:szCs w:val="21"/>
                    </w:rPr>
                    <w:t>100</w:t>
                  </w:r>
                </w:p>
              </w:tc>
              <w:tc>
                <w:tcPr>
                  <w:tcW w:w="1142" w:type="pct"/>
                  <w:shd w:val="clear" w:color="auto" w:fill="FFFFFF"/>
                  <w:vAlign w:val="center"/>
                </w:tcPr>
                <w:p>
                  <w:pPr>
                    <w:jc w:val="center"/>
                    <w:rPr>
                      <w:szCs w:val="21"/>
                    </w:rPr>
                  </w:pPr>
                  <w:r>
                    <w:rPr>
                      <w:rFonts w:hint="eastAsia"/>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szCs w:val="21"/>
                    </w:rPr>
                  </w:pPr>
                  <w:r>
                    <w:rPr>
                      <w:rFonts w:hint="eastAsia"/>
                      <w:szCs w:val="21"/>
                    </w:rPr>
                    <w:t>3类区</w:t>
                  </w:r>
                </w:p>
              </w:tc>
              <w:tc>
                <w:tcPr>
                  <w:tcW w:w="1756" w:type="pct"/>
                  <w:shd w:val="clear" w:color="auto" w:fill="FFFFFF"/>
                  <w:vAlign w:val="center"/>
                </w:tcPr>
                <w:p>
                  <w:pPr>
                    <w:jc w:val="center"/>
                    <w:rPr>
                      <w:szCs w:val="21"/>
                    </w:rPr>
                  </w:pPr>
                  <w:r>
                    <w:rPr>
                      <w:rFonts w:hint="eastAsia"/>
                      <w:szCs w:val="21"/>
                    </w:rPr>
                    <w:t>2</w:t>
                  </w:r>
                </w:p>
              </w:tc>
              <w:tc>
                <w:tcPr>
                  <w:tcW w:w="826" w:type="pct"/>
                  <w:shd w:val="clear" w:color="auto" w:fill="FFFFFF"/>
                  <w:vAlign w:val="center"/>
                </w:tcPr>
                <w:p>
                  <w:pPr>
                    <w:jc w:val="center"/>
                    <w:rPr>
                      <w:szCs w:val="21"/>
                    </w:rPr>
                  </w:pPr>
                  <w:r>
                    <w:rPr>
                      <w:rFonts w:hint="eastAsia"/>
                      <w:szCs w:val="21"/>
                    </w:rPr>
                    <w:t>100</w:t>
                  </w:r>
                </w:p>
              </w:tc>
              <w:tc>
                <w:tcPr>
                  <w:tcW w:w="1142" w:type="pct"/>
                  <w:shd w:val="clear" w:color="auto" w:fill="FFFFFF"/>
                  <w:vAlign w:val="center"/>
                </w:tcPr>
                <w:p>
                  <w:pPr>
                    <w:jc w:val="center"/>
                    <w:rPr>
                      <w:szCs w:val="21"/>
                    </w:rPr>
                  </w:pPr>
                  <w:r>
                    <w:rPr>
                      <w:rFonts w:hint="eastAsia"/>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szCs w:val="21"/>
                    </w:rPr>
                  </w:pPr>
                  <w:r>
                    <w:rPr>
                      <w:rFonts w:hint="eastAsia"/>
                      <w:szCs w:val="21"/>
                    </w:rPr>
                    <w:t>4a类区</w:t>
                  </w:r>
                </w:p>
              </w:tc>
              <w:tc>
                <w:tcPr>
                  <w:tcW w:w="1756" w:type="pct"/>
                  <w:shd w:val="clear" w:color="auto" w:fill="FFFFFF"/>
                  <w:vAlign w:val="center"/>
                </w:tcPr>
                <w:p>
                  <w:pPr>
                    <w:jc w:val="center"/>
                    <w:rPr>
                      <w:szCs w:val="21"/>
                    </w:rPr>
                  </w:pPr>
                  <w:r>
                    <w:rPr>
                      <w:rFonts w:hint="eastAsia"/>
                      <w:szCs w:val="21"/>
                    </w:rPr>
                    <w:t>1</w:t>
                  </w:r>
                </w:p>
              </w:tc>
              <w:tc>
                <w:tcPr>
                  <w:tcW w:w="826" w:type="pct"/>
                  <w:shd w:val="clear" w:color="auto" w:fill="FFFFFF"/>
                  <w:vAlign w:val="center"/>
                </w:tcPr>
                <w:p>
                  <w:pPr>
                    <w:jc w:val="center"/>
                    <w:rPr>
                      <w:szCs w:val="21"/>
                    </w:rPr>
                  </w:pPr>
                  <w:r>
                    <w:rPr>
                      <w:rFonts w:hint="eastAsia"/>
                      <w:szCs w:val="21"/>
                    </w:rPr>
                    <w:t>100</w:t>
                  </w:r>
                </w:p>
              </w:tc>
              <w:tc>
                <w:tcPr>
                  <w:tcW w:w="1142" w:type="pct"/>
                  <w:shd w:val="clear" w:color="auto" w:fill="FFFFFF"/>
                  <w:vAlign w:val="center"/>
                </w:tcPr>
                <w:p>
                  <w:pPr>
                    <w:jc w:val="center"/>
                    <w:rPr>
                      <w:szCs w:val="21"/>
                    </w:rPr>
                  </w:pPr>
                  <w:r>
                    <w:rPr>
                      <w:rFonts w:hint="eastAsia"/>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szCs w:val="21"/>
                    </w:rPr>
                  </w:pPr>
                  <w:r>
                    <w:rPr>
                      <w:rFonts w:hint="eastAsia"/>
                      <w:szCs w:val="21"/>
                    </w:rPr>
                    <w:t>4b类区</w:t>
                  </w:r>
                </w:p>
              </w:tc>
              <w:tc>
                <w:tcPr>
                  <w:tcW w:w="1756" w:type="pct"/>
                  <w:shd w:val="clear" w:color="auto" w:fill="FFFFFF"/>
                  <w:vAlign w:val="center"/>
                </w:tcPr>
                <w:p>
                  <w:pPr>
                    <w:jc w:val="center"/>
                    <w:rPr>
                      <w:szCs w:val="21"/>
                    </w:rPr>
                  </w:pPr>
                  <w:r>
                    <w:rPr>
                      <w:rFonts w:hint="eastAsia"/>
                      <w:szCs w:val="21"/>
                    </w:rPr>
                    <w:t>1</w:t>
                  </w:r>
                </w:p>
              </w:tc>
              <w:tc>
                <w:tcPr>
                  <w:tcW w:w="826" w:type="pct"/>
                  <w:shd w:val="clear" w:color="auto" w:fill="FFFFFF"/>
                  <w:vAlign w:val="center"/>
                </w:tcPr>
                <w:p>
                  <w:pPr>
                    <w:jc w:val="center"/>
                    <w:rPr>
                      <w:szCs w:val="21"/>
                    </w:rPr>
                  </w:pPr>
                  <w:r>
                    <w:rPr>
                      <w:rFonts w:hint="eastAsia"/>
                      <w:szCs w:val="21"/>
                    </w:rPr>
                    <w:t>100</w:t>
                  </w:r>
                </w:p>
              </w:tc>
              <w:tc>
                <w:tcPr>
                  <w:tcW w:w="1142" w:type="pct"/>
                  <w:shd w:val="clear" w:color="auto" w:fill="FFFFFF"/>
                  <w:vAlign w:val="center"/>
                </w:tcPr>
                <w:p>
                  <w:pPr>
                    <w:jc w:val="center"/>
                    <w:rPr>
                      <w:szCs w:val="21"/>
                    </w:rPr>
                  </w:pPr>
                  <w:r>
                    <w:rPr>
                      <w:rFonts w:hint="eastAsia"/>
                      <w:szCs w:val="21"/>
                    </w:rPr>
                    <w:t>100</w:t>
                  </w:r>
                </w:p>
              </w:tc>
            </w:tr>
          </w:tbl>
          <w:p>
            <w:pPr>
              <w:spacing w:line="360" w:lineRule="auto"/>
              <w:ind w:firstLine="480" w:firstLineChars="200"/>
              <w:rPr>
                <w:rFonts w:ascii="宋体" w:hAnsi="宋体"/>
                <w:bCs/>
                <w:sz w:val="24"/>
              </w:rPr>
            </w:pPr>
            <w:r>
              <w:rPr>
                <w:rFonts w:hint="eastAsia" w:ascii="宋体" w:hAnsi="宋体"/>
                <w:bCs/>
                <w:sz w:val="24"/>
              </w:rPr>
              <w:t>由上表可知：城市区域内声环境质量较好。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800"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环境</w:t>
            </w:r>
          </w:p>
          <w:p>
            <w:pPr>
              <w:autoSpaceDE w:val="0"/>
              <w:autoSpaceDN w:val="0"/>
              <w:adjustRightInd w:val="0"/>
              <w:snapToGrid w:val="0"/>
              <w:jc w:val="center"/>
              <w:rPr>
                <w:rFonts w:cs="宋体"/>
                <w:color w:val="000000"/>
                <w:kern w:val="0"/>
                <w:sz w:val="24"/>
              </w:rPr>
            </w:pPr>
            <w:r>
              <w:rPr>
                <w:rFonts w:hint="eastAsia" w:cs="宋体"/>
                <w:color w:val="000000"/>
                <w:kern w:val="0"/>
                <w:sz w:val="24"/>
              </w:rPr>
              <w:t>保护</w:t>
            </w:r>
          </w:p>
          <w:p>
            <w:pPr>
              <w:autoSpaceDE w:val="0"/>
              <w:autoSpaceDN w:val="0"/>
              <w:adjustRightInd w:val="0"/>
              <w:snapToGrid w:val="0"/>
              <w:jc w:val="center"/>
              <w:rPr>
                <w:rFonts w:cs="宋体"/>
                <w:color w:val="000000"/>
                <w:kern w:val="0"/>
                <w:sz w:val="24"/>
              </w:rPr>
            </w:pPr>
            <w:r>
              <w:rPr>
                <w:rFonts w:hint="eastAsia" w:cs="宋体"/>
                <w:color w:val="000000"/>
                <w:kern w:val="0"/>
                <w:sz w:val="24"/>
              </w:rPr>
              <w:t>目标</w:t>
            </w:r>
          </w:p>
        </w:tc>
        <w:tc>
          <w:tcPr>
            <w:tcW w:w="8190" w:type="dxa"/>
            <w:vAlign w:val="center"/>
          </w:tcPr>
          <w:p>
            <w:pPr>
              <w:adjustRightInd w:val="0"/>
              <w:spacing w:line="460" w:lineRule="exact"/>
              <w:ind w:firstLine="480" w:firstLineChars="200"/>
              <w:rPr>
                <w:snapToGrid w:val="0"/>
                <w:color w:val="000000"/>
                <w:kern w:val="0"/>
                <w:sz w:val="24"/>
              </w:rPr>
            </w:pPr>
            <w:r>
              <w:rPr>
                <w:rFonts w:hint="eastAsia"/>
                <w:color w:val="000000"/>
                <w:kern w:val="0"/>
                <w:sz w:val="24"/>
              </w:rPr>
              <w:t>项目</w:t>
            </w:r>
            <w:r>
              <w:rPr>
                <w:rFonts w:hint="eastAsia"/>
                <w:snapToGrid w:val="0"/>
                <w:color w:val="000000"/>
                <w:kern w:val="0"/>
                <w:sz w:val="24"/>
              </w:rPr>
              <w:t>位于中国（安徽）自由贸易试验区芜湖片区官陡门路101号</w:t>
            </w:r>
            <w:r>
              <w:rPr>
                <w:rFonts w:hint="eastAsia"/>
                <w:color w:val="000000"/>
                <w:kern w:val="0"/>
                <w:sz w:val="24"/>
              </w:rPr>
              <w:t>。</w:t>
            </w:r>
            <w:r>
              <w:rPr>
                <w:rFonts w:hint="eastAsia"/>
                <w:snapToGrid w:val="0"/>
                <w:color w:val="000000"/>
                <w:kern w:val="0"/>
                <w:sz w:val="24"/>
              </w:rPr>
              <w:t>通过对项目的实地勘查，评价范围内无自然保护区、风景名胜区、饮用水源保护区和文物古迹等需要特殊保护的环境敏感对象。</w:t>
            </w:r>
            <w:r>
              <w:rPr>
                <w:rFonts w:hint="eastAsia" w:ascii="Times New Roman" w:hAnsi="Times New Roman" w:eastAsia="宋体" w:cs="Times New Roman"/>
                <w:color w:val="000000"/>
                <w:kern w:val="0"/>
                <w:sz w:val="24"/>
              </w:rPr>
              <w:t>本项目500m范围内无环境空气保护目标</w:t>
            </w:r>
            <w:r>
              <w:rPr>
                <w:rFonts w:hint="eastAsia" w:cs="Times New Roman"/>
                <w:color w:val="000000"/>
                <w:kern w:val="0"/>
                <w:sz w:val="24"/>
                <w:lang w:eastAsia="zh-CN"/>
              </w:rPr>
              <w:t>，</w:t>
            </w:r>
            <w:r>
              <w:rPr>
                <w:rFonts w:hint="eastAsia"/>
                <w:snapToGrid w:val="0"/>
                <w:color w:val="000000"/>
                <w:kern w:val="0"/>
                <w:sz w:val="24"/>
              </w:rPr>
              <w:t>根据本项目的污染特征及项目所在区域的环境质量现状，项目环境保护对象及其保护级别见表3-5。</w:t>
            </w:r>
          </w:p>
          <w:p>
            <w:pPr>
              <w:spacing w:line="460" w:lineRule="exact"/>
              <w:jc w:val="center"/>
              <w:rPr>
                <w:rFonts w:hAnsi="宋体"/>
                <w:b/>
                <w:sz w:val="24"/>
              </w:rPr>
            </w:pPr>
            <w:r>
              <w:rPr>
                <w:rFonts w:hAnsi="宋体"/>
                <w:b/>
                <w:sz w:val="24"/>
              </w:rPr>
              <w:t>表</w:t>
            </w:r>
            <w:r>
              <w:rPr>
                <w:rFonts w:hint="eastAsia" w:hAnsi="宋体"/>
                <w:b/>
                <w:sz w:val="24"/>
              </w:rPr>
              <w:t>3-5</w:t>
            </w:r>
            <w:r>
              <w:rPr>
                <w:rFonts w:hint="eastAsia" w:hAnsi="宋体"/>
                <w:b/>
                <w:sz w:val="24"/>
                <w:lang w:val="en-US" w:eastAsia="zh-CN"/>
              </w:rPr>
              <w:t xml:space="preserve">  </w:t>
            </w:r>
            <w:r>
              <w:rPr>
                <w:rFonts w:hAnsi="宋体"/>
                <w:b/>
                <w:sz w:val="24"/>
              </w:rPr>
              <w:t>主要环境保护目标</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0"/>
              <w:gridCol w:w="878"/>
              <w:gridCol w:w="547"/>
              <w:gridCol w:w="653"/>
              <w:gridCol w:w="1117"/>
              <w:gridCol w:w="750"/>
              <w:gridCol w:w="1170"/>
              <w:gridCol w:w="20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0" w:type="dxa"/>
                  <w:vMerge w:val="restart"/>
                  <w:vAlign w:val="center"/>
                </w:tcPr>
                <w:p>
                  <w:pPr>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环境</w:t>
                  </w:r>
                </w:p>
              </w:tc>
              <w:tc>
                <w:tcPr>
                  <w:tcW w:w="878" w:type="dxa"/>
                  <w:vMerge w:val="restart"/>
                  <w:vAlign w:val="center"/>
                </w:tcPr>
                <w:p>
                  <w:pPr>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环境保护对象</w:t>
                  </w:r>
                </w:p>
              </w:tc>
              <w:tc>
                <w:tcPr>
                  <w:tcW w:w="1200" w:type="dxa"/>
                  <w:gridSpan w:val="2"/>
                  <w:vAlign w:val="center"/>
                </w:tcPr>
                <w:p>
                  <w:pPr>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UTM坐标</w:t>
                  </w:r>
                </w:p>
              </w:tc>
              <w:tc>
                <w:tcPr>
                  <w:tcW w:w="1117" w:type="dxa"/>
                  <w:vMerge w:val="restart"/>
                  <w:vAlign w:val="center"/>
                </w:tcPr>
                <w:p>
                  <w:pPr>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相对方位</w:t>
                  </w:r>
                </w:p>
              </w:tc>
              <w:tc>
                <w:tcPr>
                  <w:tcW w:w="750" w:type="dxa"/>
                  <w:vMerge w:val="restart"/>
                  <w:vAlign w:val="center"/>
                </w:tcPr>
                <w:p>
                  <w:pPr>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规模</w:t>
                  </w:r>
                </w:p>
              </w:tc>
              <w:tc>
                <w:tcPr>
                  <w:tcW w:w="1170" w:type="dxa"/>
                  <w:vMerge w:val="restart"/>
                  <w:vAlign w:val="center"/>
                </w:tcPr>
                <w:p>
                  <w:pPr>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距离(m)</w:t>
                  </w:r>
                </w:p>
              </w:tc>
              <w:tc>
                <w:tcPr>
                  <w:tcW w:w="2099" w:type="dxa"/>
                  <w:vMerge w:val="restart"/>
                  <w:vAlign w:val="center"/>
                </w:tcPr>
                <w:p>
                  <w:pPr>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环境保护级别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60" w:type="dxa"/>
                  <w:vMerge w:val="continue"/>
                  <w:vAlign w:val="center"/>
                </w:tcPr>
                <w:p>
                  <w:pPr>
                    <w:jc w:val="center"/>
                    <w:rPr>
                      <w:b/>
                      <w:color w:val="0D0D0D" w:themeColor="text1" w:themeTint="F2"/>
                      <w:szCs w:val="21"/>
                      <w14:textFill>
                        <w14:solidFill>
                          <w14:schemeClr w14:val="tx1">
                            <w14:lumMod w14:val="95000"/>
                            <w14:lumOff w14:val="5000"/>
                          </w14:schemeClr>
                        </w14:solidFill>
                      </w14:textFill>
                    </w:rPr>
                  </w:pPr>
                </w:p>
              </w:tc>
              <w:tc>
                <w:tcPr>
                  <w:tcW w:w="878" w:type="dxa"/>
                  <w:vMerge w:val="continue"/>
                  <w:vAlign w:val="center"/>
                </w:tcPr>
                <w:p>
                  <w:pPr>
                    <w:jc w:val="center"/>
                    <w:rPr>
                      <w:b/>
                      <w:color w:val="0D0D0D" w:themeColor="text1" w:themeTint="F2"/>
                      <w:szCs w:val="21"/>
                      <w14:textFill>
                        <w14:solidFill>
                          <w14:schemeClr w14:val="tx1">
                            <w14:lumMod w14:val="95000"/>
                            <w14:lumOff w14:val="5000"/>
                          </w14:schemeClr>
                        </w14:solidFill>
                      </w14:textFill>
                    </w:rPr>
                  </w:pPr>
                </w:p>
              </w:tc>
              <w:tc>
                <w:tcPr>
                  <w:tcW w:w="547" w:type="dxa"/>
                  <w:vAlign w:val="center"/>
                </w:tcPr>
                <w:p>
                  <w:pPr>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X</w:t>
                  </w:r>
                </w:p>
              </w:tc>
              <w:tc>
                <w:tcPr>
                  <w:tcW w:w="653" w:type="dxa"/>
                  <w:vAlign w:val="center"/>
                </w:tcPr>
                <w:p>
                  <w:pPr>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Y</w:t>
                  </w:r>
                </w:p>
              </w:tc>
              <w:tc>
                <w:tcPr>
                  <w:tcW w:w="1117" w:type="dxa"/>
                  <w:vMerge w:val="continue"/>
                  <w:vAlign w:val="center"/>
                </w:tcPr>
                <w:p>
                  <w:pPr>
                    <w:jc w:val="center"/>
                    <w:rPr>
                      <w:b/>
                      <w:color w:val="0D0D0D" w:themeColor="text1" w:themeTint="F2"/>
                      <w:szCs w:val="21"/>
                      <w14:textFill>
                        <w14:solidFill>
                          <w14:schemeClr w14:val="tx1">
                            <w14:lumMod w14:val="95000"/>
                            <w14:lumOff w14:val="5000"/>
                          </w14:schemeClr>
                        </w14:solidFill>
                      </w14:textFill>
                    </w:rPr>
                  </w:pPr>
                </w:p>
              </w:tc>
              <w:tc>
                <w:tcPr>
                  <w:tcW w:w="750" w:type="dxa"/>
                  <w:vMerge w:val="continue"/>
                  <w:vAlign w:val="center"/>
                </w:tcPr>
                <w:p>
                  <w:pPr>
                    <w:jc w:val="center"/>
                    <w:rPr>
                      <w:b/>
                      <w:color w:val="0D0D0D" w:themeColor="text1" w:themeTint="F2"/>
                      <w:szCs w:val="21"/>
                      <w14:textFill>
                        <w14:solidFill>
                          <w14:schemeClr w14:val="tx1">
                            <w14:lumMod w14:val="95000"/>
                            <w14:lumOff w14:val="5000"/>
                          </w14:schemeClr>
                        </w14:solidFill>
                      </w14:textFill>
                    </w:rPr>
                  </w:pPr>
                </w:p>
              </w:tc>
              <w:tc>
                <w:tcPr>
                  <w:tcW w:w="1170" w:type="dxa"/>
                  <w:vMerge w:val="continue"/>
                  <w:vAlign w:val="center"/>
                </w:tcPr>
                <w:p>
                  <w:pPr>
                    <w:jc w:val="center"/>
                    <w:rPr>
                      <w:b/>
                      <w:color w:val="0D0D0D" w:themeColor="text1" w:themeTint="F2"/>
                      <w:szCs w:val="21"/>
                      <w14:textFill>
                        <w14:solidFill>
                          <w14:schemeClr w14:val="tx1">
                            <w14:lumMod w14:val="95000"/>
                            <w14:lumOff w14:val="5000"/>
                          </w14:schemeClr>
                        </w14:solidFill>
                      </w14:textFill>
                    </w:rPr>
                  </w:pPr>
                </w:p>
              </w:tc>
              <w:tc>
                <w:tcPr>
                  <w:tcW w:w="2099" w:type="dxa"/>
                  <w:vMerge w:val="continue"/>
                  <w:vAlign w:val="center"/>
                </w:tcPr>
                <w:p>
                  <w:pPr>
                    <w:jc w:val="center"/>
                    <w:rPr>
                      <w:b/>
                      <w:color w:val="0D0D0D" w:themeColor="text1" w:themeTint="F2"/>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60" w:type="dxa"/>
                  <w:vMerge w:val="restart"/>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水环境</w:t>
                  </w:r>
                </w:p>
              </w:tc>
              <w:tc>
                <w:tcPr>
                  <w:tcW w:w="878" w:type="dxa"/>
                  <w:vAlign w:val="center"/>
                </w:tcPr>
                <w:p>
                  <w:pPr>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长江</w:t>
                  </w:r>
                </w:p>
              </w:tc>
              <w:tc>
                <w:tcPr>
                  <w:tcW w:w="547" w:type="dxa"/>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w:t>
                  </w:r>
                </w:p>
              </w:tc>
              <w:tc>
                <w:tcPr>
                  <w:tcW w:w="653" w:type="dxa"/>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w:t>
                  </w:r>
                </w:p>
              </w:tc>
              <w:tc>
                <w:tcPr>
                  <w:tcW w:w="1117" w:type="dxa"/>
                  <w:vAlign w:val="center"/>
                </w:tcPr>
                <w:p>
                  <w:pPr>
                    <w:jc w:val="center"/>
                    <w:rPr>
                      <w:color w:val="0D0D0D" w:themeColor="text1" w:themeTint="F2"/>
                      <w:szCs w:val="21"/>
                      <w14:textFill>
                        <w14:solidFill>
                          <w14:schemeClr w14:val="tx1">
                            <w14:lumMod w14:val="95000"/>
                            <w14:lumOff w14:val="5000"/>
                          </w14:schemeClr>
                        </w14:solidFill>
                      </w14:textFill>
                    </w:rPr>
                  </w:pPr>
                </w:p>
              </w:tc>
              <w:tc>
                <w:tcPr>
                  <w:tcW w:w="750" w:type="dxa"/>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大型</w:t>
                  </w:r>
                </w:p>
              </w:tc>
              <w:tc>
                <w:tcPr>
                  <w:tcW w:w="1170" w:type="dxa"/>
                  <w:vAlign w:val="center"/>
                </w:tcPr>
                <w:p>
                  <w:pPr>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9500</w:t>
                  </w:r>
                </w:p>
              </w:tc>
              <w:tc>
                <w:tcPr>
                  <w:tcW w:w="2099" w:type="dxa"/>
                  <w:vMerge w:val="restart"/>
                  <w:vAlign w:val="center"/>
                </w:tcPr>
                <w:p>
                  <w:pPr>
                    <w:jc w:val="center"/>
                    <w:rPr>
                      <w:bCs/>
                      <w:color w:val="0D0D0D" w:themeColor="text1" w:themeTint="F2"/>
                      <w:szCs w:val="21"/>
                      <w14:textFill>
                        <w14:solidFill>
                          <w14:schemeClr w14:val="tx1">
                            <w14:lumMod w14:val="95000"/>
                            <w14:lumOff w14:val="5000"/>
                          </w14:schemeClr>
                        </w14:solidFill>
                      </w14:textFill>
                    </w:rPr>
                  </w:pPr>
                  <w:r>
                    <w:rPr>
                      <w:bCs/>
                      <w:color w:val="0D0D0D" w:themeColor="text1" w:themeTint="F2"/>
                      <w:szCs w:val="21"/>
                      <w14:textFill>
                        <w14:solidFill>
                          <w14:schemeClr w14:val="tx1">
                            <w14:lumMod w14:val="95000"/>
                            <w14:lumOff w14:val="5000"/>
                          </w14:schemeClr>
                        </w14:solidFill>
                      </w14:textFill>
                    </w:rPr>
                    <w:t>GB3838-2002《地表水环境质量标准》中的</w:t>
                  </w:r>
                  <w:r>
                    <w:rPr>
                      <w:color w:val="0D0D0D" w:themeColor="text1" w:themeTint="F2"/>
                      <w:szCs w:val="21"/>
                      <w14:textFill>
                        <w14:solidFill>
                          <w14:schemeClr w14:val="tx1">
                            <w14:lumMod w14:val="95000"/>
                            <w14:lumOff w14:val="5000"/>
                          </w14:schemeClr>
                        </w14:solidFill>
                      </w14:textFill>
                    </w:rPr>
                    <w:t>Ⅲ</w:t>
                  </w:r>
                  <w:r>
                    <w:rPr>
                      <w:bCs/>
                      <w:color w:val="0D0D0D" w:themeColor="text1" w:themeTint="F2"/>
                      <w:szCs w:val="21"/>
                      <w14:textFill>
                        <w14:solidFill>
                          <w14:schemeClr w14:val="tx1">
                            <w14:lumMod w14:val="95000"/>
                            <w14:lumOff w14:val="5000"/>
                          </w14:schemeClr>
                        </w14:solidFill>
                      </w14:textFill>
                    </w:rPr>
                    <w:t>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60" w:type="dxa"/>
                  <w:vMerge w:val="continue"/>
                  <w:vAlign w:val="center"/>
                </w:tcPr>
                <w:p>
                  <w:pPr>
                    <w:jc w:val="center"/>
                    <w:rPr>
                      <w:color w:val="0D0D0D" w:themeColor="text1" w:themeTint="F2"/>
                      <w:szCs w:val="21"/>
                      <w14:textFill>
                        <w14:solidFill>
                          <w14:schemeClr w14:val="tx1">
                            <w14:lumMod w14:val="95000"/>
                            <w14:lumOff w14:val="5000"/>
                          </w14:schemeClr>
                        </w14:solidFill>
                      </w14:textFill>
                    </w:rPr>
                  </w:pPr>
                </w:p>
              </w:tc>
              <w:tc>
                <w:tcPr>
                  <w:tcW w:w="878" w:type="dxa"/>
                  <w:vAlign w:val="center"/>
                </w:tcPr>
                <w:p>
                  <w:pPr>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青弋江</w:t>
                  </w:r>
                </w:p>
              </w:tc>
              <w:tc>
                <w:tcPr>
                  <w:tcW w:w="547" w:type="dxa"/>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w:t>
                  </w:r>
                </w:p>
              </w:tc>
              <w:tc>
                <w:tcPr>
                  <w:tcW w:w="653" w:type="dxa"/>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w:t>
                  </w:r>
                </w:p>
              </w:tc>
              <w:tc>
                <w:tcPr>
                  <w:tcW w:w="1117" w:type="dxa"/>
                  <w:vAlign w:val="center"/>
                </w:tcPr>
                <w:p>
                  <w:pPr>
                    <w:jc w:val="center"/>
                    <w:rPr>
                      <w:color w:val="0D0D0D" w:themeColor="text1" w:themeTint="F2"/>
                      <w:szCs w:val="21"/>
                      <w14:textFill>
                        <w14:solidFill>
                          <w14:schemeClr w14:val="tx1">
                            <w14:lumMod w14:val="95000"/>
                            <w14:lumOff w14:val="5000"/>
                          </w14:schemeClr>
                        </w14:solidFill>
                      </w14:textFill>
                    </w:rPr>
                  </w:pPr>
                </w:p>
              </w:tc>
              <w:tc>
                <w:tcPr>
                  <w:tcW w:w="750" w:type="dxa"/>
                  <w:vAlign w:val="center"/>
                </w:tcPr>
                <w:p>
                  <w:pPr>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中型</w:t>
                  </w:r>
                </w:p>
              </w:tc>
              <w:tc>
                <w:tcPr>
                  <w:tcW w:w="1170" w:type="dxa"/>
                  <w:vAlign w:val="center"/>
                </w:tcPr>
                <w:p>
                  <w:pPr>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7500</w:t>
                  </w:r>
                </w:p>
              </w:tc>
              <w:tc>
                <w:tcPr>
                  <w:tcW w:w="2099" w:type="dxa"/>
                  <w:vMerge w:val="continue"/>
                  <w:vAlign w:val="center"/>
                </w:tcPr>
                <w:p>
                  <w:pPr>
                    <w:jc w:val="center"/>
                    <w:rPr>
                      <w:bCs/>
                      <w:color w:val="0D0D0D" w:themeColor="text1" w:themeTint="F2"/>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0" w:type="dxa"/>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声环境</w:t>
                  </w:r>
                </w:p>
              </w:tc>
              <w:tc>
                <w:tcPr>
                  <w:tcW w:w="878" w:type="dxa"/>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项目厂界</w:t>
                  </w:r>
                </w:p>
              </w:tc>
              <w:tc>
                <w:tcPr>
                  <w:tcW w:w="547" w:type="dxa"/>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w:t>
                  </w:r>
                </w:p>
              </w:tc>
              <w:tc>
                <w:tcPr>
                  <w:tcW w:w="653" w:type="dxa"/>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w:t>
                  </w:r>
                </w:p>
              </w:tc>
              <w:tc>
                <w:tcPr>
                  <w:tcW w:w="1117" w:type="dxa"/>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四周</w:t>
                  </w:r>
                </w:p>
              </w:tc>
              <w:tc>
                <w:tcPr>
                  <w:tcW w:w="750" w:type="dxa"/>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w:t>
                  </w:r>
                </w:p>
              </w:tc>
              <w:tc>
                <w:tcPr>
                  <w:tcW w:w="1170" w:type="dxa"/>
                  <w:vAlign w:val="center"/>
                </w:tcPr>
                <w:p>
                  <w:pPr>
                    <w:adjustRightInd w:val="0"/>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1</w:t>
                  </w:r>
                </w:p>
              </w:tc>
              <w:tc>
                <w:tcPr>
                  <w:tcW w:w="2099" w:type="dxa"/>
                  <w:vAlign w:val="center"/>
                </w:tcPr>
                <w:p>
                  <w:pPr>
                    <w:jc w:val="center"/>
                    <w:rPr>
                      <w:bCs/>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GB3096-2008《声环境质量标准》3类标准</w:t>
                  </w:r>
                </w:p>
              </w:tc>
            </w:tr>
          </w:tbl>
          <w:p>
            <w:pPr>
              <w:spacing w:line="360" w:lineRule="auto"/>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00" w:type="dxa"/>
            <w:tcMar>
              <w:left w:w="28" w:type="dxa"/>
              <w:right w:w="28" w:type="dxa"/>
            </w:tcMar>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污染</w:t>
            </w:r>
          </w:p>
          <w:p>
            <w:pPr>
              <w:autoSpaceDE w:val="0"/>
              <w:autoSpaceDN w:val="0"/>
              <w:adjustRightInd w:val="0"/>
              <w:snapToGrid w:val="0"/>
              <w:jc w:val="center"/>
              <w:rPr>
                <w:rFonts w:cs="宋体"/>
                <w:color w:val="000000"/>
                <w:kern w:val="0"/>
                <w:sz w:val="24"/>
              </w:rPr>
            </w:pPr>
            <w:r>
              <w:rPr>
                <w:rFonts w:hint="eastAsia" w:cs="宋体"/>
                <w:color w:val="000000"/>
                <w:kern w:val="0"/>
                <w:sz w:val="24"/>
              </w:rPr>
              <w:t>物排</w:t>
            </w:r>
          </w:p>
          <w:p>
            <w:pPr>
              <w:autoSpaceDE w:val="0"/>
              <w:autoSpaceDN w:val="0"/>
              <w:adjustRightInd w:val="0"/>
              <w:snapToGrid w:val="0"/>
              <w:jc w:val="center"/>
              <w:rPr>
                <w:rFonts w:cs="宋体"/>
                <w:color w:val="000000"/>
                <w:kern w:val="0"/>
                <w:sz w:val="24"/>
              </w:rPr>
            </w:pPr>
            <w:r>
              <w:rPr>
                <w:rFonts w:hint="eastAsia" w:cs="宋体"/>
                <w:color w:val="000000"/>
                <w:kern w:val="0"/>
                <w:sz w:val="24"/>
              </w:rPr>
              <w:t>放控</w:t>
            </w:r>
          </w:p>
          <w:p>
            <w:pPr>
              <w:autoSpaceDE w:val="0"/>
              <w:autoSpaceDN w:val="0"/>
              <w:adjustRightInd w:val="0"/>
              <w:snapToGrid w:val="0"/>
              <w:jc w:val="center"/>
              <w:rPr>
                <w:rFonts w:cs="宋体"/>
                <w:color w:val="000000"/>
                <w:kern w:val="0"/>
                <w:sz w:val="24"/>
              </w:rPr>
            </w:pPr>
            <w:r>
              <w:rPr>
                <w:rFonts w:hint="eastAsia" w:cs="宋体"/>
                <w:color w:val="000000"/>
                <w:kern w:val="0"/>
                <w:sz w:val="24"/>
              </w:rPr>
              <w:t>制标</w:t>
            </w:r>
          </w:p>
          <w:p>
            <w:pPr>
              <w:autoSpaceDE w:val="0"/>
              <w:autoSpaceDN w:val="0"/>
              <w:adjustRightInd w:val="0"/>
              <w:snapToGrid w:val="0"/>
              <w:jc w:val="center"/>
              <w:rPr>
                <w:rFonts w:cs="宋体"/>
                <w:color w:val="000000"/>
                <w:kern w:val="0"/>
                <w:sz w:val="24"/>
              </w:rPr>
            </w:pPr>
            <w:r>
              <w:rPr>
                <w:rFonts w:hint="eastAsia" w:cs="宋体"/>
                <w:color w:val="000000"/>
                <w:kern w:val="0"/>
                <w:sz w:val="24"/>
              </w:rPr>
              <w:t>准</w:t>
            </w:r>
          </w:p>
        </w:tc>
        <w:tc>
          <w:tcPr>
            <w:tcW w:w="8190" w:type="dxa"/>
            <w:vAlign w:val="center"/>
          </w:tcPr>
          <w:p>
            <w:pPr>
              <w:widowControl/>
              <w:spacing w:before="240" w:beforeLines="100" w:line="360" w:lineRule="auto"/>
              <w:ind w:firstLine="482" w:firstLineChars="200"/>
              <w:jc w:val="left"/>
              <w:rPr>
                <w:b/>
                <w:color w:val="000000"/>
                <w:kern w:val="0"/>
                <w:sz w:val="24"/>
                <w:szCs w:val="20"/>
              </w:rPr>
            </w:pPr>
            <w:r>
              <w:rPr>
                <w:b/>
                <w:color w:val="000000"/>
                <w:kern w:val="0"/>
                <w:sz w:val="24"/>
                <w:szCs w:val="20"/>
              </w:rPr>
              <w:t>1.</w:t>
            </w:r>
            <w:r>
              <w:rPr>
                <w:rFonts w:hint="eastAsia"/>
                <w:b/>
                <w:color w:val="000000"/>
                <w:kern w:val="0"/>
                <w:sz w:val="24"/>
                <w:szCs w:val="20"/>
              </w:rPr>
              <w:t>废水</w:t>
            </w:r>
          </w:p>
          <w:p>
            <w:pPr>
              <w:widowControl/>
              <w:tabs>
                <w:tab w:val="left" w:pos="1425"/>
              </w:tabs>
              <w:adjustRightInd w:val="0"/>
              <w:snapToGrid w:val="0"/>
              <w:spacing w:line="480" w:lineRule="exact"/>
              <w:ind w:firstLine="480" w:firstLineChars="200"/>
              <w:jc w:val="left"/>
              <w:rPr>
                <w:rFonts w:hint="eastAsia" w:hAnsi="宋体"/>
                <w:b/>
                <w:sz w:val="24"/>
              </w:rPr>
            </w:pPr>
            <w:r>
              <w:rPr>
                <w:rFonts w:hint="eastAsia"/>
                <w:color w:val="000000"/>
                <w:sz w:val="24"/>
              </w:rPr>
              <w:t>本项目生活污水经化粪池处理后，管网接管限值要求执行《污水综合排放标准》（GB8978-1996）表 4 中的三级标准要求，相关标准值详见下表所示。</w:t>
            </w:r>
          </w:p>
          <w:p>
            <w:pPr>
              <w:widowControl/>
              <w:tabs>
                <w:tab w:val="left" w:pos="1425"/>
              </w:tabs>
              <w:adjustRightInd w:val="0"/>
              <w:snapToGrid w:val="0"/>
              <w:spacing w:line="480" w:lineRule="exact"/>
              <w:ind w:firstLine="482" w:firstLineChars="200"/>
              <w:jc w:val="center"/>
              <w:rPr>
                <w:rFonts w:hAnsi="宋体"/>
                <w:b/>
                <w:sz w:val="24"/>
              </w:rPr>
            </w:pPr>
            <w:r>
              <w:rPr>
                <w:rFonts w:hint="eastAsia" w:hAnsi="宋体"/>
                <w:b/>
                <w:sz w:val="24"/>
              </w:rPr>
              <w:t>表3-6</w:t>
            </w:r>
            <w:r>
              <w:rPr>
                <w:rFonts w:hint="eastAsia" w:hAnsi="宋体"/>
                <w:b/>
                <w:sz w:val="24"/>
                <w:lang w:val="en-US" w:eastAsia="zh-CN"/>
              </w:rPr>
              <w:t xml:space="preserve">  </w:t>
            </w:r>
            <w:r>
              <w:rPr>
                <w:rFonts w:hint="eastAsia" w:hAnsi="宋体"/>
                <w:b/>
                <w:sz w:val="24"/>
              </w:rPr>
              <w:t>污水综合排放标准  单位：mg/L（pH值除外）</w:t>
            </w:r>
          </w:p>
          <w:tbl>
            <w:tblPr>
              <w:tblStyle w:val="58"/>
              <w:tblW w:w="760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1073"/>
              <w:gridCol w:w="946"/>
              <w:gridCol w:w="1059"/>
              <w:gridCol w:w="861"/>
              <w:gridCol w:w="988"/>
              <w:gridCol w:w="118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3" w:hRule="exact"/>
                <w:jc w:val="center"/>
              </w:trPr>
              <w:tc>
                <w:tcPr>
                  <w:tcW w:w="984" w:type="pct"/>
                  <w:vAlign w:val="center"/>
                </w:tcPr>
                <w:p>
                  <w:pPr>
                    <w:widowControl/>
                    <w:ind w:left="-105" w:leftChars="-50" w:right="-105" w:rightChars="-50"/>
                    <w:jc w:val="center"/>
                    <w:rPr>
                      <w:b/>
                      <w:color w:val="000000"/>
                      <w:kern w:val="0"/>
                      <w:szCs w:val="21"/>
                    </w:rPr>
                  </w:pPr>
                  <w:r>
                    <w:rPr>
                      <w:b/>
                      <w:color w:val="000000"/>
                      <w:kern w:val="0"/>
                      <w:szCs w:val="21"/>
                    </w:rPr>
                    <w:t>污染因子</w:t>
                  </w:r>
                </w:p>
              </w:tc>
              <w:tc>
                <w:tcPr>
                  <w:tcW w:w="705" w:type="pct"/>
                  <w:vAlign w:val="center"/>
                </w:tcPr>
                <w:p>
                  <w:pPr>
                    <w:widowControl/>
                    <w:ind w:left="-105" w:leftChars="-50" w:right="-105" w:rightChars="-50"/>
                    <w:jc w:val="center"/>
                    <w:rPr>
                      <w:b/>
                      <w:color w:val="000000"/>
                      <w:kern w:val="0"/>
                      <w:szCs w:val="21"/>
                    </w:rPr>
                  </w:pPr>
                  <w:r>
                    <w:rPr>
                      <w:b/>
                      <w:color w:val="000000"/>
                      <w:kern w:val="0"/>
                      <w:szCs w:val="21"/>
                    </w:rPr>
                    <w:t>pH</w:t>
                  </w:r>
                </w:p>
              </w:tc>
              <w:tc>
                <w:tcPr>
                  <w:tcW w:w="621" w:type="pct"/>
                  <w:vAlign w:val="center"/>
                </w:tcPr>
                <w:p>
                  <w:pPr>
                    <w:widowControl/>
                    <w:ind w:left="-105" w:leftChars="-50" w:right="-105" w:rightChars="-50"/>
                    <w:jc w:val="center"/>
                    <w:rPr>
                      <w:b/>
                      <w:color w:val="000000"/>
                      <w:kern w:val="0"/>
                      <w:szCs w:val="21"/>
                    </w:rPr>
                  </w:pPr>
                  <w:r>
                    <w:rPr>
                      <w:b/>
                      <w:color w:val="000000"/>
                      <w:kern w:val="0"/>
                      <w:szCs w:val="21"/>
                    </w:rPr>
                    <w:cr/>
                  </w:r>
                  <w:r>
                    <w:rPr>
                      <w:rFonts w:hint="eastAsia"/>
                      <w:b/>
                      <w:color w:val="000000"/>
                      <w:kern w:val="0"/>
                      <w:szCs w:val="21"/>
                    </w:rPr>
                    <w:t>C</w:t>
                  </w:r>
                  <w:r>
                    <w:rPr>
                      <w:b/>
                      <w:color w:val="000000"/>
                      <w:kern w:val="0"/>
                      <w:szCs w:val="21"/>
                    </w:rPr>
                    <w:t>OD</w:t>
                  </w:r>
                </w:p>
              </w:tc>
              <w:tc>
                <w:tcPr>
                  <w:tcW w:w="695" w:type="pct"/>
                  <w:vAlign w:val="center"/>
                </w:tcPr>
                <w:p>
                  <w:pPr>
                    <w:widowControl/>
                    <w:ind w:left="-105" w:leftChars="-50" w:right="-105" w:rightChars="-50"/>
                    <w:jc w:val="center"/>
                    <w:rPr>
                      <w:b/>
                      <w:color w:val="000000"/>
                      <w:kern w:val="0"/>
                      <w:szCs w:val="21"/>
                    </w:rPr>
                  </w:pPr>
                  <w:r>
                    <w:rPr>
                      <w:rFonts w:hint="eastAsia"/>
                      <w:b/>
                      <w:color w:val="000000"/>
                      <w:kern w:val="0"/>
                      <w:szCs w:val="21"/>
                    </w:rPr>
                    <w:t>BOD</w:t>
                  </w:r>
                  <w:r>
                    <w:rPr>
                      <w:rFonts w:hint="eastAsia"/>
                      <w:b/>
                      <w:color w:val="000000"/>
                      <w:kern w:val="0"/>
                      <w:szCs w:val="21"/>
                      <w:vertAlign w:val="subscript"/>
                    </w:rPr>
                    <w:t>5</w:t>
                  </w:r>
                </w:p>
              </w:tc>
              <w:tc>
                <w:tcPr>
                  <w:tcW w:w="565" w:type="pct"/>
                  <w:vAlign w:val="center"/>
                </w:tcPr>
                <w:p>
                  <w:pPr>
                    <w:widowControl/>
                    <w:ind w:left="-105" w:leftChars="-50" w:right="-105" w:rightChars="-50"/>
                    <w:jc w:val="center"/>
                    <w:rPr>
                      <w:b/>
                      <w:color w:val="000000"/>
                      <w:kern w:val="0"/>
                      <w:szCs w:val="21"/>
                    </w:rPr>
                  </w:pPr>
                  <w:r>
                    <w:rPr>
                      <w:b/>
                      <w:color w:val="000000"/>
                      <w:kern w:val="0"/>
                      <w:szCs w:val="21"/>
                    </w:rPr>
                    <w:t>SS</w:t>
                  </w:r>
                </w:p>
              </w:tc>
              <w:tc>
                <w:tcPr>
                  <w:tcW w:w="649" w:type="pct"/>
                  <w:vAlign w:val="center"/>
                </w:tcPr>
                <w:p>
                  <w:pPr>
                    <w:widowControl/>
                    <w:ind w:left="-105" w:leftChars="-50" w:right="-105" w:rightChars="-50"/>
                    <w:jc w:val="center"/>
                    <w:rPr>
                      <w:b/>
                      <w:color w:val="000000"/>
                      <w:kern w:val="0"/>
                      <w:szCs w:val="21"/>
                    </w:rPr>
                  </w:pPr>
                  <w:r>
                    <w:rPr>
                      <w:b/>
                      <w:color w:val="000000"/>
                      <w:kern w:val="0"/>
                      <w:szCs w:val="21"/>
                    </w:rPr>
                    <w:t>NH</w:t>
                  </w:r>
                  <w:r>
                    <w:rPr>
                      <w:b/>
                      <w:color w:val="000000"/>
                      <w:kern w:val="0"/>
                      <w:szCs w:val="21"/>
                      <w:vertAlign w:val="subscript"/>
                    </w:rPr>
                    <w:t>3</w:t>
                  </w:r>
                  <w:r>
                    <w:rPr>
                      <w:b/>
                      <w:color w:val="000000"/>
                      <w:kern w:val="0"/>
                      <w:szCs w:val="21"/>
                    </w:rPr>
                    <w:t>-N</w:t>
                  </w:r>
                </w:p>
              </w:tc>
              <w:tc>
                <w:tcPr>
                  <w:tcW w:w="777" w:type="pct"/>
                  <w:vAlign w:val="center"/>
                </w:tcPr>
                <w:p>
                  <w:pPr>
                    <w:widowControl/>
                    <w:jc w:val="center"/>
                    <w:rPr>
                      <w:rFonts w:ascii="Times New Roman" w:hAnsi="Times New Roman" w:eastAsia="宋体" w:cs="Times New Roman"/>
                      <w:b/>
                      <w:color w:val="000000"/>
                      <w:kern w:val="0"/>
                      <w:sz w:val="21"/>
                      <w:szCs w:val="21"/>
                      <w:lang w:val="en-US" w:eastAsia="zh-CN" w:bidi="ar-SA"/>
                    </w:rPr>
                  </w:pPr>
                  <w:r>
                    <w:rPr>
                      <w:rFonts w:hint="eastAsia"/>
                      <w:b/>
                      <w:szCs w:val="21"/>
                    </w:rPr>
                    <w:t>动植物油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9" w:hRule="exact"/>
                <w:jc w:val="center"/>
              </w:trPr>
              <w:tc>
                <w:tcPr>
                  <w:tcW w:w="984" w:type="pct"/>
                  <w:vAlign w:val="center"/>
                </w:tcPr>
                <w:p>
                  <w:pPr>
                    <w:widowControl/>
                    <w:ind w:left="-105" w:leftChars="-50" w:right="-105" w:rightChars="-50"/>
                    <w:jc w:val="center"/>
                    <w:rPr>
                      <w:color w:val="000000"/>
                      <w:kern w:val="0"/>
                      <w:szCs w:val="21"/>
                    </w:rPr>
                  </w:pPr>
                  <w:r>
                    <w:rPr>
                      <w:color w:val="000000"/>
                      <w:kern w:val="0"/>
                      <w:szCs w:val="21"/>
                    </w:rPr>
                    <w:t>三级标准</w:t>
                  </w:r>
                </w:p>
              </w:tc>
              <w:tc>
                <w:tcPr>
                  <w:tcW w:w="705" w:type="pct"/>
                  <w:vAlign w:val="center"/>
                </w:tcPr>
                <w:p>
                  <w:pPr>
                    <w:widowControl/>
                    <w:ind w:left="-105" w:leftChars="-50" w:right="-105" w:rightChars="-50"/>
                    <w:jc w:val="center"/>
                    <w:rPr>
                      <w:color w:val="000000"/>
                      <w:kern w:val="0"/>
                      <w:szCs w:val="21"/>
                    </w:rPr>
                  </w:pPr>
                  <w:r>
                    <w:rPr>
                      <w:color w:val="000000"/>
                      <w:kern w:val="0"/>
                      <w:szCs w:val="21"/>
                    </w:rPr>
                    <w:t>6-</w:t>
                  </w:r>
                  <w:r>
                    <w:rPr>
                      <w:rFonts w:hint="eastAsia"/>
                      <w:color w:val="000000"/>
                      <w:kern w:val="0"/>
                      <w:szCs w:val="21"/>
                    </w:rPr>
                    <w:t>9</w:t>
                  </w:r>
                </w:p>
              </w:tc>
              <w:tc>
                <w:tcPr>
                  <w:tcW w:w="621" w:type="pct"/>
                  <w:vAlign w:val="center"/>
                </w:tcPr>
                <w:p>
                  <w:pPr>
                    <w:widowControl/>
                    <w:ind w:left="-105" w:leftChars="-50" w:right="-105" w:rightChars="-50"/>
                    <w:jc w:val="center"/>
                    <w:rPr>
                      <w:color w:val="000000"/>
                      <w:kern w:val="0"/>
                      <w:szCs w:val="21"/>
                    </w:rPr>
                  </w:pPr>
                  <w:r>
                    <w:rPr>
                      <w:color w:val="000000"/>
                      <w:kern w:val="0"/>
                      <w:szCs w:val="21"/>
                    </w:rPr>
                    <w:t>500</w:t>
                  </w:r>
                </w:p>
              </w:tc>
              <w:tc>
                <w:tcPr>
                  <w:tcW w:w="695" w:type="pct"/>
                  <w:vAlign w:val="center"/>
                </w:tcPr>
                <w:p>
                  <w:pPr>
                    <w:widowControl/>
                    <w:ind w:left="-105" w:leftChars="-50" w:right="-105" w:rightChars="-50"/>
                    <w:jc w:val="center"/>
                    <w:rPr>
                      <w:color w:val="000000"/>
                      <w:kern w:val="0"/>
                      <w:szCs w:val="21"/>
                    </w:rPr>
                  </w:pPr>
                  <w:r>
                    <w:rPr>
                      <w:rFonts w:hint="eastAsia"/>
                      <w:color w:val="000000"/>
                      <w:kern w:val="0"/>
                      <w:szCs w:val="21"/>
                    </w:rPr>
                    <w:t>300</w:t>
                  </w:r>
                </w:p>
              </w:tc>
              <w:tc>
                <w:tcPr>
                  <w:tcW w:w="565" w:type="pct"/>
                  <w:vAlign w:val="center"/>
                </w:tcPr>
                <w:p>
                  <w:pPr>
                    <w:widowControl/>
                    <w:ind w:left="-105" w:leftChars="-50" w:right="-105" w:rightChars="-50"/>
                    <w:jc w:val="center"/>
                    <w:rPr>
                      <w:color w:val="000000"/>
                      <w:kern w:val="0"/>
                      <w:szCs w:val="21"/>
                    </w:rPr>
                  </w:pPr>
                  <w:r>
                    <w:rPr>
                      <w:rFonts w:hint="eastAsia"/>
                      <w:color w:val="000000"/>
                      <w:kern w:val="0"/>
                      <w:szCs w:val="21"/>
                    </w:rPr>
                    <w:t>400</w:t>
                  </w:r>
                </w:p>
              </w:tc>
              <w:tc>
                <w:tcPr>
                  <w:tcW w:w="649" w:type="pct"/>
                  <w:vAlign w:val="center"/>
                </w:tcPr>
                <w:p>
                  <w:pPr>
                    <w:widowControl/>
                    <w:ind w:left="-105" w:leftChars="-50" w:right="-105" w:rightChars="-50"/>
                    <w:jc w:val="center"/>
                    <w:rPr>
                      <w:color w:val="000000"/>
                      <w:kern w:val="0"/>
                      <w:szCs w:val="21"/>
                    </w:rPr>
                  </w:pPr>
                  <w:r>
                    <w:rPr>
                      <w:rFonts w:hint="eastAsia"/>
                      <w:color w:val="000000"/>
                      <w:kern w:val="0"/>
                      <w:szCs w:val="21"/>
                    </w:rPr>
                    <w:t>—</w:t>
                  </w:r>
                </w:p>
              </w:tc>
              <w:tc>
                <w:tcPr>
                  <w:tcW w:w="777" w:type="pct"/>
                  <w:vAlign w:val="center"/>
                </w:tcPr>
                <w:p>
                  <w:pPr>
                    <w:widowControl/>
                    <w:jc w:val="center"/>
                    <w:rPr>
                      <w:rFonts w:hint="default" w:ascii="Times New Roman" w:hAnsi="Times New Roman" w:eastAsia="宋体" w:cs="Times New Roman"/>
                      <w:color w:val="000000"/>
                      <w:kern w:val="0"/>
                      <w:sz w:val="21"/>
                      <w:szCs w:val="21"/>
                      <w:lang w:val="en-US" w:eastAsia="zh-CN" w:bidi="ar-SA"/>
                    </w:rPr>
                  </w:pPr>
                  <w:r>
                    <w:rPr>
                      <w:rFonts w:hint="eastAsia"/>
                      <w:color w:val="000000"/>
                      <w:kern w:val="0"/>
                      <w:szCs w:val="21"/>
                    </w:rPr>
                    <w:t>1</w:t>
                  </w:r>
                  <w:r>
                    <w:rPr>
                      <w:rFonts w:hint="eastAsia"/>
                      <w:color w:val="000000"/>
                      <w:kern w:val="0"/>
                      <w:szCs w:val="21"/>
                      <w:lang w:val="en-US" w:eastAsia="zh-CN"/>
                    </w:rPr>
                    <w:t>00</w:t>
                  </w:r>
                </w:p>
              </w:tc>
            </w:tr>
          </w:tbl>
          <w:p>
            <w:pPr>
              <w:widowControl/>
              <w:tabs>
                <w:tab w:val="left" w:pos="1425"/>
              </w:tabs>
              <w:adjustRightInd w:val="0"/>
              <w:snapToGrid w:val="0"/>
              <w:spacing w:line="480" w:lineRule="exact"/>
              <w:ind w:firstLine="480" w:firstLineChars="200"/>
              <w:jc w:val="left"/>
              <w:rPr>
                <w:color w:val="000000"/>
                <w:kern w:val="0"/>
                <w:sz w:val="24"/>
                <w:szCs w:val="20"/>
              </w:rPr>
            </w:pPr>
            <w:r>
              <w:rPr>
                <w:rFonts w:hint="eastAsia"/>
                <w:color w:val="000000"/>
                <w:kern w:val="0"/>
                <w:sz w:val="24"/>
                <w:szCs w:val="20"/>
              </w:rPr>
              <w:t>芜湖市城东污水处理厂</w:t>
            </w:r>
            <w:r>
              <w:rPr>
                <w:color w:val="000000"/>
                <w:kern w:val="0"/>
                <w:sz w:val="24"/>
                <w:szCs w:val="20"/>
              </w:rPr>
              <w:t>排放标准执行《城镇污水处理厂污染物排放标准》（GB18918-2002）一级</w:t>
            </w:r>
            <w:r>
              <w:rPr>
                <w:rFonts w:hint="eastAsia"/>
                <w:color w:val="000000"/>
                <w:kern w:val="0"/>
                <w:sz w:val="24"/>
                <w:szCs w:val="20"/>
              </w:rPr>
              <w:t>A</w:t>
            </w:r>
            <w:r>
              <w:rPr>
                <w:color w:val="000000"/>
                <w:kern w:val="0"/>
                <w:sz w:val="24"/>
                <w:szCs w:val="20"/>
              </w:rPr>
              <w:t>标准值</w:t>
            </w:r>
            <w:r>
              <w:rPr>
                <w:rFonts w:hint="eastAsia"/>
                <w:color w:val="000000"/>
                <w:kern w:val="0"/>
                <w:sz w:val="24"/>
                <w:szCs w:val="20"/>
              </w:rPr>
              <w:t>，</w:t>
            </w:r>
            <w:r>
              <w:rPr>
                <w:color w:val="000000"/>
                <w:kern w:val="0"/>
                <w:sz w:val="24"/>
                <w:szCs w:val="20"/>
              </w:rPr>
              <w:t>详见下表</w:t>
            </w:r>
            <w:r>
              <w:rPr>
                <w:rFonts w:hint="eastAsia"/>
                <w:color w:val="000000"/>
                <w:kern w:val="0"/>
                <w:sz w:val="24"/>
                <w:szCs w:val="20"/>
              </w:rPr>
              <w:t>3-</w:t>
            </w:r>
            <w:r>
              <w:rPr>
                <w:rFonts w:hint="eastAsia"/>
                <w:color w:val="000000"/>
                <w:kern w:val="0"/>
                <w:sz w:val="24"/>
                <w:szCs w:val="20"/>
                <w:lang w:val="en-US" w:eastAsia="zh-CN"/>
              </w:rPr>
              <w:t>7</w:t>
            </w:r>
            <w:r>
              <w:rPr>
                <w:color w:val="000000"/>
                <w:kern w:val="0"/>
                <w:sz w:val="24"/>
                <w:szCs w:val="20"/>
              </w:rPr>
              <w:t>。</w:t>
            </w:r>
          </w:p>
          <w:p>
            <w:pPr>
              <w:widowControl/>
              <w:spacing w:before="120" w:beforeLines="50"/>
              <w:jc w:val="center"/>
              <w:rPr>
                <w:rFonts w:eastAsia="黑体"/>
                <w:color w:val="000000"/>
                <w:kern w:val="0"/>
                <w:sz w:val="24"/>
                <w:szCs w:val="20"/>
              </w:rPr>
            </w:pPr>
            <w:r>
              <w:rPr>
                <w:b/>
                <w:color w:val="000000"/>
                <w:kern w:val="0"/>
                <w:sz w:val="24"/>
              </w:rPr>
              <w:t>表</w:t>
            </w:r>
            <w:r>
              <w:rPr>
                <w:rFonts w:hint="eastAsia"/>
                <w:b/>
                <w:color w:val="000000"/>
                <w:kern w:val="0"/>
                <w:sz w:val="24"/>
              </w:rPr>
              <w:t>3-</w:t>
            </w:r>
            <w:r>
              <w:rPr>
                <w:rFonts w:hint="eastAsia"/>
                <w:b/>
                <w:color w:val="000000"/>
                <w:kern w:val="0"/>
                <w:sz w:val="24"/>
                <w:lang w:val="en-US" w:eastAsia="zh-CN"/>
              </w:rPr>
              <w:t>7</w:t>
            </w:r>
            <w:r>
              <w:rPr>
                <w:b/>
                <w:color w:val="000000"/>
                <w:kern w:val="0"/>
                <w:sz w:val="24"/>
              </w:rPr>
              <w:t xml:space="preserve">  城</w:t>
            </w:r>
            <w:r>
              <w:rPr>
                <w:rFonts w:hint="eastAsia"/>
                <w:b/>
                <w:color w:val="000000"/>
                <w:kern w:val="0"/>
                <w:sz w:val="24"/>
                <w:lang w:val="en-US" w:eastAsia="zh-CN"/>
              </w:rPr>
              <w:t>东</w:t>
            </w:r>
            <w:r>
              <w:rPr>
                <w:b/>
                <w:color w:val="000000"/>
                <w:kern w:val="0"/>
                <w:sz w:val="24"/>
              </w:rPr>
              <w:t>污水处理厂污染物排放标准   单位：mg/L（pH除外）</w:t>
            </w:r>
          </w:p>
          <w:tbl>
            <w:tblPr>
              <w:tblStyle w:val="5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36"/>
              <w:gridCol w:w="732"/>
              <w:gridCol w:w="993"/>
              <w:gridCol w:w="1074"/>
              <w:gridCol w:w="970"/>
              <w:gridCol w:w="1184"/>
              <w:gridCol w:w="118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9" w:hRule="exact"/>
                <w:jc w:val="center"/>
              </w:trPr>
              <w:tc>
                <w:tcPr>
                  <w:tcW w:w="1931" w:type="dxa"/>
                  <w:vAlign w:val="center"/>
                </w:tcPr>
                <w:p>
                  <w:pPr>
                    <w:widowControl/>
                    <w:jc w:val="center"/>
                    <w:rPr>
                      <w:b/>
                      <w:color w:val="000000"/>
                      <w:kern w:val="0"/>
                      <w:szCs w:val="21"/>
                    </w:rPr>
                  </w:pPr>
                  <w:r>
                    <w:rPr>
                      <w:b/>
                      <w:color w:val="000000"/>
                      <w:kern w:val="0"/>
                      <w:szCs w:val="21"/>
                    </w:rPr>
                    <w:t>污染因</w:t>
                  </w:r>
                  <w:r>
                    <w:rPr>
                      <w:rFonts w:hint="eastAsia"/>
                      <w:b/>
                      <w:color w:val="000000"/>
                      <w:kern w:val="0"/>
                      <w:szCs w:val="21"/>
                    </w:rPr>
                    <w:t>子</w:t>
                  </w:r>
                </w:p>
              </w:tc>
              <w:tc>
                <w:tcPr>
                  <w:tcW w:w="769" w:type="dxa"/>
                  <w:vAlign w:val="center"/>
                </w:tcPr>
                <w:p>
                  <w:pPr>
                    <w:widowControl/>
                    <w:jc w:val="center"/>
                    <w:rPr>
                      <w:b/>
                      <w:color w:val="000000"/>
                      <w:kern w:val="0"/>
                      <w:szCs w:val="21"/>
                    </w:rPr>
                  </w:pPr>
                  <w:r>
                    <w:rPr>
                      <w:b/>
                      <w:color w:val="000000"/>
                      <w:kern w:val="0"/>
                      <w:szCs w:val="21"/>
                    </w:rPr>
                    <w:t>pH</w:t>
                  </w:r>
                </w:p>
              </w:tc>
              <w:tc>
                <w:tcPr>
                  <w:tcW w:w="1044" w:type="dxa"/>
                  <w:vAlign w:val="center"/>
                </w:tcPr>
                <w:p>
                  <w:pPr>
                    <w:widowControl/>
                    <w:jc w:val="center"/>
                    <w:rPr>
                      <w:b/>
                      <w:color w:val="000000"/>
                      <w:kern w:val="0"/>
                      <w:szCs w:val="21"/>
                    </w:rPr>
                  </w:pPr>
                  <w:r>
                    <w:rPr>
                      <w:b/>
                      <w:color w:val="000000"/>
                      <w:kern w:val="0"/>
                      <w:szCs w:val="21"/>
                    </w:rPr>
                    <w:t>COD</w:t>
                  </w:r>
                </w:p>
              </w:tc>
              <w:tc>
                <w:tcPr>
                  <w:tcW w:w="1129" w:type="dxa"/>
                  <w:vAlign w:val="center"/>
                </w:tcPr>
                <w:p>
                  <w:pPr>
                    <w:widowControl/>
                    <w:jc w:val="center"/>
                    <w:rPr>
                      <w:b/>
                      <w:color w:val="000000"/>
                      <w:kern w:val="0"/>
                      <w:szCs w:val="21"/>
                    </w:rPr>
                  </w:pPr>
                  <w:r>
                    <w:rPr>
                      <w:b/>
                      <w:color w:val="000000"/>
                      <w:kern w:val="0"/>
                      <w:szCs w:val="21"/>
                    </w:rPr>
                    <w:t>BOD</w:t>
                  </w:r>
                  <w:r>
                    <w:rPr>
                      <w:b/>
                      <w:color w:val="000000"/>
                      <w:kern w:val="0"/>
                      <w:szCs w:val="21"/>
                      <w:vertAlign w:val="subscript"/>
                    </w:rPr>
                    <w:t>5</w:t>
                  </w:r>
                </w:p>
              </w:tc>
              <w:tc>
                <w:tcPr>
                  <w:tcW w:w="1020" w:type="dxa"/>
                  <w:vAlign w:val="center"/>
                </w:tcPr>
                <w:p>
                  <w:pPr>
                    <w:widowControl/>
                    <w:jc w:val="center"/>
                    <w:rPr>
                      <w:b/>
                      <w:color w:val="000000"/>
                      <w:kern w:val="0"/>
                      <w:szCs w:val="21"/>
                    </w:rPr>
                  </w:pPr>
                  <w:r>
                    <w:rPr>
                      <w:b/>
                      <w:color w:val="000000"/>
                      <w:kern w:val="0"/>
                      <w:szCs w:val="21"/>
                    </w:rPr>
                    <w:t>SS</w:t>
                  </w:r>
                </w:p>
              </w:tc>
              <w:tc>
                <w:tcPr>
                  <w:tcW w:w="1245" w:type="dxa"/>
                  <w:vAlign w:val="center"/>
                </w:tcPr>
                <w:p>
                  <w:pPr>
                    <w:widowControl/>
                    <w:jc w:val="center"/>
                    <w:rPr>
                      <w:b/>
                      <w:color w:val="000000"/>
                      <w:kern w:val="0"/>
                      <w:szCs w:val="21"/>
                    </w:rPr>
                  </w:pPr>
                  <w:r>
                    <w:rPr>
                      <w:b/>
                      <w:color w:val="000000"/>
                      <w:kern w:val="0"/>
                      <w:szCs w:val="21"/>
                    </w:rPr>
                    <w:t>NH</w:t>
                  </w:r>
                  <w:r>
                    <w:rPr>
                      <w:b/>
                      <w:color w:val="000000"/>
                      <w:kern w:val="0"/>
                      <w:szCs w:val="21"/>
                      <w:vertAlign w:val="subscript"/>
                    </w:rPr>
                    <w:t>3</w:t>
                  </w:r>
                  <w:r>
                    <w:rPr>
                      <w:b/>
                      <w:color w:val="000000"/>
                      <w:kern w:val="0"/>
                      <w:szCs w:val="21"/>
                    </w:rPr>
                    <w:t>-N</w:t>
                  </w:r>
                </w:p>
              </w:tc>
              <w:tc>
                <w:tcPr>
                  <w:tcW w:w="1245" w:type="dxa"/>
                  <w:vAlign w:val="center"/>
                </w:tcPr>
                <w:p>
                  <w:pPr>
                    <w:widowControl/>
                    <w:jc w:val="center"/>
                    <w:rPr>
                      <w:b/>
                      <w:color w:val="000000"/>
                      <w:kern w:val="0"/>
                      <w:szCs w:val="21"/>
                    </w:rPr>
                  </w:pPr>
                  <w:r>
                    <w:rPr>
                      <w:rFonts w:hint="eastAsia"/>
                      <w:b/>
                      <w:szCs w:val="21"/>
                    </w:rPr>
                    <w:t>动植物油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931" w:type="dxa"/>
                  <w:vAlign w:val="center"/>
                </w:tcPr>
                <w:p>
                  <w:pPr>
                    <w:widowControl/>
                    <w:jc w:val="center"/>
                    <w:rPr>
                      <w:color w:val="000000"/>
                      <w:kern w:val="0"/>
                      <w:szCs w:val="21"/>
                    </w:rPr>
                  </w:pPr>
                  <w:r>
                    <w:rPr>
                      <w:color w:val="000000"/>
                      <w:kern w:val="0"/>
                      <w:szCs w:val="21"/>
                    </w:rPr>
                    <w:t>一级</w:t>
                  </w:r>
                  <w:r>
                    <w:rPr>
                      <w:rFonts w:hint="eastAsia"/>
                      <w:color w:val="000000"/>
                      <w:kern w:val="0"/>
                      <w:szCs w:val="21"/>
                    </w:rPr>
                    <w:t>A</w:t>
                  </w:r>
                  <w:r>
                    <w:rPr>
                      <w:color w:val="000000"/>
                      <w:kern w:val="0"/>
                      <w:szCs w:val="21"/>
                    </w:rPr>
                    <w:t>标准</w:t>
                  </w:r>
                </w:p>
              </w:tc>
              <w:tc>
                <w:tcPr>
                  <w:tcW w:w="769" w:type="dxa"/>
                  <w:vAlign w:val="center"/>
                </w:tcPr>
                <w:p>
                  <w:pPr>
                    <w:widowControl/>
                    <w:jc w:val="center"/>
                    <w:rPr>
                      <w:color w:val="000000"/>
                      <w:kern w:val="0"/>
                      <w:szCs w:val="21"/>
                    </w:rPr>
                  </w:pPr>
                  <w:r>
                    <w:rPr>
                      <w:color w:val="000000"/>
                      <w:kern w:val="0"/>
                      <w:szCs w:val="21"/>
                    </w:rPr>
                    <w:t>6-9</w:t>
                  </w:r>
                </w:p>
              </w:tc>
              <w:tc>
                <w:tcPr>
                  <w:tcW w:w="1044" w:type="dxa"/>
                  <w:vAlign w:val="center"/>
                </w:tcPr>
                <w:p>
                  <w:pPr>
                    <w:widowControl/>
                    <w:jc w:val="center"/>
                    <w:rPr>
                      <w:color w:val="000000"/>
                      <w:kern w:val="0"/>
                      <w:szCs w:val="21"/>
                    </w:rPr>
                  </w:pPr>
                  <w:r>
                    <w:rPr>
                      <w:rFonts w:hint="eastAsia"/>
                      <w:color w:val="000000"/>
                      <w:kern w:val="0"/>
                      <w:szCs w:val="21"/>
                    </w:rPr>
                    <w:t>50</w:t>
                  </w:r>
                </w:p>
              </w:tc>
              <w:tc>
                <w:tcPr>
                  <w:tcW w:w="1129" w:type="dxa"/>
                  <w:vAlign w:val="center"/>
                </w:tcPr>
                <w:p>
                  <w:pPr>
                    <w:widowControl/>
                    <w:jc w:val="center"/>
                    <w:rPr>
                      <w:color w:val="000000"/>
                      <w:kern w:val="0"/>
                      <w:szCs w:val="21"/>
                    </w:rPr>
                  </w:pPr>
                  <w:r>
                    <w:rPr>
                      <w:rFonts w:hint="eastAsia"/>
                      <w:color w:val="000000"/>
                      <w:kern w:val="0"/>
                      <w:szCs w:val="21"/>
                    </w:rPr>
                    <w:t>10</w:t>
                  </w:r>
                </w:p>
              </w:tc>
              <w:tc>
                <w:tcPr>
                  <w:tcW w:w="1020" w:type="dxa"/>
                  <w:vAlign w:val="center"/>
                </w:tcPr>
                <w:p>
                  <w:pPr>
                    <w:widowControl/>
                    <w:jc w:val="center"/>
                    <w:rPr>
                      <w:color w:val="000000"/>
                      <w:kern w:val="0"/>
                      <w:szCs w:val="21"/>
                    </w:rPr>
                  </w:pPr>
                  <w:r>
                    <w:rPr>
                      <w:rFonts w:hint="eastAsia"/>
                      <w:color w:val="000000"/>
                      <w:kern w:val="0"/>
                      <w:szCs w:val="21"/>
                    </w:rPr>
                    <w:t>10</w:t>
                  </w:r>
                </w:p>
              </w:tc>
              <w:tc>
                <w:tcPr>
                  <w:tcW w:w="1245" w:type="dxa"/>
                  <w:vAlign w:val="center"/>
                </w:tcPr>
                <w:p>
                  <w:pPr>
                    <w:widowControl/>
                    <w:jc w:val="center"/>
                    <w:rPr>
                      <w:color w:val="000000"/>
                      <w:kern w:val="0"/>
                      <w:szCs w:val="21"/>
                    </w:rPr>
                  </w:pPr>
                  <w:r>
                    <w:rPr>
                      <w:rFonts w:hint="eastAsia"/>
                      <w:color w:val="000000"/>
                      <w:kern w:val="0"/>
                      <w:szCs w:val="21"/>
                    </w:rPr>
                    <w:t>5（</w:t>
                  </w:r>
                  <w:r>
                    <w:rPr>
                      <w:color w:val="000000"/>
                      <w:kern w:val="0"/>
                      <w:szCs w:val="21"/>
                    </w:rPr>
                    <w:t>8</w:t>
                  </w:r>
                  <w:r>
                    <w:rPr>
                      <w:rFonts w:hint="eastAsia"/>
                      <w:color w:val="000000"/>
                      <w:kern w:val="0"/>
                      <w:szCs w:val="21"/>
                    </w:rPr>
                    <w:t>）</w:t>
                  </w:r>
                </w:p>
              </w:tc>
              <w:tc>
                <w:tcPr>
                  <w:tcW w:w="1245" w:type="dxa"/>
                  <w:vAlign w:val="center"/>
                </w:tcPr>
                <w:p>
                  <w:pPr>
                    <w:widowControl/>
                    <w:jc w:val="center"/>
                    <w:rPr>
                      <w:color w:val="000000"/>
                      <w:kern w:val="0"/>
                      <w:szCs w:val="21"/>
                    </w:rPr>
                  </w:pPr>
                  <w:r>
                    <w:rPr>
                      <w:rFonts w:hint="eastAsia"/>
                      <w:color w:val="000000"/>
                      <w:kern w:val="0"/>
                      <w:szCs w:val="21"/>
                    </w:rPr>
                    <w:t>1</w:t>
                  </w:r>
                </w:p>
              </w:tc>
            </w:tr>
          </w:tbl>
          <w:p>
            <w:pPr>
              <w:widowControl/>
              <w:spacing w:before="240" w:beforeLines="100" w:line="360" w:lineRule="auto"/>
              <w:ind w:firstLine="482" w:firstLineChars="200"/>
              <w:jc w:val="left"/>
              <w:rPr>
                <w:b/>
                <w:color w:val="000000"/>
                <w:kern w:val="0"/>
                <w:sz w:val="24"/>
                <w:szCs w:val="20"/>
              </w:rPr>
            </w:pPr>
            <w:r>
              <w:rPr>
                <w:b/>
                <w:color w:val="000000"/>
                <w:kern w:val="0"/>
                <w:sz w:val="24"/>
                <w:szCs w:val="20"/>
              </w:rPr>
              <w:t>2.</w:t>
            </w:r>
            <w:r>
              <w:rPr>
                <w:rFonts w:hint="eastAsia"/>
                <w:b/>
                <w:color w:val="000000"/>
                <w:kern w:val="0"/>
                <w:sz w:val="24"/>
                <w:szCs w:val="20"/>
              </w:rPr>
              <w:t>废气</w:t>
            </w:r>
          </w:p>
          <w:p>
            <w:pPr>
              <w:spacing w:line="360" w:lineRule="auto"/>
              <w:ind w:firstLine="480" w:firstLineChars="200"/>
              <w:rPr>
                <w:color w:val="0D0D0D"/>
                <w:sz w:val="24"/>
              </w:rPr>
            </w:pPr>
            <w:r>
              <w:rPr>
                <w:rFonts w:hint="eastAsia"/>
                <w:color w:val="0D0D0D"/>
                <w:sz w:val="24"/>
              </w:rPr>
              <w:t>注塑</w:t>
            </w:r>
            <w:r>
              <w:rPr>
                <w:color w:val="0D0D0D"/>
                <w:sz w:val="24"/>
              </w:rPr>
              <w:t>工序产生的非甲烷总烃</w:t>
            </w:r>
            <w:r>
              <w:rPr>
                <w:rFonts w:hint="eastAsia"/>
                <w:color w:val="0D0D0D"/>
                <w:sz w:val="24"/>
                <w:lang w:eastAsia="zh-CN"/>
              </w:rPr>
              <w:t>、</w:t>
            </w:r>
            <w:r>
              <w:rPr>
                <w:rFonts w:hint="eastAsia"/>
                <w:color w:val="0D0D0D"/>
                <w:sz w:val="24"/>
                <w:lang w:val="en-US" w:eastAsia="zh-CN"/>
              </w:rPr>
              <w:t>苯乙烯</w:t>
            </w:r>
            <w:r>
              <w:rPr>
                <w:color w:val="0D0D0D"/>
                <w:sz w:val="24"/>
              </w:rPr>
              <w:t>及破碎工序产生的颗粒物有组织排放参照执行《</w:t>
            </w:r>
            <w:r>
              <w:rPr>
                <w:rFonts w:hint="eastAsia"/>
                <w:color w:val="0D0D0D"/>
                <w:sz w:val="24"/>
              </w:rPr>
              <w:t>合成树脂工业污染物排放</w:t>
            </w:r>
            <w:r>
              <w:rPr>
                <w:color w:val="0D0D0D"/>
                <w:sz w:val="24"/>
              </w:rPr>
              <w:t>标准》(</w:t>
            </w:r>
            <w:r>
              <w:rPr>
                <w:rFonts w:hint="eastAsia"/>
                <w:color w:val="0D0D0D"/>
                <w:sz w:val="24"/>
              </w:rPr>
              <w:t>GB31572</w:t>
            </w:r>
            <w:r>
              <w:rPr>
                <w:color w:val="0D0D0D"/>
                <w:sz w:val="24"/>
              </w:rPr>
              <w:t>-201</w:t>
            </w:r>
            <w:r>
              <w:rPr>
                <w:rFonts w:hint="eastAsia"/>
                <w:color w:val="0D0D0D"/>
                <w:sz w:val="24"/>
              </w:rPr>
              <w:t>5</w:t>
            </w:r>
            <w:r>
              <w:rPr>
                <w:color w:val="0D0D0D"/>
                <w:sz w:val="24"/>
              </w:rPr>
              <w:t>)表</w:t>
            </w:r>
            <w:r>
              <w:rPr>
                <w:rFonts w:hint="eastAsia"/>
                <w:color w:val="0D0D0D"/>
                <w:sz w:val="24"/>
              </w:rPr>
              <w:t>5大气污染物特别排放限值</w:t>
            </w:r>
            <w:r>
              <w:rPr>
                <w:color w:val="0D0D0D"/>
                <w:sz w:val="24"/>
              </w:rPr>
              <w:t>要求</w:t>
            </w:r>
            <w:r>
              <w:rPr>
                <w:rFonts w:hint="eastAsia"/>
                <w:color w:val="0D0D0D"/>
                <w:sz w:val="24"/>
              </w:rPr>
              <w:t>；注塑</w:t>
            </w:r>
            <w:r>
              <w:rPr>
                <w:color w:val="0D0D0D"/>
                <w:sz w:val="24"/>
              </w:rPr>
              <w:t>工序产生的</w:t>
            </w:r>
            <w:r>
              <w:rPr>
                <w:color w:val="0D0D0D"/>
                <w:sz w:val="24"/>
                <w:highlight w:val="none"/>
              </w:rPr>
              <w:t>非甲烷总烃</w:t>
            </w:r>
            <w:r>
              <w:rPr>
                <w:rFonts w:hint="eastAsia"/>
                <w:color w:val="0D0D0D"/>
                <w:sz w:val="24"/>
                <w:highlight w:val="none"/>
              </w:rPr>
              <w:t>无</w:t>
            </w:r>
            <w:r>
              <w:rPr>
                <w:color w:val="0D0D0D"/>
                <w:sz w:val="24"/>
                <w:highlight w:val="none"/>
              </w:rPr>
              <w:t>组织</w:t>
            </w:r>
            <w:r>
              <w:rPr>
                <w:color w:val="0D0D0D"/>
                <w:sz w:val="24"/>
              </w:rPr>
              <w:t>排放执行《</w:t>
            </w:r>
            <w:r>
              <w:rPr>
                <w:rFonts w:hint="eastAsia"/>
                <w:color w:val="0D0D0D"/>
                <w:sz w:val="24"/>
              </w:rPr>
              <w:t>合成树脂工业污染物排放</w:t>
            </w:r>
            <w:r>
              <w:rPr>
                <w:color w:val="0D0D0D"/>
                <w:sz w:val="24"/>
              </w:rPr>
              <w:t>标准》(</w:t>
            </w:r>
            <w:r>
              <w:rPr>
                <w:rFonts w:hint="eastAsia"/>
                <w:color w:val="0D0D0D"/>
                <w:sz w:val="24"/>
              </w:rPr>
              <w:t>GB31572</w:t>
            </w:r>
            <w:r>
              <w:rPr>
                <w:color w:val="0D0D0D"/>
                <w:sz w:val="24"/>
              </w:rPr>
              <w:t>-201</w:t>
            </w:r>
            <w:r>
              <w:rPr>
                <w:rFonts w:hint="eastAsia"/>
                <w:color w:val="0D0D0D"/>
                <w:sz w:val="24"/>
              </w:rPr>
              <w:t>5</w:t>
            </w:r>
            <w:r>
              <w:rPr>
                <w:color w:val="0D0D0D"/>
                <w:sz w:val="24"/>
              </w:rPr>
              <w:t>)</w:t>
            </w:r>
            <w:r>
              <w:rPr>
                <w:rFonts w:hint="eastAsia"/>
                <w:color w:val="0D0D0D"/>
                <w:sz w:val="24"/>
              </w:rPr>
              <w:t>表9中的无组织排放监控浓度限值；</w:t>
            </w:r>
            <w:r>
              <w:rPr>
                <w:color w:val="0D0D0D"/>
                <w:sz w:val="24"/>
              </w:rPr>
              <w:t>破碎工序产生的颗粒物</w:t>
            </w:r>
            <w:r>
              <w:rPr>
                <w:rFonts w:hint="eastAsia"/>
                <w:color w:val="0D0D0D"/>
                <w:sz w:val="24"/>
              </w:rPr>
              <w:t>无</w:t>
            </w:r>
            <w:r>
              <w:rPr>
                <w:color w:val="0D0D0D"/>
                <w:sz w:val="24"/>
              </w:rPr>
              <w:t>组织排放执行《</w:t>
            </w:r>
            <w:r>
              <w:rPr>
                <w:rFonts w:hint="eastAsia"/>
                <w:color w:val="0D0D0D"/>
                <w:sz w:val="24"/>
              </w:rPr>
              <w:t>合成树脂工业污染物排放</w:t>
            </w:r>
            <w:r>
              <w:rPr>
                <w:color w:val="0D0D0D"/>
                <w:sz w:val="24"/>
              </w:rPr>
              <w:t>标准》(</w:t>
            </w:r>
            <w:r>
              <w:rPr>
                <w:rFonts w:hint="eastAsia"/>
                <w:color w:val="0D0D0D"/>
                <w:sz w:val="24"/>
              </w:rPr>
              <w:t>GB31572</w:t>
            </w:r>
            <w:r>
              <w:rPr>
                <w:color w:val="0D0D0D"/>
                <w:sz w:val="24"/>
              </w:rPr>
              <w:t>-201</w:t>
            </w:r>
            <w:r>
              <w:rPr>
                <w:rFonts w:hint="eastAsia"/>
                <w:color w:val="0D0D0D"/>
                <w:sz w:val="24"/>
              </w:rPr>
              <w:t>5</w:t>
            </w:r>
            <w:r>
              <w:rPr>
                <w:color w:val="0D0D0D"/>
                <w:sz w:val="24"/>
              </w:rPr>
              <w:t>)</w:t>
            </w:r>
            <w:r>
              <w:rPr>
                <w:rFonts w:hint="eastAsia"/>
                <w:color w:val="0D0D0D"/>
                <w:sz w:val="24"/>
              </w:rPr>
              <w:t xml:space="preserve">表9中的无组织排放监控浓度限值。  </w:t>
            </w:r>
          </w:p>
          <w:p>
            <w:pPr>
              <w:adjustRightInd w:val="0"/>
              <w:jc w:val="center"/>
              <w:rPr>
                <w:rFonts w:hAnsi="宋体"/>
                <w:b/>
                <w:sz w:val="24"/>
              </w:rPr>
            </w:pPr>
            <w:r>
              <w:rPr>
                <w:b/>
                <w:sz w:val="24"/>
                <w:szCs w:val="28"/>
              </w:rPr>
              <w:t>表</w:t>
            </w:r>
            <w:r>
              <w:rPr>
                <w:rFonts w:hint="eastAsia"/>
                <w:b/>
                <w:sz w:val="24"/>
                <w:szCs w:val="28"/>
              </w:rPr>
              <w:t>3-</w:t>
            </w:r>
            <w:r>
              <w:rPr>
                <w:rFonts w:hint="eastAsia"/>
                <w:b/>
                <w:sz w:val="24"/>
                <w:szCs w:val="28"/>
                <w:lang w:val="en-US" w:eastAsia="zh-CN"/>
              </w:rPr>
              <w:t>8</w:t>
            </w:r>
            <w:r>
              <w:rPr>
                <w:rFonts w:hint="eastAsia"/>
                <w:b/>
                <w:sz w:val="24"/>
                <w:szCs w:val="28"/>
              </w:rPr>
              <w:t xml:space="preserve"> </w:t>
            </w:r>
            <w:r>
              <w:rPr>
                <w:b/>
                <w:sz w:val="24"/>
                <w:szCs w:val="28"/>
              </w:rPr>
              <w:t xml:space="preserve"> </w:t>
            </w:r>
            <w:r>
              <w:rPr>
                <w:rFonts w:hint="eastAsia" w:hAnsi="宋体"/>
                <w:b/>
                <w:sz w:val="24"/>
              </w:rPr>
              <w:t>大气</w:t>
            </w:r>
            <w:r>
              <w:rPr>
                <w:rFonts w:hAnsi="宋体"/>
                <w:b/>
                <w:sz w:val="24"/>
              </w:rPr>
              <w:t>污染物排放标准</w:t>
            </w:r>
            <w:r>
              <w:rPr>
                <w:rFonts w:hint="eastAsia" w:hAnsi="宋体"/>
                <w:b/>
                <w:sz w:val="24"/>
              </w:rPr>
              <w:t>限值一览</w:t>
            </w:r>
            <w:r>
              <w:rPr>
                <w:rFonts w:hAnsi="宋体"/>
                <w:b/>
                <w:sz w:val="24"/>
              </w:rPr>
              <w:t>表</w:t>
            </w:r>
          </w:p>
          <w:tbl>
            <w:tblPr>
              <w:tblStyle w:val="58"/>
              <w:tblW w:w="7974"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96"/>
              <w:gridCol w:w="1099"/>
              <w:gridCol w:w="1062"/>
              <w:gridCol w:w="664"/>
              <w:gridCol w:w="1858"/>
              <w:gridCol w:w="229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96" w:type="dxa"/>
                  <w:vMerge w:val="restart"/>
                  <w:vAlign w:val="center"/>
                </w:tcPr>
                <w:p>
                  <w:pPr>
                    <w:adjustRightInd w:val="0"/>
                    <w:snapToGrid w:val="0"/>
                    <w:ind w:right="-105" w:rightChars="-50"/>
                    <w:jc w:val="center"/>
                    <w:rPr>
                      <w:b/>
                      <w:bCs/>
                      <w:szCs w:val="21"/>
                    </w:rPr>
                  </w:pPr>
                  <w:r>
                    <w:rPr>
                      <w:b/>
                      <w:bCs/>
                      <w:szCs w:val="21"/>
                    </w:rPr>
                    <w:t>污染物</w:t>
                  </w:r>
                </w:p>
              </w:tc>
              <w:tc>
                <w:tcPr>
                  <w:tcW w:w="2161" w:type="dxa"/>
                  <w:gridSpan w:val="2"/>
                  <w:vAlign w:val="center"/>
                </w:tcPr>
                <w:p>
                  <w:pPr>
                    <w:adjustRightInd w:val="0"/>
                    <w:snapToGrid w:val="0"/>
                    <w:ind w:right="-105" w:rightChars="-50"/>
                    <w:jc w:val="center"/>
                    <w:rPr>
                      <w:b/>
                      <w:bCs/>
                      <w:szCs w:val="21"/>
                    </w:rPr>
                  </w:pPr>
                  <w:r>
                    <w:rPr>
                      <w:b/>
                      <w:bCs/>
                      <w:szCs w:val="21"/>
                    </w:rPr>
                    <w:t>有组织</w:t>
                  </w:r>
                </w:p>
              </w:tc>
              <w:tc>
                <w:tcPr>
                  <w:tcW w:w="2522" w:type="dxa"/>
                  <w:gridSpan w:val="2"/>
                  <w:vMerge w:val="restart"/>
                  <w:vAlign w:val="center"/>
                </w:tcPr>
                <w:p>
                  <w:pPr>
                    <w:adjustRightInd w:val="0"/>
                    <w:snapToGrid w:val="0"/>
                    <w:ind w:right="-105" w:rightChars="-50"/>
                    <w:jc w:val="center"/>
                    <w:rPr>
                      <w:b/>
                      <w:bCs/>
                      <w:szCs w:val="21"/>
                    </w:rPr>
                  </w:pPr>
                  <w:r>
                    <w:rPr>
                      <w:b/>
                      <w:bCs/>
                      <w:szCs w:val="21"/>
                    </w:rPr>
                    <w:t>无组织排放浓度限值</w:t>
                  </w:r>
                </w:p>
                <w:p>
                  <w:pPr>
                    <w:adjustRightInd w:val="0"/>
                    <w:snapToGrid w:val="0"/>
                    <w:ind w:left="-105" w:leftChars="-50" w:right="-105" w:rightChars="-50"/>
                    <w:jc w:val="center"/>
                    <w:rPr>
                      <w:b/>
                      <w:bCs/>
                      <w:szCs w:val="21"/>
                    </w:rPr>
                  </w:pPr>
                  <w:r>
                    <w:rPr>
                      <w:b/>
                      <w:bCs/>
                      <w:szCs w:val="21"/>
                    </w:rPr>
                    <w:t>（mg/m</w:t>
                  </w:r>
                  <w:r>
                    <w:rPr>
                      <w:b/>
                      <w:bCs/>
                      <w:szCs w:val="21"/>
                      <w:vertAlign w:val="superscript"/>
                    </w:rPr>
                    <w:t>3</w:t>
                  </w:r>
                  <w:r>
                    <w:rPr>
                      <w:b/>
                      <w:bCs/>
                      <w:szCs w:val="21"/>
                    </w:rPr>
                    <w:t>）</w:t>
                  </w:r>
                </w:p>
              </w:tc>
              <w:tc>
                <w:tcPr>
                  <w:tcW w:w="2295" w:type="dxa"/>
                  <w:vMerge w:val="restart"/>
                  <w:vAlign w:val="center"/>
                </w:tcPr>
                <w:p>
                  <w:pPr>
                    <w:adjustRightInd w:val="0"/>
                    <w:snapToGrid w:val="0"/>
                    <w:ind w:right="-105" w:rightChars="-50"/>
                    <w:jc w:val="center"/>
                    <w:rPr>
                      <w:b/>
                      <w:bCs/>
                      <w:szCs w:val="21"/>
                    </w:rPr>
                  </w:pPr>
                  <w:r>
                    <w:rPr>
                      <w:b/>
                      <w:szCs w:val="21"/>
                    </w:rPr>
                    <w:t>标准来源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96" w:type="dxa"/>
                  <w:vMerge w:val="continue"/>
                  <w:vAlign w:val="center"/>
                </w:tcPr>
                <w:p>
                  <w:pPr>
                    <w:adjustRightInd w:val="0"/>
                    <w:snapToGrid w:val="0"/>
                    <w:ind w:right="-105" w:rightChars="-50"/>
                    <w:jc w:val="center"/>
                    <w:rPr>
                      <w:b/>
                      <w:bCs/>
                      <w:szCs w:val="21"/>
                    </w:rPr>
                  </w:pPr>
                </w:p>
              </w:tc>
              <w:tc>
                <w:tcPr>
                  <w:tcW w:w="1099" w:type="dxa"/>
                  <w:vAlign w:val="center"/>
                </w:tcPr>
                <w:p>
                  <w:pPr>
                    <w:adjustRightInd w:val="0"/>
                    <w:snapToGrid w:val="0"/>
                    <w:ind w:right="-105" w:rightChars="-50"/>
                    <w:jc w:val="center"/>
                    <w:rPr>
                      <w:b/>
                      <w:bCs/>
                      <w:szCs w:val="21"/>
                    </w:rPr>
                  </w:pPr>
                  <w:r>
                    <w:rPr>
                      <w:b/>
                      <w:bCs/>
                      <w:szCs w:val="21"/>
                    </w:rPr>
                    <w:t>浓度限值（mg/m</w:t>
                  </w:r>
                  <w:r>
                    <w:rPr>
                      <w:b/>
                      <w:bCs/>
                      <w:szCs w:val="21"/>
                      <w:vertAlign w:val="superscript"/>
                    </w:rPr>
                    <w:t>3</w:t>
                  </w:r>
                  <w:r>
                    <w:rPr>
                      <w:b/>
                      <w:bCs/>
                      <w:szCs w:val="21"/>
                    </w:rPr>
                    <w:t>）</w:t>
                  </w:r>
                </w:p>
              </w:tc>
              <w:tc>
                <w:tcPr>
                  <w:tcW w:w="1062" w:type="dxa"/>
                  <w:vAlign w:val="center"/>
                </w:tcPr>
                <w:p>
                  <w:pPr>
                    <w:adjustRightInd w:val="0"/>
                    <w:snapToGrid w:val="0"/>
                    <w:ind w:right="-105" w:rightChars="-50"/>
                    <w:jc w:val="center"/>
                    <w:rPr>
                      <w:b/>
                      <w:bCs/>
                      <w:szCs w:val="21"/>
                    </w:rPr>
                  </w:pPr>
                  <w:r>
                    <w:rPr>
                      <w:b/>
                      <w:bCs/>
                      <w:szCs w:val="21"/>
                    </w:rPr>
                    <w:t>排放速率（kg/h）</w:t>
                  </w:r>
                </w:p>
              </w:tc>
              <w:tc>
                <w:tcPr>
                  <w:tcW w:w="2522" w:type="dxa"/>
                  <w:gridSpan w:val="2"/>
                  <w:vMerge w:val="continue"/>
                  <w:vAlign w:val="center"/>
                </w:tcPr>
                <w:p>
                  <w:pPr>
                    <w:adjustRightInd w:val="0"/>
                    <w:snapToGrid w:val="0"/>
                    <w:ind w:right="-105" w:rightChars="-50"/>
                    <w:jc w:val="center"/>
                    <w:rPr>
                      <w:b/>
                      <w:bCs/>
                      <w:szCs w:val="21"/>
                    </w:rPr>
                  </w:pPr>
                </w:p>
              </w:tc>
              <w:tc>
                <w:tcPr>
                  <w:tcW w:w="2295" w:type="dxa"/>
                  <w:vMerge w:val="continue"/>
                  <w:vAlign w:val="center"/>
                </w:tcPr>
                <w:p>
                  <w:pPr>
                    <w:adjustRightInd w:val="0"/>
                    <w:snapToGrid w:val="0"/>
                    <w:ind w:right="-105" w:rightChars="-50"/>
                    <w:jc w:val="center"/>
                    <w:rPr>
                      <w:b/>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996" w:type="dxa"/>
                  <w:vAlign w:val="center"/>
                </w:tcPr>
                <w:p>
                  <w:pPr>
                    <w:spacing w:line="320" w:lineRule="exact"/>
                    <w:jc w:val="center"/>
                    <w:rPr>
                      <w:bCs/>
                      <w:szCs w:val="21"/>
                    </w:rPr>
                  </w:pPr>
                  <w:r>
                    <w:rPr>
                      <w:bCs/>
                      <w:szCs w:val="21"/>
                    </w:rPr>
                    <w:t>非甲烷总烃</w:t>
                  </w:r>
                </w:p>
              </w:tc>
              <w:tc>
                <w:tcPr>
                  <w:tcW w:w="1099" w:type="dxa"/>
                  <w:vAlign w:val="center"/>
                </w:tcPr>
                <w:p>
                  <w:pPr>
                    <w:adjustRightInd w:val="0"/>
                    <w:snapToGrid w:val="0"/>
                    <w:ind w:left="-105" w:leftChars="-50" w:right="-105" w:rightChars="-50"/>
                    <w:jc w:val="center"/>
                    <w:rPr>
                      <w:bCs/>
                      <w:color w:val="0D0D0D"/>
                      <w:szCs w:val="21"/>
                    </w:rPr>
                  </w:pPr>
                  <w:r>
                    <w:rPr>
                      <w:rFonts w:hint="eastAsia"/>
                      <w:bCs/>
                      <w:color w:val="0D0D0D"/>
                      <w:szCs w:val="21"/>
                    </w:rPr>
                    <w:t>60</w:t>
                  </w:r>
                </w:p>
              </w:tc>
              <w:tc>
                <w:tcPr>
                  <w:tcW w:w="1062" w:type="dxa"/>
                  <w:vAlign w:val="center"/>
                </w:tcPr>
                <w:p>
                  <w:pPr>
                    <w:adjustRightInd w:val="0"/>
                    <w:snapToGrid w:val="0"/>
                    <w:ind w:left="-105" w:leftChars="-50" w:right="-105" w:rightChars="-50"/>
                    <w:jc w:val="center"/>
                    <w:rPr>
                      <w:bCs/>
                      <w:color w:val="0D0D0D"/>
                      <w:szCs w:val="21"/>
                    </w:rPr>
                  </w:pPr>
                  <w:r>
                    <w:rPr>
                      <w:bCs/>
                      <w:color w:val="0D0D0D"/>
                      <w:szCs w:val="21"/>
                    </w:rPr>
                    <w:t>/</w:t>
                  </w:r>
                </w:p>
              </w:tc>
              <w:tc>
                <w:tcPr>
                  <w:tcW w:w="664" w:type="dxa"/>
                  <w:vAlign w:val="center"/>
                </w:tcPr>
                <w:p>
                  <w:pPr>
                    <w:adjustRightInd w:val="0"/>
                    <w:snapToGrid w:val="0"/>
                    <w:ind w:right="-105" w:rightChars="-50"/>
                    <w:jc w:val="center"/>
                    <w:rPr>
                      <w:bCs/>
                      <w:color w:val="0D0D0D"/>
                      <w:szCs w:val="21"/>
                    </w:rPr>
                  </w:pPr>
                  <w:r>
                    <w:rPr>
                      <w:bCs/>
                      <w:color w:val="0D0D0D"/>
                      <w:szCs w:val="21"/>
                    </w:rPr>
                    <w:t>4.0</w:t>
                  </w:r>
                </w:p>
              </w:tc>
              <w:tc>
                <w:tcPr>
                  <w:tcW w:w="1858" w:type="dxa"/>
                  <w:vAlign w:val="center"/>
                </w:tcPr>
                <w:p>
                  <w:pPr>
                    <w:adjustRightInd w:val="0"/>
                    <w:snapToGrid w:val="0"/>
                    <w:ind w:right="-105" w:rightChars="-50"/>
                    <w:jc w:val="center"/>
                    <w:rPr>
                      <w:bCs/>
                      <w:color w:val="0D0D0D"/>
                      <w:szCs w:val="21"/>
                    </w:rPr>
                  </w:pPr>
                  <w:r>
                    <w:rPr>
                      <w:bCs/>
                      <w:color w:val="0D0D0D"/>
                      <w:szCs w:val="21"/>
                    </w:rPr>
                    <w:t>企业边界</w:t>
                  </w:r>
                </w:p>
              </w:tc>
              <w:tc>
                <w:tcPr>
                  <w:tcW w:w="2295" w:type="dxa"/>
                  <w:vMerge w:val="restart"/>
                  <w:vAlign w:val="center"/>
                </w:tcPr>
                <w:p>
                  <w:pPr>
                    <w:adjustRightInd w:val="0"/>
                    <w:snapToGrid w:val="0"/>
                    <w:ind w:right="-105" w:rightChars="-50"/>
                    <w:jc w:val="center"/>
                    <w:rPr>
                      <w:color w:val="000000"/>
                      <w:szCs w:val="21"/>
                    </w:rPr>
                  </w:pPr>
                  <w:r>
                    <w:rPr>
                      <w:color w:val="000000"/>
                      <w:szCs w:val="21"/>
                    </w:rPr>
                    <w:t>《合成树脂工业污染物排放标准》(GB31572-2015)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996" w:type="dxa"/>
                  <w:vAlign w:val="center"/>
                </w:tcPr>
                <w:p>
                  <w:pPr>
                    <w:spacing w:line="320" w:lineRule="exact"/>
                    <w:jc w:val="center"/>
                    <w:rPr>
                      <w:bCs/>
                      <w:szCs w:val="21"/>
                    </w:rPr>
                  </w:pPr>
                  <w:r>
                    <w:rPr>
                      <w:rFonts w:hint="eastAsia"/>
                      <w:bCs/>
                      <w:szCs w:val="21"/>
                    </w:rPr>
                    <w:t>苯乙烯</w:t>
                  </w:r>
                </w:p>
              </w:tc>
              <w:tc>
                <w:tcPr>
                  <w:tcW w:w="1099" w:type="dxa"/>
                  <w:vAlign w:val="center"/>
                </w:tcPr>
                <w:p>
                  <w:pPr>
                    <w:adjustRightInd w:val="0"/>
                    <w:snapToGrid w:val="0"/>
                    <w:ind w:left="-105" w:leftChars="-50" w:right="-105" w:rightChars="-50"/>
                    <w:jc w:val="center"/>
                    <w:rPr>
                      <w:bCs/>
                      <w:color w:val="0D0D0D"/>
                      <w:szCs w:val="21"/>
                    </w:rPr>
                  </w:pPr>
                  <w:r>
                    <w:rPr>
                      <w:rFonts w:hint="eastAsia"/>
                      <w:bCs/>
                      <w:color w:val="0D0D0D"/>
                      <w:szCs w:val="21"/>
                    </w:rPr>
                    <w:t>2</w:t>
                  </w:r>
                  <w:r>
                    <w:rPr>
                      <w:bCs/>
                      <w:color w:val="0D0D0D"/>
                      <w:szCs w:val="21"/>
                    </w:rPr>
                    <w:t>0</w:t>
                  </w:r>
                </w:p>
              </w:tc>
              <w:tc>
                <w:tcPr>
                  <w:tcW w:w="1062" w:type="dxa"/>
                  <w:vAlign w:val="center"/>
                </w:tcPr>
                <w:p>
                  <w:pPr>
                    <w:adjustRightInd w:val="0"/>
                    <w:snapToGrid w:val="0"/>
                    <w:ind w:left="-105" w:leftChars="-50" w:right="-105" w:rightChars="-50"/>
                    <w:jc w:val="center"/>
                    <w:rPr>
                      <w:bCs/>
                      <w:color w:val="0D0D0D"/>
                      <w:szCs w:val="21"/>
                    </w:rPr>
                  </w:pPr>
                  <w:r>
                    <w:rPr>
                      <w:bCs/>
                      <w:color w:val="0D0D0D"/>
                      <w:szCs w:val="21"/>
                    </w:rPr>
                    <w:t>/</w:t>
                  </w:r>
                </w:p>
              </w:tc>
              <w:tc>
                <w:tcPr>
                  <w:tcW w:w="664" w:type="dxa"/>
                  <w:vAlign w:val="center"/>
                </w:tcPr>
                <w:p>
                  <w:pPr>
                    <w:adjustRightInd w:val="0"/>
                    <w:snapToGrid w:val="0"/>
                    <w:ind w:right="-105" w:rightChars="-50"/>
                    <w:jc w:val="center"/>
                    <w:rPr>
                      <w:bCs/>
                      <w:color w:val="0D0D0D"/>
                      <w:szCs w:val="21"/>
                    </w:rPr>
                  </w:pPr>
                  <w:r>
                    <w:rPr>
                      <w:bCs/>
                      <w:color w:val="0D0D0D"/>
                      <w:szCs w:val="21"/>
                    </w:rPr>
                    <w:t>/</w:t>
                  </w:r>
                </w:p>
              </w:tc>
              <w:tc>
                <w:tcPr>
                  <w:tcW w:w="1858" w:type="dxa"/>
                  <w:vAlign w:val="center"/>
                </w:tcPr>
                <w:p>
                  <w:pPr>
                    <w:adjustRightInd w:val="0"/>
                    <w:snapToGrid w:val="0"/>
                    <w:ind w:right="-105" w:rightChars="-50"/>
                    <w:jc w:val="center"/>
                    <w:rPr>
                      <w:bCs/>
                      <w:color w:val="0D0D0D"/>
                      <w:szCs w:val="21"/>
                    </w:rPr>
                  </w:pPr>
                  <w:r>
                    <w:rPr>
                      <w:bCs/>
                      <w:color w:val="0D0D0D"/>
                      <w:szCs w:val="21"/>
                    </w:rPr>
                    <w:t>/</w:t>
                  </w:r>
                </w:p>
              </w:tc>
              <w:tc>
                <w:tcPr>
                  <w:tcW w:w="2295" w:type="dxa"/>
                  <w:vMerge w:val="continue"/>
                  <w:vAlign w:val="center"/>
                </w:tcPr>
                <w:p>
                  <w:pPr>
                    <w:adjustRightInd w:val="0"/>
                    <w:snapToGrid w:val="0"/>
                    <w:ind w:right="-105" w:rightChars="-50"/>
                    <w:jc w:val="center"/>
                    <w:rPr>
                      <w:color w:val="000000"/>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996" w:type="dxa"/>
                  <w:vAlign w:val="center"/>
                </w:tcPr>
                <w:p>
                  <w:pPr>
                    <w:spacing w:line="320" w:lineRule="exact"/>
                    <w:jc w:val="center"/>
                    <w:rPr>
                      <w:bCs/>
                      <w:szCs w:val="21"/>
                    </w:rPr>
                  </w:pPr>
                  <w:r>
                    <w:rPr>
                      <w:bCs/>
                      <w:szCs w:val="21"/>
                    </w:rPr>
                    <w:t>颗粒物</w:t>
                  </w:r>
                </w:p>
              </w:tc>
              <w:tc>
                <w:tcPr>
                  <w:tcW w:w="1099" w:type="dxa"/>
                  <w:vAlign w:val="center"/>
                </w:tcPr>
                <w:p>
                  <w:pPr>
                    <w:adjustRightInd w:val="0"/>
                    <w:snapToGrid w:val="0"/>
                    <w:ind w:left="-105" w:leftChars="-50" w:right="-105" w:rightChars="-50"/>
                    <w:jc w:val="center"/>
                    <w:rPr>
                      <w:bCs/>
                      <w:color w:val="0D0D0D"/>
                      <w:szCs w:val="21"/>
                    </w:rPr>
                  </w:pPr>
                  <w:r>
                    <w:rPr>
                      <w:rFonts w:hint="eastAsia"/>
                      <w:bCs/>
                      <w:color w:val="0D0D0D"/>
                      <w:szCs w:val="21"/>
                    </w:rPr>
                    <w:t>20</w:t>
                  </w:r>
                </w:p>
              </w:tc>
              <w:tc>
                <w:tcPr>
                  <w:tcW w:w="1062" w:type="dxa"/>
                  <w:vAlign w:val="center"/>
                </w:tcPr>
                <w:p>
                  <w:pPr>
                    <w:adjustRightInd w:val="0"/>
                    <w:snapToGrid w:val="0"/>
                    <w:ind w:left="-105" w:leftChars="-50" w:right="-105" w:rightChars="-50"/>
                    <w:jc w:val="center"/>
                    <w:rPr>
                      <w:bCs/>
                      <w:color w:val="0D0D0D"/>
                      <w:szCs w:val="21"/>
                    </w:rPr>
                  </w:pPr>
                  <w:r>
                    <w:rPr>
                      <w:bCs/>
                      <w:color w:val="0D0D0D"/>
                      <w:szCs w:val="21"/>
                    </w:rPr>
                    <w:t>/</w:t>
                  </w:r>
                </w:p>
              </w:tc>
              <w:tc>
                <w:tcPr>
                  <w:tcW w:w="664" w:type="dxa"/>
                  <w:vAlign w:val="center"/>
                </w:tcPr>
                <w:p>
                  <w:pPr>
                    <w:adjustRightInd w:val="0"/>
                    <w:snapToGrid w:val="0"/>
                    <w:ind w:right="-105" w:rightChars="-50"/>
                    <w:jc w:val="center"/>
                    <w:rPr>
                      <w:bCs/>
                      <w:color w:val="0D0D0D"/>
                      <w:szCs w:val="21"/>
                    </w:rPr>
                  </w:pPr>
                  <w:r>
                    <w:rPr>
                      <w:rFonts w:hint="eastAsia"/>
                      <w:bCs/>
                      <w:color w:val="0D0D0D"/>
                      <w:szCs w:val="21"/>
                    </w:rPr>
                    <w:t>1.0</w:t>
                  </w:r>
                </w:p>
              </w:tc>
              <w:tc>
                <w:tcPr>
                  <w:tcW w:w="1858" w:type="dxa"/>
                  <w:vAlign w:val="center"/>
                </w:tcPr>
                <w:p>
                  <w:pPr>
                    <w:adjustRightInd w:val="0"/>
                    <w:snapToGrid w:val="0"/>
                    <w:ind w:right="-105" w:rightChars="-50"/>
                    <w:jc w:val="center"/>
                    <w:rPr>
                      <w:bCs/>
                      <w:color w:val="0D0D0D"/>
                      <w:szCs w:val="21"/>
                    </w:rPr>
                  </w:pPr>
                  <w:r>
                    <w:rPr>
                      <w:bCs/>
                      <w:color w:val="0D0D0D"/>
                      <w:szCs w:val="21"/>
                    </w:rPr>
                    <w:t>企业边界</w:t>
                  </w:r>
                </w:p>
              </w:tc>
              <w:tc>
                <w:tcPr>
                  <w:tcW w:w="2295" w:type="dxa"/>
                  <w:vMerge w:val="continue"/>
                  <w:vAlign w:val="center"/>
                </w:tcPr>
                <w:p>
                  <w:pPr>
                    <w:adjustRightInd w:val="0"/>
                    <w:snapToGrid w:val="0"/>
                    <w:ind w:right="-105" w:rightChars="-50"/>
                    <w:jc w:val="center"/>
                    <w:rPr>
                      <w:color w:val="000000"/>
                      <w:szCs w:val="21"/>
                    </w:rPr>
                  </w:pPr>
                </w:p>
              </w:tc>
            </w:tr>
          </w:tbl>
          <w:p>
            <w:pPr>
              <w:widowControl/>
              <w:spacing w:before="120" w:beforeLines="50" w:line="360" w:lineRule="auto"/>
              <w:ind w:firstLine="482" w:firstLineChars="200"/>
              <w:jc w:val="left"/>
              <w:rPr>
                <w:b/>
                <w:color w:val="000000"/>
                <w:kern w:val="0"/>
                <w:sz w:val="24"/>
                <w:szCs w:val="20"/>
              </w:rPr>
            </w:pPr>
            <w:r>
              <w:rPr>
                <w:b/>
                <w:color w:val="000000"/>
                <w:kern w:val="0"/>
                <w:sz w:val="24"/>
                <w:szCs w:val="20"/>
              </w:rPr>
              <w:t>3.</w:t>
            </w:r>
            <w:r>
              <w:rPr>
                <w:rFonts w:hint="eastAsia"/>
                <w:b/>
                <w:color w:val="000000"/>
                <w:kern w:val="0"/>
                <w:sz w:val="24"/>
                <w:szCs w:val="20"/>
              </w:rPr>
              <w:t>噪声</w:t>
            </w:r>
          </w:p>
          <w:p>
            <w:pPr>
              <w:widowControl/>
              <w:spacing w:line="360" w:lineRule="auto"/>
              <w:ind w:left="-2" w:leftChars="-1" w:firstLine="480" w:firstLineChars="200"/>
              <w:jc w:val="left"/>
              <w:rPr>
                <w:color w:val="000000"/>
                <w:kern w:val="0"/>
                <w:sz w:val="24"/>
                <w:szCs w:val="20"/>
              </w:rPr>
            </w:pPr>
            <w:r>
              <w:rPr>
                <w:rFonts w:hint="eastAsia"/>
                <w:color w:val="000000"/>
                <w:kern w:val="0"/>
                <w:sz w:val="24"/>
                <w:szCs w:val="20"/>
              </w:rPr>
              <w:t>项目</w:t>
            </w:r>
            <w:r>
              <w:rPr>
                <w:color w:val="000000"/>
                <w:kern w:val="0"/>
                <w:sz w:val="24"/>
                <w:szCs w:val="20"/>
              </w:rPr>
              <w:t>施工期噪声执行《建筑施工场界环境噪声排放标准》（GB12523-2011）中的规定。</w:t>
            </w:r>
            <w:r>
              <w:rPr>
                <w:rFonts w:hint="eastAsia"/>
                <w:color w:val="000000"/>
                <w:kern w:val="0"/>
                <w:sz w:val="24"/>
                <w:szCs w:val="20"/>
              </w:rPr>
              <w:t>运营期噪声执行《工业企业厂界环境噪声排放标准》（</w:t>
            </w:r>
            <w:r>
              <w:rPr>
                <w:bCs/>
                <w:color w:val="000000"/>
                <w:kern w:val="0"/>
                <w:sz w:val="24"/>
                <w:szCs w:val="20"/>
              </w:rPr>
              <w:t>GB12348-2008</w:t>
            </w:r>
            <w:r>
              <w:rPr>
                <w:rFonts w:hint="eastAsia"/>
                <w:bCs/>
                <w:color w:val="000000"/>
                <w:kern w:val="0"/>
                <w:sz w:val="24"/>
                <w:szCs w:val="20"/>
              </w:rPr>
              <w:t>）</w:t>
            </w:r>
            <w:r>
              <w:rPr>
                <w:rFonts w:hint="eastAsia"/>
                <w:color w:val="000000"/>
                <w:kern w:val="0"/>
                <w:sz w:val="24"/>
                <w:szCs w:val="20"/>
              </w:rPr>
              <w:t>中的3类标准。</w:t>
            </w:r>
          </w:p>
          <w:p>
            <w:pPr>
              <w:widowControl/>
              <w:jc w:val="center"/>
              <w:rPr>
                <w:b/>
                <w:color w:val="000000"/>
                <w:kern w:val="0"/>
                <w:sz w:val="24"/>
                <w:szCs w:val="20"/>
              </w:rPr>
            </w:pPr>
            <w:r>
              <w:rPr>
                <w:rFonts w:hint="eastAsia"/>
                <w:b/>
                <w:color w:val="000000"/>
                <w:kern w:val="0"/>
                <w:sz w:val="24"/>
                <w:szCs w:val="20"/>
              </w:rPr>
              <w:t>表3-</w:t>
            </w:r>
            <w:r>
              <w:rPr>
                <w:rFonts w:hint="eastAsia"/>
                <w:b/>
                <w:color w:val="000000"/>
                <w:kern w:val="0"/>
                <w:sz w:val="24"/>
                <w:szCs w:val="20"/>
                <w:lang w:val="en-US" w:eastAsia="zh-CN"/>
              </w:rPr>
              <w:t>9</w:t>
            </w:r>
            <w:r>
              <w:rPr>
                <w:b/>
                <w:color w:val="000000"/>
                <w:kern w:val="0"/>
                <w:sz w:val="24"/>
                <w:szCs w:val="20"/>
              </w:rPr>
              <w:t xml:space="preserve">  </w:t>
            </w:r>
            <w:r>
              <w:rPr>
                <w:rFonts w:hint="eastAsia"/>
                <w:b/>
                <w:color w:val="000000"/>
                <w:kern w:val="0"/>
                <w:sz w:val="24"/>
                <w:szCs w:val="20"/>
              </w:rPr>
              <w:t>项目环境噪声排放标准</w:t>
            </w:r>
            <w:r>
              <w:rPr>
                <w:b/>
                <w:color w:val="000000"/>
                <w:kern w:val="0"/>
                <w:sz w:val="24"/>
                <w:szCs w:val="20"/>
              </w:rPr>
              <w:t xml:space="preserve">     </w:t>
            </w:r>
            <w:r>
              <w:rPr>
                <w:rFonts w:hint="eastAsia"/>
                <w:b/>
                <w:color w:val="000000"/>
                <w:kern w:val="0"/>
                <w:sz w:val="24"/>
                <w:szCs w:val="20"/>
              </w:rPr>
              <w:t>单位：</w:t>
            </w:r>
            <w:r>
              <w:rPr>
                <w:b/>
                <w:color w:val="000000"/>
                <w:kern w:val="0"/>
                <w:sz w:val="24"/>
                <w:szCs w:val="20"/>
              </w:rPr>
              <w:t>dB(A)</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79"/>
              <w:gridCol w:w="1647"/>
              <w:gridCol w:w="1647"/>
              <w:gridCol w:w="300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3" w:type="pct"/>
                  <w:vMerge w:val="restart"/>
                  <w:vAlign w:val="center"/>
                </w:tcPr>
                <w:p>
                  <w:pPr>
                    <w:widowControl/>
                    <w:jc w:val="center"/>
                    <w:rPr>
                      <w:b/>
                      <w:color w:val="000000"/>
                      <w:kern w:val="0"/>
                      <w:szCs w:val="21"/>
                    </w:rPr>
                  </w:pPr>
                  <w:r>
                    <w:rPr>
                      <w:rFonts w:hint="eastAsia"/>
                      <w:b/>
                      <w:color w:val="000000"/>
                      <w:kern w:val="0"/>
                      <w:szCs w:val="21"/>
                    </w:rPr>
                    <w:t>类别</w:t>
                  </w:r>
                </w:p>
              </w:tc>
              <w:tc>
                <w:tcPr>
                  <w:tcW w:w="2066" w:type="pct"/>
                  <w:gridSpan w:val="2"/>
                  <w:vAlign w:val="center"/>
                </w:tcPr>
                <w:p>
                  <w:pPr>
                    <w:widowControl/>
                    <w:jc w:val="center"/>
                    <w:rPr>
                      <w:b/>
                      <w:color w:val="000000"/>
                      <w:kern w:val="0"/>
                      <w:szCs w:val="21"/>
                    </w:rPr>
                  </w:pPr>
                  <w:r>
                    <w:rPr>
                      <w:rFonts w:hint="eastAsia"/>
                      <w:b/>
                      <w:color w:val="000000"/>
                      <w:kern w:val="0"/>
                      <w:szCs w:val="21"/>
                    </w:rPr>
                    <w:t>时段</w:t>
                  </w:r>
                </w:p>
              </w:tc>
              <w:tc>
                <w:tcPr>
                  <w:tcW w:w="1881" w:type="pct"/>
                  <w:vMerge w:val="restart"/>
                  <w:vAlign w:val="center"/>
                </w:tcPr>
                <w:p>
                  <w:pPr>
                    <w:widowControl/>
                    <w:jc w:val="center"/>
                    <w:rPr>
                      <w:b/>
                      <w:color w:val="000000"/>
                      <w:kern w:val="0"/>
                      <w:szCs w:val="21"/>
                    </w:rPr>
                  </w:pPr>
                  <w:r>
                    <w:rPr>
                      <w:rFonts w:hint="eastAsia"/>
                      <w:b/>
                      <w:color w:val="000000"/>
                      <w:kern w:val="0"/>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53" w:type="pct"/>
                  <w:vMerge w:val="continue"/>
                  <w:vAlign w:val="center"/>
                </w:tcPr>
                <w:p>
                  <w:pPr>
                    <w:widowControl/>
                    <w:jc w:val="center"/>
                    <w:rPr>
                      <w:b/>
                      <w:color w:val="000000"/>
                      <w:kern w:val="0"/>
                      <w:szCs w:val="21"/>
                    </w:rPr>
                  </w:pPr>
                </w:p>
              </w:tc>
              <w:tc>
                <w:tcPr>
                  <w:tcW w:w="1033" w:type="pct"/>
                  <w:vAlign w:val="center"/>
                </w:tcPr>
                <w:p>
                  <w:pPr>
                    <w:widowControl/>
                    <w:jc w:val="center"/>
                    <w:rPr>
                      <w:b/>
                      <w:color w:val="000000"/>
                      <w:kern w:val="0"/>
                      <w:szCs w:val="21"/>
                    </w:rPr>
                  </w:pPr>
                  <w:r>
                    <w:rPr>
                      <w:rFonts w:hint="eastAsia"/>
                      <w:b/>
                      <w:color w:val="000000"/>
                      <w:kern w:val="0"/>
                      <w:szCs w:val="21"/>
                    </w:rPr>
                    <w:t>昼间</w:t>
                  </w:r>
                </w:p>
              </w:tc>
              <w:tc>
                <w:tcPr>
                  <w:tcW w:w="1033" w:type="pct"/>
                  <w:vAlign w:val="center"/>
                </w:tcPr>
                <w:p>
                  <w:pPr>
                    <w:widowControl/>
                    <w:jc w:val="center"/>
                    <w:rPr>
                      <w:b/>
                      <w:color w:val="000000"/>
                      <w:kern w:val="0"/>
                      <w:szCs w:val="21"/>
                    </w:rPr>
                  </w:pPr>
                  <w:r>
                    <w:rPr>
                      <w:rFonts w:hint="eastAsia"/>
                      <w:b/>
                      <w:color w:val="000000"/>
                      <w:kern w:val="0"/>
                      <w:szCs w:val="21"/>
                    </w:rPr>
                    <w:t>夜间</w:t>
                  </w:r>
                </w:p>
              </w:tc>
              <w:tc>
                <w:tcPr>
                  <w:tcW w:w="1881" w:type="pct"/>
                  <w:vMerge w:val="continue"/>
                  <w:vAlign w:val="center"/>
                </w:tcPr>
                <w:p>
                  <w:pPr>
                    <w:widowControl/>
                    <w:jc w:val="center"/>
                    <w:rPr>
                      <w:b/>
                      <w:color w:val="000000"/>
                      <w:kern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53" w:type="pct"/>
                  <w:vAlign w:val="center"/>
                </w:tcPr>
                <w:p>
                  <w:pPr>
                    <w:widowControl/>
                    <w:jc w:val="center"/>
                    <w:rPr>
                      <w:color w:val="000000"/>
                      <w:kern w:val="0"/>
                      <w:szCs w:val="21"/>
                    </w:rPr>
                  </w:pPr>
                  <w:r>
                    <w:rPr>
                      <w:rFonts w:hint="eastAsia"/>
                      <w:color w:val="000000"/>
                      <w:kern w:val="0"/>
                      <w:szCs w:val="21"/>
                    </w:rPr>
                    <w:t>3类</w:t>
                  </w:r>
                </w:p>
              </w:tc>
              <w:tc>
                <w:tcPr>
                  <w:tcW w:w="1033" w:type="pct"/>
                  <w:vAlign w:val="center"/>
                </w:tcPr>
                <w:p>
                  <w:pPr>
                    <w:widowControl/>
                    <w:jc w:val="center"/>
                    <w:rPr>
                      <w:color w:val="000000"/>
                      <w:kern w:val="0"/>
                      <w:szCs w:val="21"/>
                    </w:rPr>
                  </w:pPr>
                  <w:r>
                    <w:rPr>
                      <w:color w:val="000000"/>
                      <w:kern w:val="0"/>
                      <w:szCs w:val="21"/>
                    </w:rPr>
                    <w:t>6</w:t>
                  </w:r>
                  <w:r>
                    <w:rPr>
                      <w:rFonts w:hint="eastAsia"/>
                      <w:color w:val="000000"/>
                      <w:kern w:val="0"/>
                      <w:szCs w:val="21"/>
                    </w:rPr>
                    <w:t>5</w:t>
                  </w:r>
                </w:p>
              </w:tc>
              <w:tc>
                <w:tcPr>
                  <w:tcW w:w="1033" w:type="pct"/>
                  <w:vAlign w:val="center"/>
                </w:tcPr>
                <w:p>
                  <w:pPr>
                    <w:widowControl/>
                    <w:jc w:val="center"/>
                    <w:rPr>
                      <w:color w:val="000000"/>
                      <w:kern w:val="0"/>
                      <w:szCs w:val="21"/>
                    </w:rPr>
                  </w:pPr>
                  <w:r>
                    <w:rPr>
                      <w:color w:val="000000"/>
                      <w:kern w:val="0"/>
                      <w:szCs w:val="21"/>
                    </w:rPr>
                    <w:t>5</w:t>
                  </w:r>
                  <w:r>
                    <w:rPr>
                      <w:rFonts w:hint="eastAsia"/>
                      <w:color w:val="000000"/>
                      <w:kern w:val="0"/>
                      <w:szCs w:val="21"/>
                    </w:rPr>
                    <w:t>5</w:t>
                  </w:r>
                </w:p>
              </w:tc>
              <w:tc>
                <w:tcPr>
                  <w:tcW w:w="1881" w:type="pct"/>
                  <w:vAlign w:val="center"/>
                </w:tcPr>
                <w:p>
                  <w:pPr>
                    <w:widowControl/>
                    <w:jc w:val="center"/>
                    <w:rPr>
                      <w:color w:val="000000"/>
                      <w:kern w:val="0"/>
                      <w:szCs w:val="21"/>
                    </w:rPr>
                  </w:pPr>
                  <w:r>
                    <w:rPr>
                      <w:rFonts w:hint="eastAsia"/>
                      <w:color w:val="000000"/>
                      <w:kern w:val="0"/>
                      <w:szCs w:val="21"/>
                    </w:rPr>
                    <w:t>《工业企业厂界环境噪声排放标准》（</w:t>
                  </w:r>
                  <w:r>
                    <w:rPr>
                      <w:bCs/>
                      <w:color w:val="000000"/>
                      <w:kern w:val="0"/>
                      <w:szCs w:val="21"/>
                    </w:rPr>
                    <w:t>GB12348-2008</w:t>
                  </w:r>
                  <w:r>
                    <w:rPr>
                      <w:rFonts w:hint="eastAsia"/>
                      <w:bCs/>
                      <w:color w:val="000000"/>
                      <w:kern w:val="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1053" w:type="pct"/>
                  <w:vAlign w:val="center"/>
                </w:tcPr>
                <w:p>
                  <w:pPr>
                    <w:widowControl/>
                    <w:jc w:val="center"/>
                    <w:rPr>
                      <w:color w:val="000000"/>
                      <w:kern w:val="0"/>
                      <w:szCs w:val="21"/>
                    </w:rPr>
                  </w:pPr>
                  <w:r>
                    <w:rPr>
                      <w:rFonts w:hint="eastAsia"/>
                      <w:color w:val="000000"/>
                      <w:kern w:val="0"/>
                      <w:szCs w:val="21"/>
                    </w:rPr>
                    <w:t>/</w:t>
                  </w:r>
                </w:p>
              </w:tc>
              <w:tc>
                <w:tcPr>
                  <w:tcW w:w="1033" w:type="pct"/>
                  <w:vAlign w:val="center"/>
                </w:tcPr>
                <w:p>
                  <w:pPr>
                    <w:widowControl/>
                    <w:snapToGrid w:val="0"/>
                    <w:jc w:val="center"/>
                    <w:rPr>
                      <w:color w:val="000000"/>
                      <w:kern w:val="0"/>
                      <w:szCs w:val="21"/>
                    </w:rPr>
                  </w:pPr>
                  <w:r>
                    <w:rPr>
                      <w:color w:val="000000"/>
                      <w:kern w:val="0"/>
                      <w:szCs w:val="21"/>
                    </w:rPr>
                    <w:t>70</w:t>
                  </w:r>
                </w:p>
              </w:tc>
              <w:tc>
                <w:tcPr>
                  <w:tcW w:w="1033" w:type="pct"/>
                  <w:vAlign w:val="center"/>
                </w:tcPr>
                <w:p>
                  <w:pPr>
                    <w:widowControl/>
                    <w:snapToGrid w:val="0"/>
                    <w:jc w:val="center"/>
                    <w:rPr>
                      <w:color w:val="000000"/>
                      <w:kern w:val="0"/>
                      <w:szCs w:val="21"/>
                    </w:rPr>
                  </w:pPr>
                  <w:r>
                    <w:rPr>
                      <w:color w:val="000000"/>
                      <w:kern w:val="0"/>
                      <w:szCs w:val="21"/>
                    </w:rPr>
                    <w:t>55</w:t>
                  </w:r>
                </w:p>
              </w:tc>
              <w:tc>
                <w:tcPr>
                  <w:tcW w:w="1881" w:type="pct"/>
                  <w:vAlign w:val="center"/>
                </w:tcPr>
                <w:p>
                  <w:pPr>
                    <w:widowControl/>
                    <w:jc w:val="center"/>
                    <w:rPr>
                      <w:color w:val="000000"/>
                      <w:kern w:val="0"/>
                      <w:szCs w:val="21"/>
                    </w:rPr>
                  </w:pPr>
                  <w:r>
                    <w:rPr>
                      <w:color w:val="000000"/>
                      <w:kern w:val="0"/>
                      <w:szCs w:val="21"/>
                    </w:rPr>
                    <w:t>《建筑施工场界环境噪声排放标准》（GB12523-2011）</w:t>
                  </w:r>
                </w:p>
              </w:tc>
            </w:tr>
          </w:tbl>
          <w:p>
            <w:pPr>
              <w:widowControl/>
              <w:spacing w:before="120" w:beforeLines="50" w:line="360" w:lineRule="auto"/>
              <w:ind w:firstLine="482" w:firstLineChars="200"/>
              <w:jc w:val="left"/>
              <w:rPr>
                <w:b/>
                <w:color w:val="000000"/>
                <w:kern w:val="0"/>
                <w:sz w:val="24"/>
                <w:szCs w:val="20"/>
              </w:rPr>
            </w:pPr>
            <w:r>
              <w:rPr>
                <w:b/>
                <w:color w:val="000000"/>
                <w:kern w:val="0"/>
                <w:sz w:val="24"/>
                <w:szCs w:val="20"/>
              </w:rPr>
              <w:t>4.</w:t>
            </w:r>
            <w:r>
              <w:rPr>
                <w:rFonts w:hint="eastAsia"/>
                <w:b/>
                <w:color w:val="000000"/>
                <w:kern w:val="0"/>
                <w:sz w:val="24"/>
                <w:szCs w:val="20"/>
              </w:rPr>
              <w:t>固废</w:t>
            </w:r>
          </w:p>
          <w:p>
            <w:pPr>
              <w:spacing w:line="420" w:lineRule="exact"/>
              <w:ind w:firstLine="480" w:firstLineChars="200"/>
              <w:rPr>
                <w:sz w:val="24"/>
              </w:rPr>
            </w:pPr>
            <w:r>
              <w:rPr>
                <w:rFonts w:hint="eastAsia"/>
                <w:sz w:val="24"/>
              </w:rPr>
              <w:t>一般固废执行《一般工业固体废物贮存和填埋污染控制标准》（</w:t>
            </w:r>
            <w:r>
              <w:rPr>
                <w:sz w:val="24"/>
              </w:rPr>
              <w:t>GB18599-20</w:t>
            </w:r>
            <w:r>
              <w:rPr>
                <w:rFonts w:hint="eastAsia"/>
                <w:sz w:val="24"/>
              </w:rPr>
              <w:t>20）；危险固废执行《危险废物贮存污染控制标准》（</w:t>
            </w:r>
            <w:r>
              <w:rPr>
                <w:sz w:val="24"/>
              </w:rPr>
              <w:t>GB18592-2001</w:t>
            </w:r>
            <w:r>
              <w:rPr>
                <w:rFonts w:hint="eastAsia"/>
                <w:sz w:val="24"/>
              </w:rPr>
              <w:t>）（</w:t>
            </w:r>
            <w:r>
              <w:rPr>
                <w:sz w:val="24"/>
              </w:rPr>
              <w:t>2013</w:t>
            </w:r>
            <w:r>
              <w:rPr>
                <w:rFonts w:hint="eastAsia"/>
                <w:sz w:val="24"/>
              </w:rPr>
              <w:t>年修正）</w:t>
            </w:r>
            <w:r>
              <w:rPr>
                <w:rFonts w:hint="eastAsia" w:ascii="宋体" w:cs="宋体"/>
                <w:kern w:val="0"/>
                <w:sz w:val="24"/>
              </w:rPr>
              <w:t>中的有关规定</w:t>
            </w:r>
            <w:r>
              <w:rPr>
                <w:rFonts w:hint="eastAsia"/>
                <w:sz w:val="24"/>
              </w:rPr>
              <w:t>。</w:t>
            </w:r>
          </w:p>
          <w:p>
            <w:pPr>
              <w:spacing w:line="420" w:lineRule="exact"/>
              <w:ind w:firstLine="480" w:firstLineChars="200"/>
              <w:rPr>
                <w:sz w:val="24"/>
              </w:rPr>
            </w:pPr>
          </w:p>
          <w:p>
            <w:pPr>
              <w:spacing w:line="420" w:lineRule="exact"/>
              <w:ind w:firstLine="480" w:firstLineChars="200"/>
              <w:rPr>
                <w:sz w:val="24"/>
              </w:rPr>
            </w:pPr>
          </w:p>
          <w:p>
            <w:pPr>
              <w:spacing w:line="420" w:lineRule="exact"/>
              <w:ind w:firstLine="480" w:firstLineChars="200"/>
              <w:rPr>
                <w:sz w:val="24"/>
              </w:rPr>
            </w:pPr>
          </w:p>
          <w:p>
            <w:pPr>
              <w:spacing w:line="420" w:lineRule="exact"/>
              <w:ind w:firstLine="480" w:firstLineChars="200"/>
              <w:rPr>
                <w:sz w:val="24"/>
              </w:rPr>
            </w:pPr>
          </w:p>
          <w:p>
            <w:pPr>
              <w:spacing w:line="420" w:lineRule="exact"/>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68" w:hRule="atLeast"/>
          <w:jc w:val="center"/>
        </w:trPr>
        <w:tc>
          <w:tcPr>
            <w:tcW w:w="800"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总量</w:t>
            </w:r>
          </w:p>
          <w:p>
            <w:pPr>
              <w:autoSpaceDE w:val="0"/>
              <w:autoSpaceDN w:val="0"/>
              <w:adjustRightInd w:val="0"/>
              <w:snapToGrid w:val="0"/>
              <w:jc w:val="center"/>
              <w:rPr>
                <w:rFonts w:cs="宋体"/>
                <w:color w:val="000000"/>
                <w:kern w:val="0"/>
                <w:sz w:val="24"/>
              </w:rPr>
            </w:pPr>
            <w:r>
              <w:rPr>
                <w:rFonts w:hint="eastAsia" w:cs="宋体"/>
                <w:color w:val="000000"/>
                <w:kern w:val="0"/>
                <w:sz w:val="24"/>
              </w:rPr>
              <w:t>控制</w:t>
            </w:r>
          </w:p>
          <w:p>
            <w:pPr>
              <w:autoSpaceDE w:val="0"/>
              <w:autoSpaceDN w:val="0"/>
              <w:adjustRightInd w:val="0"/>
              <w:snapToGrid w:val="0"/>
              <w:jc w:val="center"/>
              <w:rPr>
                <w:rFonts w:cs="宋体"/>
                <w:color w:val="000000"/>
                <w:kern w:val="0"/>
                <w:sz w:val="24"/>
              </w:rPr>
            </w:pPr>
            <w:r>
              <w:rPr>
                <w:rFonts w:hint="eastAsia" w:cs="宋体"/>
                <w:color w:val="000000"/>
                <w:kern w:val="0"/>
                <w:sz w:val="24"/>
              </w:rPr>
              <w:t>指标</w:t>
            </w:r>
          </w:p>
        </w:tc>
        <w:tc>
          <w:tcPr>
            <w:tcW w:w="8190" w:type="dxa"/>
          </w:tcPr>
          <w:p>
            <w:pPr>
              <w:spacing w:line="360" w:lineRule="auto"/>
              <w:ind w:firstLine="482" w:firstLineChars="200"/>
              <w:rPr>
                <w:b/>
                <w:color w:val="0D0D0D" w:themeColor="text1" w:themeTint="F2"/>
                <w:sz w:val="24"/>
                <w14:textFill>
                  <w14:solidFill>
                    <w14:schemeClr w14:val="tx1">
                      <w14:lumMod w14:val="95000"/>
                      <w14:lumOff w14:val="5000"/>
                    </w14:schemeClr>
                  </w14:solidFill>
                </w14:textFill>
              </w:rPr>
            </w:pPr>
          </w:p>
          <w:p>
            <w:pPr>
              <w:spacing w:line="360" w:lineRule="auto"/>
              <w:ind w:firstLine="482" w:firstLineChars="200"/>
              <w:rPr>
                <w:b/>
                <w:color w:val="0D0D0D" w:themeColor="text1" w:themeTint="F2"/>
                <w:sz w:val="24"/>
                <w14:textFill>
                  <w14:solidFill>
                    <w14:schemeClr w14:val="tx1">
                      <w14:lumMod w14:val="95000"/>
                      <w14:lumOff w14:val="5000"/>
                    </w14:schemeClr>
                  </w14:solidFill>
                </w14:textFill>
              </w:rPr>
            </w:pPr>
            <w:r>
              <w:rPr>
                <w:b/>
                <w:color w:val="0D0D0D" w:themeColor="text1" w:themeTint="F2"/>
                <w:sz w:val="24"/>
                <w14:textFill>
                  <w14:solidFill>
                    <w14:schemeClr w14:val="tx1">
                      <w14:lumMod w14:val="95000"/>
                      <w14:lumOff w14:val="5000"/>
                    </w14:schemeClr>
                  </w14:solidFill>
                </w14:textFill>
              </w:rPr>
              <w:t>1</w:t>
            </w:r>
            <w:r>
              <w:rPr>
                <w:rFonts w:hint="eastAsia"/>
                <w:b/>
                <w:color w:val="0D0D0D" w:themeColor="text1" w:themeTint="F2"/>
                <w:sz w:val="24"/>
                <w14:textFill>
                  <w14:solidFill>
                    <w14:schemeClr w14:val="tx1">
                      <w14:lumMod w14:val="95000"/>
                      <w14:lumOff w14:val="5000"/>
                    </w14:schemeClr>
                  </w14:solidFill>
                </w14:textFill>
              </w:rPr>
              <w:t>、总量控制因子</w:t>
            </w:r>
          </w:p>
          <w:p>
            <w:pPr>
              <w:spacing w:line="360" w:lineRule="auto"/>
              <w:ind w:firstLine="480" w:firstLineChars="200"/>
              <w:rPr>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大气污染物总量控制因子：烟/粉尘、VOC</w:t>
            </w:r>
            <w:r>
              <w:rPr>
                <w:rFonts w:hint="eastAsia"/>
                <w:color w:val="0D0D0D" w:themeColor="text1" w:themeTint="F2"/>
                <w:sz w:val="24"/>
                <w:vertAlign w:val="subscript"/>
                <w14:textFill>
                  <w14:solidFill>
                    <w14:schemeClr w14:val="tx1">
                      <w14:lumMod w14:val="95000"/>
                      <w14:lumOff w14:val="5000"/>
                    </w14:schemeClr>
                  </w14:solidFill>
                </w14:textFill>
              </w:rPr>
              <w:t>s</w:t>
            </w:r>
          </w:p>
          <w:p>
            <w:pPr>
              <w:spacing w:line="360" w:lineRule="auto"/>
              <w:ind w:firstLine="480" w:firstLineChars="200"/>
              <w:rPr>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水污染物总量控制因子：</w:t>
            </w:r>
            <w:r>
              <w:rPr>
                <w:color w:val="0D0D0D" w:themeColor="text1" w:themeTint="F2"/>
                <w:sz w:val="24"/>
                <w14:textFill>
                  <w14:solidFill>
                    <w14:schemeClr w14:val="tx1">
                      <w14:lumMod w14:val="95000"/>
                      <w14:lumOff w14:val="5000"/>
                    </w14:schemeClr>
                  </w14:solidFill>
                </w14:textFill>
              </w:rPr>
              <w:t>COD</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NH</w:t>
            </w:r>
            <w:r>
              <w:rPr>
                <w:color w:val="0D0D0D" w:themeColor="text1" w:themeTint="F2"/>
                <w:sz w:val="24"/>
                <w:vertAlign w:val="subscript"/>
                <w14:textFill>
                  <w14:solidFill>
                    <w14:schemeClr w14:val="tx1">
                      <w14:lumMod w14:val="95000"/>
                      <w14:lumOff w14:val="5000"/>
                    </w14:schemeClr>
                  </w14:solidFill>
                </w14:textFill>
              </w:rPr>
              <w:t>3</w:t>
            </w:r>
            <w:r>
              <w:rPr>
                <w:color w:val="0D0D0D" w:themeColor="text1" w:themeTint="F2"/>
                <w:sz w:val="24"/>
                <w14:textFill>
                  <w14:solidFill>
                    <w14:schemeClr w14:val="tx1">
                      <w14:lumMod w14:val="95000"/>
                      <w14:lumOff w14:val="5000"/>
                    </w14:schemeClr>
                  </w14:solidFill>
                </w14:textFill>
              </w:rPr>
              <w:t>-N</w:t>
            </w:r>
          </w:p>
          <w:p>
            <w:pPr>
              <w:spacing w:line="360" w:lineRule="auto"/>
              <w:ind w:firstLine="482" w:firstLineChars="200"/>
              <w:rPr>
                <w:b/>
                <w:color w:val="0D0D0D" w:themeColor="text1" w:themeTint="F2"/>
                <w:sz w:val="24"/>
                <w14:textFill>
                  <w14:solidFill>
                    <w14:schemeClr w14:val="tx1">
                      <w14:lumMod w14:val="95000"/>
                      <w14:lumOff w14:val="5000"/>
                    </w14:schemeClr>
                  </w14:solidFill>
                </w14:textFill>
              </w:rPr>
            </w:pPr>
            <w:r>
              <w:rPr>
                <w:b/>
                <w:color w:val="0D0D0D" w:themeColor="text1" w:themeTint="F2"/>
                <w:sz w:val="24"/>
                <w14:textFill>
                  <w14:solidFill>
                    <w14:schemeClr w14:val="tx1">
                      <w14:lumMod w14:val="95000"/>
                      <w14:lumOff w14:val="5000"/>
                    </w14:schemeClr>
                  </w14:solidFill>
                </w14:textFill>
              </w:rPr>
              <w:t>2</w:t>
            </w:r>
            <w:r>
              <w:rPr>
                <w:rFonts w:hint="eastAsia"/>
                <w:b/>
                <w:color w:val="0D0D0D" w:themeColor="text1" w:themeTint="F2"/>
                <w:sz w:val="24"/>
                <w14:textFill>
                  <w14:solidFill>
                    <w14:schemeClr w14:val="tx1">
                      <w14:lumMod w14:val="95000"/>
                      <w14:lumOff w14:val="5000"/>
                    </w14:schemeClr>
                  </w14:solidFill>
                </w14:textFill>
              </w:rPr>
              <w:t>、总量控制指标</w:t>
            </w:r>
          </w:p>
          <w:p>
            <w:pPr>
              <w:jc w:val="center"/>
              <w:rPr>
                <w:b/>
                <w:color w:val="auto"/>
                <w:sz w:val="24"/>
              </w:rPr>
            </w:pPr>
            <w:r>
              <w:rPr>
                <w:rFonts w:hint="eastAsia"/>
                <w:b/>
                <w:color w:val="auto"/>
                <w:sz w:val="24"/>
              </w:rPr>
              <w:t>表3-1</w:t>
            </w:r>
            <w:r>
              <w:rPr>
                <w:rFonts w:hint="eastAsia"/>
                <w:b/>
                <w:color w:val="auto"/>
                <w:sz w:val="24"/>
                <w:lang w:val="en-US" w:eastAsia="zh-CN"/>
              </w:rPr>
              <w:t>0</w:t>
            </w:r>
            <w:r>
              <w:rPr>
                <w:b/>
                <w:color w:val="auto"/>
                <w:sz w:val="24"/>
              </w:rPr>
              <w:t xml:space="preserve">  </w:t>
            </w:r>
            <w:r>
              <w:rPr>
                <w:rFonts w:hint="eastAsia"/>
                <w:b/>
                <w:color w:val="auto"/>
                <w:sz w:val="24"/>
              </w:rPr>
              <w:t>拟建</w:t>
            </w:r>
            <w:r>
              <w:rPr>
                <w:b/>
                <w:color w:val="auto"/>
                <w:sz w:val="24"/>
              </w:rPr>
              <w:t>项目</w:t>
            </w:r>
            <w:r>
              <w:rPr>
                <w:rFonts w:hint="eastAsia"/>
                <w:b/>
                <w:color w:val="auto"/>
                <w:sz w:val="24"/>
              </w:rPr>
              <w:t>各种污染物排放总量控制指标表</w:t>
            </w:r>
            <w:r>
              <w:rPr>
                <w:b/>
                <w:color w:val="auto"/>
                <w:sz w:val="24"/>
              </w:rPr>
              <w:t xml:space="preserve">    t/a</w:t>
            </w:r>
          </w:p>
          <w:tbl>
            <w:tblPr>
              <w:tblStyle w:val="58"/>
              <w:tblW w:w="77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40" w:type="dxa"/>
                <w:bottom w:w="0" w:type="dxa"/>
                <w:right w:w="40" w:type="dxa"/>
              </w:tblCellMar>
            </w:tblPr>
            <w:tblGrid>
              <w:gridCol w:w="890"/>
              <w:gridCol w:w="1118"/>
              <w:gridCol w:w="1245"/>
              <w:gridCol w:w="2072"/>
              <w:gridCol w:w="23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564" w:hRule="atLeast"/>
                <w:jc w:val="center"/>
              </w:trPr>
              <w:tc>
                <w:tcPr>
                  <w:tcW w:w="890" w:type="dxa"/>
                  <w:vAlign w:val="center"/>
                </w:tcPr>
                <w:p>
                  <w:pPr>
                    <w:adjustRightIn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类别</w:t>
                  </w:r>
                </w:p>
              </w:tc>
              <w:tc>
                <w:tcPr>
                  <w:tcW w:w="1118" w:type="dxa"/>
                  <w:vAlign w:val="center"/>
                </w:tcPr>
                <w:p>
                  <w:pPr>
                    <w:adjustRightIn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污染物名称</w:t>
                  </w:r>
                </w:p>
              </w:tc>
              <w:tc>
                <w:tcPr>
                  <w:tcW w:w="1245" w:type="dxa"/>
                  <w:vAlign w:val="center"/>
                </w:tcPr>
                <w:p>
                  <w:pPr>
                    <w:adjustRightIn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有组织/接管量</w:t>
                  </w:r>
                </w:p>
              </w:tc>
              <w:tc>
                <w:tcPr>
                  <w:tcW w:w="2072" w:type="dxa"/>
                  <w:vAlign w:val="center"/>
                </w:tcPr>
                <w:p>
                  <w:pPr>
                    <w:adjustRightIn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无组织/外环境排放量</w:t>
                  </w:r>
                </w:p>
              </w:tc>
              <w:tc>
                <w:tcPr>
                  <w:tcW w:w="2393" w:type="dxa"/>
                  <w:vAlign w:val="center"/>
                </w:tcPr>
                <w:p>
                  <w:pPr>
                    <w:adjustRightInd w:val="0"/>
                    <w:jc w:val="center"/>
                    <w:rPr>
                      <w:rFonts w:hint="eastAsia" w:eastAsia="宋体"/>
                      <w:b/>
                      <w:color w:val="auto"/>
                      <w:szCs w:val="21"/>
                      <w:lang w:val="en-US" w:eastAsia="zh-CN"/>
                    </w:rPr>
                  </w:pPr>
                  <w:r>
                    <w:rPr>
                      <w:rFonts w:hint="eastAsia"/>
                      <w:b/>
                      <w:color w:val="auto"/>
                      <w:szCs w:val="21"/>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77" w:hRule="atLeast"/>
                <w:jc w:val="center"/>
              </w:trPr>
              <w:tc>
                <w:tcPr>
                  <w:tcW w:w="890" w:type="dxa"/>
                  <w:vMerge w:val="restart"/>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废气</w:t>
                  </w:r>
                </w:p>
              </w:tc>
              <w:tc>
                <w:tcPr>
                  <w:tcW w:w="1118" w:type="dxa"/>
                  <w:vAlign w:val="center"/>
                </w:tcPr>
                <w:p>
                  <w:pPr>
                    <w:adjustRightIn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烟/粉尘</w:t>
                  </w:r>
                </w:p>
              </w:tc>
              <w:tc>
                <w:tcPr>
                  <w:tcW w:w="1245" w:type="dxa"/>
                  <w:vAlign w:val="center"/>
                </w:tcPr>
                <w:p>
                  <w:pPr>
                    <w:ind w:left="-105" w:leftChars="-50" w:right="-105" w:rightChars="-50"/>
                    <w:jc w:val="center"/>
                    <w:rPr>
                      <w:rFonts w:hint="default" w:eastAsia="宋体"/>
                      <w:color w:val="auto"/>
                      <w:szCs w:val="21"/>
                      <w:lang w:val="en-US" w:eastAsia="zh-CN"/>
                    </w:rPr>
                  </w:pPr>
                  <w:r>
                    <w:rPr>
                      <w:rFonts w:hint="eastAsia"/>
                      <w:color w:val="auto"/>
                      <w:szCs w:val="21"/>
                      <w:lang w:val="en-US" w:eastAsia="zh-CN"/>
                    </w:rPr>
                    <w:t>0.0024</w:t>
                  </w:r>
                </w:p>
              </w:tc>
              <w:tc>
                <w:tcPr>
                  <w:tcW w:w="2072" w:type="dxa"/>
                  <w:vAlign w:val="center"/>
                </w:tcPr>
                <w:p>
                  <w:pPr>
                    <w:jc w:val="center"/>
                    <w:rPr>
                      <w:rFonts w:hint="default" w:eastAsia="宋体"/>
                      <w:color w:val="auto"/>
                      <w:szCs w:val="21"/>
                      <w:lang w:val="en-US" w:eastAsia="zh-CN"/>
                    </w:rPr>
                  </w:pPr>
                  <w:r>
                    <w:rPr>
                      <w:rFonts w:hint="eastAsia"/>
                      <w:color w:val="auto"/>
                      <w:szCs w:val="21"/>
                      <w:lang w:val="en-US" w:eastAsia="zh-CN"/>
                    </w:rPr>
                    <w:t>0.0120</w:t>
                  </w:r>
                </w:p>
              </w:tc>
              <w:tc>
                <w:tcPr>
                  <w:tcW w:w="2393" w:type="dxa"/>
                  <w:vAlign w:val="center"/>
                </w:tcPr>
                <w:p>
                  <w:pPr>
                    <w:jc w:val="center"/>
                    <w:rPr>
                      <w:rFonts w:hint="default"/>
                      <w:color w:val="auto"/>
                      <w:szCs w:val="21"/>
                      <w:lang w:val="en-US" w:eastAsia="zh-CN"/>
                    </w:rPr>
                  </w:pPr>
                  <w:r>
                    <w:rPr>
                      <w:rFonts w:hint="eastAsia"/>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48" w:hRule="atLeast"/>
                <w:jc w:val="center"/>
              </w:trPr>
              <w:tc>
                <w:tcPr>
                  <w:tcW w:w="890" w:type="dxa"/>
                  <w:vMerge w:val="continue"/>
                  <w:vAlign w:val="center"/>
                </w:tcPr>
                <w:p>
                  <w:pPr>
                    <w:jc w:val="center"/>
                    <w:rPr>
                      <w:color w:val="0D0D0D" w:themeColor="text1" w:themeTint="F2"/>
                      <w:szCs w:val="21"/>
                      <w14:textFill>
                        <w14:solidFill>
                          <w14:schemeClr w14:val="tx1">
                            <w14:lumMod w14:val="95000"/>
                            <w14:lumOff w14:val="5000"/>
                          </w14:schemeClr>
                        </w14:solidFill>
                      </w14:textFill>
                    </w:rPr>
                  </w:pPr>
                </w:p>
              </w:tc>
              <w:tc>
                <w:tcPr>
                  <w:tcW w:w="1118" w:type="dxa"/>
                  <w:vAlign w:val="center"/>
                </w:tcPr>
                <w:p>
                  <w:pPr>
                    <w:pStyle w:val="22"/>
                    <w:jc w:val="center"/>
                    <w:rPr>
                      <w:color w:val="0D0D0D" w:themeColor="text1" w:themeTint="F2"/>
                      <w:szCs w:val="21"/>
                      <w14:textFill>
                        <w14:solidFill>
                          <w14:schemeClr w14:val="tx1">
                            <w14:lumMod w14:val="95000"/>
                            <w14:lumOff w14:val="5000"/>
                          </w14:schemeClr>
                        </w14:solidFill>
                      </w14:textFill>
                    </w:rPr>
                  </w:pPr>
                  <w: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t>VOC</w:t>
                  </w:r>
                  <w:r>
                    <w:rPr>
                      <w:rFonts w:hint="eastAsia" w:ascii="Times New Roman" w:hAnsi="Times New Roman" w:eastAsia="宋体" w:cs="Times New Roman"/>
                      <w:color w:val="0D0D0D" w:themeColor="text1" w:themeTint="F2"/>
                      <w:kern w:val="2"/>
                      <w:sz w:val="21"/>
                      <w:szCs w:val="21"/>
                      <w:vertAlign w:val="subscript"/>
                      <w:lang w:val="en-US" w:eastAsia="zh-CN" w:bidi="ar-SA"/>
                      <w14:textFill>
                        <w14:solidFill>
                          <w14:schemeClr w14:val="tx1">
                            <w14:lumMod w14:val="95000"/>
                            <w14:lumOff w14:val="5000"/>
                          </w14:schemeClr>
                        </w14:solidFill>
                      </w14:textFill>
                    </w:rPr>
                    <w:t>s</w:t>
                  </w:r>
                </w:p>
              </w:tc>
              <w:tc>
                <w:tcPr>
                  <w:tcW w:w="1245" w:type="dxa"/>
                  <w:vAlign w:val="center"/>
                </w:tcPr>
                <w:p>
                  <w:pPr>
                    <w:ind w:left="-105" w:leftChars="-50" w:right="-105" w:rightChars="-50"/>
                    <w:jc w:val="center"/>
                    <w:rPr>
                      <w:rFonts w:hint="default" w:eastAsia="宋体"/>
                      <w:color w:val="auto"/>
                      <w:szCs w:val="21"/>
                      <w:lang w:val="en-US" w:eastAsia="zh-CN"/>
                    </w:rPr>
                  </w:pPr>
                  <w:r>
                    <w:rPr>
                      <w:rFonts w:hint="eastAsia"/>
                      <w:color w:val="auto"/>
                      <w:szCs w:val="21"/>
                      <w:lang w:val="en-US" w:eastAsia="zh-CN"/>
                    </w:rPr>
                    <w:t>0.0657</w:t>
                  </w:r>
                </w:p>
              </w:tc>
              <w:tc>
                <w:tcPr>
                  <w:tcW w:w="2072" w:type="dxa"/>
                  <w:vAlign w:val="center"/>
                </w:tcPr>
                <w:p>
                  <w:pPr>
                    <w:jc w:val="center"/>
                    <w:rPr>
                      <w:rFonts w:hint="default" w:eastAsia="宋体"/>
                      <w:color w:val="auto"/>
                      <w:szCs w:val="21"/>
                      <w:lang w:val="en-US" w:eastAsia="zh-CN"/>
                    </w:rPr>
                  </w:pPr>
                  <w:r>
                    <w:rPr>
                      <w:rFonts w:hint="eastAsia"/>
                      <w:color w:val="auto"/>
                      <w:szCs w:val="21"/>
                      <w:lang w:val="en-US" w:eastAsia="zh-CN"/>
                    </w:rPr>
                    <w:t>0.1642</w:t>
                  </w:r>
                </w:p>
              </w:tc>
              <w:tc>
                <w:tcPr>
                  <w:tcW w:w="2393" w:type="dxa"/>
                  <w:vAlign w:val="center"/>
                </w:tcPr>
                <w:p>
                  <w:pPr>
                    <w:jc w:val="center"/>
                    <w:rPr>
                      <w:rFonts w:hint="default"/>
                      <w:color w:val="auto"/>
                      <w:szCs w:val="21"/>
                      <w:lang w:val="en-US" w:eastAsia="zh-CN"/>
                    </w:rPr>
                  </w:pPr>
                  <w:r>
                    <w:rPr>
                      <w:rFonts w:hint="eastAsia"/>
                      <w:color w:val="auto"/>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48" w:hRule="atLeast"/>
                <w:jc w:val="center"/>
              </w:trPr>
              <w:tc>
                <w:tcPr>
                  <w:tcW w:w="890" w:type="dxa"/>
                  <w:vMerge w:val="restart"/>
                  <w:vAlign w:val="center"/>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废水</w:t>
                  </w:r>
                </w:p>
              </w:tc>
              <w:tc>
                <w:tcPr>
                  <w:tcW w:w="1118" w:type="dxa"/>
                  <w:vAlign w:val="center"/>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COD</w:t>
                  </w:r>
                </w:p>
              </w:tc>
              <w:tc>
                <w:tcPr>
                  <w:tcW w:w="1245" w:type="dxa"/>
                  <w:vAlign w:val="center"/>
                </w:tcPr>
                <w:p>
                  <w:pPr>
                    <w:ind w:left="-42" w:leftChars="-20" w:right="-42" w:rightChars="-20"/>
                    <w:jc w:val="center"/>
                    <w:rPr>
                      <w:rFonts w:hint="default" w:eastAsia="宋体"/>
                      <w:color w:val="auto"/>
                      <w:szCs w:val="21"/>
                      <w:lang w:val="en-US" w:eastAsia="zh-CN"/>
                    </w:rPr>
                  </w:pPr>
                  <w:r>
                    <w:rPr>
                      <w:rFonts w:hint="eastAsia"/>
                      <w:color w:val="auto"/>
                      <w:szCs w:val="21"/>
                      <w:lang w:val="en-US" w:eastAsia="zh-CN"/>
                    </w:rPr>
                    <w:t>0.0360</w:t>
                  </w:r>
                </w:p>
              </w:tc>
              <w:tc>
                <w:tcPr>
                  <w:tcW w:w="2072" w:type="dxa"/>
                  <w:vAlign w:val="center"/>
                </w:tcPr>
                <w:p>
                  <w:pPr>
                    <w:ind w:left="-42" w:leftChars="-20" w:right="-42" w:rightChars="-20"/>
                    <w:jc w:val="center"/>
                    <w:rPr>
                      <w:rFonts w:hint="default" w:eastAsia="宋体"/>
                      <w:color w:val="auto"/>
                      <w:szCs w:val="21"/>
                      <w:lang w:val="en-US" w:eastAsia="zh-CN"/>
                    </w:rPr>
                  </w:pPr>
                  <w:r>
                    <w:rPr>
                      <w:rFonts w:hint="eastAsia"/>
                      <w:color w:val="auto"/>
                      <w:szCs w:val="21"/>
                      <w:lang w:val="en-US" w:eastAsia="zh-CN"/>
                    </w:rPr>
                    <w:t>0.0090</w:t>
                  </w:r>
                </w:p>
              </w:tc>
              <w:tc>
                <w:tcPr>
                  <w:tcW w:w="2393" w:type="dxa"/>
                  <w:vMerge w:val="restart"/>
                  <w:vAlign w:val="center"/>
                </w:tcPr>
                <w:p>
                  <w:pPr>
                    <w:ind w:left="-42" w:leftChars="-20" w:right="-42" w:rightChars="-20"/>
                    <w:jc w:val="center"/>
                    <w:rPr>
                      <w:rFonts w:hint="default"/>
                      <w:color w:val="auto"/>
                      <w:szCs w:val="21"/>
                      <w:lang w:val="en-US" w:eastAsia="zh-CN"/>
                    </w:rPr>
                  </w:pPr>
                  <w:r>
                    <w:rPr>
                      <w:rFonts w:hint="eastAsia"/>
                      <w:color w:val="auto"/>
                      <w:szCs w:val="21"/>
                      <w:lang w:val="en-US" w:eastAsia="zh-CN"/>
                    </w:rPr>
                    <w:t>废水污染物总量已纳入城东污水处理厂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307" w:hRule="atLeast"/>
                <w:jc w:val="center"/>
              </w:trPr>
              <w:tc>
                <w:tcPr>
                  <w:tcW w:w="890" w:type="dxa"/>
                  <w:vMerge w:val="continue"/>
                  <w:vAlign w:val="center"/>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p>
              </w:tc>
              <w:tc>
                <w:tcPr>
                  <w:tcW w:w="1118" w:type="dxa"/>
                  <w:vAlign w:val="center"/>
                </w:tcPr>
                <w:p>
                  <w:pPr>
                    <w:ind w:left="-42" w:leftChars="-20" w:right="-42" w:rightChars="-2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氨氮</w:t>
                  </w:r>
                </w:p>
              </w:tc>
              <w:tc>
                <w:tcPr>
                  <w:tcW w:w="1245" w:type="dxa"/>
                  <w:vAlign w:val="center"/>
                </w:tcPr>
                <w:p>
                  <w:pPr>
                    <w:ind w:left="-42" w:leftChars="-20" w:right="-42" w:rightChars="-20"/>
                    <w:jc w:val="center"/>
                    <w:rPr>
                      <w:rFonts w:hint="default" w:eastAsia="宋体"/>
                      <w:color w:val="auto"/>
                      <w:szCs w:val="21"/>
                      <w:lang w:val="en-US" w:eastAsia="zh-CN"/>
                    </w:rPr>
                  </w:pPr>
                  <w:r>
                    <w:rPr>
                      <w:rFonts w:hint="eastAsia"/>
                      <w:color w:val="auto"/>
                      <w:szCs w:val="21"/>
                      <w:lang w:val="en-US" w:eastAsia="zh-CN"/>
                    </w:rPr>
                    <w:t>0.0032</w:t>
                  </w:r>
                </w:p>
              </w:tc>
              <w:tc>
                <w:tcPr>
                  <w:tcW w:w="2072" w:type="dxa"/>
                  <w:vAlign w:val="center"/>
                </w:tcPr>
                <w:p>
                  <w:pPr>
                    <w:ind w:left="-42" w:leftChars="-20" w:right="-42" w:rightChars="-20"/>
                    <w:jc w:val="center"/>
                    <w:rPr>
                      <w:rFonts w:hint="default" w:eastAsia="宋体"/>
                      <w:color w:val="auto"/>
                      <w:szCs w:val="21"/>
                      <w:lang w:val="en-US" w:eastAsia="zh-CN"/>
                    </w:rPr>
                  </w:pPr>
                  <w:r>
                    <w:rPr>
                      <w:rFonts w:hint="eastAsia"/>
                      <w:color w:val="auto"/>
                      <w:szCs w:val="21"/>
                      <w:lang w:val="en-US" w:eastAsia="zh-CN"/>
                    </w:rPr>
                    <w:t>0.0009</w:t>
                  </w:r>
                </w:p>
              </w:tc>
              <w:tc>
                <w:tcPr>
                  <w:tcW w:w="2393" w:type="dxa"/>
                  <w:vMerge w:val="continue"/>
                  <w:vAlign w:val="center"/>
                </w:tcPr>
                <w:p>
                  <w:pPr>
                    <w:ind w:left="-42" w:leftChars="-20" w:right="-42" w:rightChars="-20"/>
                    <w:jc w:val="center"/>
                    <w:rPr>
                      <w:rFonts w:hint="eastAsia"/>
                      <w:color w:val="auto"/>
                      <w:szCs w:val="21"/>
                      <w:lang w:val="en-US" w:eastAsia="zh-CN"/>
                    </w:rPr>
                  </w:pPr>
                </w:p>
              </w:tc>
            </w:tr>
          </w:tbl>
          <w:p>
            <w:pPr>
              <w:rPr>
                <w:rFonts w:cs="宋体"/>
                <w:color w:val="000000"/>
                <w:szCs w:val="21"/>
              </w:rPr>
            </w:pPr>
          </w:p>
          <w:p>
            <w:pPr>
              <w:rPr>
                <w:rFonts w:cs="宋体"/>
                <w:color w:val="000000"/>
                <w:szCs w:val="21"/>
              </w:rPr>
            </w:pPr>
          </w:p>
          <w:p>
            <w:pPr>
              <w:rPr>
                <w:rFonts w:cs="宋体"/>
                <w:color w:val="000000"/>
                <w:szCs w:val="21"/>
              </w:rPr>
            </w:pPr>
          </w:p>
          <w:p>
            <w:pPr>
              <w:rPr>
                <w:rFonts w:cs="宋体"/>
                <w:color w:val="000000"/>
                <w:szCs w:val="21"/>
              </w:rPr>
            </w:pPr>
          </w:p>
          <w:p>
            <w:pPr>
              <w:rPr>
                <w:rFonts w:cs="宋体"/>
                <w:color w:val="000000"/>
                <w:szCs w:val="21"/>
              </w:rPr>
            </w:pPr>
          </w:p>
        </w:tc>
      </w:tr>
    </w:tbl>
    <w:p>
      <w:pPr>
        <w:pStyle w:val="54"/>
        <w:jc w:val="center"/>
        <w:outlineLvl w:val="0"/>
        <w:rPr>
          <w:rFonts w:ascii="Times New Roman" w:hAnsi="Times New Roman"/>
          <w:b/>
          <w:snapToGrid w:val="0"/>
          <w:color w:val="000000"/>
          <w:sz w:val="30"/>
          <w:szCs w:val="30"/>
        </w:rPr>
      </w:pPr>
      <w:r>
        <w:rPr>
          <w:rFonts w:ascii="Times New Roman" w:hAnsi="Times New Roman"/>
          <w:snapToGrid w:val="0"/>
          <w:color w:val="000000"/>
          <w:sz w:val="36"/>
          <w:szCs w:val="36"/>
        </w:rPr>
        <w:br w:type="page"/>
      </w:r>
      <w:r>
        <w:rPr>
          <w:rFonts w:hint="eastAsia" w:ascii="Times New Roman" w:hAnsi="Times New Roman"/>
          <w:b/>
          <w:snapToGrid w:val="0"/>
          <w:color w:val="000000"/>
          <w:sz w:val="30"/>
          <w:szCs w:val="30"/>
        </w:rPr>
        <w:t>四、主要环境影响和保护措施</w:t>
      </w:r>
    </w:p>
    <w:tbl>
      <w:tblPr>
        <w:tblStyle w:val="58"/>
        <w:tblW w:w="924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74"/>
        <w:gridCol w:w="84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69" w:hRule="atLeast"/>
          <w:jc w:val="center"/>
        </w:trPr>
        <w:tc>
          <w:tcPr>
            <w:tcW w:w="746" w:type="dxa"/>
            <w:tcMar>
              <w:left w:w="28" w:type="dxa"/>
              <w:right w:w="28" w:type="dxa"/>
            </w:tcMar>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施工</w:t>
            </w:r>
          </w:p>
          <w:p>
            <w:pPr>
              <w:autoSpaceDE w:val="0"/>
              <w:autoSpaceDN w:val="0"/>
              <w:adjustRightInd w:val="0"/>
              <w:snapToGrid w:val="0"/>
              <w:jc w:val="center"/>
              <w:rPr>
                <w:rFonts w:cs="宋体"/>
                <w:color w:val="000000"/>
                <w:kern w:val="0"/>
                <w:sz w:val="24"/>
              </w:rPr>
            </w:pPr>
            <w:r>
              <w:rPr>
                <w:rFonts w:hint="eastAsia" w:cs="宋体"/>
                <w:color w:val="000000"/>
                <w:kern w:val="0"/>
                <w:sz w:val="24"/>
              </w:rPr>
              <w:t>期环</w:t>
            </w:r>
          </w:p>
          <w:p>
            <w:pPr>
              <w:autoSpaceDE w:val="0"/>
              <w:autoSpaceDN w:val="0"/>
              <w:adjustRightInd w:val="0"/>
              <w:snapToGrid w:val="0"/>
              <w:jc w:val="center"/>
              <w:rPr>
                <w:rFonts w:cs="宋体"/>
                <w:color w:val="000000"/>
                <w:kern w:val="0"/>
                <w:sz w:val="24"/>
              </w:rPr>
            </w:pPr>
            <w:r>
              <w:rPr>
                <w:rFonts w:hint="eastAsia" w:cs="宋体"/>
                <w:color w:val="000000"/>
                <w:kern w:val="0"/>
                <w:sz w:val="24"/>
              </w:rPr>
              <w:t>境保</w:t>
            </w:r>
          </w:p>
          <w:p>
            <w:pPr>
              <w:autoSpaceDE w:val="0"/>
              <w:autoSpaceDN w:val="0"/>
              <w:adjustRightInd w:val="0"/>
              <w:snapToGrid w:val="0"/>
              <w:jc w:val="center"/>
              <w:rPr>
                <w:rFonts w:cs="宋体"/>
                <w:color w:val="000000"/>
                <w:kern w:val="0"/>
                <w:sz w:val="24"/>
              </w:rPr>
            </w:pPr>
            <w:r>
              <w:rPr>
                <w:rFonts w:hint="eastAsia" w:cs="宋体"/>
                <w:color w:val="000000"/>
                <w:kern w:val="0"/>
                <w:sz w:val="24"/>
              </w:rPr>
              <w:t>护措</w:t>
            </w:r>
          </w:p>
          <w:p>
            <w:pPr>
              <w:autoSpaceDE w:val="0"/>
              <w:autoSpaceDN w:val="0"/>
              <w:adjustRightInd w:val="0"/>
              <w:snapToGrid w:val="0"/>
              <w:jc w:val="center"/>
              <w:rPr>
                <w:rFonts w:cs="宋体"/>
                <w:color w:val="000000"/>
                <w:kern w:val="0"/>
                <w:sz w:val="24"/>
              </w:rPr>
            </w:pPr>
            <w:r>
              <w:rPr>
                <w:rFonts w:hint="eastAsia" w:cs="宋体"/>
                <w:color w:val="000000"/>
                <w:kern w:val="0"/>
                <w:sz w:val="24"/>
              </w:rPr>
              <w:t>施</w:t>
            </w:r>
          </w:p>
        </w:tc>
        <w:tc>
          <w:tcPr>
            <w:tcW w:w="8162" w:type="dxa"/>
            <w:vAlign w:val="center"/>
          </w:tcPr>
          <w:p>
            <w:pPr>
              <w:spacing w:line="360" w:lineRule="auto"/>
              <w:ind w:firstLine="480" w:firstLineChars="200"/>
              <w:rPr>
                <w:color w:val="000000"/>
                <w:kern w:val="0"/>
                <w:sz w:val="24"/>
              </w:rPr>
            </w:pPr>
            <w:r>
              <w:rPr>
                <w:rFonts w:hint="eastAsia"/>
                <w:color w:val="000000"/>
                <w:sz w:val="24"/>
                <w:lang w:val="zh-CN"/>
              </w:rPr>
              <w:t>项</w:t>
            </w:r>
            <w:r>
              <w:rPr>
                <w:rFonts w:hint="eastAsia"/>
                <w:color w:val="0D0D0D"/>
                <w:sz w:val="24"/>
                <w:lang w:val="zh-CN"/>
              </w:rPr>
              <w:t>目</w:t>
            </w:r>
            <w:r>
              <w:rPr>
                <w:rFonts w:hint="eastAsia"/>
                <w:color w:val="0D0D0D"/>
                <w:sz w:val="24"/>
                <w:lang w:val="en-US" w:eastAsia="zh-CN"/>
              </w:rPr>
              <w:t>购置芜湖联东金江实业有限公司</w:t>
            </w:r>
            <w:r>
              <w:rPr>
                <w:rFonts w:hint="eastAsia"/>
                <w:color w:val="0D0D0D" w:themeColor="text1" w:themeTint="F2"/>
                <w:sz w:val="24"/>
                <w14:textFill>
                  <w14:solidFill>
                    <w14:schemeClr w14:val="tx1">
                      <w14:lumMod w14:val="95000"/>
                      <w14:lumOff w14:val="5000"/>
                    </w14:schemeClr>
                  </w14:solidFill>
                </w14:textFill>
              </w:rPr>
              <w:t>空置厂房，</w:t>
            </w:r>
            <w:r>
              <w:rPr>
                <w:rFonts w:hint="eastAsia"/>
                <w:color w:val="0D0D0D" w:themeColor="text1" w:themeTint="F2"/>
                <w:kern w:val="0"/>
                <w:sz w:val="24"/>
                <w14:textFill>
                  <w14:solidFill>
                    <w14:schemeClr w14:val="tx1">
                      <w14:lumMod w14:val="95000"/>
                      <w14:lumOff w14:val="5000"/>
                    </w14:schemeClr>
                  </w14:solidFill>
                </w14:textFill>
              </w:rPr>
              <w:t>主体工</w:t>
            </w:r>
            <w:r>
              <w:rPr>
                <w:rFonts w:hint="eastAsia"/>
                <w:color w:val="0D0D0D"/>
                <w:kern w:val="0"/>
                <w:sz w:val="24"/>
              </w:rPr>
              <w:t>程不包括土建，主要为生产设备的安装调试、环保设施设备</w:t>
            </w:r>
            <w:r>
              <w:rPr>
                <w:rFonts w:hint="eastAsia"/>
                <w:color w:val="auto"/>
                <w:kern w:val="0"/>
                <w:sz w:val="24"/>
                <w:lang w:eastAsia="zh-CN"/>
              </w:rPr>
              <w:t>（</w:t>
            </w:r>
            <w:r>
              <w:rPr>
                <w:rFonts w:hint="eastAsia"/>
                <w:color w:val="auto"/>
                <w:kern w:val="0"/>
                <w:sz w:val="24"/>
                <w:lang w:val="en-US" w:eastAsia="zh-CN"/>
              </w:rPr>
              <w:t>不包括化粪池和污水管网建设</w:t>
            </w:r>
            <w:r>
              <w:rPr>
                <w:rFonts w:hint="eastAsia"/>
                <w:color w:val="auto"/>
                <w:kern w:val="0"/>
                <w:sz w:val="24"/>
                <w:lang w:eastAsia="zh-CN"/>
              </w:rPr>
              <w:t>）</w:t>
            </w:r>
            <w:r>
              <w:rPr>
                <w:rFonts w:hint="eastAsia"/>
                <w:color w:val="auto"/>
                <w:kern w:val="0"/>
                <w:sz w:val="24"/>
              </w:rPr>
              <w:t>的落实等</w:t>
            </w:r>
            <w:r>
              <w:rPr>
                <w:rFonts w:hint="eastAsia"/>
                <w:color w:val="auto"/>
                <w:sz w:val="24"/>
                <w:lang w:val="zh-CN"/>
              </w:rPr>
              <w:t>。施工期主要进行设备的安装，产生的污染主要为噪声，由于拟建项目设备数量较少，安装时间较短，且随着施工期的结束，噪声也随之消失，对周边环境影响较小，</w:t>
            </w:r>
            <w:r>
              <w:rPr>
                <w:rFonts w:hint="eastAsia"/>
                <w:color w:val="auto"/>
                <w:sz w:val="24"/>
                <w:lang w:val="en-US" w:eastAsia="zh-CN"/>
              </w:rPr>
              <w:t>在</w:t>
            </w:r>
            <w:r>
              <w:rPr>
                <w:rFonts w:hint="eastAsia"/>
                <w:color w:val="0D0D0D"/>
                <w:sz w:val="24"/>
                <w:lang w:val="zh-CN"/>
              </w:rPr>
              <w:t>设备安装时期施工人员产生的少量生活污水和生活垃圾等，生活污水</w:t>
            </w:r>
            <w:r>
              <w:rPr>
                <w:rFonts w:hint="eastAsia"/>
                <w:color w:val="0D0D0D"/>
                <w:sz w:val="24"/>
                <w:lang w:val="en-US" w:eastAsia="zh-CN"/>
              </w:rPr>
              <w:t>经化粪池处理，生活垃圾由环卫部门清运，</w:t>
            </w:r>
            <w:r>
              <w:rPr>
                <w:rFonts w:hint="eastAsia"/>
                <w:color w:val="0D0D0D"/>
                <w:sz w:val="24"/>
                <w:lang w:val="zh-CN"/>
              </w:rPr>
              <w:t>故本次评价对施工期环境影响不做分析。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89" w:hRule="atLeast"/>
          <w:jc w:val="center"/>
        </w:trPr>
        <w:tc>
          <w:tcPr>
            <w:tcW w:w="746" w:type="dxa"/>
            <w:tcMar>
              <w:left w:w="28" w:type="dxa"/>
              <w:right w:w="28" w:type="dxa"/>
            </w:tcMar>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运营</w:t>
            </w:r>
          </w:p>
          <w:p>
            <w:pPr>
              <w:autoSpaceDE w:val="0"/>
              <w:autoSpaceDN w:val="0"/>
              <w:adjustRightInd w:val="0"/>
              <w:snapToGrid w:val="0"/>
              <w:jc w:val="center"/>
              <w:rPr>
                <w:rFonts w:cs="宋体"/>
                <w:color w:val="000000"/>
                <w:kern w:val="0"/>
                <w:sz w:val="24"/>
              </w:rPr>
            </w:pPr>
            <w:r>
              <w:rPr>
                <w:rFonts w:hint="eastAsia" w:cs="宋体"/>
                <w:color w:val="000000"/>
                <w:kern w:val="0"/>
                <w:sz w:val="24"/>
              </w:rPr>
              <w:t>期环</w:t>
            </w:r>
          </w:p>
          <w:p>
            <w:pPr>
              <w:autoSpaceDE w:val="0"/>
              <w:autoSpaceDN w:val="0"/>
              <w:adjustRightInd w:val="0"/>
              <w:snapToGrid w:val="0"/>
              <w:jc w:val="center"/>
              <w:rPr>
                <w:rFonts w:cs="宋体"/>
                <w:color w:val="000000"/>
                <w:kern w:val="0"/>
                <w:sz w:val="24"/>
              </w:rPr>
            </w:pPr>
            <w:r>
              <w:rPr>
                <w:rFonts w:hint="eastAsia" w:cs="宋体"/>
                <w:color w:val="000000"/>
                <w:kern w:val="0"/>
                <w:sz w:val="24"/>
              </w:rPr>
              <w:t>境影</w:t>
            </w:r>
          </w:p>
          <w:p>
            <w:pPr>
              <w:autoSpaceDE w:val="0"/>
              <w:autoSpaceDN w:val="0"/>
              <w:adjustRightInd w:val="0"/>
              <w:snapToGrid w:val="0"/>
              <w:jc w:val="center"/>
              <w:rPr>
                <w:rFonts w:cs="宋体"/>
                <w:color w:val="000000"/>
                <w:kern w:val="0"/>
                <w:sz w:val="24"/>
              </w:rPr>
            </w:pPr>
            <w:r>
              <w:rPr>
                <w:rFonts w:hint="eastAsia" w:cs="宋体"/>
                <w:color w:val="000000"/>
                <w:kern w:val="0"/>
                <w:sz w:val="24"/>
              </w:rPr>
              <w:t>响和</w:t>
            </w:r>
          </w:p>
          <w:p>
            <w:pPr>
              <w:autoSpaceDE w:val="0"/>
              <w:autoSpaceDN w:val="0"/>
              <w:adjustRightInd w:val="0"/>
              <w:snapToGrid w:val="0"/>
              <w:jc w:val="center"/>
              <w:rPr>
                <w:rFonts w:cs="宋体"/>
                <w:color w:val="000000"/>
                <w:kern w:val="0"/>
                <w:sz w:val="24"/>
              </w:rPr>
            </w:pPr>
            <w:r>
              <w:rPr>
                <w:rFonts w:hint="eastAsia" w:cs="宋体"/>
                <w:color w:val="000000"/>
                <w:kern w:val="0"/>
                <w:sz w:val="24"/>
              </w:rPr>
              <w:t>保护</w:t>
            </w:r>
          </w:p>
          <w:p>
            <w:pPr>
              <w:autoSpaceDE w:val="0"/>
              <w:autoSpaceDN w:val="0"/>
              <w:adjustRightInd w:val="0"/>
              <w:snapToGrid w:val="0"/>
              <w:jc w:val="center"/>
              <w:rPr>
                <w:rFonts w:cs="宋体"/>
                <w:color w:val="000000"/>
                <w:kern w:val="0"/>
                <w:sz w:val="24"/>
              </w:rPr>
            </w:pPr>
            <w:r>
              <w:rPr>
                <w:rFonts w:hint="eastAsia" w:cs="宋体"/>
                <w:color w:val="000000"/>
                <w:kern w:val="0"/>
                <w:sz w:val="24"/>
              </w:rPr>
              <w:t>措施</w:t>
            </w:r>
          </w:p>
        </w:tc>
        <w:tc>
          <w:tcPr>
            <w:tcW w:w="8162" w:type="dxa"/>
            <w:vAlign w:val="center"/>
          </w:tcPr>
          <w:p>
            <w:pPr>
              <w:keepNext/>
              <w:keepLines/>
              <w:numPr>
                <w:ilvl w:val="0"/>
                <w:numId w:val="3"/>
              </w:numPr>
              <w:spacing w:before="120" w:beforeLines="50" w:line="360" w:lineRule="auto"/>
              <w:ind w:firstLine="354" w:firstLineChars="147"/>
              <w:outlineLvl w:val="2"/>
              <w:rPr>
                <w:b/>
                <w:bCs/>
                <w:color w:val="000000"/>
                <w:sz w:val="24"/>
                <w:szCs w:val="32"/>
              </w:rPr>
            </w:pPr>
            <w:r>
              <w:rPr>
                <w:rFonts w:hint="eastAsia"/>
                <w:b/>
                <w:bCs/>
                <w:color w:val="000000"/>
                <w:sz w:val="24"/>
                <w:szCs w:val="32"/>
              </w:rPr>
              <w:t>废气环境影响和保护措施</w:t>
            </w:r>
          </w:p>
          <w:p>
            <w:pPr>
              <w:keepNext/>
              <w:keepLines/>
              <w:spacing w:line="360" w:lineRule="auto"/>
              <w:ind w:firstLine="472" w:firstLineChars="196"/>
              <w:outlineLvl w:val="2"/>
              <w:rPr>
                <w:b/>
                <w:bCs/>
                <w:color w:val="000000"/>
                <w:sz w:val="24"/>
                <w:szCs w:val="32"/>
              </w:rPr>
            </w:pPr>
            <w:r>
              <w:rPr>
                <w:rFonts w:hint="eastAsia"/>
                <w:b/>
                <w:bCs/>
                <w:color w:val="000000"/>
                <w:sz w:val="24"/>
                <w:szCs w:val="32"/>
              </w:rPr>
              <w:t>1、</w:t>
            </w:r>
            <w:r>
              <w:rPr>
                <w:b/>
                <w:bCs/>
                <w:color w:val="000000"/>
                <w:sz w:val="24"/>
                <w:szCs w:val="32"/>
              </w:rPr>
              <w:t>废气污染源</w:t>
            </w:r>
            <w:r>
              <w:rPr>
                <w:rFonts w:hint="eastAsia"/>
                <w:b/>
                <w:bCs/>
                <w:color w:val="000000"/>
                <w:sz w:val="24"/>
                <w:szCs w:val="32"/>
              </w:rPr>
              <w:t>分析</w:t>
            </w:r>
          </w:p>
          <w:p>
            <w:pPr>
              <w:widowControl/>
              <w:spacing w:line="360" w:lineRule="auto"/>
              <w:ind w:firstLine="480" w:firstLineChars="200"/>
              <w:jc w:val="left"/>
              <w:rPr>
                <w:color w:val="000000"/>
                <w:kern w:val="0"/>
                <w:sz w:val="24"/>
              </w:rPr>
            </w:pPr>
            <w:r>
              <w:rPr>
                <w:color w:val="000000"/>
                <w:kern w:val="0"/>
                <w:sz w:val="24"/>
              </w:rPr>
              <w:t>项目营运期废气污染源主要有：</w:t>
            </w:r>
            <w:r>
              <w:rPr>
                <w:rFonts w:hint="eastAsia"/>
                <w:bCs/>
                <w:color w:val="000000"/>
                <w:kern w:val="0"/>
                <w:sz w:val="24"/>
              </w:rPr>
              <w:t>注塑废气</w:t>
            </w:r>
            <w:r>
              <w:rPr>
                <w:color w:val="000000"/>
                <w:kern w:val="0"/>
                <w:sz w:val="24"/>
              </w:rPr>
              <w:t>（G</w:t>
            </w:r>
            <w:r>
              <w:rPr>
                <w:rFonts w:hint="eastAsia"/>
                <w:color w:val="000000"/>
                <w:kern w:val="0"/>
                <w:sz w:val="24"/>
                <w:lang w:val="en-US" w:eastAsia="zh-CN"/>
              </w:rPr>
              <w:t>1</w:t>
            </w:r>
            <w:r>
              <w:rPr>
                <w:color w:val="000000"/>
                <w:kern w:val="0"/>
                <w:sz w:val="24"/>
              </w:rPr>
              <w:t>）</w:t>
            </w:r>
            <w:r>
              <w:rPr>
                <w:rFonts w:hint="eastAsia"/>
                <w:color w:val="000000"/>
                <w:kern w:val="0"/>
                <w:sz w:val="24"/>
              </w:rPr>
              <w:t>及破碎粉尘</w:t>
            </w:r>
            <w:r>
              <w:rPr>
                <w:color w:val="000000"/>
                <w:kern w:val="0"/>
                <w:sz w:val="24"/>
              </w:rPr>
              <w:t>（G</w:t>
            </w:r>
            <w:r>
              <w:rPr>
                <w:rFonts w:hint="eastAsia"/>
                <w:color w:val="000000"/>
                <w:kern w:val="0"/>
                <w:sz w:val="24"/>
                <w:lang w:val="en-US" w:eastAsia="zh-CN"/>
              </w:rPr>
              <w:t>2</w:t>
            </w:r>
            <w:r>
              <w:rPr>
                <w:color w:val="000000"/>
                <w:kern w:val="0"/>
                <w:sz w:val="24"/>
              </w:rPr>
              <w:t>）。</w:t>
            </w:r>
          </w:p>
          <w:p>
            <w:pPr>
              <w:adjustRightInd w:val="0"/>
              <w:spacing w:line="360" w:lineRule="auto"/>
              <w:ind w:firstLine="480" w:firstLineChars="200"/>
              <w:rPr>
                <w:color w:val="000000"/>
                <w:sz w:val="24"/>
                <w:lang w:val="en-GB"/>
              </w:rPr>
            </w:pPr>
            <w:r>
              <w:rPr>
                <w:rFonts w:hint="eastAsia"/>
                <w:color w:val="000000"/>
                <w:sz w:val="24"/>
                <w:lang w:val="en-GB"/>
              </w:rPr>
              <w:t>（</w:t>
            </w:r>
            <w:r>
              <w:rPr>
                <w:rFonts w:hint="eastAsia"/>
                <w:color w:val="000000"/>
                <w:sz w:val="24"/>
                <w:lang w:val="en-US" w:eastAsia="zh-CN"/>
              </w:rPr>
              <w:t>1</w:t>
            </w:r>
            <w:r>
              <w:rPr>
                <w:rFonts w:hint="eastAsia"/>
                <w:color w:val="000000"/>
                <w:sz w:val="24"/>
                <w:lang w:val="en-GB"/>
              </w:rPr>
              <w:t>）注塑</w:t>
            </w:r>
            <w:r>
              <w:rPr>
                <w:color w:val="000000"/>
                <w:sz w:val="24"/>
                <w:lang w:val="en-GB"/>
              </w:rPr>
              <w:t>废气</w:t>
            </w:r>
            <w:r>
              <w:rPr>
                <w:color w:val="000000"/>
                <w:sz w:val="24"/>
              </w:rPr>
              <w:t>（G</w:t>
            </w:r>
            <w:r>
              <w:rPr>
                <w:rFonts w:hint="eastAsia"/>
                <w:color w:val="000000"/>
                <w:sz w:val="24"/>
                <w:lang w:val="en-US" w:eastAsia="zh-CN"/>
              </w:rPr>
              <w:t>1</w:t>
            </w:r>
            <w:r>
              <w:rPr>
                <w:color w:val="000000"/>
                <w:sz w:val="24"/>
              </w:rPr>
              <w:t>）</w:t>
            </w:r>
          </w:p>
          <w:p>
            <w:pPr>
              <w:snapToGrid w:val="0"/>
              <w:spacing w:line="360" w:lineRule="auto"/>
              <w:ind w:firstLine="480" w:firstLineChars="200"/>
              <w:rPr>
                <w:rFonts w:hint="default" w:ascii="Times New Roman" w:hAnsi="Times New Roman" w:eastAsia="宋体" w:cs="Times New Roman"/>
                <w:color w:val="000000"/>
                <w:sz w:val="24"/>
                <w:lang w:val="en-US" w:eastAsia="zh-CN"/>
              </w:rPr>
            </w:pPr>
            <w:r>
              <w:rPr>
                <w:rFonts w:hint="eastAsia" w:cs="Times New Roman"/>
                <w:color w:val="000000"/>
                <w:sz w:val="24"/>
                <w:lang w:val="en-US" w:eastAsia="zh-CN"/>
              </w:rPr>
              <w:t>①非甲烷总烃</w:t>
            </w:r>
          </w:p>
          <w:p>
            <w:pPr>
              <w:snapToGrid w:val="0"/>
              <w:spacing w:line="360" w:lineRule="auto"/>
              <w:ind w:firstLine="480" w:firstLineChars="200"/>
              <w:rPr>
                <w:rFonts w:hint="eastAsia" w:ascii="Times New Roman" w:hAnsi="Times New Roman" w:eastAsia="宋体" w:cs="Times New Roman"/>
                <w:color w:val="000000"/>
                <w:sz w:val="24"/>
                <w:lang w:val="en-US" w:eastAsia="zh-CN"/>
              </w:rPr>
            </w:pPr>
            <w:r>
              <w:rPr>
                <w:rFonts w:hint="eastAsia" w:ascii="Times New Roman" w:hAnsi="Times New Roman" w:eastAsia="宋体" w:cs="Times New Roman"/>
                <w:color w:val="000000"/>
                <w:sz w:val="24"/>
              </w:rPr>
              <w:t>本项目注塑工序工艺温度为165-</w:t>
            </w:r>
            <w:r>
              <w:rPr>
                <w:rFonts w:hint="eastAsia" w:ascii="Times New Roman" w:hAnsi="Times New Roman" w:eastAsia="宋体" w:cs="Times New Roman"/>
                <w:color w:val="000000"/>
                <w:sz w:val="24"/>
                <w:lang w:val="en-US" w:eastAsia="zh-CN"/>
              </w:rPr>
              <w:t>260</w:t>
            </w:r>
            <w:r>
              <w:rPr>
                <w:rFonts w:hint="eastAsia" w:cs="Times New Roman"/>
                <w:color w:val="000000"/>
                <w:sz w:val="24"/>
                <w:lang w:val="en-US" w:eastAsia="zh-CN"/>
              </w:rPr>
              <w:t>℃</w:t>
            </w:r>
            <w:r>
              <w:rPr>
                <w:rFonts w:hint="eastAsia" w:ascii="Times New Roman" w:hAnsi="Times New Roman" w:eastAsia="宋体" w:cs="Times New Roman"/>
                <w:color w:val="000000"/>
                <w:sz w:val="24"/>
              </w:rPr>
              <w:t>，</w:t>
            </w:r>
            <w:r>
              <w:rPr>
                <w:rFonts w:hint="eastAsia" w:cs="Times New Roman"/>
                <w:color w:val="000000"/>
                <w:sz w:val="24"/>
                <w:lang w:val="en-US" w:eastAsia="zh-CN"/>
              </w:rPr>
              <w:t>其中POM注塑温度为180℃，未达到原料分解温度，</w:t>
            </w:r>
            <w:r>
              <w:rPr>
                <w:rFonts w:hint="eastAsia" w:ascii="Times New Roman" w:hAnsi="Times New Roman" w:eastAsia="宋体" w:cs="Times New Roman"/>
                <w:color w:val="000000"/>
                <w:sz w:val="24"/>
                <w:lang w:val="en-US" w:eastAsia="zh-CN"/>
              </w:rPr>
              <w:t>不同种类塑料粒子注塑温度不同，</w:t>
            </w:r>
            <w:r>
              <w:rPr>
                <w:rFonts w:hint="eastAsia" w:cs="Times New Roman"/>
                <w:color w:val="000000"/>
                <w:sz w:val="24"/>
                <w:lang w:val="en-US" w:eastAsia="zh-CN"/>
              </w:rPr>
              <w:t>且</w:t>
            </w:r>
            <w:r>
              <w:rPr>
                <w:rFonts w:hint="eastAsia" w:ascii="Times New Roman" w:hAnsi="Times New Roman" w:eastAsia="宋体" w:cs="Times New Roman"/>
                <w:color w:val="000000"/>
                <w:sz w:val="24"/>
                <w:lang w:val="en-US" w:eastAsia="zh-CN"/>
              </w:rPr>
              <w:t>均</w:t>
            </w:r>
            <w:r>
              <w:rPr>
                <w:rFonts w:hint="eastAsia" w:ascii="Times New Roman" w:hAnsi="Times New Roman" w:eastAsia="宋体" w:cs="Times New Roman"/>
                <w:color w:val="000000"/>
                <w:sz w:val="24"/>
              </w:rPr>
              <w:t>未达到原料分解温度，但因受热，分子间相斥作用力加强会导致大分子链拉长，挥发出少量有机废气，有机废气按非甲烷总烃计</w:t>
            </w:r>
            <w:r>
              <w:rPr>
                <w:rFonts w:hint="eastAsia" w:ascii="Times New Roman" w:hAnsi="Times New Roman" w:eastAsia="宋体" w:cs="Times New Roman"/>
                <w:color w:val="000000"/>
                <w:sz w:val="24"/>
                <w:lang w:val="en-US" w:eastAsia="zh-CN"/>
              </w:rPr>
              <w:t xml:space="preserve">。根据生态环境部《排放源统计调查产排污核算方法和系数手册》（公告 </w:t>
            </w:r>
            <w:r>
              <w:rPr>
                <w:rFonts w:hint="default" w:ascii="Times New Roman" w:hAnsi="Times New Roman" w:eastAsia="宋体" w:cs="Times New Roman"/>
                <w:color w:val="000000"/>
                <w:sz w:val="24"/>
                <w:lang w:val="en-US" w:eastAsia="zh-CN"/>
              </w:rPr>
              <w:t xml:space="preserve">2021 </w:t>
            </w:r>
            <w:r>
              <w:rPr>
                <w:rFonts w:hint="eastAsia" w:ascii="Times New Roman" w:hAnsi="Times New Roman" w:eastAsia="宋体" w:cs="Times New Roman"/>
                <w:color w:val="000000"/>
                <w:sz w:val="24"/>
                <w:lang w:val="en-US" w:eastAsia="zh-CN"/>
              </w:rPr>
              <w:t xml:space="preserve">年第 </w:t>
            </w:r>
            <w:r>
              <w:rPr>
                <w:rFonts w:hint="default" w:ascii="Times New Roman" w:hAnsi="Times New Roman" w:eastAsia="宋体" w:cs="Times New Roman"/>
                <w:color w:val="000000"/>
                <w:sz w:val="24"/>
                <w:lang w:val="en-US" w:eastAsia="zh-CN"/>
              </w:rPr>
              <w:t xml:space="preserve">24 </w:t>
            </w:r>
            <w:r>
              <w:rPr>
                <w:rFonts w:hint="eastAsia" w:ascii="Times New Roman" w:hAnsi="Times New Roman" w:eastAsia="宋体" w:cs="Times New Roman"/>
                <w:color w:val="000000"/>
                <w:sz w:val="24"/>
                <w:lang w:val="en-US" w:eastAsia="zh-CN"/>
              </w:rPr>
              <w:t>号）</w:t>
            </w:r>
            <w:r>
              <w:rPr>
                <w:rFonts w:hint="default" w:ascii="Times New Roman" w:hAnsi="Times New Roman" w:eastAsia="宋体" w:cs="Times New Roman"/>
                <w:color w:val="000000"/>
                <w:sz w:val="24"/>
                <w:lang w:val="en-US" w:eastAsia="zh-CN"/>
              </w:rPr>
              <w:t xml:space="preserve">2929 </w:t>
            </w:r>
            <w:r>
              <w:rPr>
                <w:rFonts w:hint="eastAsia" w:ascii="Times New Roman" w:hAnsi="Times New Roman" w:eastAsia="宋体" w:cs="Times New Roman"/>
                <w:color w:val="000000"/>
                <w:sz w:val="24"/>
                <w:lang w:val="en-US" w:eastAsia="zh-CN"/>
              </w:rPr>
              <w:t xml:space="preserve">塑料零件及其他塑料制品制造行业给出系数表：采用树脂、助剂为原料，配料、混合、挤出、注塑工艺生产塑料零件挥发性有机物产污系数为 </w:t>
            </w:r>
            <w:r>
              <w:rPr>
                <w:rFonts w:hint="default" w:ascii="Times New Roman" w:hAnsi="Times New Roman" w:eastAsia="宋体" w:cs="Times New Roman"/>
                <w:color w:val="000000"/>
                <w:sz w:val="24"/>
                <w:lang w:val="en-US" w:eastAsia="zh-CN"/>
              </w:rPr>
              <w:t>2.7 kg/t-</w:t>
            </w:r>
            <w:r>
              <w:rPr>
                <w:rFonts w:hint="eastAsia" w:ascii="Times New Roman" w:hAnsi="Times New Roman" w:eastAsia="宋体" w:cs="Times New Roman"/>
                <w:color w:val="000000"/>
                <w:sz w:val="24"/>
                <w:lang w:val="en-US" w:eastAsia="zh-CN"/>
              </w:rPr>
              <w:t>产品。本项目年使用 PC/</w:t>
            </w:r>
            <w:r>
              <w:rPr>
                <w:rFonts w:hint="default" w:ascii="Times New Roman" w:hAnsi="Times New Roman" w:eastAsia="宋体" w:cs="Times New Roman"/>
                <w:color w:val="000000"/>
                <w:sz w:val="24"/>
                <w:lang w:val="en-US" w:eastAsia="zh-CN"/>
              </w:rPr>
              <w:t>ABS</w:t>
            </w:r>
            <w:r>
              <w:rPr>
                <w:rFonts w:hint="eastAsia" w:ascii="Times New Roman" w:hAnsi="Times New Roman" w:eastAsia="宋体" w:cs="Times New Roman"/>
                <w:color w:val="000000"/>
                <w:sz w:val="24"/>
                <w:lang w:val="en-US" w:eastAsia="zh-CN"/>
              </w:rPr>
              <w:t>、ABS、</w:t>
            </w:r>
            <w:r>
              <w:rPr>
                <w:rFonts w:hint="default" w:ascii="Times New Roman" w:hAnsi="Times New Roman" w:eastAsia="宋体" w:cs="Times New Roman"/>
                <w:color w:val="000000"/>
                <w:sz w:val="24"/>
                <w:lang w:val="en-US" w:eastAsia="zh-CN"/>
              </w:rPr>
              <w:t>P</w:t>
            </w:r>
            <w:r>
              <w:rPr>
                <w:rFonts w:hint="eastAsia" w:ascii="Times New Roman" w:hAnsi="Times New Roman" w:eastAsia="宋体" w:cs="Times New Roman"/>
                <w:color w:val="000000"/>
                <w:sz w:val="24"/>
                <w:lang w:val="en-US" w:eastAsia="zh-CN"/>
              </w:rPr>
              <w:t>A6+GF、</w:t>
            </w:r>
            <w:r>
              <w:rPr>
                <w:rFonts w:hint="default" w:ascii="Times New Roman" w:hAnsi="Times New Roman" w:eastAsia="宋体" w:cs="Times New Roman"/>
                <w:color w:val="000000"/>
                <w:sz w:val="24"/>
                <w:lang w:val="en-US" w:eastAsia="zh-CN"/>
              </w:rPr>
              <w:t>P</w:t>
            </w:r>
            <w:r>
              <w:rPr>
                <w:rFonts w:hint="eastAsia" w:ascii="Times New Roman" w:hAnsi="Times New Roman" w:eastAsia="宋体" w:cs="Times New Roman"/>
                <w:color w:val="000000"/>
                <w:sz w:val="24"/>
                <w:lang w:val="en-US" w:eastAsia="zh-CN"/>
              </w:rPr>
              <w:t>A</w:t>
            </w:r>
            <w:r>
              <w:rPr>
                <w:rFonts w:hint="eastAsia" w:cs="Times New Roman"/>
                <w:color w:val="000000"/>
                <w:sz w:val="24"/>
                <w:lang w:val="en-US" w:eastAsia="zh-CN"/>
              </w:rPr>
              <w:t>6</w:t>
            </w:r>
            <w:r>
              <w:rPr>
                <w:rFonts w:hint="eastAsia" w:ascii="Times New Roman" w:hAnsi="Times New Roman" w:eastAsia="宋体" w:cs="Times New Roman"/>
                <w:color w:val="000000"/>
                <w:sz w:val="24"/>
                <w:lang w:val="en-US" w:eastAsia="zh-CN"/>
              </w:rPr>
              <w:t>6+GF、</w:t>
            </w:r>
            <w:r>
              <w:rPr>
                <w:rFonts w:hint="default" w:ascii="Times New Roman" w:hAnsi="Times New Roman" w:eastAsia="宋体" w:cs="Times New Roman"/>
                <w:color w:val="000000"/>
                <w:sz w:val="24"/>
                <w:lang w:val="en-US" w:eastAsia="zh-CN"/>
              </w:rPr>
              <w:t>P</w:t>
            </w:r>
            <w:r>
              <w:rPr>
                <w:rFonts w:hint="eastAsia" w:ascii="Times New Roman" w:hAnsi="Times New Roman" w:eastAsia="宋体" w:cs="Times New Roman"/>
                <w:color w:val="000000"/>
                <w:sz w:val="24"/>
                <w:lang w:val="en-US" w:eastAsia="zh-CN"/>
              </w:rPr>
              <w:t xml:space="preserve">OM、PMMA-H1、PP、ASA+PC、TPV、PBT塑料粒子量分别为 </w:t>
            </w:r>
            <w:r>
              <w:rPr>
                <w:rFonts w:hint="default" w:ascii="Times New Roman" w:hAnsi="Times New Roman" w:eastAsia="宋体" w:cs="Times New Roman"/>
                <w:color w:val="000000"/>
                <w:sz w:val="24"/>
                <w:lang w:val="en-US" w:eastAsia="zh-CN"/>
              </w:rPr>
              <w:t>50</w:t>
            </w:r>
            <w:r>
              <w:rPr>
                <w:rFonts w:hint="eastAsia" w:ascii="Times New Roman" w:hAnsi="Times New Roman" w:eastAsia="宋体" w:cs="Times New Roman"/>
                <w:color w:val="000000"/>
                <w:sz w:val="24"/>
                <w:lang w:val="en-US" w:eastAsia="zh-CN"/>
              </w:rPr>
              <w:t>.811</w:t>
            </w:r>
            <w:r>
              <w:rPr>
                <w:rFonts w:hint="default" w:ascii="Times New Roman" w:hAnsi="Times New Roman" w:eastAsia="宋体" w:cs="Times New Roman"/>
                <w:color w:val="000000"/>
                <w:sz w:val="24"/>
                <w:lang w:val="en-US" w:eastAsia="zh-CN"/>
              </w:rPr>
              <w:t xml:space="preserve"> t/a</w:t>
            </w:r>
            <w:r>
              <w:rPr>
                <w:rFonts w:hint="eastAsia" w:ascii="Times New Roman" w:hAnsi="Times New Roman" w:eastAsia="宋体" w:cs="Times New Roman"/>
                <w:color w:val="000000"/>
                <w:sz w:val="24"/>
                <w:lang w:val="en-US" w:eastAsia="zh-CN"/>
              </w:rPr>
              <w:t>、9.647</w:t>
            </w:r>
            <w:r>
              <w:rPr>
                <w:rFonts w:hint="default" w:ascii="Times New Roman" w:hAnsi="Times New Roman" w:eastAsia="宋体" w:cs="Times New Roman"/>
                <w:color w:val="000000"/>
                <w:sz w:val="24"/>
                <w:lang w:val="en-US" w:eastAsia="zh-CN"/>
              </w:rPr>
              <w:t xml:space="preserve"> t/a</w:t>
            </w:r>
            <w:r>
              <w:rPr>
                <w:rFonts w:hint="eastAsia" w:ascii="Times New Roman" w:hAnsi="Times New Roman" w:eastAsia="宋体" w:cs="Times New Roman"/>
                <w:color w:val="000000"/>
                <w:sz w:val="24"/>
                <w:lang w:val="en-US" w:eastAsia="zh-CN"/>
              </w:rPr>
              <w:t>、85.499</w:t>
            </w:r>
            <w:r>
              <w:rPr>
                <w:rFonts w:hint="default" w:ascii="Times New Roman" w:hAnsi="Times New Roman" w:eastAsia="宋体" w:cs="Times New Roman"/>
                <w:color w:val="000000"/>
                <w:sz w:val="24"/>
                <w:lang w:val="en-US" w:eastAsia="zh-CN"/>
              </w:rPr>
              <w:t xml:space="preserve"> t/a</w:t>
            </w:r>
            <w:r>
              <w:rPr>
                <w:rFonts w:hint="eastAsia" w:ascii="Times New Roman" w:hAnsi="Times New Roman" w:eastAsia="宋体" w:cs="Times New Roman"/>
                <w:color w:val="000000"/>
                <w:sz w:val="24"/>
                <w:lang w:val="en-US" w:eastAsia="zh-CN"/>
              </w:rPr>
              <w:t>、8.99</w:t>
            </w:r>
            <w:r>
              <w:rPr>
                <w:rFonts w:hint="default" w:ascii="Times New Roman" w:hAnsi="Times New Roman" w:eastAsia="宋体" w:cs="Times New Roman"/>
                <w:color w:val="000000"/>
                <w:sz w:val="24"/>
                <w:lang w:val="en-US" w:eastAsia="zh-CN"/>
              </w:rPr>
              <w:t xml:space="preserve"> t/a</w:t>
            </w:r>
            <w:r>
              <w:rPr>
                <w:rFonts w:hint="eastAsia" w:ascii="Times New Roman" w:hAnsi="Times New Roman" w:eastAsia="宋体" w:cs="Times New Roman"/>
                <w:color w:val="000000"/>
                <w:sz w:val="24"/>
                <w:lang w:val="en-US" w:eastAsia="zh-CN"/>
              </w:rPr>
              <w:t>、98.764</w:t>
            </w:r>
            <w:r>
              <w:rPr>
                <w:rFonts w:hint="default" w:ascii="Times New Roman" w:hAnsi="Times New Roman" w:eastAsia="宋体" w:cs="Times New Roman"/>
                <w:color w:val="000000"/>
                <w:sz w:val="24"/>
                <w:lang w:val="en-US" w:eastAsia="zh-CN"/>
              </w:rPr>
              <w:t xml:space="preserve"> t/a</w:t>
            </w:r>
            <w:r>
              <w:rPr>
                <w:rFonts w:hint="eastAsia" w:ascii="Times New Roman" w:hAnsi="Times New Roman" w:eastAsia="宋体" w:cs="Times New Roman"/>
                <w:color w:val="000000"/>
                <w:sz w:val="24"/>
                <w:lang w:val="en-US" w:eastAsia="zh-CN"/>
              </w:rPr>
              <w:t>、0.228</w:t>
            </w:r>
            <w:r>
              <w:rPr>
                <w:rFonts w:hint="default" w:ascii="Times New Roman" w:hAnsi="Times New Roman" w:eastAsia="宋体" w:cs="Times New Roman"/>
                <w:color w:val="000000"/>
                <w:sz w:val="24"/>
                <w:lang w:val="en-US" w:eastAsia="zh-CN"/>
              </w:rPr>
              <w:t xml:space="preserve"> t/a</w:t>
            </w:r>
            <w:r>
              <w:rPr>
                <w:rFonts w:hint="eastAsia" w:ascii="Times New Roman" w:hAnsi="Times New Roman" w:eastAsia="宋体" w:cs="Times New Roman"/>
                <w:color w:val="000000"/>
                <w:sz w:val="24"/>
                <w:lang w:val="en-US" w:eastAsia="zh-CN"/>
              </w:rPr>
              <w:t>、27.972</w:t>
            </w:r>
            <w:r>
              <w:rPr>
                <w:rFonts w:hint="default" w:ascii="Times New Roman" w:hAnsi="Times New Roman" w:eastAsia="宋体" w:cs="Times New Roman"/>
                <w:color w:val="000000"/>
                <w:sz w:val="24"/>
                <w:lang w:val="en-US" w:eastAsia="zh-CN"/>
              </w:rPr>
              <w:t>t/a</w:t>
            </w:r>
            <w:r>
              <w:rPr>
                <w:rFonts w:hint="eastAsia" w:ascii="Times New Roman" w:hAnsi="Times New Roman" w:eastAsia="宋体" w:cs="Times New Roman"/>
                <w:color w:val="000000"/>
                <w:sz w:val="24"/>
                <w:lang w:val="en-US" w:eastAsia="zh-CN"/>
              </w:rPr>
              <w:t>、1.4</w:t>
            </w:r>
            <w:r>
              <w:rPr>
                <w:rFonts w:hint="default" w:ascii="Times New Roman" w:hAnsi="Times New Roman" w:eastAsia="宋体" w:cs="Times New Roman"/>
                <w:color w:val="000000"/>
                <w:sz w:val="24"/>
                <w:lang w:val="en-US" w:eastAsia="zh-CN"/>
              </w:rPr>
              <w:t xml:space="preserve"> t/a</w:t>
            </w:r>
            <w:r>
              <w:rPr>
                <w:rFonts w:hint="eastAsia" w:ascii="Times New Roman" w:hAnsi="Times New Roman" w:eastAsia="宋体" w:cs="Times New Roman"/>
                <w:color w:val="000000"/>
                <w:sz w:val="24"/>
                <w:lang w:val="en-US" w:eastAsia="zh-CN"/>
              </w:rPr>
              <w:t>、19.052</w:t>
            </w:r>
            <w:r>
              <w:rPr>
                <w:rFonts w:hint="default" w:ascii="Times New Roman" w:hAnsi="Times New Roman" w:eastAsia="宋体" w:cs="Times New Roman"/>
                <w:color w:val="000000"/>
                <w:sz w:val="24"/>
                <w:lang w:val="en-US" w:eastAsia="zh-CN"/>
              </w:rPr>
              <w:t xml:space="preserve"> t/a</w:t>
            </w:r>
            <w:r>
              <w:rPr>
                <w:rFonts w:hint="eastAsia" w:ascii="Times New Roman" w:hAnsi="Times New Roman" w:eastAsia="宋体" w:cs="Times New Roman"/>
                <w:color w:val="000000"/>
                <w:sz w:val="24"/>
                <w:lang w:val="en-US" w:eastAsia="zh-CN"/>
              </w:rPr>
              <w:t>、1.945</w:t>
            </w:r>
            <w:r>
              <w:rPr>
                <w:rFonts w:hint="default" w:ascii="Times New Roman" w:hAnsi="Times New Roman" w:eastAsia="宋体" w:cs="Times New Roman"/>
                <w:color w:val="000000"/>
                <w:sz w:val="24"/>
                <w:lang w:val="en-US" w:eastAsia="zh-CN"/>
              </w:rPr>
              <w:t xml:space="preserve"> t/a</w:t>
            </w:r>
            <w:r>
              <w:rPr>
                <w:rFonts w:hint="eastAsia" w:ascii="Times New Roman" w:hAnsi="Times New Roman" w:eastAsia="宋体" w:cs="Times New Roman"/>
                <w:color w:val="000000"/>
                <w:sz w:val="24"/>
                <w:lang w:val="en-US" w:eastAsia="zh-CN"/>
              </w:rPr>
              <w:t>，共计 304.308</w:t>
            </w:r>
            <w:r>
              <w:rPr>
                <w:rFonts w:hint="default" w:ascii="Times New Roman" w:hAnsi="Times New Roman" w:eastAsia="宋体" w:cs="Times New Roman"/>
                <w:color w:val="000000"/>
                <w:sz w:val="24"/>
                <w:lang w:val="en-US" w:eastAsia="zh-CN"/>
              </w:rPr>
              <w:t xml:space="preserve"> t/a</w:t>
            </w:r>
            <w:r>
              <w:rPr>
                <w:rFonts w:hint="eastAsia" w:ascii="Times New Roman" w:hAnsi="Times New Roman" w:eastAsia="宋体" w:cs="Times New Roman"/>
                <w:color w:val="000000"/>
                <w:sz w:val="24"/>
                <w:lang w:val="en-US" w:eastAsia="zh-CN"/>
              </w:rPr>
              <w:t>。注塑边角料及不合格品破碎后回用于生产，因此注塑产品产量为 304.308</w:t>
            </w:r>
            <w:r>
              <w:rPr>
                <w:rFonts w:hint="default" w:ascii="Times New Roman" w:hAnsi="Times New Roman" w:eastAsia="宋体" w:cs="Times New Roman"/>
                <w:color w:val="000000"/>
                <w:sz w:val="24"/>
                <w:lang w:val="en-US" w:eastAsia="zh-CN"/>
              </w:rPr>
              <w:t xml:space="preserve"> t/a</w:t>
            </w:r>
            <w:r>
              <w:rPr>
                <w:rFonts w:hint="eastAsia" w:ascii="Times New Roman" w:hAnsi="Times New Roman" w:eastAsia="宋体" w:cs="Times New Roman"/>
                <w:color w:val="000000"/>
                <w:sz w:val="24"/>
                <w:lang w:val="en-US" w:eastAsia="zh-CN"/>
              </w:rPr>
              <w:t>。根据产污系数计算得出本项目注塑废气中</w:t>
            </w:r>
            <w:r>
              <w:rPr>
                <w:rFonts w:hint="eastAsia" w:cs="Times New Roman"/>
                <w:color w:val="000000"/>
                <w:sz w:val="24"/>
                <w:lang w:val="en-US" w:eastAsia="zh-CN"/>
              </w:rPr>
              <w:t>非甲烷总烃</w:t>
            </w:r>
            <w:r>
              <w:rPr>
                <w:rFonts w:hint="eastAsia" w:ascii="Times New Roman" w:hAnsi="Times New Roman" w:eastAsia="宋体" w:cs="Times New Roman"/>
                <w:color w:val="000000"/>
                <w:sz w:val="24"/>
                <w:lang w:val="en-US" w:eastAsia="zh-CN"/>
              </w:rPr>
              <w:t>产生量为 0.821</w:t>
            </w:r>
            <w:r>
              <w:rPr>
                <w:rFonts w:hint="default" w:ascii="Times New Roman" w:hAnsi="Times New Roman" w:eastAsia="宋体" w:cs="Times New Roman"/>
                <w:color w:val="000000"/>
                <w:sz w:val="24"/>
                <w:lang w:val="en-US" w:eastAsia="zh-CN"/>
              </w:rPr>
              <w:t xml:space="preserve"> t/a</w:t>
            </w:r>
            <w:r>
              <w:rPr>
                <w:rFonts w:hint="eastAsia" w:ascii="Times New Roman" w:hAnsi="Times New Roman" w:eastAsia="宋体" w:cs="Times New Roman"/>
                <w:color w:val="000000"/>
                <w:sz w:val="24"/>
                <w:lang w:val="en-US" w:eastAsia="zh-CN"/>
              </w:rPr>
              <w:t>。</w:t>
            </w:r>
          </w:p>
          <w:p>
            <w:pPr>
              <w:snapToGrid w:val="0"/>
              <w:spacing w:line="360" w:lineRule="auto"/>
              <w:ind w:firstLine="480" w:firstLineChars="200"/>
              <w:rPr>
                <w:rFonts w:hint="eastAsia" w:cs="Times New Roman"/>
                <w:color w:val="000000"/>
                <w:sz w:val="24"/>
                <w:lang w:val="en-US" w:eastAsia="zh-CN"/>
              </w:rPr>
            </w:pPr>
            <w:r>
              <w:rPr>
                <w:rFonts w:hint="eastAsia" w:cs="Times New Roman"/>
                <w:color w:val="000000"/>
                <w:sz w:val="24"/>
                <w:lang w:val="en-US" w:eastAsia="zh-CN"/>
              </w:rPr>
              <w:t xml:space="preserve">②苯乙烯 </w:t>
            </w:r>
          </w:p>
          <w:p>
            <w:pPr>
              <w:snapToGrid w:val="0"/>
              <w:spacing w:line="360" w:lineRule="auto"/>
              <w:ind w:firstLine="480" w:firstLineChars="200"/>
              <w:rPr>
                <w:rFonts w:hint="eastAsia" w:cs="Times New Roman"/>
                <w:color w:val="000000"/>
                <w:sz w:val="24"/>
                <w:lang w:val="en-US" w:eastAsia="zh-CN"/>
              </w:rPr>
            </w:pPr>
            <w:r>
              <w:rPr>
                <w:rFonts w:hint="eastAsia" w:cs="Times New Roman"/>
                <w:color w:val="000000"/>
                <w:sz w:val="24"/>
                <w:lang w:val="en-US" w:eastAsia="zh-CN"/>
              </w:rPr>
              <w:t xml:space="preserve">本项目 </w:t>
            </w:r>
            <w:r>
              <w:rPr>
                <w:rFonts w:hint="default" w:cs="Times New Roman"/>
                <w:color w:val="000000"/>
                <w:sz w:val="24"/>
                <w:lang w:val="en-US" w:eastAsia="zh-CN"/>
              </w:rPr>
              <w:t xml:space="preserve">ABS </w:t>
            </w:r>
            <w:r>
              <w:rPr>
                <w:rFonts w:hint="eastAsia" w:cs="Times New Roman"/>
                <w:color w:val="000000"/>
                <w:sz w:val="24"/>
                <w:lang w:val="en-US" w:eastAsia="zh-CN"/>
              </w:rPr>
              <w:t>塑料粒子残留的苯乙烯单体在注塑工序会受热挥发，产生苯乙烯。参考同类项目竣工验收检测数据（表 4-1</w:t>
            </w:r>
            <w:r>
              <w:rPr>
                <w:rFonts w:hint="default" w:cs="Times New Roman"/>
                <w:color w:val="FF0000"/>
                <w:sz w:val="24"/>
                <w:lang w:val="en-US" w:eastAsia="zh-CN"/>
              </w:rPr>
              <w:t xml:space="preserve"> </w:t>
            </w:r>
            <w:r>
              <w:rPr>
                <w:rFonts w:hint="eastAsia" w:cs="Times New Roman"/>
                <w:color w:val="000000"/>
                <w:sz w:val="24"/>
                <w:lang w:val="en-US" w:eastAsia="zh-CN"/>
              </w:rPr>
              <w:t xml:space="preserve">分析），估算 </w:t>
            </w:r>
            <w:r>
              <w:rPr>
                <w:rFonts w:hint="default" w:cs="Times New Roman"/>
                <w:color w:val="000000"/>
                <w:sz w:val="24"/>
                <w:lang w:val="en-US" w:eastAsia="zh-CN"/>
              </w:rPr>
              <w:t xml:space="preserve">ABS </w:t>
            </w:r>
            <w:r>
              <w:rPr>
                <w:rFonts w:hint="eastAsia" w:cs="Times New Roman"/>
                <w:color w:val="000000"/>
                <w:sz w:val="24"/>
                <w:lang w:val="en-US" w:eastAsia="zh-CN"/>
              </w:rPr>
              <w:t xml:space="preserve">树脂注塑单元苯乙烯的产污系数按 </w:t>
            </w:r>
            <w:r>
              <w:rPr>
                <w:rFonts w:hint="default" w:cs="Times New Roman"/>
                <w:color w:val="000000"/>
                <w:sz w:val="24"/>
                <w:lang w:val="en-US" w:eastAsia="zh-CN"/>
              </w:rPr>
              <w:t xml:space="preserve">0.03 kg/t </w:t>
            </w:r>
            <w:r>
              <w:rPr>
                <w:rFonts w:hint="eastAsia" w:cs="Times New Roman"/>
                <w:color w:val="000000"/>
                <w:sz w:val="24"/>
                <w:lang w:val="en-US" w:eastAsia="zh-CN"/>
              </w:rPr>
              <w:t xml:space="preserve">原料计算。本项目 </w:t>
            </w:r>
            <w:r>
              <w:rPr>
                <w:rFonts w:hint="default" w:cs="Times New Roman"/>
                <w:color w:val="000000"/>
                <w:sz w:val="24"/>
                <w:lang w:val="en-US" w:eastAsia="zh-CN"/>
              </w:rPr>
              <w:t xml:space="preserve">ABS </w:t>
            </w:r>
            <w:r>
              <w:rPr>
                <w:rFonts w:hint="eastAsia" w:cs="Times New Roman"/>
                <w:color w:val="000000"/>
                <w:sz w:val="24"/>
                <w:lang w:val="en-US" w:eastAsia="zh-CN"/>
              </w:rPr>
              <w:t>树脂的使用量 9.647</w:t>
            </w:r>
            <w:r>
              <w:rPr>
                <w:rFonts w:hint="default" w:cs="Times New Roman"/>
                <w:color w:val="000000"/>
                <w:sz w:val="24"/>
                <w:lang w:val="en-US" w:eastAsia="zh-CN"/>
              </w:rPr>
              <w:t xml:space="preserve"> t/a</w:t>
            </w:r>
            <w:r>
              <w:rPr>
                <w:rFonts w:hint="eastAsia" w:cs="Times New Roman"/>
                <w:color w:val="000000"/>
                <w:sz w:val="24"/>
                <w:lang w:val="en-US" w:eastAsia="zh-CN"/>
              </w:rPr>
              <w:t xml:space="preserve">，则苯乙烯的产生量为 </w:t>
            </w:r>
            <w:r>
              <w:rPr>
                <w:rFonts w:hint="default" w:cs="Times New Roman"/>
                <w:color w:val="000000"/>
                <w:sz w:val="24"/>
                <w:lang w:val="en-US" w:eastAsia="zh-CN"/>
              </w:rPr>
              <w:t>0.0</w:t>
            </w:r>
            <w:r>
              <w:rPr>
                <w:rFonts w:hint="eastAsia" w:cs="Times New Roman"/>
                <w:color w:val="000000"/>
                <w:sz w:val="24"/>
                <w:lang w:val="en-US" w:eastAsia="zh-CN"/>
              </w:rPr>
              <w:t>003</w:t>
            </w:r>
            <w:r>
              <w:rPr>
                <w:rFonts w:hint="default" w:cs="Times New Roman"/>
                <w:color w:val="000000"/>
                <w:sz w:val="24"/>
                <w:lang w:val="en-US" w:eastAsia="zh-CN"/>
              </w:rPr>
              <w:t xml:space="preserve"> t/a</w:t>
            </w:r>
            <w:r>
              <w:rPr>
                <w:rFonts w:hint="eastAsia" w:cs="Times New Roman"/>
                <w:color w:val="000000"/>
                <w:sz w:val="24"/>
                <w:lang w:val="en-US" w:eastAsia="zh-CN"/>
              </w:rPr>
              <w:t xml:space="preserve">。 </w:t>
            </w:r>
          </w:p>
          <w:p>
            <w:pPr>
              <w:widowControl/>
              <w:jc w:val="center"/>
              <w:rPr>
                <w:rFonts w:hint="eastAsia"/>
                <w:b/>
                <w:color w:val="000000"/>
                <w:kern w:val="0"/>
                <w:sz w:val="24"/>
                <w:szCs w:val="20"/>
                <w:lang w:val="en-GB"/>
              </w:rPr>
            </w:pPr>
            <w:r>
              <w:rPr>
                <w:rFonts w:hint="eastAsia"/>
                <w:b/>
                <w:color w:val="auto"/>
                <w:kern w:val="0"/>
                <w:sz w:val="24"/>
                <w:szCs w:val="20"/>
                <w:lang w:val="en-US" w:eastAsia="zh-CN"/>
              </w:rPr>
              <w:t>表4-1</w:t>
            </w:r>
            <w:r>
              <w:rPr>
                <w:rFonts w:hint="eastAsia"/>
                <w:b/>
                <w:color w:val="FF0000"/>
                <w:kern w:val="0"/>
                <w:sz w:val="24"/>
                <w:szCs w:val="20"/>
                <w:lang w:val="en-US" w:eastAsia="zh-CN"/>
              </w:rPr>
              <w:t xml:space="preserve"> </w:t>
            </w:r>
            <w:r>
              <w:rPr>
                <w:rFonts w:hint="eastAsia"/>
                <w:b/>
                <w:color w:val="000000"/>
                <w:kern w:val="0"/>
                <w:sz w:val="24"/>
                <w:szCs w:val="20"/>
                <w:lang w:val="en-US" w:eastAsia="zh-CN"/>
              </w:rPr>
              <w:t xml:space="preserve"> 同类项目注塑废气竣工验收监测情况一览表</w:t>
            </w:r>
          </w:p>
          <w:tbl>
            <w:tblPr>
              <w:tblStyle w:val="58"/>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355"/>
              <w:gridCol w:w="1264"/>
              <w:gridCol w:w="520"/>
              <w:gridCol w:w="1184"/>
              <w:gridCol w:w="898"/>
              <w:gridCol w:w="1705"/>
              <w:gridCol w:w="1151"/>
              <w:gridCol w:w="662"/>
              <w:gridCol w:w="47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185" w:hRule="atLeast"/>
                <w:jc w:val="center"/>
              </w:trPr>
              <w:tc>
                <w:tcPr>
                  <w:tcW w:w="355" w:type="dxa"/>
                  <w:tcBorders>
                    <w:left w:val="nil"/>
                    <w:bottom w:val="single" w:color="000000" w:sz="4" w:space="0"/>
                    <w:right w:val="single" w:color="000000" w:sz="4" w:space="0"/>
                  </w:tcBorders>
                  <w:vAlign w:val="center"/>
                </w:tcPr>
                <w:p>
                  <w:pPr>
                    <w:pStyle w:val="218"/>
                    <w:spacing w:before="2" w:line="270" w:lineRule="atLeast"/>
                    <w:ind w:left="79" w:right="76"/>
                    <w:rPr>
                      <w:rFonts w:hint="eastAsia" w:ascii="宋体" w:hAnsi="宋体" w:eastAsia="宋体" w:cs="宋体"/>
                      <w:b/>
                      <w:sz w:val="21"/>
                      <w:szCs w:val="21"/>
                    </w:rPr>
                  </w:pPr>
                  <w:r>
                    <w:rPr>
                      <w:rFonts w:hint="eastAsia" w:ascii="宋体" w:hAnsi="宋体" w:eastAsia="宋体" w:cs="宋体"/>
                      <w:b/>
                      <w:sz w:val="21"/>
                      <w:szCs w:val="21"/>
                    </w:rPr>
                    <w:t>序号</w:t>
                  </w:r>
                </w:p>
              </w:tc>
              <w:tc>
                <w:tcPr>
                  <w:tcW w:w="1264" w:type="dxa"/>
                  <w:tcBorders>
                    <w:left w:val="single" w:color="000000" w:sz="4" w:space="0"/>
                    <w:bottom w:val="single" w:color="000000" w:sz="4" w:space="0"/>
                    <w:right w:val="single" w:color="000000" w:sz="4" w:space="0"/>
                  </w:tcBorders>
                  <w:vAlign w:val="center"/>
                </w:tcPr>
                <w:p>
                  <w:pPr>
                    <w:pStyle w:val="218"/>
                    <w:spacing w:before="140"/>
                    <w:jc w:val="center"/>
                    <w:rPr>
                      <w:rFonts w:hint="eastAsia" w:ascii="宋体" w:hAnsi="宋体" w:eastAsia="宋体" w:cs="宋体"/>
                      <w:b/>
                      <w:sz w:val="21"/>
                      <w:szCs w:val="21"/>
                    </w:rPr>
                  </w:pPr>
                  <w:r>
                    <w:rPr>
                      <w:rFonts w:hint="eastAsia" w:ascii="宋体" w:hAnsi="宋体" w:eastAsia="宋体" w:cs="宋体"/>
                      <w:b/>
                      <w:sz w:val="21"/>
                      <w:szCs w:val="21"/>
                    </w:rPr>
                    <w:t>项目名称</w:t>
                  </w:r>
                </w:p>
              </w:tc>
              <w:tc>
                <w:tcPr>
                  <w:tcW w:w="520" w:type="dxa"/>
                  <w:tcBorders>
                    <w:left w:val="single" w:color="000000" w:sz="4" w:space="0"/>
                    <w:bottom w:val="single" w:color="000000" w:sz="4" w:space="0"/>
                    <w:right w:val="single" w:color="000000" w:sz="4" w:space="0"/>
                  </w:tcBorders>
                  <w:vAlign w:val="center"/>
                </w:tcPr>
                <w:p>
                  <w:pPr>
                    <w:pStyle w:val="218"/>
                    <w:spacing w:before="2" w:line="270" w:lineRule="atLeast"/>
                    <w:ind w:left="29" w:right="32"/>
                    <w:jc w:val="center"/>
                    <w:rPr>
                      <w:rFonts w:hint="eastAsia" w:ascii="宋体" w:hAnsi="宋体" w:eastAsia="宋体" w:cs="宋体"/>
                      <w:b/>
                      <w:sz w:val="21"/>
                      <w:szCs w:val="21"/>
                    </w:rPr>
                  </w:pPr>
                  <w:r>
                    <w:rPr>
                      <w:rFonts w:hint="eastAsia" w:ascii="宋体" w:hAnsi="宋体" w:eastAsia="宋体" w:cs="宋体"/>
                      <w:b/>
                      <w:sz w:val="21"/>
                      <w:szCs w:val="21"/>
                    </w:rPr>
                    <w:t>生产单元</w:t>
                  </w:r>
                </w:p>
              </w:tc>
              <w:tc>
                <w:tcPr>
                  <w:tcW w:w="1184" w:type="dxa"/>
                  <w:tcBorders>
                    <w:left w:val="single" w:color="000000" w:sz="4" w:space="0"/>
                    <w:bottom w:val="single" w:color="000000" w:sz="4" w:space="0"/>
                    <w:right w:val="single" w:color="000000" w:sz="4" w:space="0"/>
                  </w:tcBorders>
                  <w:vAlign w:val="center"/>
                </w:tcPr>
                <w:p>
                  <w:pPr>
                    <w:pStyle w:val="218"/>
                    <w:spacing w:before="2" w:line="270" w:lineRule="atLeast"/>
                    <w:ind w:right="173"/>
                    <w:jc w:val="center"/>
                    <w:rPr>
                      <w:rFonts w:hint="eastAsia" w:ascii="宋体" w:hAnsi="宋体" w:eastAsia="宋体" w:cs="宋体"/>
                      <w:b/>
                      <w:sz w:val="21"/>
                      <w:szCs w:val="21"/>
                    </w:rPr>
                  </w:pPr>
                  <w:r>
                    <w:rPr>
                      <w:rFonts w:hint="eastAsia" w:ascii="宋体" w:hAnsi="宋体" w:eastAsia="宋体" w:cs="宋体"/>
                      <w:b/>
                      <w:sz w:val="21"/>
                      <w:szCs w:val="21"/>
                    </w:rPr>
                    <w:t>实际生产工况</w:t>
                  </w:r>
                </w:p>
              </w:tc>
              <w:tc>
                <w:tcPr>
                  <w:tcW w:w="898" w:type="dxa"/>
                  <w:tcBorders>
                    <w:left w:val="single" w:color="000000" w:sz="4" w:space="0"/>
                    <w:bottom w:val="single" w:color="000000" w:sz="4" w:space="0"/>
                    <w:right w:val="single" w:color="000000" w:sz="4" w:space="0"/>
                  </w:tcBorders>
                  <w:vAlign w:val="center"/>
                </w:tcPr>
                <w:p>
                  <w:pPr>
                    <w:pStyle w:val="218"/>
                    <w:spacing w:before="2" w:line="270" w:lineRule="atLeast"/>
                    <w:ind w:left="172" w:right="174"/>
                    <w:jc w:val="center"/>
                    <w:rPr>
                      <w:rFonts w:hint="eastAsia" w:ascii="宋体" w:hAnsi="宋体" w:eastAsia="宋体" w:cs="宋体"/>
                      <w:b/>
                      <w:sz w:val="21"/>
                      <w:szCs w:val="21"/>
                    </w:rPr>
                  </w:pPr>
                  <w:r>
                    <w:rPr>
                      <w:rFonts w:hint="eastAsia" w:ascii="宋体" w:hAnsi="宋体" w:eastAsia="宋体" w:cs="宋体"/>
                      <w:b/>
                      <w:sz w:val="21"/>
                      <w:szCs w:val="21"/>
                    </w:rPr>
                    <w:t>污染防治措施</w:t>
                  </w:r>
                </w:p>
              </w:tc>
              <w:tc>
                <w:tcPr>
                  <w:tcW w:w="1705" w:type="dxa"/>
                  <w:tcBorders>
                    <w:left w:val="single" w:color="000000" w:sz="4" w:space="0"/>
                    <w:bottom w:val="single" w:color="000000" w:sz="4" w:space="0"/>
                    <w:right w:val="single" w:color="000000" w:sz="4" w:space="0"/>
                  </w:tcBorders>
                  <w:vAlign w:val="center"/>
                </w:tcPr>
                <w:p>
                  <w:pPr>
                    <w:pStyle w:val="218"/>
                    <w:spacing w:before="140"/>
                    <w:jc w:val="center"/>
                    <w:rPr>
                      <w:rFonts w:hint="eastAsia" w:ascii="宋体" w:hAnsi="宋体" w:eastAsia="宋体" w:cs="宋体"/>
                      <w:b/>
                      <w:sz w:val="21"/>
                      <w:szCs w:val="21"/>
                    </w:rPr>
                  </w:pPr>
                  <w:r>
                    <w:rPr>
                      <w:rFonts w:hint="eastAsia" w:ascii="宋体" w:hAnsi="宋体" w:eastAsia="宋体" w:cs="宋体"/>
                      <w:b/>
                      <w:sz w:val="21"/>
                      <w:szCs w:val="21"/>
                    </w:rPr>
                    <w:t>废气监测情况</w:t>
                  </w:r>
                </w:p>
              </w:tc>
              <w:tc>
                <w:tcPr>
                  <w:tcW w:w="1151" w:type="dxa"/>
                  <w:tcBorders>
                    <w:left w:val="single" w:color="000000" w:sz="4" w:space="0"/>
                    <w:bottom w:val="single" w:color="000000" w:sz="4" w:space="0"/>
                    <w:right w:val="single" w:color="000000" w:sz="4" w:space="0"/>
                  </w:tcBorders>
                  <w:vAlign w:val="center"/>
                </w:tcPr>
                <w:p>
                  <w:pPr>
                    <w:pStyle w:val="218"/>
                    <w:spacing w:before="2" w:line="270" w:lineRule="atLeast"/>
                    <w:ind w:right="215"/>
                    <w:jc w:val="center"/>
                    <w:rPr>
                      <w:rFonts w:hint="eastAsia" w:ascii="宋体" w:hAnsi="宋体" w:eastAsia="宋体" w:cs="宋体"/>
                      <w:b/>
                      <w:sz w:val="21"/>
                      <w:szCs w:val="21"/>
                    </w:rPr>
                  </w:pPr>
                  <w:r>
                    <w:rPr>
                      <w:rFonts w:hint="eastAsia" w:ascii="宋体" w:hAnsi="宋体" w:eastAsia="宋体" w:cs="宋体"/>
                      <w:b/>
                      <w:sz w:val="21"/>
                      <w:szCs w:val="21"/>
                    </w:rPr>
                    <w:t>估算产污系数</w:t>
                  </w:r>
                </w:p>
              </w:tc>
              <w:tc>
                <w:tcPr>
                  <w:tcW w:w="662" w:type="dxa"/>
                  <w:tcBorders>
                    <w:left w:val="single" w:color="000000" w:sz="4" w:space="0"/>
                    <w:bottom w:val="single" w:color="000000" w:sz="4" w:space="0"/>
                    <w:right w:val="single" w:color="000000" w:sz="4" w:space="0"/>
                  </w:tcBorders>
                  <w:vAlign w:val="center"/>
                </w:tcPr>
                <w:p>
                  <w:pPr>
                    <w:pStyle w:val="218"/>
                    <w:spacing w:before="2" w:line="270" w:lineRule="atLeast"/>
                    <w:ind w:left="137" w:right="129"/>
                    <w:jc w:val="center"/>
                    <w:rPr>
                      <w:rFonts w:hint="eastAsia" w:ascii="宋体" w:hAnsi="宋体" w:eastAsia="宋体" w:cs="宋体"/>
                      <w:b/>
                      <w:sz w:val="21"/>
                      <w:szCs w:val="21"/>
                    </w:rPr>
                  </w:pPr>
                  <w:r>
                    <w:rPr>
                      <w:rFonts w:hint="eastAsia" w:ascii="宋体" w:hAnsi="宋体" w:eastAsia="宋体" w:cs="宋体"/>
                      <w:b/>
                      <w:sz w:val="21"/>
                      <w:szCs w:val="21"/>
                    </w:rPr>
                    <w:t>资料来源</w:t>
                  </w:r>
                </w:p>
              </w:tc>
              <w:tc>
                <w:tcPr>
                  <w:tcW w:w="476" w:type="dxa"/>
                  <w:tcBorders>
                    <w:left w:val="single" w:color="000000" w:sz="4" w:space="0"/>
                    <w:bottom w:val="single" w:color="000000" w:sz="4" w:space="0"/>
                    <w:right w:val="nil"/>
                  </w:tcBorders>
                  <w:vAlign w:val="center"/>
                </w:tcPr>
                <w:p>
                  <w:pPr>
                    <w:pStyle w:val="218"/>
                    <w:spacing w:before="2" w:line="270" w:lineRule="atLeast"/>
                    <w:ind w:left="122" w:right="122"/>
                    <w:jc w:val="center"/>
                    <w:rPr>
                      <w:rFonts w:hint="eastAsia" w:ascii="宋体" w:hAnsi="宋体" w:eastAsia="宋体" w:cs="宋体"/>
                      <w:b/>
                      <w:sz w:val="21"/>
                      <w:szCs w:val="21"/>
                    </w:rPr>
                  </w:pPr>
                  <w:r>
                    <w:rPr>
                      <w:rFonts w:hint="eastAsia" w:ascii="宋体" w:hAnsi="宋体" w:eastAsia="宋体" w:cs="宋体"/>
                      <w:b/>
                      <w:sz w:val="21"/>
                      <w:szCs w:val="21"/>
                    </w:rPr>
                    <w:t>监测时间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460" w:hRule="atLeast"/>
                <w:jc w:val="center"/>
              </w:trPr>
              <w:tc>
                <w:tcPr>
                  <w:tcW w:w="355" w:type="dxa"/>
                  <w:tcBorders>
                    <w:top w:val="single" w:color="000000" w:sz="4" w:space="0"/>
                    <w:left w:val="nil"/>
                    <w:bottom w:val="single" w:color="000000" w:sz="4" w:space="0"/>
                    <w:right w:val="single" w:color="000000" w:sz="4" w:space="0"/>
                  </w:tcBorders>
                  <w:vAlign w:val="center"/>
                </w:tcPr>
                <w:p>
                  <w:pPr>
                    <w:pStyle w:val="218"/>
                    <w:jc w:val="center"/>
                    <w:rPr>
                      <w:rFonts w:hint="eastAsia" w:ascii="宋体" w:hAnsi="宋体" w:eastAsia="宋体" w:cs="宋体"/>
                      <w:sz w:val="21"/>
                      <w:szCs w:val="21"/>
                    </w:rPr>
                  </w:pPr>
                  <w:r>
                    <w:rPr>
                      <w:rFonts w:hint="eastAsia" w:ascii="宋体" w:hAnsi="宋体" w:eastAsia="宋体" w:cs="宋体"/>
                      <w:w w:val="100"/>
                      <w:sz w:val="21"/>
                      <w:szCs w:val="21"/>
                    </w:rPr>
                    <w:t>1</w:t>
                  </w:r>
                </w:p>
              </w:tc>
              <w:tc>
                <w:tcPr>
                  <w:tcW w:w="1264" w:type="dxa"/>
                  <w:tcBorders>
                    <w:top w:val="single" w:color="000000" w:sz="4" w:space="0"/>
                    <w:left w:val="single" w:color="000000" w:sz="4" w:space="0"/>
                    <w:bottom w:val="single" w:color="000000" w:sz="4" w:space="0"/>
                    <w:right w:val="single" w:color="000000" w:sz="4" w:space="0"/>
                  </w:tcBorders>
                  <w:vAlign w:val="center"/>
                </w:tcPr>
                <w:p>
                  <w:pPr>
                    <w:pStyle w:val="218"/>
                    <w:spacing w:before="1" w:line="242" w:lineRule="auto"/>
                    <w:ind w:left="33" w:right="30"/>
                    <w:jc w:val="center"/>
                    <w:rPr>
                      <w:rFonts w:hint="eastAsia" w:ascii="宋体" w:hAnsi="宋体" w:eastAsia="宋体" w:cs="宋体"/>
                      <w:sz w:val="21"/>
                      <w:szCs w:val="21"/>
                    </w:rPr>
                  </w:pPr>
                  <w:r>
                    <w:rPr>
                      <w:rFonts w:hint="eastAsia" w:ascii="宋体" w:hAnsi="宋体" w:eastAsia="宋体" w:cs="宋体"/>
                      <w:sz w:val="21"/>
                      <w:szCs w:val="21"/>
                    </w:rPr>
                    <w:t>苏州新锐电子工业有限公司年产注塑件1000万件搬迁项目</w:t>
                  </w:r>
                </w:p>
              </w:tc>
              <w:tc>
                <w:tcPr>
                  <w:tcW w:w="520" w:type="dxa"/>
                  <w:tcBorders>
                    <w:top w:val="single" w:color="000000" w:sz="4" w:space="0"/>
                    <w:left w:val="single" w:color="000000" w:sz="4" w:space="0"/>
                    <w:bottom w:val="single" w:color="000000" w:sz="4" w:space="0"/>
                    <w:right w:val="single" w:color="000000" w:sz="4" w:space="0"/>
                  </w:tcBorders>
                  <w:vAlign w:val="center"/>
                </w:tcPr>
                <w:p>
                  <w:pPr>
                    <w:pStyle w:val="218"/>
                    <w:spacing w:before="152"/>
                    <w:ind w:right="29"/>
                    <w:jc w:val="center"/>
                    <w:rPr>
                      <w:rFonts w:hint="eastAsia" w:ascii="宋体" w:hAnsi="宋体" w:eastAsia="宋体" w:cs="宋体"/>
                      <w:sz w:val="21"/>
                      <w:szCs w:val="21"/>
                    </w:rPr>
                  </w:pPr>
                  <w:r>
                    <w:rPr>
                      <w:rFonts w:hint="eastAsia" w:ascii="宋体" w:hAnsi="宋体" w:eastAsia="宋体" w:cs="宋体"/>
                      <w:sz w:val="21"/>
                      <w:szCs w:val="21"/>
                    </w:rPr>
                    <w:t>注塑</w:t>
                  </w:r>
                </w:p>
              </w:tc>
              <w:tc>
                <w:tcPr>
                  <w:tcW w:w="1184" w:type="dxa"/>
                  <w:tcBorders>
                    <w:top w:val="single" w:color="000000" w:sz="4" w:space="0"/>
                    <w:left w:val="single" w:color="000000" w:sz="4" w:space="0"/>
                    <w:bottom w:val="single" w:color="000000" w:sz="4" w:space="0"/>
                    <w:right w:val="single" w:color="000000" w:sz="4" w:space="0"/>
                  </w:tcBorders>
                  <w:vAlign w:val="center"/>
                </w:tcPr>
                <w:p>
                  <w:pPr>
                    <w:pStyle w:val="218"/>
                    <w:spacing w:before="1" w:line="242" w:lineRule="auto"/>
                    <w:ind w:left="75" w:right="-29" w:hanging="92"/>
                    <w:rPr>
                      <w:rFonts w:hint="eastAsia" w:ascii="宋体" w:hAnsi="宋体" w:eastAsia="宋体" w:cs="宋体"/>
                      <w:sz w:val="21"/>
                      <w:szCs w:val="21"/>
                    </w:rPr>
                  </w:pPr>
                  <w:r>
                    <w:rPr>
                      <w:rFonts w:hint="eastAsia" w:ascii="宋体" w:hAnsi="宋体" w:eastAsia="宋体" w:cs="宋体"/>
                      <w:sz w:val="21"/>
                      <w:szCs w:val="21"/>
                    </w:rPr>
                    <w:t>12</w:t>
                  </w:r>
                  <w:r>
                    <w:rPr>
                      <w:rFonts w:hint="eastAsia" w:ascii="宋体" w:hAnsi="宋体" w:eastAsia="宋体" w:cs="宋体"/>
                      <w:spacing w:val="-8"/>
                      <w:sz w:val="21"/>
                      <w:szCs w:val="21"/>
                    </w:rPr>
                    <w:t>台注塑机，</w:t>
                  </w:r>
                  <w:r>
                    <w:rPr>
                      <w:rFonts w:hint="eastAsia" w:ascii="宋体" w:hAnsi="宋体" w:eastAsia="宋体" w:cs="宋体"/>
                      <w:spacing w:val="-1"/>
                      <w:sz w:val="21"/>
                      <w:szCs w:val="21"/>
                    </w:rPr>
                    <w:t>年消耗</w:t>
                  </w:r>
                  <w:r>
                    <w:rPr>
                      <w:rFonts w:hint="eastAsia" w:ascii="宋体" w:hAnsi="宋体" w:eastAsia="宋体" w:cs="宋体"/>
                      <w:sz w:val="21"/>
                      <w:szCs w:val="21"/>
                    </w:rPr>
                    <w:t>ABS 树脂31t/a，年运行3164h</w:t>
                  </w:r>
                </w:p>
              </w:tc>
              <w:tc>
                <w:tcPr>
                  <w:tcW w:w="898" w:type="dxa"/>
                  <w:tcBorders>
                    <w:top w:val="single" w:color="000000" w:sz="4" w:space="0"/>
                    <w:left w:val="single" w:color="000000" w:sz="4" w:space="0"/>
                    <w:bottom w:val="single" w:color="000000" w:sz="4" w:space="0"/>
                    <w:right w:val="single" w:color="000000" w:sz="4" w:space="0"/>
                  </w:tcBorders>
                  <w:vAlign w:val="center"/>
                </w:tcPr>
                <w:p>
                  <w:pPr>
                    <w:pStyle w:val="218"/>
                    <w:spacing w:before="1" w:line="242" w:lineRule="auto"/>
                    <w:ind w:left="11" w:right="7"/>
                    <w:jc w:val="center"/>
                    <w:rPr>
                      <w:rFonts w:hint="eastAsia" w:ascii="宋体" w:hAnsi="宋体" w:eastAsia="宋体" w:cs="宋体"/>
                      <w:sz w:val="21"/>
                      <w:szCs w:val="21"/>
                    </w:rPr>
                  </w:pPr>
                  <w:r>
                    <w:rPr>
                      <w:rFonts w:hint="eastAsia" w:ascii="宋体" w:hAnsi="宋体" w:eastAsia="宋体" w:cs="宋体"/>
                      <w:spacing w:val="-1"/>
                      <w:sz w:val="21"/>
                      <w:szCs w:val="21"/>
                    </w:rPr>
                    <w:t>集气罩</w:t>
                  </w:r>
                  <w:r>
                    <w:rPr>
                      <w:rFonts w:hint="eastAsia" w:ascii="宋体" w:hAnsi="宋体" w:eastAsia="宋体" w:cs="宋体"/>
                      <w:sz w:val="21"/>
                      <w:szCs w:val="21"/>
                    </w:rPr>
                    <w:t>+</w:t>
                  </w:r>
                  <w:r>
                    <w:rPr>
                      <w:rFonts w:hint="eastAsia" w:ascii="宋体" w:hAnsi="宋体" w:eastAsia="宋体" w:cs="宋体"/>
                      <w:spacing w:val="-16"/>
                      <w:sz w:val="21"/>
                      <w:szCs w:val="21"/>
                    </w:rPr>
                    <w:t>活</w:t>
                  </w:r>
                  <w:r>
                    <w:rPr>
                      <w:rFonts w:hint="eastAsia" w:ascii="宋体" w:hAnsi="宋体" w:eastAsia="宋体" w:cs="宋体"/>
                      <w:spacing w:val="-1"/>
                      <w:sz w:val="21"/>
                      <w:szCs w:val="21"/>
                    </w:rPr>
                    <w:t>性炭吸附+15m</w:t>
                  </w:r>
                  <w:r>
                    <w:rPr>
                      <w:rFonts w:hint="eastAsia" w:ascii="宋体" w:hAnsi="宋体" w:eastAsia="宋体" w:cs="宋体"/>
                      <w:sz w:val="21"/>
                      <w:szCs w:val="21"/>
                    </w:rPr>
                    <w:t>排气</w:t>
                  </w:r>
                  <w:r>
                    <w:rPr>
                      <w:rFonts w:hint="eastAsia" w:ascii="宋体" w:hAnsi="宋体" w:eastAsia="宋体" w:cs="宋体"/>
                      <w:w w:val="100"/>
                      <w:sz w:val="21"/>
                      <w:szCs w:val="21"/>
                    </w:rPr>
                    <w:t>筒</w:t>
                  </w:r>
                </w:p>
              </w:tc>
              <w:tc>
                <w:tcPr>
                  <w:tcW w:w="1705" w:type="dxa"/>
                  <w:tcBorders>
                    <w:top w:val="single" w:color="000000" w:sz="4" w:space="0"/>
                    <w:left w:val="single" w:color="000000" w:sz="4" w:space="0"/>
                    <w:bottom w:val="single" w:color="000000" w:sz="4" w:space="0"/>
                    <w:right w:val="single" w:color="000000" w:sz="4" w:space="0"/>
                  </w:tcBorders>
                  <w:vAlign w:val="center"/>
                </w:tcPr>
                <w:p>
                  <w:pPr>
                    <w:pStyle w:val="218"/>
                    <w:spacing w:before="1" w:line="242" w:lineRule="auto"/>
                    <w:ind w:left="-10" w:right="-29" w:firstLine="16"/>
                    <w:jc w:val="both"/>
                    <w:rPr>
                      <w:rFonts w:hint="eastAsia" w:ascii="宋体" w:hAnsi="宋体" w:eastAsia="宋体" w:cs="宋体"/>
                      <w:sz w:val="21"/>
                      <w:szCs w:val="21"/>
                    </w:rPr>
                  </w:pPr>
                  <w:r>
                    <w:rPr>
                      <w:rFonts w:hint="eastAsia" w:ascii="宋体" w:hAnsi="宋体" w:eastAsia="宋体" w:cs="宋体"/>
                      <w:spacing w:val="-3"/>
                      <w:sz w:val="21"/>
                      <w:szCs w:val="21"/>
                    </w:rPr>
                    <w:t>排气筒出口苯乙烯浓度未检出</w:t>
                  </w:r>
                  <w:r>
                    <w:rPr>
                      <w:rFonts w:hint="eastAsia" w:ascii="宋体" w:hAnsi="宋体" w:eastAsia="宋体" w:cs="宋体"/>
                      <w:sz w:val="21"/>
                      <w:szCs w:val="21"/>
                    </w:rPr>
                    <w:t>（</w:t>
                  </w:r>
                  <w:r>
                    <w:rPr>
                      <w:rFonts w:hint="eastAsia" w:ascii="宋体" w:hAnsi="宋体" w:eastAsia="宋体" w:cs="宋体"/>
                      <w:spacing w:val="-2"/>
                      <w:sz w:val="21"/>
                      <w:szCs w:val="21"/>
                    </w:rPr>
                    <w:t>检出</w:t>
                  </w:r>
                  <w:r>
                    <w:rPr>
                      <w:rFonts w:hint="eastAsia" w:ascii="宋体" w:hAnsi="宋体" w:eastAsia="宋体" w:cs="宋体"/>
                      <w:spacing w:val="-2"/>
                      <w:w w:val="100"/>
                      <w:sz w:val="21"/>
                      <w:szCs w:val="21"/>
                    </w:rPr>
                    <w:t>限0.01</w:t>
                  </w:r>
                  <w:r>
                    <w:rPr>
                      <w:rFonts w:hint="eastAsia" w:ascii="宋体" w:hAnsi="宋体" w:eastAsia="宋体" w:cs="宋体"/>
                      <w:spacing w:val="-2"/>
                      <w:sz w:val="21"/>
                      <w:szCs w:val="21"/>
                    </w:rPr>
                    <w:t xml:space="preserve"> </w:t>
                  </w:r>
                  <w:r>
                    <w:rPr>
                      <w:rFonts w:hint="eastAsia" w:ascii="宋体" w:hAnsi="宋体" w:eastAsia="宋体" w:cs="宋体"/>
                      <w:spacing w:val="-4"/>
                      <w:w w:val="100"/>
                      <w:sz w:val="21"/>
                      <w:szCs w:val="21"/>
                    </w:rPr>
                    <w:t>m</w:t>
                  </w:r>
                  <w:r>
                    <w:rPr>
                      <w:rFonts w:hint="eastAsia" w:ascii="宋体" w:hAnsi="宋体" w:eastAsia="宋体" w:cs="宋体"/>
                      <w:w w:val="100"/>
                      <w:sz w:val="21"/>
                      <w:szCs w:val="21"/>
                    </w:rPr>
                    <w:t>g</w:t>
                  </w:r>
                  <w:r>
                    <w:rPr>
                      <w:rFonts w:hint="eastAsia" w:ascii="宋体" w:hAnsi="宋体" w:eastAsia="宋体" w:cs="宋体"/>
                      <w:spacing w:val="-2"/>
                      <w:w w:val="100"/>
                      <w:sz w:val="21"/>
                      <w:szCs w:val="21"/>
                    </w:rPr>
                    <w:t>/</w:t>
                  </w:r>
                  <w:r>
                    <w:rPr>
                      <w:rFonts w:hint="eastAsia" w:ascii="宋体" w:hAnsi="宋体" w:eastAsia="宋体" w:cs="宋体"/>
                      <w:spacing w:val="-4"/>
                      <w:w w:val="100"/>
                      <w:sz w:val="21"/>
                      <w:szCs w:val="21"/>
                    </w:rPr>
                    <w:t>m</w:t>
                  </w:r>
                  <w:r>
                    <w:rPr>
                      <w:rFonts w:hint="eastAsia" w:ascii="宋体" w:hAnsi="宋体" w:eastAsia="宋体" w:cs="宋体"/>
                      <w:w w:val="97"/>
                      <w:sz w:val="21"/>
                      <w:szCs w:val="21"/>
                      <w:vertAlign w:val="superscript"/>
                    </w:rPr>
                    <w:t>3</w:t>
                  </w:r>
                  <w:r>
                    <w:rPr>
                      <w:rFonts w:hint="eastAsia" w:ascii="宋体" w:hAnsi="宋体" w:eastAsia="宋体" w:cs="宋体"/>
                      <w:spacing w:val="-106"/>
                      <w:w w:val="100"/>
                      <w:sz w:val="21"/>
                      <w:szCs w:val="21"/>
                      <w:vertAlign w:val="baseline"/>
                    </w:rPr>
                    <w:t>）</w:t>
                  </w:r>
                  <w:r>
                    <w:rPr>
                      <w:rFonts w:hint="eastAsia" w:ascii="宋体" w:hAnsi="宋体" w:eastAsia="宋体" w:cs="宋体"/>
                      <w:w w:val="100"/>
                      <w:sz w:val="21"/>
                      <w:szCs w:val="21"/>
                      <w:vertAlign w:val="baseline"/>
                    </w:rPr>
                    <w:t>，风</w:t>
                  </w:r>
                  <w:r>
                    <w:rPr>
                      <w:rFonts w:hint="eastAsia" w:ascii="宋体" w:hAnsi="宋体" w:eastAsia="宋体" w:cs="宋体"/>
                      <w:spacing w:val="-1"/>
                      <w:sz w:val="21"/>
                      <w:szCs w:val="21"/>
                    </w:rPr>
                    <w:t>量6240～6334m</w:t>
                  </w:r>
                  <w:r>
                    <w:rPr>
                      <w:rFonts w:hint="eastAsia" w:ascii="宋体" w:hAnsi="宋体" w:eastAsia="宋体" w:cs="宋体"/>
                      <w:spacing w:val="-1"/>
                      <w:sz w:val="21"/>
                      <w:szCs w:val="21"/>
                      <w:vertAlign w:val="superscript"/>
                    </w:rPr>
                    <w:t>3</w:t>
                  </w:r>
                  <w:r>
                    <w:rPr>
                      <w:rFonts w:hint="eastAsia" w:ascii="宋体" w:hAnsi="宋体" w:eastAsia="宋体" w:cs="宋体"/>
                      <w:spacing w:val="-1"/>
                      <w:sz w:val="21"/>
                      <w:szCs w:val="21"/>
                      <w:vertAlign w:val="baseline"/>
                    </w:rPr>
                    <w:t>/h</w:t>
                  </w:r>
                </w:p>
              </w:tc>
              <w:tc>
                <w:tcPr>
                  <w:tcW w:w="1151" w:type="dxa"/>
                  <w:tcBorders>
                    <w:top w:val="single" w:color="000000" w:sz="4" w:space="0"/>
                    <w:left w:val="single" w:color="000000" w:sz="4" w:space="0"/>
                    <w:bottom w:val="single" w:color="000000" w:sz="4" w:space="0"/>
                    <w:right w:val="single" w:color="000000" w:sz="4" w:space="0"/>
                  </w:tcBorders>
                  <w:vAlign w:val="center"/>
                </w:tcPr>
                <w:p>
                  <w:pPr>
                    <w:pStyle w:val="218"/>
                    <w:spacing w:before="138"/>
                    <w:ind w:left="1"/>
                    <w:jc w:val="center"/>
                    <w:rPr>
                      <w:rFonts w:hint="eastAsia" w:ascii="宋体" w:hAnsi="宋体" w:eastAsia="宋体" w:cs="宋体"/>
                      <w:sz w:val="21"/>
                      <w:szCs w:val="21"/>
                    </w:rPr>
                  </w:pPr>
                  <w:r>
                    <w:rPr>
                      <w:rFonts w:hint="eastAsia" w:ascii="宋体" w:hAnsi="宋体" w:eastAsia="宋体" w:cs="宋体"/>
                      <w:spacing w:val="-2"/>
                      <w:sz w:val="21"/>
                      <w:szCs w:val="21"/>
                    </w:rPr>
                    <w:t>苯乙烯产生量</w:t>
                  </w:r>
                  <w:r>
                    <w:rPr>
                      <w:rFonts w:hint="eastAsia" w:ascii="宋体" w:hAnsi="宋体" w:eastAsia="宋体" w:cs="宋体"/>
                      <w:spacing w:val="-1"/>
                      <w:sz w:val="21"/>
                      <w:szCs w:val="21"/>
                    </w:rPr>
                    <w:t>0.032kg/t</w:t>
                  </w:r>
                  <w:r>
                    <w:rPr>
                      <w:rFonts w:hint="eastAsia" w:ascii="宋体" w:hAnsi="宋体" w:eastAsia="宋体" w:cs="宋体"/>
                      <w:sz w:val="21"/>
                      <w:szCs w:val="21"/>
                    </w:rPr>
                    <w:t>原料</w:t>
                  </w:r>
                </w:p>
                <w:p>
                  <w:pPr>
                    <w:pStyle w:val="218"/>
                    <w:spacing w:line="138" w:lineRule="exact"/>
                    <w:ind w:left="1"/>
                    <w:jc w:val="center"/>
                    <w:rPr>
                      <w:rFonts w:hint="eastAsia" w:ascii="宋体" w:hAnsi="宋体" w:eastAsia="宋体" w:cs="宋体"/>
                      <w:sz w:val="21"/>
                      <w:szCs w:val="21"/>
                    </w:rPr>
                  </w:pPr>
                  <w:r>
                    <w:rPr>
                      <w:rFonts w:hint="eastAsia" w:ascii="宋体" w:hAnsi="宋体" w:eastAsia="宋体" w:cs="宋体"/>
                      <w:w w:val="100"/>
                      <w:sz w:val="18"/>
                      <w:szCs w:val="18"/>
                    </w:rPr>
                    <w:t>①</w:t>
                  </w:r>
                </w:p>
              </w:tc>
              <w:tc>
                <w:tcPr>
                  <w:tcW w:w="662" w:type="dxa"/>
                  <w:tcBorders>
                    <w:top w:val="single" w:color="000000" w:sz="4" w:space="0"/>
                    <w:left w:val="single" w:color="000000" w:sz="4" w:space="0"/>
                    <w:bottom w:val="single" w:color="000000" w:sz="4" w:space="0"/>
                    <w:right w:val="single" w:color="000000" w:sz="4" w:space="0"/>
                  </w:tcBorders>
                  <w:vAlign w:val="center"/>
                </w:tcPr>
                <w:p>
                  <w:pPr>
                    <w:pStyle w:val="218"/>
                    <w:spacing w:before="137" w:line="242" w:lineRule="auto"/>
                    <w:ind w:left="34" w:right="21"/>
                    <w:jc w:val="both"/>
                    <w:rPr>
                      <w:rFonts w:hint="eastAsia" w:ascii="宋体" w:hAnsi="宋体" w:eastAsia="宋体" w:cs="宋体"/>
                      <w:sz w:val="21"/>
                      <w:szCs w:val="21"/>
                    </w:rPr>
                  </w:pPr>
                  <w:r>
                    <w:rPr>
                      <w:rFonts w:hint="eastAsia" w:ascii="宋体" w:hAnsi="宋体" w:eastAsia="宋体" w:cs="宋体"/>
                      <w:sz w:val="21"/>
                      <w:szCs w:val="21"/>
                    </w:rPr>
                    <w:t>企业环境信息公示</w:t>
                  </w:r>
                </w:p>
              </w:tc>
              <w:tc>
                <w:tcPr>
                  <w:tcW w:w="476" w:type="dxa"/>
                  <w:tcBorders>
                    <w:top w:val="single" w:color="000000" w:sz="4" w:space="0"/>
                    <w:left w:val="single" w:color="000000" w:sz="4" w:space="0"/>
                    <w:bottom w:val="single" w:color="000000" w:sz="4" w:space="0"/>
                    <w:right w:val="nil"/>
                  </w:tcBorders>
                  <w:vAlign w:val="center"/>
                </w:tcPr>
                <w:p>
                  <w:pPr>
                    <w:pStyle w:val="218"/>
                    <w:spacing w:before="1"/>
                    <w:ind w:right="1"/>
                    <w:jc w:val="center"/>
                    <w:rPr>
                      <w:rFonts w:hint="eastAsia" w:ascii="宋体" w:hAnsi="宋体" w:eastAsia="宋体" w:cs="宋体"/>
                      <w:sz w:val="21"/>
                      <w:szCs w:val="21"/>
                    </w:rPr>
                  </w:pPr>
                  <w:r>
                    <w:rPr>
                      <w:rFonts w:hint="eastAsia" w:ascii="宋体" w:hAnsi="宋体" w:eastAsia="宋体" w:cs="宋体"/>
                      <w:sz w:val="21"/>
                      <w:szCs w:val="21"/>
                    </w:rPr>
                    <w:t>2017年5月</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685" w:hRule="atLeast"/>
                <w:jc w:val="center"/>
              </w:trPr>
              <w:tc>
                <w:tcPr>
                  <w:tcW w:w="355" w:type="dxa"/>
                  <w:tcBorders>
                    <w:top w:val="single" w:color="000000" w:sz="4" w:space="0"/>
                    <w:left w:val="nil"/>
                    <w:bottom w:val="single" w:color="000000" w:sz="4" w:space="0"/>
                    <w:right w:val="single" w:color="000000" w:sz="4" w:space="0"/>
                  </w:tcBorders>
                  <w:vAlign w:val="center"/>
                </w:tcPr>
                <w:p>
                  <w:pPr>
                    <w:pStyle w:val="218"/>
                    <w:jc w:val="center"/>
                    <w:rPr>
                      <w:rFonts w:hint="eastAsia" w:ascii="宋体" w:hAnsi="宋体" w:eastAsia="宋体" w:cs="宋体"/>
                      <w:sz w:val="21"/>
                      <w:szCs w:val="21"/>
                    </w:rPr>
                  </w:pPr>
                  <w:r>
                    <w:rPr>
                      <w:rFonts w:hint="eastAsia" w:ascii="宋体" w:hAnsi="宋体" w:eastAsia="宋体" w:cs="宋体"/>
                      <w:w w:val="100"/>
                      <w:sz w:val="21"/>
                      <w:szCs w:val="21"/>
                    </w:rPr>
                    <w:t>2</w:t>
                  </w:r>
                </w:p>
              </w:tc>
              <w:tc>
                <w:tcPr>
                  <w:tcW w:w="1264" w:type="dxa"/>
                  <w:tcBorders>
                    <w:top w:val="single" w:color="000000" w:sz="4" w:space="0"/>
                    <w:left w:val="single" w:color="000000" w:sz="4" w:space="0"/>
                    <w:bottom w:val="single" w:color="000000" w:sz="4" w:space="0"/>
                    <w:right w:val="single" w:color="000000" w:sz="4" w:space="0"/>
                  </w:tcBorders>
                  <w:vAlign w:val="center"/>
                </w:tcPr>
                <w:p>
                  <w:pPr>
                    <w:pStyle w:val="218"/>
                    <w:spacing w:before="1" w:line="242" w:lineRule="auto"/>
                    <w:ind w:left="33" w:right="30"/>
                    <w:jc w:val="center"/>
                    <w:rPr>
                      <w:rFonts w:hint="eastAsia" w:ascii="宋体" w:hAnsi="宋体" w:eastAsia="宋体" w:cs="宋体"/>
                      <w:sz w:val="21"/>
                      <w:szCs w:val="21"/>
                    </w:rPr>
                  </w:pPr>
                  <w:r>
                    <w:rPr>
                      <w:rFonts w:hint="eastAsia" w:ascii="宋体" w:hAnsi="宋体" w:eastAsia="宋体" w:cs="宋体"/>
                      <w:sz w:val="21"/>
                      <w:szCs w:val="21"/>
                    </w:rPr>
                    <w:t>广州市有德塑料制品有限公司年产改性塑料258吨建设项目</w:t>
                  </w:r>
                </w:p>
              </w:tc>
              <w:tc>
                <w:tcPr>
                  <w:tcW w:w="520" w:type="dxa"/>
                  <w:tcBorders>
                    <w:top w:val="single" w:color="000000" w:sz="4" w:space="0"/>
                    <w:left w:val="single" w:color="000000" w:sz="4" w:space="0"/>
                    <w:bottom w:val="single" w:color="000000" w:sz="4" w:space="0"/>
                    <w:right w:val="single" w:color="000000" w:sz="4" w:space="0"/>
                  </w:tcBorders>
                  <w:vAlign w:val="center"/>
                </w:tcPr>
                <w:p>
                  <w:pPr>
                    <w:pStyle w:val="218"/>
                    <w:spacing w:before="152"/>
                    <w:ind w:right="29"/>
                    <w:jc w:val="center"/>
                    <w:rPr>
                      <w:rFonts w:hint="eastAsia" w:ascii="宋体" w:hAnsi="宋体" w:eastAsia="宋体" w:cs="宋体"/>
                      <w:sz w:val="21"/>
                      <w:szCs w:val="21"/>
                    </w:rPr>
                  </w:pPr>
                  <w:r>
                    <w:rPr>
                      <w:rFonts w:hint="eastAsia" w:ascii="宋体" w:hAnsi="宋体" w:eastAsia="宋体" w:cs="宋体"/>
                      <w:sz w:val="21"/>
                      <w:szCs w:val="21"/>
                    </w:rPr>
                    <w:t>挤出</w:t>
                  </w:r>
                </w:p>
              </w:tc>
              <w:tc>
                <w:tcPr>
                  <w:tcW w:w="1184" w:type="dxa"/>
                  <w:tcBorders>
                    <w:top w:val="single" w:color="000000" w:sz="4" w:space="0"/>
                    <w:left w:val="single" w:color="000000" w:sz="4" w:space="0"/>
                    <w:bottom w:val="single" w:color="000000" w:sz="4" w:space="0"/>
                    <w:right w:val="single" w:color="000000" w:sz="4" w:space="0"/>
                  </w:tcBorders>
                  <w:vAlign w:val="center"/>
                </w:tcPr>
                <w:p>
                  <w:pPr>
                    <w:pStyle w:val="218"/>
                    <w:spacing w:before="1" w:line="242" w:lineRule="auto"/>
                    <w:ind w:left="-4" w:right="-15" w:firstLine="26"/>
                    <w:jc w:val="both"/>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pacing w:val="-3"/>
                      <w:sz w:val="21"/>
                      <w:szCs w:val="21"/>
                    </w:rPr>
                    <w:t xml:space="preserve">台挤出机， </w:t>
                  </w:r>
                  <w:r>
                    <w:rPr>
                      <w:rFonts w:hint="eastAsia" w:ascii="宋体" w:hAnsi="宋体" w:eastAsia="宋体" w:cs="宋体"/>
                      <w:spacing w:val="-1"/>
                      <w:sz w:val="21"/>
                      <w:szCs w:val="21"/>
                    </w:rPr>
                    <w:t>年消耗</w:t>
                  </w:r>
                  <w:r>
                    <w:rPr>
                      <w:rFonts w:hint="eastAsia" w:ascii="宋体" w:hAnsi="宋体" w:eastAsia="宋体" w:cs="宋体"/>
                      <w:sz w:val="21"/>
                      <w:szCs w:val="21"/>
                    </w:rPr>
                    <w:t>ABS 树脂250</w:t>
                  </w:r>
                  <w:r>
                    <w:rPr>
                      <w:rFonts w:hint="eastAsia" w:ascii="宋体" w:hAnsi="宋体" w:eastAsia="宋体" w:cs="宋体"/>
                      <w:spacing w:val="-2"/>
                      <w:sz w:val="21"/>
                      <w:szCs w:val="21"/>
                    </w:rPr>
                    <w:t xml:space="preserve"> </w:t>
                  </w:r>
                  <w:r>
                    <w:rPr>
                      <w:rFonts w:hint="eastAsia" w:ascii="宋体" w:hAnsi="宋体" w:eastAsia="宋体" w:cs="宋体"/>
                      <w:sz w:val="21"/>
                      <w:szCs w:val="21"/>
                    </w:rPr>
                    <w:t>t/a，</w:t>
                  </w:r>
                  <w:r>
                    <w:rPr>
                      <w:rFonts w:hint="eastAsia" w:ascii="宋体" w:hAnsi="宋体" w:eastAsia="宋体" w:cs="宋体"/>
                      <w:spacing w:val="-2"/>
                      <w:sz w:val="21"/>
                      <w:szCs w:val="21"/>
                    </w:rPr>
                    <w:t>年运行</w:t>
                  </w:r>
                  <w:r>
                    <w:rPr>
                      <w:rFonts w:hint="eastAsia" w:ascii="宋体" w:hAnsi="宋体" w:eastAsia="宋体" w:cs="宋体"/>
                      <w:spacing w:val="-1"/>
                      <w:sz w:val="21"/>
                      <w:szCs w:val="21"/>
                    </w:rPr>
                    <w:t>2400h</w:t>
                  </w:r>
                </w:p>
              </w:tc>
              <w:tc>
                <w:tcPr>
                  <w:tcW w:w="898" w:type="dxa"/>
                  <w:tcBorders>
                    <w:top w:val="single" w:color="000000" w:sz="4" w:space="0"/>
                    <w:left w:val="single" w:color="000000" w:sz="4" w:space="0"/>
                    <w:bottom w:val="single" w:color="000000" w:sz="4" w:space="0"/>
                    <w:right w:val="single" w:color="000000" w:sz="4" w:space="0"/>
                  </w:tcBorders>
                  <w:vAlign w:val="center"/>
                </w:tcPr>
                <w:p>
                  <w:pPr>
                    <w:pStyle w:val="218"/>
                    <w:spacing w:before="1" w:line="242" w:lineRule="auto"/>
                    <w:ind w:left="11" w:right="7"/>
                    <w:jc w:val="center"/>
                    <w:rPr>
                      <w:rFonts w:hint="eastAsia" w:ascii="宋体" w:hAnsi="宋体" w:eastAsia="宋体" w:cs="宋体"/>
                      <w:sz w:val="21"/>
                      <w:szCs w:val="21"/>
                    </w:rPr>
                  </w:pPr>
                  <w:r>
                    <w:rPr>
                      <w:rFonts w:hint="eastAsia" w:ascii="宋体" w:hAnsi="宋体" w:eastAsia="宋体" w:cs="宋体"/>
                      <w:spacing w:val="-1"/>
                      <w:sz w:val="21"/>
                      <w:szCs w:val="21"/>
                    </w:rPr>
                    <w:t>集气罩</w:t>
                  </w:r>
                  <w:r>
                    <w:rPr>
                      <w:rFonts w:hint="eastAsia" w:ascii="宋体" w:hAnsi="宋体" w:eastAsia="宋体" w:cs="宋体"/>
                      <w:sz w:val="21"/>
                      <w:szCs w:val="21"/>
                    </w:rPr>
                    <w:t>+</w:t>
                  </w:r>
                  <w:r>
                    <w:rPr>
                      <w:rFonts w:hint="eastAsia" w:ascii="宋体" w:hAnsi="宋体" w:eastAsia="宋体" w:cs="宋体"/>
                      <w:spacing w:val="-16"/>
                      <w:sz w:val="21"/>
                      <w:szCs w:val="21"/>
                    </w:rPr>
                    <w:t>活</w:t>
                  </w:r>
                  <w:r>
                    <w:rPr>
                      <w:rFonts w:hint="eastAsia" w:ascii="宋体" w:hAnsi="宋体" w:eastAsia="宋体" w:cs="宋体"/>
                      <w:spacing w:val="-1"/>
                      <w:sz w:val="21"/>
                      <w:szCs w:val="21"/>
                    </w:rPr>
                    <w:t>性炭吸附+15m</w:t>
                  </w:r>
                  <w:r>
                    <w:rPr>
                      <w:rFonts w:hint="eastAsia" w:ascii="宋体" w:hAnsi="宋体" w:eastAsia="宋体" w:cs="宋体"/>
                      <w:sz w:val="21"/>
                      <w:szCs w:val="21"/>
                    </w:rPr>
                    <w:t>排气</w:t>
                  </w:r>
                  <w:r>
                    <w:rPr>
                      <w:rFonts w:hint="eastAsia" w:ascii="宋体" w:hAnsi="宋体" w:eastAsia="宋体" w:cs="宋体"/>
                      <w:w w:val="100"/>
                      <w:sz w:val="21"/>
                      <w:szCs w:val="21"/>
                    </w:rPr>
                    <w:t>筒</w:t>
                  </w:r>
                </w:p>
              </w:tc>
              <w:tc>
                <w:tcPr>
                  <w:tcW w:w="1705" w:type="dxa"/>
                  <w:tcBorders>
                    <w:top w:val="single" w:color="000000" w:sz="4" w:space="0"/>
                    <w:left w:val="single" w:color="000000" w:sz="4" w:space="0"/>
                    <w:bottom w:val="single" w:color="000000" w:sz="4" w:space="0"/>
                    <w:right w:val="single" w:color="000000" w:sz="4" w:space="0"/>
                  </w:tcBorders>
                  <w:vAlign w:val="center"/>
                </w:tcPr>
                <w:p>
                  <w:pPr>
                    <w:pStyle w:val="218"/>
                    <w:spacing w:before="15"/>
                    <w:ind w:left="112" w:right="102"/>
                    <w:jc w:val="center"/>
                    <w:rPr>
                      <w:rFonts w:hint="eastAsia" w:ascii="宋体" w:hAnsi="宋体" w:eastAsia="宋体" w:cs="宋体"/>
                      <w:sz w:val="21"/>
                      <w:szCs w:val="21"/>
                    </w:rPr>
                  </w:pPr>
                  <w:r>
                    <w:rPr>
                      <w:rFonts w:hint="eastAsia" w:ascii="宋体" w:hAnsi="宋体" w:eastAsia="宋体" w:cs="宋体"/>
                      <w:sz w:val="21"/>
                      <w:szCs w:val="21"/>
                    </w:rPr>
                    <w:t>进气口苯乙烯浓度均值0.214 mg/m</w:t>
                  </w:r>
                  <w:r>
                    <w:rPr>
                      <w:rFonts w:hint="eastAsia" w:ascii="宋体" w:hAnsi="宋体" w:eastAsia="宋体" w:cs="宋体"/>
                      <w:sz w:val="21"/>
                      <w:szCs w:val="21"/>
                      <w:vertAlign w:val="superscript"/>
                    </w:rPr>
                    <w:t>3</w:t>
                  </w:r>
                  <w:r>
                    <w:rPr>
                      <w:rFonts w:hint="eastAsia" w:ascii="宋体" w:hAnsi="宋体" w:eastAsia="宋体" w:cs="宋体"/>
                      <w:sz w:val="21"/>
                      <w:szCs w:val="21"/>
                      <w:vertAlign w:val="baseline"/>
                    </w:rPr>
                    <w:t>，风量11032.8 m</w:t>
                  </w:r>
                  <w:r>
                    <w:rPr>
                      <w:rFonts w:hint="eastAsia" w:ascii="宋体" w:hAnsi="宋体" w:eastAsia="宋体" w:cs="宋体"/>
                      <w:sz w:val="21"/>
                      <w:szCs w:val="21"/>
                      <w:vertAlign w:val="superscript"/>
                    </w:rPr>
                    <w:t>3</w:t>
                  </w:r>
                  <w:r>
                    <w:rPr>
                      <w:rFonts w:hint="eastAsia" w:ascii="宋体" w:hAnsi="宋体" w:eastAsia="宋体" w:cs="宋体"/>
                      <w:sz w:val="21"/>
                      <w:szCs w:val="21"/>
                      <w:vertAlign w:val="baseline"/>
                    </w:rPr>
                    <w:t>/h</w:t>
                  </w:r>
                </w:p>
              </w:tc>
              <w:tc>
                <w:tcPr>
                  <w:tcW w:w="1151" w:type="dxa"/>
                  <w:tcBorders>
                    <w:top w:val="single" w:color="000000" w:sz="4" w:space="0"/>
                    <w:left w:val="single" w:color="000000" w:sz="4" w:space="0"/>
                    <w:bottom w:val="single" w:color="000000" w:sz="4" w:space="0"/>
                    <w:right w:val="single" w:color="000000" w:sz="4" w:space="0"/>
                  </w:tcBorders>
                  <w:vAlign w:val="center"/>
                </w:tcPr>
                <w:p>
                  <w:pPr>
                    <w:pStyle w:val="218"/>
                    <w:jc w:val="both"/>
                    <w:rPr>
                      <w:rFonts w:hint="eastAsia" w:ascii="宋体" w:hAnsi="宋体" w:eastAsia="宋体" w:cs="宋体"/>
                      <w:sz w:val="21"/>
                      <w:szCs w:val="21"/>
                    </w:rPr>
                  </w:pPr>
                  <w:r>
                    <w:rPr>
                      <w:rFonts w:hint="eastAsia" w:ascii="宋体" w:hAnsi="宋体" w:eastAsia="宋体" w:cs="宋体"/>
                      <w:spacing w:val="-4"/>
                      <w:sz w:val="21"/>
                      <w:szCs w:val="21"/>
                    </w:rPr>
                    <w:t>苯乙烯产生量</w:t>
                  </w:r>
                  <w:r>
                    <w:rPr>
                      <w:rFonts w:hint="eastAsia" w:ascii="宋体" w:hAnsi="宋体" w:eastAsia="宋体" w:cs="宋体"/>
                      <w:spacing w:val="-1"/>
                      <w:sz w:val="21"/>
                      <w:szCs w:val="21"/>
                    </w:rPr>
                    <w:t>0.023kg/t</w:t>
                  </w:r>
                  <w:r>
                    <w:rPr>
                      <w:rFonts w:hint="eastAsia" w:ascii="宋体" w:hAnsi="宋体" w:eastAsia="宋体" w:cs="宋体"/>
                      <w:sz w:val="21"/>
                      <w:szCs w:val="21"/>
                    </w:rPr>
                    <w:t>原料</w:t>
                  </w:r>
                </w:p>
              </w:tc>
              <w:tc>
                <w:tcPr>
                  <w:tcW w:w="662" w:type="dxa"/>
                  <w:tcBorders>
                    <w:top w:val="single" w:color="000000" w:sz="4" w:space="0"/>
                    <w:left w:val="single" w:color="000000" w:sz="4" w:space="0"/>
                    <w:bottom w:val="single" w:color="000000" w:sz="4" w:space="0"/>
                    <w:right w:val="single" w:color="000000" w:sz="4" w:space="0"/>
                  </w:tcBorders>
                  <w:vAlign w:val="center"/>
                </w:tcPr>
                <w:p>
                  <w:pPr>
                    <w:pStyle w:val="218"/>
                    <w:spacing w:before="138" w:line="242" w:lineRule="auto"/>
                    <w:ind w:left="34" w:right="21"/>
                    <w:jc w:val="both"/>
                    <w:rPr>
                      <w:rFonts w:hint="eastAsia" w:ascii="宋体" w:hAnsi="宋体" w:eastAsia="宋体" w:cs="宋体"/>
                      <w:sz w:val="21"/>
                      <w:szCs w:val="21"/>
                    </w:rPr>
                  </w:pPr>
                  <w:r>
                    <w:rPr>
                      <w:rFonts w:hint="eastAsia" w:ascii="宋体" w:hAnsi="宋体" w:eastAsia="宋体" w:cs="宋体"/>
                      <w:sz w:val="21"/>
                      <w:szCs w:val="21"/>
                    </w:rPr>
                    <w:t>企业环境信息公示</w:t>
                  </w:r>
                </w:p>
              </w:tc>
              <w:tc>
                <w:tcPr>
                  <w:tcW w:w="476" w:type="dxa"/>
                  <w:tcBorders>
                    <w:top w:val="single" w:color="000000" w:sz="4" w:space="0"/>
                    <w:left w:val="single" w:color="000000" w:sz="4" w:space="0"/>
                    <w:bottom w:val="single" w:color="000000" w:sz="4" w:space="0"/>
                    <w:right w:val="nil"/>
                  </w:tcBorders>
                  <w:vAlign w:val="center"/>
                </w:tcPr>
                <w:p>
                  <w:pPr>
                    <w:pStyle w:val="218"/>
                    <w:ind w:right="1"/>
                    <w:jc w:val="center"/>
                    <w:rPr>
                      <w:rFonts w:hint="eastAsia" w:ascii="宋体" w:hAnsi="宋体" w:eastAsia="宋体" w:cs="宋体"/>
                      <w:sz w:val="21"/>
                      <w:szCs w:val="21"/>
                    </w:rPr>
                  </w:pPr>
                  <w:r>
                    <w:rPr>
                      <w:rFonts w:hint="eastAsia" w:ascii="宋体" w:hAnsi="宋体" w:eastAsia="宋体" w:cs="宋体"/>
                      <w:sz w:val="21"/>
                      <w:szCs w:val="21"/>
                    </w:rPr>
                    <w:t>2018年5月</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267" w:hRule="atLeast"/>
                <w:jc w:val="center"/>
              </w:trPr>
              <w:tc>
                <w:tcPr>
                  <w:tcW w:w="355" w:type="dxa"/>
                  <w:tcBorders>
                    <w:top w:val="single" w:color="000000" w:sz="4" w:space="0"/>
                    <w:left w:val="nil"/>
                    <w:bottom w:val="single" w:color="000000" w:sz="4" w:space="0"/>
                    <w:right w:val="single" w:color="000000" w:sz="4" w:space="0"/>
                  </w:tcBorders>
                  <w:vAlign w:val="center"/>
                </w:tcPr>
                <w:p>
                  <w:pPr>
                    <w:pStyle w:val="218"/>
                    <w:jc w:val="center"/>
                    <w:rPr>
                      <w:rFonts w:hint="eastAsia" w:ascii="宋体" w:hAnsi="宋体" w:eastAsia="宋体" w:cs="宋体"/>
                      <w:sz w:val="21"/>
                      <w:szCs w:val="21"/>
                    </w:rPr>
                  </w:pPr>
                  <w:r>
                    <w:rPr>
                      <w:rFonts w:hint="eastAsia" w:ascii="宋体" w:hAnsi="宋体" w:eastAsia="宋体" w:cs="宋体"/>
                      <w:w w:val="100"/>
                      <w:sz w:val="21"/>
                      <w:szCs w:val="21"/>
                    </w:rPr>
                    <w:t>3</w:t>
                  </w:r>
                </w:p>
              </w:tc>
              <w:tc>
                <w:tcPr>
                  <w:tcW w:w="1264" w:type="dxa"/>
                  <w:tcBorders>
                    <w:top w:val="single" w:color="000000" w:sz="4" w:space="0"/>
                    <w:left w:val="single" w:color="000000" w:sz="4" w:space="0"/>
                    <w:bottom w:val="single" w:color="000000" w:sz="4" w:space="0"/>
                    <w:right w:val="single" w:color="000000" w:sz="4" w:space="0"/>
                  </w:tcBorders>
                  <w:vAlign w:val="center"/>
                </w:tcPr>
                <w:p>
                  <w:pPr>
                    <w:pStyle w:val="218"/>
                    <w:spacing w:before="152" w:line="242" w:lineRule="auto"/>
                    <w:ind w:left="33" w:right="30"/>
                    <w:jc w:val="center"/>
                    <w:rPr>
                      <w:rFonts w:hint="eastAsia" w:ascii="宋体" w:hAnsi="宋体" w:eastAsia="宋体" w:cs="宋体"/>
                      <w:sz w:val="21"/>
                      <w:szCs w:val="21"/>
                    </w:rPr>
                  </w:pPr>
                  <w:r>
                    <w:rPr>
                      <w:rFonts w:hint="eastAsia" w:ascii="宋体" w:hAnsi="宋体" w:eastAsia="宋体" w:cs="宋体"/>
                      <w:sz w:val="21"/>
                      <w:szCs w:val="21"/>
                    </w:rPr>
                    <w:t>阜城县正和塑料制品有限公司塑料制品生产建设项目</w:t>
                  </w:r>
                </w:p>
              </w:tc>
              <w:tc>
                <w:tcPr>
                  <w:tcW w:w="520" w:type="dxa"/>
                  <w:tcBorders>
                    <w:top w:val="single" w:color="000000" w:sz="4" w:space="0"/>
                    <w:left w:val="single" w:color="000000" w:sz="4" w:space="0"/>
                    <w:bottom w:val="single" w:color="000000" w:sz="4" w:space="0"/>
                    <w:right w:val="single" w:color="000000" w:sz="4" w:space="0"/>
                  </w:tcBorders>
                  <w:vAlign w:val="center"/>
                </w:tcPr>
                <w:p>
                  <w:pPr>
                    <w:pStyle w:val="218"/>
                    <w:spacing w:before="1"/>
                    <w:ind w:right="29"/>
                    <w:jc w:val="center"/>
                    <w:rPr>
                      <w:rFonts w:hint="eastAsia" w:ascii="宋体" w:hAnsi="宋体" w:eastAsia="宋体" w:cs="宋体"/>
                      <w:sz w:val="21"/>
                      <w:szCs w:val="21"/>
                    </w:rPr>
                  </w:pPr>
                  <w:r>
                    <w:rPr>
                      <w:rFonts w:hint="eastAsia" w:ascii="宋体" w:hAnsi="宋体" w:eastAsia="宋体" w:cs="宋体"/>
                      <w:sz w:val="21"/>
                      <w:szCs w:val="21"/>
                    </w:rPr>
                    <w:t>注塑</w:t>
                  </w:r>
                </w:p>
              </w:tc>
              <w:tc>
                <w:tcPr>
                  <w:tcW w:w="1184" w:type="dxa"/>
                  <w:tcBorders>
                    <w:top w:val="single" w:color="000000" w:sz="4" w:space="0"/>
                    <w:left w:val="single" w:color="000000" w:sz="4" w:space="0"/>
                    <w:bottom w:val="single" w:color="000000" w:sz="4" w:space="0"/>
                    <w:right w:val="single" w:color="000000" w:sz="4" w:space="0"/>
                  </w:tcBorders>
                  <w:vAlign w:val="center"/>
                </w:tcPr>
                <w:p>
                  <w:pPr>
                    <w:pStyle w:val="218"/>
                    <w:spacing w:before="1" w:line="242" w:lineRule="auto"/>
                    <w:ind w:left="-16" w:right="-58"/>
                    <w:jc w:val="center"/>
                    <w:rPr>
                      <w:rFonts w:hint="eastAsia" w:ascii="宋体" w:hAnsi="宋体" w:eastAsia="宋体" w:cs="宋体"/>
                      <w:sz w:val="21"/>
                      <w:szCs w:val="21"/>
                    </w:rPr>
                  </w:pPr>
                  <w:r>
                    <w:rPr>
                      <w:rFonts w:hint="eastAsia" w:ascii="宋体" w:hAnsi="宋体" w:eastAsia="宋体" w:cs="宋体"/>
                      <w:sz w:val="21"/>
                      <w:szCs w:val="21"/>
                    </w:rPr>
                    <w:t>13</w:t>
                  </w:r>
                  <w:r>
                    <w:rPr>
                      <w:rFonts w:hint="eastAsia" w:ascii="宋体" w:hAnsi="宋体" w:eastAsia="宋体" w:cs="宋体"/>
                      <w:spacing w:val="-3"/>
                      <w:sz w:val="21"/>
                      <w:szCs w:val="21"/>
                    </w:rPr>
                    <w:t>台注塑机， 年消耗</w:t>
                  </w:r>
                  <w:r>
                    <w:rPr>
                      <w:rFonts w:hint="eastAsia" w:ascii="宋体" w:hAnsi="宋体" w:eastAsia="宋体" w:cs="宋体"/>
                      <w:sz w:val="21"/>
                      <w:szCs w:val="21"/>
                    </w:rPr>
                    <w:t>ABS 树脂36</w:t>
                  </w:r>
                  <w:r>
                    <w:rPr>
                      <w:rFonts w:hint="eastAsia" w:ascii="宋体" w:hAnsi="宋体" w:eastAsia="宋体" w:cs="宋体"/>
                      <w:spacing w:val="-3"/>
                      <w:sz w:val="21"/>
                      <w:szCs w:val="21"/>
                    </w:rPr>
                    <w:t xml:space="preserve"> </w:t>
                  </w:r>
                  <w:r>
                    <w:rPr>
                      <w:rFonts w:hint="eastAsia" w:ascii="宋体" w:hAnsi="宋体" w:eastAsia="宋体" w:cs="宋体"/>
                      <w:sz w:val="21"/>
                      <w:szCs w:val="21"/>
                    </w:rPr>
                    <w:t>t/a、GPPS</w:t>
                  </w:r>
                  <w:r>
                    <w:rPr>
                      <w:rFonts w:hint="eastAsia" w:ascii="宋体" w:hAnsi="宋体" w:eastAsia="宋体" w:cs="宋体"/>
                      <w:spacing w:val="-3"/>
                      <w:sz w:val="21"/>
                      <w:szCs w:val="21"/>
                    </w:rPr>
                    <w:t>颗粒</w:t>
                  </w:r>
                  <w:r>
                    <w:rPr>
                      <w:rFonts w:hint="eastAsia" w:ascii="宋体" w:hAnsi="宋体" w:eastAsia="宋体" w:cs="宋体"/>
                      <w:sz w:val="21"/>
                      <w:szCs w:val="21"/>
                    </w:rPr>
                    <w:t>（</w:t>
                  </w:r>
                  <w:r>
                    <w:rPr>
                      <w:rFonts w:hint="eastAsia" w:ascii="宋体" w:hAnsi="宋体" w:eastAsia="宋体" w:cs="宋体"/>
                      <w:spacing w:val="-3"/>
                      <w:sz w:val="21"/>
                      <w:szCs w:val="21"/>
                    </w:rPr>
                    <w:t>聚苯乙烯</w:t>
                  </w:r>
                  <w:r>
                    <w:rPr>
                      <w:rFonts w:hint="eastAsia" w:ascii="宋体" w:hAnsi="宋体" w:eastAsia="宋体" w:cs="宋体"/>
                      <w:sz w:val="21"/>
                      <w:szCs w:val="21"/>
                    </w:rPr>
                    <w:t>）10t/a，年运行2400h</w:t>
                  </w:r>
                </w:p>
              </w:tc>
              <w:tc>
                <w:tcPr>
                  <w:tcW w:w="898" w:type="dxa"/>
                  <w:tcBorders>
                    <w:top w:val="single" w:color="000000" w:sz="4" w:space="0"/>
                    <w:left w:val="single" w:color="000000" w:sz="4" w:space="0"/>
                    <w:bottom w:val="single" w:color="000000" w:sz="4" w:space="0"/>
                    <w:right w:val="single" w:color="000000" w:sz="4" w:space="0"/>
                  </w:tcBorders>
                  <w:vAlign w:val="center"/>
                </w:tcPr>
                <w:p>
                  <w:pPr>
                    <w:pStyle w:val="218"/>
                    <w:spacing w:before="152" w:line="244" w:lineRule="auto"/>
                    <w:ind w:left="11" w:right="7"/>
                    <w:jc w:val="center"/>
                    <w:rPr>
                      <w:rFonts w:hint="eastAsia" w:ascii="宋体" w:hAnsi="宋体" w:eastAsia="宋体" w:cs="宋体"/>
                      <w:sz w:val="21"/>
                      <w:szCs w:val="21"/>
                    </w:rPr>
                  </w:pPr>
                  <w:r>
                    <w:rPr>
                      <w:rFonts w:hint="eastAsia" w:ascii="宋体" w:hAnsi="宋体" w:eastAsia="宋体" w:cs="宋体"/>
                      <w:sz w:val="21"/>
                      <w:szCs w:val="21"/>
                    </w:rPr>
                    <w:t>集气罩+光催化氧化+15m排气筒</w:t>
                  </w:r>
                </w:p>
              </w:tc>
              <w:tc>
                <w:tcPr>
                  <w:tcW w:w="1705" w:type="dxa"/>
                  <w:tcBorders>
                    <w:top w:val="single" w:color="000000" w:sz="4" w:space="0"/>
                    <w:left w:val="single" w:color="000000" w:sz="4" w:space="0"/>
                    <w:bottom w:val="single" w:color="000000" w:sz="4" w:space="0"/>
                    <w:right w:val="single" w:color="000000" w:sz="4" w:space="0"/>
                  </w:tcBorders>
                  <w:vAlign w:val="center"/>
                </w:tcPr>
                <w:p>
                  <w:pPr>
                    <w:pStyle w:val="218"/>
                    <w:spacing w:before="1" w:line="242" w:lineRule="auto"/>
                    <w:ind w:left="112" w:right="102"/>
                    <w:jc w:val="center"/>
                    <w:rPr>
                      <w:rFonts w:hint="eastAsia" w:ascii="宋体" w:hAnsi="宋体" w:eastAsia="宋体" w:cs="宋体"/>
                      <w:sz w:val="21"/>
                      <w:szCs w:val="21"/>
                    </w:rPr>
                  </w:pPr>
                  <w:r>
                    <w:rPr>
                      <w:rFonts w:hint="eastAsia" w:ascii="宋体" w:hAnsi="宋体" w:eastAsia="宋体" w:cs="宋体"/>
                      <w:spacing w:val="-4"/>
                      <w:sz w:val="21"/>
                      <w:szCs w:val="21"/>
                    </w:rPr>
                    <w:t>排气筒出口苯乙</w:t>
                  </w:r>
                  <w:r>
                    <w:rPr>
                      <w:rFonts w:hint="eastAsia" w:ascii="宋体" w:hAnsi="宋体" w:eastAsia="宋体" w:cs="宋体"/>
                      <w:spacing w:val="-1"/>
                      <w:sz w:val="21"/>
                      <w:szCs w:val="21"/>
                    </w:rPr>
                    <w:t>烯浓度</w:t>
                  </w:r>
                  <w:r>
                    <w:rPr>
                      <w:rFonts w:hint="eastAsia" w:ascii="宋体" w:hAnsi="宋体" w:eastAsia="宋体" w:cs="宋体"/>
                      <w:sz w:val="21"/>
                      <w:szCs w:val="21"/>
                    </w:rPr>
                    <w:t>0.195～ 0.218mg/m</w:t>
                  </w:r>
                  <w:r>
                    <w:rPr>
                      <w:rFonts w:hint="eastAsia" w:ascii="宋体" w:hAnsi="宋体" w:eastAsia="宋体" w:cs="宋体"/>
                      <w:sz w:val="21"/>
                      <w:szCs w:val="21"/>
                      <w:vertAlign w:val="superscript"/>
                    </w:rPr>
                    <w:t>3</w:t>
                  </w:r>
                  <w:r>
                    <w:rPr>
                      <w:rFonts w:hint="eastAsia" w:ascii="宋体" w:hAnsi="宋体" w:eastAsia="宋体" w:cs="宋体"/>
                      <w:sz w:val="21"/>
                      <w:szCs w:val="21"/>
                      <w:vertAlign w:val="baseline"/>
                    </w:rPr>
                    <w:t>，风量 1429～ 1683m</w:t>
                  </w:r>
                  <w:r>
                    <w:rPr>
                      <w:rFonts w:hint="eastAsia" w:ascii="宋体" w:hAnsi="宋体" w:eastAsia="宋体" w:cs="宋体"/>
                      <w:sz w:val="21"/>
                      <w:szCs w:val="21"/>
                      <w:vertAlign w:val="superscript"/>
                    </w:rPr>
                    <w:t>3</w:t>
                  </w:r>
                  <w:r>
                    <w:rPr>
                      <w:rFonts w:hint="eastAsia" w:ascii="宋体" w:hAnsi="宋体" w:eastAsia="宋体" w:cs="宋体"/>
                      <w:sz w:val="21"/>
                      <w:szCs w:val="21"/>
                      <w:vertAlign w:val="baseline"/>
                    </w:rPr>
                    <w:t>/h，有机</w:t>
                  </w:r>
                  <w:r>
                    <w:rPr>
                      <w:rFonts w:hint="eastAsia" w:ascii="宋体" w:hAnsi="宋体" w:eastAsia="宋体" w:cs="宋体"/>
                      <w:spacing w:val="-1"/>
                      <w:sz w:val="21"/>
                      <w:szCs w:val="21"/>
                      <w:vertAlign w:val="baseline"/>
                    </w:rPr>
                    <w:t>废气去除率</w:t>
                  </w:r>
                  <w:r>
                    <w:rPr>
                      <w:rFonts w:hint="eastAsia" w:ascii="宋体" w:hAnsi="宋体" w:eastAsia="宋体" w:cs="宋体"/>
                      <w:sz w:val="21"/>
                      <w:szCs w:val="21"/>
                    </w:rPr>
                    <w:t>44%～53%</w:t>
                  </w:r>
                </w:p>
              </w:tc>
              <w:tc>
                <w:tcPr>
                  <w:tcW w:w="1151" w:type="dxa"/>
                  <w:tcBorders>
                    <w:top w:val="single" w:color="000000" w:sz="4" w:space="0"/>
                    <w:left w:val="single" w:color="000000" w:sz="4" w:space="0"/>
                    <w:bottom w:val="single" w:color="000000" w:sz="4" w:space="0"/>
                    <w:right w:val="single" w:color="000000" w:sz="4" w:space="0"/>
                  </w:tcBorders>
                  <w:vAlign w:val="center"/>
                </w:tcPr>
                <w:p>
                  <w:pPr>
                    <w:pStyle w:val="218"/>
                    <w:ind w:left="1"/>
                    <w:jc w:val="center"/>
                    <w:rPr>
                      <w:rFonts w:hint="eastAsia" w:ascii="宋体" w:hAnsi="宋体" w:eastAsia="宋体" w:cs="宋体"/>
                      <w:sz w:val="21"/>
                      <w:szCs w:val="21"/>
                    </w:rPr>
                  </w:pPr>
                  <w:r>
                    <w:rPr>
                      <w:rFonts w:hint="eastAsia" w:ascii="宋体" w:hAnsi="宋体" w:eastAsia="宋体" w:cs="宋体"/>
                      <w:spacing w:val="-2"/>
                      <w:sz w:val="21"/>
                      <w:szCs w:val="21"/>
                    </w:rPr>
                    <w:t>苯乙烯产生量</w:t>
                  </w:r>
                  <w:r>
                    <w:rPr>
                      <w:rFonts w:hint="eastAsia" w:ascii="宋体" w:hAnsi="宋体" w:eastAsia="宋体" w:cs="宋体"/>
                      <w:spacing w:val="-1"/>
                      <w:sz w:val="21"/>
                      <w:szCs w:val="21"/>
                    </w:rPr>
                    <w:t>0.032kg/t</w:t>
                  </w:r>
                  <w:r>
                    <w:rPr>
                      <w:rFonts w:hint="eastAsia" w:ascii="宋体" w:hAnsi="宋体" w:eastAsia="宋体" w:cs="宋体"/>
                      <w:sz w:val="21"/>
                      <w:szCs w:val="21"/>
                    </w:rPr>
                    <w:t>原料</w:t>
                  </w:r>
                </w:p>
                <w:p>
                  <w:pPr>
                    <w:pStyle w:val="218"/>
                    <w:spacing w:line="137" w:lineRule="exact"/>
                    <w:ind w:left="1"/>
                    <w:jc w:val="center"/>
                    <w:rPr>
                      <w:rFonts w:hint="eastAsia" w:ascii="宋体" w:hAnsi="宋体" w:eastAsia="宋体" w:cs="宋体"/>
                      <w:sz w:val="21"/>
                      <w:szCs w:val="21"/>
                    </w:rPr>
                  </w:pPr>
                  <w:r>
                    <w:rPr>
                      <w:rFonts w:hint="eastAsia" w:ascii="宋体" w:hAnsi="宋体" w:eastAsia="宋体" w:cs="宋体"/>
                      <w:w w:val="100"/>
                      <w:sz w:val="18"/>
                      <w:szCs w:val="18"/>
                    </w:rPr>
                    <w:t>②</w:t>
                  </w:r>
                </w:p>
              </w:tc>
              <w:tc>
                <w:tcPr>
                  <w:tcW w:w="662" w:type="dxa"/>
                  <w:tcBorders>
                    <w:top w:val="single" w:color="000000" w:sz="4" w:space="0"/>
                    <w:left w:val="single" w:color="000000" w:sz="4" w:space="0"/>
                    <w:bottom w:val="single" w:color="000000" w:sz="4" w:space="0"/>
                    <w:right w:val="single" w:color="000000" w:sz="4" w:space="0"/>
                  </w:tcBorders>
                  <w:vAlign w:val="center"/>
                </w:tcPr>
                <w:p>
                  <w:pPr>
                    <w:pStyle w:val="218"/>
                    <w:spacing w:line="242" w:lineRule="auto"/>
                    <w:ind w:left="34" w:right="21"/>
                    <w:jc w:val="both"/>
                    <w:rPr>
                      <w:rFonts w:hint="eastAsia" w:ascii="宋体" w:hAnsi="宋体" w:eastAsia="宋体" w:cs="宋体"/>
                      <w:sz w:val="21"/>
                      <w:szCs w:val="21"/>
                    </w:rPr>
                  </w:pPr>
                  <w:r>
                    <w:rPr>
                      <w:rFonts w:hint="eastAsia" w:ascii="宋体" w:hAnsi="宋体" w:eastAsia="宋体" w:cs="宋体"/>
                      <w:sz w:val="21"/>
                      <w:szCs w:val="21"/>
                    </w:rPr>
                    <w:t>企业环境信息公示</w:t>
                  </w:r>
                </w:p>
              </w:tc>
              <w:tc>
                <w:tcPr>
                  <w:tcW w:w="476" w:type="dxa"/>
                  <w:tcBorders>
                    <w:top w:val="single" w:color="000000" w:sz="4" w:space="0"/>
                    <w:left w:val="single" w:color="000000" w:sz="4" w:space="0"/>
                    <w:bottom w:val="single" w:color="000000" w:sz="4" w:space="0"/>
                    <w:right w:val="nil"/>
                  </w:tcBorders>
                  <w:vAlign w:val="center"/>
                </w:tcPr>
                <w:p>
                  <w:pPr>
                    <w:pStyle w:val="218"/>
                    <w:ind w:left="17"/>
                    <w:rPr>
                      <w:rFonts w:hint="eastAsia" w:ascii="宋体" w:hAnsi="宋体" w:eastAsia="宋体" w:cs="宋体"/>
                      <w:sz w:val="21"/>
                      <w:szCs w:val="21"/>
                    </w:rPr>
                  </w:pPr>
                  <w:r>
                    <w:rPr>
                      <w:rFonts w:hint="eastAsia" w:ascii="宋体" w:hAnsi="宋体" w:eastAsia="宋体" w:cs="宋体"/>
                      <w:sz w:val="21"/>
                      <w:szCs w:val="21"/>
                    </w:rPr>
                    <w:t>2018年10月</w:t>
                  </w:r>
                </w:p>
              </w:tc>
            </w:tr>
          </w:tbl>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000000"/>
                <w:kern w:val="0"/>
                <w:sz w:val="18"/>
                <w:szCs w:val="18"/>
                <w:lang w:val="en-US" w:eastAsia="zh-CN" w:bidi="ar"/>
              </w:rPr>
              <w:t xml:space="preserve">备注：①苯乙烯检测浓度按检出限的一半核算，排气筒进口未检测，处理效率按90%计算； </w:t>
            </w:r>
          </w:p>
          <w:p>
            <w:pPr>
              <w:keepNext w:val="0"/>
              <w:keepLines w:val="0"/>
              <w:widowControl/>
              <w:suppressLineNumbers w:val="0"/>
              <w:ind w:firstLine="540" w:firstLineChars="300"/>
              <w:jc w:val="left"/>
              <w:rPr>
                <w:rFonts w:hint="eastAsia" w:ascii="宋体" w:hAnsi="宋体" w:eastAsia="宋体" w:cs="宋体"/>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②排气筒进口未检测，处理效率按实测平均值48%计算；</w:t>
            </w:r>
          </w:p>
          <w:p>
            <w:pPr>
              <w:snapToGrid w:val="0"/>
              <w:spacing w:line="36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000000"/>
                <w:sz w:val="24"/>
              </w:rPr>
              <w:t>在注塑机上方设置集气罩（收集效率</w:t>
            </w:r>
            <w:r>
              <w:rPr>
                <w:rFonts w:hint="eastAsia" w:cs="Times New Roman"/>
                <w:color w:val="000000"/>
                <w:sz w:val="24"/>
                <w:lang w:val="en-US" w:eastAsia="zh-CN"/>
              </w:rPr>
              <w:t>8</w:t>
            </w:r>
            <w:r>
              <w:rPr>
                <w:rFonts w:hint="eastAsia" w:ascii="Times New Roman" w:hAnsi="Times New Roman" w:eastAsia="宋体" w:cs="Times New Roman"/>
                <w:color w:val="000000"/>
                <w:sz w:val="24"/>
              </w:rPr>
              <w:t>0%），风机风量</w:t>
            </w:r>
            <w:r>
              <w:rPr>
                <w:rFonts w:hint="eastAsia" w:ascii="Times New Roman" w:hAnsi="Times New Roman" w:eastAsia="宋体" w:cs="Times New Roman"/>
                <w:color w:val="000000"/>
                <w:sz w:val="24"/>
                <w:lang w:val="en-US" w:eastAsia="zh-CN"/>
              </w:rPr>
              <w:t>20</w:t>
            </w:r>
            <w:r>
              <w:rPr>
                <w:rFonts w:hint="eastAsia" w:ascii="Times New Roman" w:hAnsi="Times New Roman" w:eastAsia="宋体" w:cs="Times New Roman"/>
                <w:color w:val="000000"/>
                <w:sz w:val="24"/>
              </w:rPr>
              <w:t xml:space="preserve">000 </w:t>
            </w:r>
            <w:r>
              <w:rPr>
                <w:rFonts w:hint="eastAsia" w:ascii="Times New Roman" w:hAnsi="Times New Roman" w:eastAsia="宋体" w:cs="Times New Roman"/>
                <w:color w:val="000000"/>
                <w:sz w:val="24"/>
                <w:lang w:val="en-GB"/>
              </w:rPr>
              <w:t>m</w:t>
            </w:r>
            <w:r>
              <w:rPr>
                <w:rFonts w:hint="eastAsia" w:ascii="Times New Roman" w:hAnsi="Times New Roman" w:eastAsia="宋体" w:cs="Times New Roman"/>
                <w:color w:val="000000"/>
                <w:sz w:val="24"/>
                <w:vertAlign w:val="superscript"/>
                <w:lang w:val="en-GB"/>
              </w:rPr>
              <w:t>3</w:t>
            </w:r>
            <w:r>
              <w:rPr>
                <w:rFonts w:hint="eastAsia" w:ascii="Times New Roman" w:hAnsi="Times New Roman" w:eastAsia="宋体" w:cs="Times New Roman"/>
                <w:color w:val="000000"/>
                <w:sz w:val="24"/>
                <w:lang w:val="en-GB"/>
              </w:rPr>
              <w:t>/h，</w:t>
            </w:r>
            <w:r>
              <w:rPr>
                <w:rFonts w:hint="eastAsia" w:ascii="Times New Roman" w:hAnsi="Times New Roman" w:eastAsia="宋体" w:cs="Times New Roman"/>
                <w:color w:val="000000"/>
                <w:sz w:val="24"/>
              </w:rPr>
              <w:t>收集后的注塑废气通过两级活性炭吸附设备处理（处理效率</w:t>
            </w:r>
            <w:r>
              <w:rPr>
                <w:rFonts w:hint="eastAsia" w:cs="Times New Roman"/>
                <w:color w:val="000000"/>
                <w:sz w:val="24"/>
                <w:lang w:val="en-US" w:eastAsia="zh-CN"/>
              </w:rPr>
              <w:t>9</w:t>
            </w:r>
            <w:r>
              <w:rPr>
                <w:rFonts w:hint="eastAsia" w:ascii="Times New Roman" w:hAnsi="Times New Roman" w:eastAsia="宋体" w:cs="Times New Roman"/>
                <w:color w:val="000000"/>
                <w:sz w:val="24"/>
              </w:rPr>
              <w:t>0%），再通过15m高排气筒（DA001）排放。该工序运行时间</w:t>
            </w:r>
            <w:r>
              <w:rPr>
                <w:rFonts w:hint="eastAsia" w:ascii="Times New Roman" w:hAnsi="Times New Roman" w:eastAsia="宋体" w:cs="Times New Roman"/>
                <w:color w:val="000000"/>
                <w:sz w:val="24"/>
                <w:lang w:val="en-US" w:eastAsia="zh-CN"/>
              </w:rPr>
              <w:t>72</w:t>
            </w:r>
            <w:r>
              <w:rPr>
                <w:rFonts w:hint="eastAsia" w:ascii="Times New Roman" w:hAnsi="Times New Roman" w:eastAsia="宋体" w:cs="Times New Roman"/>
                <w:color w:val="000000"/>
                <w:sz w:val="24"/>
              </w:rPr>
              <w:t>00 h/a，则处理后非甲烷总烃有组织排放量为</w:t>
            </w:r>
            <w:r>
              <w:rPr>
                <w:rFonts w:hint="eastAsia" w:ascii="Times New Roman" w:hAnsi="Times New Roman" w:eastAsia="宋体" w:cs="Times New Roman"/>
                <w:color w:val="auto"/>
                <w:sz w:val="24"/>
              </w:rPr>
              <w:t>0.</w:t>
            </w:r>
            <w:r>
              <w:rPr>
                <w:rFonts w:hint="eastAsia" w:cs="Times New Roman"/>
                <w:color w:val="auto"/>
                <w:sz w:val="24"/>
                <w:lang w:val="en-US" w:eastAsia="zh-CN"/>
              </w:rPr>
              <w:t>0657</w:t>
            </w:r>
            <w:r>
              <w:rPr>
                <w:rFonts w:hint="eastAsia" w:ascii="Times New Roman" w:hAnsi="Times New Roman" w:eastAsia="宋体" w:cs="Times New Roman"/>
                <w:color w:val="auto"/>
                <w:sz w:val="24"/>
              </w:rPr>
              <w:t xml:space="preserve"> t/a，排放速率为0.</w:t>
            </w:r>
            <w:r>
              <w:rPr>
                <w:rFonts w:hint="eastAsia" w:cs="Times New Roman"/>
                <w:color w:val="auto"/>
                <w:sz w:val="24"/>
                <w:lang w:val="en-US" w:eastAsia="zh-CN"/>
              </w:rPr>
              <w:t>0091</w:t>
            </w:r>
            <w:r>
              <w:rPr>
                <w:rFonts w:hint="eastAsia" w:ascii="Times New Roman" w:hAnsi="Times New Roman" w:eastAsia="宋体" w:cs="Times New Roman"/>
                <w:color w:val="auto"/>
                <w:sz w:val="24"/>
              </w:rPr>
              <w:t xml:space="preserve"> kg/h，排放浓度为</w:t>
            </w:r>
            <w:r>
              <w:rPr>
                <w:rFonts w:hint="eastAsia" w:cs="Times New Roman"/>
                <w:color w:val="auto"/>
                <w:sz w:val="24"/>
                <w:lang w:val="en-US" w:eastAsia="zh-CN"/>
              </w:rPr>
              <w:t>0.456</w:t>
            </w:r>
            <w:r>
              <w:rPr>
                <w:rFonts w:hint="eastAsia" w:ascii="Times New Roman" w:hAnsi="Times New Roman" w:eastAsia="宋体" w:cs="Times New Roman"/>
                <w:color w:val="auto"/>
                <w:sz w:val="24"/>
              </w:rPr>
              <w:t xml:space="preserve"> mg/m</w:t>
            </w:r>
            <w:r>
              <w:rPr>
                <w:rFonts w:hint="eastAsia" w:ascii="Times New Roman" w:hAnsi="Times New Roman" w:eastAsia="宋体" w:cs="Times New Roman"/>
                <w:color w:val="auto"/>
                <w:sz w:val="24"/>
                <w:vertAlign w:val="superscript"/>
              </w:rPr>
              <w:t>3</w:t>
            </w:r>
            <w:r>
              <w:rPr>
                <w:rFonts w:hint="eastAsia" w:ascii="Times New Roman" w:hAnsi="Times New Roman" w:eastAsia="宋体" w:cs="Times New Roman"/>
                <w:color w:val="auto"/>
                <w:sz w:val="24"/>
              </w:rPr>
              <w:t>；无组织排放量为0.</w:t>
            </w:r>
            <w:r>
              <w:rPr>
                <w:rFonts w:hint="eastAsia" w:cs="Times New Roman"/>
                <w:color w:val="auto"/>
                <w:sz w:val="24"/>
                <w:lang w:val="en-US" w:eastAsia="zh-CN"/>
              </w:rPr>
              <w:t>1642</w:t>
            </w:r>
            <w:r>
              <w:rPr>
                <w:rFonts w:hint="eastAsia" w:ascii="Times New Roman" w:hAnsi="Times New Roman" w:eastAsia="宋体" w:cs="Times New Roman"/>
                <w:color w:val="auto"/>
                <w:sz w:val="24"/>
              </w:rPr>
              <w:t xml:space="preserve"> t/a，排放速率为0.0</w:t>
            </w:r>
            <w:r>
              <w:rPr>
                <w:rFonts w:hint="eastAsia" w:cs="Times New Roman"/>
                <w:color w:val="auto"/>
                <w:sz w:val="24"/>
                <w:lang w:val="en-US" w:eastAsia="zh-CN"/>
              </w:rPr>
              <w:t>228</w:t>
            </w:r>
            <w:r>
              <w:rPr>
                <w:rFonts w:hint="eastAsia" w:ascii="Times New Roman" w:hAnsi="Times New Roman" w:eastAsia="宋体" w:cs="Times New Roman"/>
                <w:color w:val="auto"/>
                <w:sz w:val="24"/>
              </w:rPr>
              <w:t xml:space="preserve"> kg/h。</w:t>
            </w:r>
            <w:r>
              <w:rPr>
                <w:rFonts w:hint="eastAsia" w:cs="Times New Roman"/>
                <w:color w:val="000000"/>
                <w:sz w:val="24"/>
                <w:lang w:val="en-US" w:eastAsia="zh-CN"/>
              </w:rPr>
              <w:t>苯乙烯</w:t>
            </w:r>
            <w:r>
              <w:rPr>
                <w:rFonts w:hint="eastAsia" w:ascii="Times New Roman" w:hAnsi="Times New Roman" w:eastAsia="宋体" w:cs="Times New Roman"/>
                <w:color w:val="000000"/>
                <w:sz w:val="24"/>
              </w:rPr>
              <w:t>有组织排放量为</w:t>
            </w:r>
            <w:r>
              <w:rPr>
                <w:rFonts w:hint="eastAsia" w:ascii="Times New Roman" w:hAnsi="Times New Roman" w:eastAsia="宋体" w:cs="Times New Roman"/>
                <w:color w:val="auto"/>
                <w:sz w:val="24"/>
              </w:rPr>
              <w:t>0.</w:t>
            </w:r>
            <w:r>
              <w:rPr>
                <w:rFonts w:hint="eastAsia" w:cs="Times New Roman"/>
                <w:color w:val="auto"/>
                <w:sz w:val="24"/>
                <w:lang w:val="en-US" w:eastAsia="zh-CN"/>
              </w:rPr>
              <w:t>00002</w:t>
            </w:r>
            <w:r>
              <w:rPr>
                <w:rFonts w:hint="eastAsia" w:ascii="Times New Roman" w:hAnsi="Times New Roman" w:eastAsia="宋体" w:cs="Times New Roman"/>
                <w:color w:val="auto"/>
                <w:sz w:val="24"/>
              </w:rPr>
              <w:t xml:space="preserve"> t/a，排放速率为0.</w:t>
            </w:r>
            <w:r>
              <w:rPr>
                <w:rFonts w:hint="eastAsia" w:cs="Times New Roman"/>
                <w:color w:val="auto"/>
                <w:sz w:val="24"/>
                <w:lang w:val="en-US" w:eastAsia="zh-CN"/>
              </w:rPr>
              <w:t>000003</w:t>
            </w:r>
            <w:r>
              <w:rPr>
                <w:rFonts w:hint="eastAsia" w:ascii="Times New Roman" w:hAnsi="Times New Roman" w:eastAsia="宋体" w:cs="Times New Roman"/>
                <w:color w:val="auto"/>
                <w:sz w:val="24"/>
              </w:rPr>
              <w:t xml:space="preserve"> kg/h，排放浓度为</w:t>
            </w:r>
            <w:r>
              <w:rPr>
                <w:rFonts w:hint="eastAsia" w:cs="Times New Roman"/>
                <w:color w:val="auto"/>
                <w:sz w:val="24"/>
                <w:lang w:val="en-US" w:eastAsia="zh-CN"/>
              </w:rPr>
              <w:t>0.0002</w:t>
            </w:r>
            <w:r>
              <w:rPr>
                <w:rFonts w:hint="eastAsia" w:ascii="Times New Roman" w:hAnsi="Times New Roman" w:eastAsia="宋体" w:cs="Times New Roman"/>
                <w:color w:val="auto"/>
                <w:sz w:val="24"/>
              </w:rPr>
              <w:t xml:space="preserve"> mg/m</w:t>
            </w:r>
            <w:r>
              <w:rPr>
                <w:rFonts w:hint="eastAsia" w:ascii="Times New Roman" w:hAnsi="Times New Roman" w:eastAsia="宋体" w:cs="Times New Roman"/>
                <w:color w:val="auto"/>
                <w:sz w:val="24"/>
                <w:vertAlign w:val="superscript"/>
              </w:rPr>
              <w:t>3</w:t>
            </w:r>
            <w:r>
              <w:rPr>
                <w:rFonts w:hint="eastAsia" w:ascii="Times New Roman" w:hAnsi="Times New Roman" w:eastAsia="宋体" w:cs="Times New Roman"/>
                <w:color w:val="auto"/>
                <w:sz w:val="24"/>
              </w:rPr>
              <w:t>；无组织排放量为0.</w:t>
            </w:r>
            <w:r>
              <w:rPr>
                <w:rFonts w:hint="eastAsia" w:cs="Times New Roman"/>
                <w:color w:val="auto"/>
                <w:sz w:val="24"/>
                <w:lang w:val="en-US" w:eastAsia="zh-CN"/>
              </w:rPr>
              <w:t>00006</w:t>
            </w:r>
            <w:r>
              <w:rPr>
                <w:rFonts w:hint="eastAsia" w:ascii="Times New Roman" w:hAnsi="Times New Roman" w:eastAsia="宋体" w:cs="Times New Roman"/>
                <w:color w:val="auto"/>
                <w:sz w:val="24"/>
              </w:rPr>
              <w:t xml:space="preserve"> t/a，排放速率为0.0</w:t>
            </w:r>
            <w:r>
              <w:rPr>
                <w:rFonts w:hint="eastAsia" w:cs="Times New Roman"/>
                <w:color w:val="auto"/>
                <w:sz w:val="24"/>
                <w:lang w:val="en-US" w:eastAsia="zh-CN"/>
              </w:rPr>
              <w:t>0001</w:t>
            </w:r>
            <w:r>
              <w:rPr>
                <w:rFonts w:hint="eastAsia" w:ascii="Times New Roman" w:hAnsi="Times New Roman" w:eastAsia="宋体" w:cs="Times New Roman"/>
                <w:color w:val="auto"/>
                <w:sz w:val="24"/>
              </w:rPr>
              <w:t xml:space="preserve"> kg/h。</w:t>
            </w:r>
          </w:p>
          <w:p>
            <w:pPr>
              <w:spacing w:line="360" w:lineRule="auto"/>
              <w:ind w:firstLine="480" w:firstLineChars="200"/>
              <w:rPr>
                <w:color w:val="000000"/>
                <w:sz w:val="24"/>
                <w:lang w:val="en-GB"/>
              </w:rPr>
            </w:pPr>
            <w:r>
              <w:rPr>
                <w:rFonts w:hint="eastAsia"/>
                <w:color w:val="000000"/>
                <w:sz w:val="24"/>
                <w:lang w:val="en-GB"/>
              </w:rPr>
              <w:t>（</w:t>
            </w:r>
            <w:r>
              <w:rPr>
                <w:rFonts w:hint="eastAsia"/>
                <w:color w:val="000000"/>
                <w:sz w:val="24"/>
                <w:lang w:val="en-US" w:eastAsia="zh-CN"/>
              </w:rPr>
              <w:t>2</w:t>
            </w:r>
            <w:r>
              <w:rPr>
                <w:rFonts w:hint="eastAsia"/>
                <w:color w:val="000000"/>
                <w:sz w:val="24"/>
                <w:lang w:val="en-GB"/>
              </w:rPr>
              <w:t>）破碎粉尘</w:t>
            </w:r>
            <w:r>
              <w:rPr>
                <w:color w:val="000000"/>
                <w:kern w:val="0"/>
                <w:sz w:val="24"/>
              </w:rPr>
              <w:t>（G</w:t>
            </w:r>
            <w:r>
              <w:rPr>
                <w:rFonts w:hint="eastAsia"/>
                <w:color w:val="000000"/>
                <w:kern w:val="0"/>
                <w:sz w:val="24"/>
                <w:lang w:val="en-US" w:eastAsia="zh-CN"/>
              </w:rPr>
              <w:t>2</w:t>
            </w:r>
            <w:r>
              <w:rPr>
                <w:color w:val="000000"/>
                <w:kern w:val="0"/>
                <w:sz w:val="24"/>
              </w:rPr>
              <w:t>）</w:t>
            </w:r>
          </w:p>
          <w:p>
            <w:pPr>
              <w:tabs>
                <w:tab w:val="left" w:pos="2520"/>
              </w:tabs>
              <w:adjustRightInd w:val="0"/>
              <w:spacing w:line="360" w:lineRule="auto"/>
              <w:ind w:firstLine="480" w:firstLineChars="200"/>
              <w:rPr>
                <w:color w:val="auto"/>
                <w:sz w:val="24"/>
              </w:rPr>
            </w:pPr>
            <w:r>
              <w:rPr>
                <w:rFonts w:hint="eastAsia"/>
                <w:sz w:val="24"/>
              </w:rPr>
              <w:t>本项目</w:t>
            </w:r>
            <w:r>
              <w:rPr>
                <w:rFonts w:hint="eastAsia"/>
                <w:sz w:val="24"/>
                <w:lang w:val="en-US" w:eastAsia="zh-CN"/>
              </w:rPr>
              <w:t>边角料、</w:t>
            </w:r>
            <w:r>
              <w:rPr>
                <w:rFonts w:hint="eastAsia"/>
                <w:sz w:val="24"/>
              </w:rPr>
              <w:t>不合格品需经破碎后重新回用于生产</w:t>
            </w:r>
            <w:r>
              <w:rPr>
                <w:rFonts w:hint="eastAsia"/>
                <w:sz w:val="24"/>
                <w:lang w:eastAsia="zh-CN"/>
              </w:rPr>
              <w:t>，</w:t>
            </w:r>
            <w:r>
              <w:rPr>
                <w:rFonts w:hint="eastAsia"/>
                <w:sz w:val="24"/>
                <w:lang w:val="en-US" w:eastAsia="zh-CN"/>
              </w:rPr>
              <w:t>边角料</w:t>
            </w:r>
            <w:r>
              <w:rPr>
                <w:rFonts w:hint="eastAsia"/>
                <w:color w:val="000000" w:themeColor="text1"/>
                <w:sz w:val="24"/>
                <w14:textFill>
                  <w14:solidFill>
                    <w14:schemeClr w14:val="tx1"/>
                  </w14:solidFill>
                </w14:textFill>
              </w:rPr>
              <w:t>产生量约</w:t>
            </w: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 xml:space="preserve"> t/a</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不合格品产生量约</w:t>
            </w:r>
            <w:r>
              <w:rPr>
                <w:rFonts w:hint="eastAsia"/>
                <w:color w:val="000000" w:themeColor="text1"/>
                <w:sz w:val="24"/>
                <w:lang w:val="en-US" w:eastAsia="zh-CN"/>
                <w14:textFill>
                  <w14:solidFill>
                    <w14:schemeClr w14:val="tx1"/>
                  </w14:solidFill>
                </w14:textFill>
              </w:rPr>
              <w:t>5</w:t>
            </w:r>
            <w:r>
              <w:rPr>
                <w:rFonts w:hint="eastAsia"/>
                <w:color w:val="000000" w:themeColor="text1"/>
                <w:sz w:val="24"/>
                <w14:textFill>
                  <w14:solidFill>
                    <w14:schemeClr w14:val="tx1"/>
                  </w14:solidFill>
                </w14:textFill>
              </w:rPr>
              <w:t xml:space="preserve"> t/a</w:t>
            </w:r>
            <w:r>
              <w:rPr>
                <w:rFonts w:hint="eastAsia"/>
                <w:sz w:val="24"/>
              </w:rPr>
              <w:t>。</w:t>
            </w:r>
            <w:r>
              <w:rPr>
                <w:rFonts w:hint="eastAsia"/>
                <w:color w:val="000000" w:themeColor="text1"/>
                <w:sz w:val="24"/>
                <w:lang w:val="en-US" w:eastAsia="zh-CN"/>
                <w14:textFill>
                  <w14:solidFill>
                    <w14:schemeClr w14:val="tx1"/>
                  </w14:solidFill>
                </w14:textFill>
              </w:rPr>
              <w:t>设置一间密闭的房间作为破碎间</w:t>
            </w:r>
            <w:r>
              <w:rPr>
                <w:rFonts w:hint="eastAsia"/>
                <w:color w:val="000000" w:themeColor="text1"/>
                <w:sz w:val="24"/>
                <w14:textFill>
                  <w14:solidFill>
                    <w14:schemeClr w14:val="tx1"/>
                  </w14:solidFill>
                </w14:textFill>
              </w:rPr>
              <w:t>，破碎工序会产</w:t>
            </w:r>
            <w:r>
              <w:rPr>
                <w:rFonts w:hint="eastAsia"/>
                <w:sz w:val="24"/>
              </w:rPr>
              <w:t>生破碎粉尘，类比同类项目，破碎粉尘产生量约占边角料与不合格品产生量的1%，即0.0</w:t>
            </w:r>
            <w:r>
              <w:rPr>
                <w:rFonts w:hint="eastAsia"/>
                <w:sz w:val="24"/>
                <w:lang w:val="en-US" w:eastAsia="zh-CN"/>
              </w:rPr>
              <w:t>6</w:t>
            </w:r>
            <w:r>
              <w:rPr>
                <w:rFonts w:hint="eastAsia"/>
                <w:sz w:val="24"/>
              </w:rPr>
              <w:t>t/a。在破碎机上方设置</w:t>
            </w:r>
            <w:r>
              <w:rPr>
                <w:sz w:val="24"/>
              </w:rPr>
              <w:t>集气罩</w:t>
            </w:r>
            <w:r>
              <w:rPr>
                <w:rFonts w:hint="eastAsia"/>
                <w:sz w:val="24"/>
                <w:lang w:eastAsia="zh-CN"/>
              </w:rPr>
              <w:t>（</w:t>
            </w:r>
            <w:r>
              <w:rPr>
                <w:rFonts w:hint="eastAsia"/>
                <w:sz w:val="24"/>
              </w:rPr>
              <w:t>收集效率</w:t>
            </w:r>
            <w:r>
              <w:rPr>
                <w:rFonts w:hint="eastAsia"/>
                <w:sz w:val="24"/>
                <w:lang w:val="en-US" w:eastAsia="zh-CN"/>
              </w:rPr>
              <w:t>8</w:t>
            </w:r>
            <w:r>
              <w:rPr>
                <w:rFonts w:hint="eastAsia"/>
                <w:sz w:val="24"/>
              </w:rPr>
              <w:t>0%</w:t>
            </w:r>
            <w:r>
              <w:rPr>
                <w:rFonts w:hint="eastAsia"/>
                <w:sz w:val="24"/>
                <w:lang w:eastAsia="zh-CN"/>
              </w:rPr>
              <w:t>）</w:t>
            </w:r>
            <w:r>
              <w:rPr>
                <w:rFonts w:hint="eastAsia"/>
                <w:sz w:val="24"/>
              </w:rPr>
              <w:t>，风机风量</w:t>
            </w:r>
            <w:r>
              <w:rPr>
                <w:rFonts w:hint="eastAsia"/>
                <w:sz w:val="24"/>
                <w:lang w:val="en-US" w:eastAsia="zh-CN"/>
              </w:rPr>
              <w:t>10</w:t>
            </w:r>
            <w:r>
              <w:rPr>
                <w:rFonts w:hint="eastAsia"/>
                <w:sz w:val="24"/>
              </w:rPr>
              <w:t xml:space="preserve">000 </w:t>
            </w:r>
            <w:r>
              <w:rPr>
                <w:rFonts w:hint="eastAsia"/>
                <w:color w:val="000000"/>
                <w:sz w:val="24"/>
                <w:lang w:val="en-GB"/>
              </w:rPr>
              <w:t>m</w:t>
            </w:r>
            <w:r>
              <w:rPr>
                <w:rFonts w:hint="eastAsia"/>
                <w:color w:val="000000"/>
                <w:sz w:val="24"/>
                <w:vertAlign w:val="superscript"/>
                <w:lang w:val="en-GB"/>
              </w:rPr>
              <w:t>3</w:t>
            </w:r>
            <w:r>
              <w:rPr>
                <w:rFonts w:hint="eastAsia"/>
                <w:color w:val="000000"/>
                <w:sz w:val="24"/>
                <w:lang w:val="en-GB"/>
              </w:rPr>
              <w:t>/h，</w:t>
            </w:r>
            <w:r>
              <w:rPr>
                <w:sz w:val="24"/>
              </w:rPr>
              <w:t>收集后的</w:t>
            </w:r>
            <w:r>
              <w:rPr>
                <w:rFonts w:hint="eastAsia"/>
                <w:sz w:val="24"/>
              </w:rPr>
              <w:t>破碎</w:t>
            </w:r>
            <w:r>
              <w:rPr>
                <w:sz w:val="24"/>
              </w:rPr>
              <w:t>粉尘通过</w:t>
            </w:r>
            <w:r>
              <w:rPr>
                <w:rFonts w:hint="eastAsia"/>
                <w:sz w:val="24"/>
              </w:rPr>
              <w:t>布袋</w:t>
            </w:r>
            <w:r>
              <w:rPr>
                <w:sz w:val="24"/>
              </w:rPr>
              <w:t>除尘器处理</w:t>
            </w:r>
            <w:r>
              <w:rPr>
                <w:rFonts w:hint="eastAsia"/>
                <w:sz w:val="24"/>
              </w:rPr>
              <w:t>（处理效率95%）</w:t>
            </w:r>
            <w:r>
              <w:rPr>
                <w:sz w:val="24"/>
              </w:rPr>
              <w:t>，再通过15m高排气筒</w:t>
            </w:r>
            <w:r>
              <w:rPr>
                <w:rFonts w:hint="eastAsia"/>
                <w:sz w:val="24"/>
              </w:rPr>
              <w:t>（DA002）</w:t>
            </w:r>
            <w:r>
              <w:rPr>
                <w:sz w:val="24"/>
              </w:rPr>
              <w:t>排放。</w:t>
            </w:r>
            <w:r>
              <w:rPr>
                <w:color w:val="auto"/>
                <w:sz w:val="24"/>
              </w:rPr>
              <w:t>则处理后</w:t>
            </w:r>
            <w:r>
              <w:rPr>
                <w:rFonts w:hint="eastAsia"/>
                <w:color w:val="auto"/>
                <w:sz w:val="24"/>
              </w:rPr>
              <w:t>破碎粉尘</w:t>
            </w:r>
            <w:r>
              <w:rPr>
                <w:color w:val="auto"/>
                <w:sz w:val="24"/>
              </w:rPr>
              <w:t>有组织排放量为0.</w:t>
            </w:r>
            <w:r>
              <w:rPr>
                <w:rFonts w:hint="eastAsia"/>
                <w:color w:val="auto"/>
                <w:sz w:val="24"/>
              </w:rPr>
              <w:t>00</w:t>
            </w:r>
            <w:r>
              <w:rPr>
                <w:rFonts w:hint="eastAsia"/>
                <w:color w:val="auto"/>
                <w:sz w:val="24"/>
                <w:lang w:val="en-US" w:eastAsia="zh-CN"/>
              </w:rPr>
              <w:t>24</w:t>
            </w:r>
            <w:r>
              <w:rPr>
                <w:color w:val="auto"/>
                <w:sz w:val="24"/>
              </w:rPr>
              <w:t xml:space="preserve"> </w:t>
            </w:r>
            <w:r>
              <w:rPr>
                <w:rFonts w:hint="eastAsia"/>
                <w:color w:val="auto"/>
                <w:sz w:val="24"/>
              </w:rPr>
              <w:t>t</w:t>
            </w:r>
            <w:r>
              <w:rPr>
                <w:color w:val="auto"/>
                <w:sz w:val="24"/>
              </w:rPr>
              <w:t>/a，排放速率为</w:t>
            </w:r>
            <w:r>
              <w:rPr>
                <w:rFonts w:hint="eastAsia"/>
                <w:color w:val="auto"/>
                <w:sz w:val="24"/>
              </w:rPr>
              <w:t>0.00</w:t>
            </w:r>
            <w:r>
              <w:rPr>
                <w:rFonts w:hint="eastAsia"/>
                <w:color w:val="auto"/>
                <w:sz w:val="24"/>
                <w:lang w:val="en-US" w:eastAsia="zh-CN"/>
              </w:rPr>
              <w:t>08</w:t>
            </w:r>
            <w:r>
              <w:rPr>
                <w:rFonts w:hint="eastAsia"/>
                <w:color w:val="auto"/>
                <w:sz w:val="24"/>
              </w:rPr>
              <w:t xml:space="preserve"> kg/h，排放浓度为</w:t>
            </w:r>
            <w:r>
              <w:rPr>
                <w:rFonts w:hint="eastAsia"/>
                <w:color w:val="auto"/>
                <w:sz w:val="24"/>
                <w:lang w:val="en-US" w:eastAsia="zh-CN"/>
              </w:rPr>
              <w:t>0.08</w:t>
            </w:r>
            <w:r>
              <w:rPr>
                <w:rFonts w:hint="eastAsia"/>
                <w:color w:val="auto"/>
                <w:sz w:val="24"/>
              </w:rPr>
              <w:t xml:space="preserve"> mg/m</w:t>
            </w:r>
            <w:r>
              <w:rPr>
                <w:rFonts w:hint="eastAsia"/>
                <w:color w:val="auto"/>
                <w:sz w:val="24"/>
                <w:vertAlign w:val="superscript"/>
              </w:rPr>
              <w:t>3</w:t>
            </w:r>
            <w:r>
              <w:rPr>
                <w:rFonts w:hint="eastAsia"/>
                <w:color w:val="auto"/>
                <w:sz w:val="24"/>
              </w:rPr>
              <w:t>；</w:t>
            </w:r>
            <w:r>
              <w:rPr>
                <w:color w:val="auto"/>
                <w:sz w:val="24"/>
              </w:rPr>
              <w:t>无组织排放量为0.</w:t>
            </w:r>
            <w:r>
              <w:rPr>
                <w:rFonts w:hint="eastAsia"/>
                <w:color w:val="auto"/>
                <w:sz w:val="24"/>
              </w:rPr>
              <w:t>0</w:t>
            </w:r>
            <w:r>
              <w:rPr>
                <w:rFonts w:hint="eastAsia"/>
                <w:color w:val="auto"/>
                <w:sz w:val="24"/>
                <w:lang w:val="en-US" w:eastAsia="zh-CN"/>
              </w:rPr>
              <w:t>120</w:t>
            </w:r>
            <w:r>
              <w:rPr>
                <w:color w:val="auto"/>
                <w:sz w:val="24"/>
              </w:rPr>
              <w:t xml:space="preserve"> t/a</w:t>
            </w:r>
            <w:r>
              <w:rPr>
                <w:rFonts w:hint="eastAsia"/>
                <w:color w:val="auto"/>
                <w:sz w:val="24"/>
              </w:rPr>
              <w:t>，</w:t>
            </w:r>
            <w:r>
              <w:rPr>
                <w:color w:val="auto"/>
                <w:sz w:val="24"/>
              </w:rPr>
              <w:t>排放速率为</w:t>
            </w:r>
            <w:r>
              <w:rPr>
                <w:rFonts w:hint="eastAsia"/>
                <w:color w:val="auto"/>
                <w:sz w:val="24"/>
              </w:rPr>
              <w:t>0.0</w:t>
            </w:r>
            <w:r>
              <w:rPr>
                <w:rFonts w:hint="eastAsia"/>
                <w:color w:val="auto"/>
                <w:sz w:val="24"/>
                <w:lang w:val="en-US" w:eastAsia="zh-CN"/>
              </w:rPr>
              <w:t>040</w:t>
            </w:r>
            <w:r>
              <w:rPr>
                <w:rFonts w:hint="eastAsia"/>
                <w:color w:val="auto"/>
                <w:sz w:val="24"/>
              </w:rPr>
              <w:t xml:space="preserve"> kg/h</w:t>
            </w:r>
            <w:r>
              <w:rPr>
                <w:color w:val="auto"/>
                <w:sz w:val="24"/>
              </w:rPr>
              <w:t>。</w:t>
            </w:r>
          </w:p>
          <w:p>
            <w:pPr>
              <w:spacing w:line="360" w:lineRule="auto"/>
              <w:ind w:firstLine="470" w:firstLineChars="196"/>
              <w:rPr>
                <w:color w:val="000000"/>
                <w:sz w:val="24"/>
              </w:rPr>
            </w:pPr>
            <w:r>
              <w:rPr>
                <w:color w:val="000000"/>
                <w:sz w:val="24"/>
              </w:rPr>
              <w:t>根据工程分析结果，项目生产过程中废气污染物产生、处理及排放情况见表</w:t>
            </w:r>
            <w:r>
              <w:rPr>
                <w:rFonts w:hint="eastAsia"/>
                <w:color w:val="000000"/>
                <w:sz w:val="24"/>
              </w:rPr>
              <w:t>4</w:t>
            </w:r>
            <w:r>
              <w:rPr>
                <w:color w:val="000000"/>
                <w:sz w:val="24"/>
              </w:rPr>
              <w:t>-</w:t>
            </w:r>
            <w:r>
              <w:rPr>
                <w:rFonts w:hint="eastAsia"/>
                <w:color w:val="000000"/>
                <w:sz w:val="24"/>
                <w:lang w:val="en-US" w:eastAsia="zh-CN"/>
              </w:rPr>
              <w:t>2</w:t>
            </w:r>
            <w:r>
              <w:rPr>
                <w:color w:val="000000"/>
                <w:sz w:val="24"/>
              </w:rPr>
              <w:t>。</w:t>
            </w:r>
          </w:p>
          <w:p>
            <w:pPr>
              <w:widowControl/>
              <w:spacing w:line="360" w:lineRule="auto"/>
              <w:jc w:val="center"/>
              <w:rPr>
                <w:rFonts w:hAnsi="宋体"/>
                <w:b/>
                <w:color w:val="0D0D0D" w:themeColor="text1" w:themeTint="F2"/>
                <w:kern w:val="0"/>
                <w:sz w:val="24"/>
                <w:szCs w:val="20"/>
                <w14:textFill>
                  <w14:solidFill>
                    <w14:schemeClr w14:val="tx1">
                      <w14:lumMod w14:val="95000"/>
                      <w14:lumOff w14:val="5000"/>
                    </w14:schemeClr>
                  </w14:solidFill>
                </w14:textFill>
              </w:rPr>
            </w:pPr>
          </w:p>
          <w:p>
            <w:pPr>
              <w:spacing w:line="360" w:lineRule="auto"/>
              <w:ind w:firstLine="470" w:firstLineChars="196"/>
              <w:rPr>
                <w:color w:val="000000"/>
                <w:sz w:val="24"/>
              </w:rPr>
            </w:pPr>
          </w:p>
          <w:p>
            <w:pPr>
              <w:autoSpaceDE w:val="0"/>
              <w:autoSpaceDN w:val="0"/>
              <w:adjustRightInd w:val="0"/>
              <w:snapToGrid w:val="0"/>
              <w:rPr>
                <w:color w:val="000000"/>
                <w:sz w:val="24"/>
              </w:rPr>
            </w:pPr>
          </w:p>
          <w:p>
            <w:pPr>
              <w:autoSpaceDE w:val="0"/>
              <w:autoSpaceDN w:val="0"/>
              <w:adjustRightInd w:val="0"/>
              <w:snapToGrid w:val="0"/>
              <w:rPr>
                <w:color w:val="000000"/>
                <w:sz w:val="24"/>
              </w:rPr>
            </w:pPr>
          </w:p>
          <w:p>
            <w:pPr>
              <w:autoSpaceDE w:val="0"/>
              <w:autoSpaceDN w:val="0"/>
              <w:adjustRightInd w:val="0"/>
              <w:snapToGrid w:val="0"/>
              <w:rPr>
                <w:rFonts w:cs="宋体"/>
                <w:color w:val="000000"/>
                <w:kern w:val="0"/>
                <w:sz w:val="24"/>
              </w:rPr>
            </w:pPr>
          </w:p>
          <w:p>
            <w:pPr>
              <w:autoSpaceDE w:val="0"/>
              <w:autoSpaceDN w:val="0"/>
              <w:adjustRightInd w:val="0"/>
              <w:snapToGrid w:val="0"/>
              <w:rPr>
                <w:rFonts w:cs="宋体"/>
                <w:color w:val="000000"/>
                <w:kern w:val="0"/>
                <w:sz w:val="24"/>
              </w:rPr>
            </w:pPr>
          </w:p>
          <w:p>
            <w:pPr>
              <w:autoSpaceDE w:val="0"/>
              <w:autoSpaceDN w:val="0"/>
              <w:adjustRightInd w:val="0"/>
              <w:snapToGrid w:val="0"/>
              <w:rPr>
                <w:rFonts w:cs="宋体"/>
                <w:color w:val="000000"/>
                <w:kern w:val="0"/>
                <w:sz w:val="24"/>
              </w:rPr>
            </w:pPr>
          </w:p>
          <w:p>
            <w:pPr>
              <w:autoSpaceDE w:val="0"/>
              <w:autoSpaceDN w:val="0"/>
              <w:adjustRightInd w:val="0"/>
              <w:snapToGrid w:val="0"/>
              <w:rPr>
                <w:rFonts w:cs="宋体"/>
                <w:color w:val="000000"/>
                <w:kern w:val="0"/>
                <w:sz w:val="24"/>
              </w:rPr>
            </w:pPr>
          </w:p>
          <w:p>
            <w:pPr>
              <w:pStyle w:val="2"/>
              <w:rPr>
                <w:rFonts w:cs="宋体"/>
                <w:color w:val="000000"/>
                <w:kern w:val="0"/>
                <w:sz w:val="24"/>
              </w:rPr>
            </w:pPr>
          </w:p>
          <w:p>
            <w:pPr>
              <w:rPr>
                <w:rFonts w:cs="宋体"/>
                <w:color w:val="000000"/>
                <w:kern w:val="0"/>
                <w:sz w:val="24"/>
              </w:rPr>
            </w:pPr>
          </w:p>
          <w:p>
            <w:pPr>
              <w:pStyle w:val="2"/>
              <w:rPr>
                <w:rFonts w:cs="宋体"/>
                <w:color w:val="000000"/>
                <w:kern w:val="0"/>
                <w:sz w:val="24"/>
              </w:rPr>
            </w:pPr>
          </w:p>
          <w:p>
            <w:pPr>
              <w:rPr>
                <w:rFonts w:cs="宋体"/>
                <w:color w:val="000000"/>
                <w:kern w:val="0"/>
                <w:sz w:val="24"/>
              </w:rPr>
            </w:pPr>
          </w:p>
          <w:p>
            <w:pPr>
              <w:pStyle w:val="2"/>
              <w:rPr>
                <w:rFonts w:cs="宋体"/>
                <w:color w:val="000000"/>
                <w:kern w:val="0"/>
                <w:sz w:val="24"/>
              </w:rPr>
            </w:pPr>
          </w:p>
          <w:p>
            <w:pPr>
              <w:rPr>
                <w:rFonts w:cs="宋体"/>
                <w:color w:val="000000"/>
                <w:kern w:val="0"/>
                <w:sz w:val="24"/>
              </w:rPr>
            </w:pPr>
          </w:p>
          <w:p>
            <w:pPr>
              <w:pStyle w:val="2"/>
              <w:rPr>
                <w:rFonts w:cs="宋体"/>
                <w:color w:val="000000"/>
                <w:kern w:val="0"/>
                <w:sz w:val="24"/>
              </w:rPr>
            </w:pPr>
          </w:p>
          <w:p>
            <w:pPr>
              <w:rPr>
                <w:rFonts w:cs="宋体"/>
                <w:color w:val="000000"/>
                <w:kern w:val="0"/>
                <w:sz w:val="24"/>
              </w:rPr>
            </w:pPr>
          </w:p>
          <w:p>
            <w:pPr>
              <w:pStyle w:val="2"/>
              <w:rPr>
                <w:rFonts w:cs="宋体"/>
                <w:color w:val="000000"/>
                <w:kern w:val="0"/>
                <w:sz w:val="24"/>
              </w:rPr>
            </w:pPr>
          </w:p>
          <w:p>
            <w:pPr>
              <w:rPr>
                <w:rFonts w:cs="宋体"/>
                <w:color w:val="000000"/>
                <w:kern w:val="0"/>
                <w:sz w:val="24"/>
              </w:rPr>
            </w:pPr>
          </w:p>
          <w:p>
            <w:pPr>
              <w:pStyle w:val="2"/>
              <w:rPr>
                <w:rFonts w:cs="宋体"/>
                <w:color w:val="000000"/>
                <w:kern w:val="0"/>
                <w:sz w:val="24"/>
              </w:rPr>
            </w:pPr>
          </w:p>
          <w:p>
            <w:pPr>
              <w:rPr>
                <w:rFonts w:cs="宋体"/>
                <w:color w:val="000000"/>
                <w:kern w:val="0"/>
                <w:sz w:val="24"/>
              </w:rPr>
            </w:pPr>
          </w:p>
          <w:p>
            <w:pPr>
              <w:pStyle w:val="2"/>
              <w:rPr>
                <w:rFonts w:cs="宋体"/>
                <w:color w:val="000000"/>
                <w:kern w:val="0"/>
                <w:sz w:val="24"/>
              </w:rPr>
            </w:pPr>
          </w:p>
          <w:p/>
          <w:p>
            <w:pPr>
              <w:autoSpaceDE w:val="0"/>
              <w:autoSpaceDN w:val="0"/>
              <w:adjustRightInd w:val="0"/>
              <w:snapToGrid w:val="0"/>
              <w:rPr>
                <w:rFonts w:cs="宋体"/>
                <w:color w:val="000000"/>
                <w:kern w:val="0"/>
                <w:sz w:val="24"/>
              </w:rPr>
            </w:pPr>
          </w:p>
          <w:p>
            <w:pPr>
              <w:autoSpaceDE w:val="0"/>
              <w:autoSpaceDN w:val="0"/>
              <w:adjustRightInd w:val="0"/>
              <w:snapToGrid w:val="0"/>
              <w:rPr>
                <w:rFonts w:cs="宋体"/>
                <w:color w:val="000000"/>
                <w:kern w:val="0"/>
                <w:sz w:val="24"/>
              </w:rPr>
            </w:pPr>
          </w:p>
        </w:tc>
      </w:tr>
    </w:tbl>
    <w:p>
      <w:pPr>
        <w:tabs>
          <w:tab w:val="left" w:pos="1077"/>
        </w:tabs>
        <w:rPr>
          <w:rFonts w:cs="宋体"/>
          <w:color w:val="000000"/>
          <w:sz w:val="24"/>
        </w:rPr>
        <w:sectPr>
          <w:pgSz w:w="11907" w:h="16840"/>
          <w:pgMar w:top="1701" w:right="1531" w:bottom="2127" w:left="1531" w:header="851" w:footer="851" w:gutter="0"/>
          <w:cols w:space="720" w:num="1"/>
          <w:docGrid w:linePitch="312" w:charSpace="0"/>
        </w:sectPr>
      </w:pPr>
    </w:p>
    <w:tbl>
      <w:tblPr>
        <w:tblStyle w:val="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2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83" w:hRule="atLeast"/>
        </w:trPr>
        <w:tc>
          <w:tcPr>
            <w:tcW w:w="456" w:type="dxa"/>
            <w:shd w:val="clear" w:color="auto" w:fill="auto"/>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运营</w:t>
            </w:r>
          </w:p>
          <w:p>
            <w:pPr>
              <w:autoSpaceDE w:val="0"/>
              <w:autoSpaceDN w:val="0"/>
              <w:adjustRightInd w:val="0"/>
              <w:snapToGrid w:val="0"/>
              <w:jc w:val="center"/>
              <w:rPr>
                <w:rFonts w:cs="宋体"/>
                <w:color w:val="000000"/>
                <w:kern w:val="0"/>
                <w:sz w:val="24"/>
              </w:rPr>
            </w:pPr>
            <w:r>
              <w:rPr>
                <w:rFonts w:hint="eastAsia" w:cs="宋体"/>
                <w:color w:val="000000"/>
                <w:kern w:val="0"/>
                <w:sz w:val="24"/>
              </w:rPr>
              <w:t>期环</w:t>
            </w:r>
          </w:p>
          <w:p>
            <w:pPr>
              <w:autoSpaceDE w:val="0"/>
              <w:autoSpaceDN w:val="0"/>
              <w:adjustRightInd w:val="0"/>
              <w:snapToGrid w:val="0"/>
              <w:jc w:val="center"/>
              <w:rPr>
                <w:rFonts w:cs="宋体"/>
                <w:color w:val="000000"/>
                <w:kern w:val="0"/>
                <w:sz w:val="24"/>
              </w:rPr>
            </w:pPr>
            <w:r>
              <w:rPr>
                <w:rFonts w:hint="eastAsia" w:cs="宋体"/>
                <w:color w:val="000000"/>
                <w:kern w:val="0"/>
                <w:sz w:val="24"/>
              </w:rPr>
              <w:t>境影</w:t>
            </w:r>
          </w:p>
          <w:p>
            <w:pPr>
              <w:autoSpaceDE w:val="0"/>
              <w:autoSpaceDN w:val="0"/>
              <w:adjustRightInd w:val="0"/>
              <w:snapToGrid w:val="0"/>
              <w:jc w:val="center"/>
              <w:rPr>
                <w:rFonts w:cs="宋体"/>
                <w:color w:val="000000"/>
                <w:kern w:val="0"/>
                <w:sz w:val="24"/>
              </w:rPr>
            </w:pPr>
            <w:r>
              <w:rPr>
                <w:rFonts w:hint="eastAsia" w:cs="宋体"/>
                <w:color w:val="000000"/>
                <w:kern w:val="0"/>
                <w:sz w:val="24"/>
              </w:rPr>
              <w:t>响和</w:t>
            </w:r>
          </w:p>
          <w:p>
            <w:pPr>
              <w:autoSpaceDE w:val="0"/>
              <w:autoSpaceDN w:val="0"/>
              <w:adjustRightInd w:val="0"/>
              <w:snapToGrid w:val="0"/>
              <w:jc w:val="center"/>
              <w:rPr>
                <w:rFonts w:cs="宋体"/>
                <w:color w:val="000000"/>
                <w:kern w:val="0"/>
                <w:sz w:val="24"/>
              </w:rPr>
            </w:pPr>
            <w:r>
              <w:rPr>
                <w:rFonts w:hint="eastAsia" w:cs="宋体"/>
                <w:color w:val="000000"/>
                <w:kern w:val="0"/>
                <w:sz w:val="24"/>
              </w:rPr>
              <w:t>保护</w:t>
            </w:r>
          </w:p>
          <w:p>
            <w:pPr>
              <w:tabs>
                <w:tab w:val="left" w:pos="1077"/>
              </w:tabs>
              <w:jc w:val="center"/>
              <w:rPr>
                <w:rFonts w:cs="宋体"/>
                <w:color w:val="000000"/>
                <w:sz w:val="24"/>
              </w:rPr>
            </w:pPr>
            <w:r>
              <w:rPr>
                <w:rFonts w:hint="eastAsia" w:cs="宋体"/>
                <w:color w:val="000000"/>
                <w:kern w:val="0"/>
                <w:sz w:val="24"/>
              </w:rPr>
              <w:t>措施</w:t>
            </w:r>
          </w:p>
        </w:tc>
        <w:tc>
          <w:tcPr>
            <w:tcW w:w="12772" w:type="dxa"/>
            <w:shd w:val="clear" w:color="auto" w:fill="auto"/>
          </w:tcPr>
          <w:p>
            <w:pPr>
              <w:spacing w:before="120" w:beforeLines="50"/>
              <w:jc w:val="center"/>
            </w:pPr>
            <w:r>
              <w:rPr>
                <w:b/>
                <w:color w:val="000000"/>
                <w:sz w:val="24"/>
              </w:rPr>
              <w:t>表</w:t>
            </w:r>
            <w:r>
              <w:rPr>
                <w:rFonts w:hint="eastAsia"/>
                <w:b/>
                <w:color w:val="000000"/>
                <w:sz w:val="24"/>
              </w:rPr>
              <w:t>4</w:t>
            </w:r>
            <w:r>
              <w:rPr>
                <w:b/>
                <w:color w:val="000000"/>
                <w:sz w:val="24"/>
              </w:rPr>
              <w:t>-</w:t>
            </w:r>
            <w:r>
              <w:rPr>
                <w:rFonts w:hint="eastAsia"/>
                <w:b/>
                <w:color w:val="000000"/>
                <w:sz w:val="24"/>
                <w:lang w:val="en-US" w:eastAsia="zh-CN"/>
              </w:rPr>
              <w:t>2</w:t>
            </w:r>
            <w:r>
              <w:rPr>
                <w:b/>
                <w:color w:val="000000"/>
                <w:sz w:val="24"/>
              </w:rPr>
              <w:t xml:space="preserve">  项目废气产生、治理及排放状况表</w:t>
            </w:r>
          </w:p>
          <w:tbl>
            <w:tblPr>
              <w:tblStyle w:val="58"/>
              <w:tblW w:w="12578" w:type="dxa"/>
              <w:jc w:val="center"/>
              <w:tblBorders>
                <w:top w:val="single" w:color="auto" w:sz="4" w:space="0"/>
                <w:left w:val="none" w:color="auto" w:sz="0" w:space="0"/>
                <w:bottom w:val="single" w:color="auto" w:sz="4" w:space="0"/>
                <w:right w:val="none" w:color="auto" w:sz="0" w:space="0"/>
                <w:insideH w:val="single" w:color="000000" w:sz="12" w:space="0"/>
                <w:insideV w:val="single" w:color="000000" w:sz="12" w:space="0"/>
              </w:tblBorders>
              <w:tblLayout w:type="fixed"/>
              <w:tblCellMar>
                <w:top w:w="0" w:type="dxa"/>
                <w:left w:w="0" w:type="dxa"/>
                <w:bottom w:w="0" w:type="dxa"/>
                <w:right w:w="0" w:type="dxa"/>
              </w:tblCellMar>
            </w:tblPr>
            <w:tblGrid>
              <w:gridCol w:w="303"/>
              <w:gridCol w:w="559"/>
              <w:gridCol w:w="1020"/>
              <w:gridCol w:w="1222"/>
              <w:gridCol w:w="1074"/>
              <w:gridCol w:w="903"/>
              <w:gridCol w:w="828"/>
              <w:gridCol w:w="1072"/>
              <w:gridCol w:w="680"/>
              <w:gridCol w:w="1181"/>
              <w:gridCol w:w="1073"/>
              <w:gridCol w:w="1043"/>
              <w:gridCol w:w="848"/>
              <w:gridCol w:w="772"/>
            </w:tblGrid>
            <w:tr>
              <w:tblPrEx>
                <w:tblBorders>
                  <w:top w:val="single" w:color="auto" w:sz="4" w:space="0"/>
                  <w:left w:val="none" w:color="auto" w:sz="0" w:space="0"/>
                  <w:bottom w:val="single" w:color="auto" w:sz="4"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205" w:hRule="atLeast"/>
                <w:jc w:val="center"/>
              </w:trPr>
              <w:tc>
                <w:tcPr>
                  <w:tcW w:w="862" w:type="dxa"/>
                  <w:gridSpan w:val="2"/>
                  <w:vMerge w:val="restart"/>
                  <w:tcBorders>
                    <w:bottom w:val="single" w:color="000000" w:sz="4" w:space="0"/>
                    <w:right w:val="single" w:color="000000" w:sz="4" w:space="0"/>
                  </w:tcBorders>
                  <w:vAlign w:val="center"/>
                </w:tcPr>
                <w:p>
                  <w:pPr>
                    <w:pStyle w:val="218"/>
                    <w:ind w:left="184"/>
                    <w:rPr>
                      <w:rFonts w:hint="eastAsia" w:ascii="宋体" w:hAnsi="宋体" w:eastAsia="宋体" w:cs="宋体"/>
                      <w:b/>
                      <w:sz w:val="21"/>
                      <w:szCs w:val="21"/>
                    </w:rPr>
                  </w:pPr>
                  <w:r>
                    <w:rPr>
                      <w:rFonts w:hint="eastAsia" w:ascii="宋体" w:hAnsi="宋体" w:eastAsia="宋体" w:cs="宋体"/>
                      <w:b/>
                      <w:sz w:val="21"/>
                      <w:szCs w:val="21"/>
                    </w:rPr>
                    <w:t>废气产污环节</w:t>
                  </w:r>
                </w:p>
              </w:tc>
              <w:tc>
                <w:tcPr>
                  <w:tcW w:w="1020" w:type="dxa"/>
                  <w:vMerge w:val="restart"/>
                  <w:tcBorders>
                    <w:left w:val="single" w:color="000000" w:sz="4" w:space="0"/>
                    <w:bottom w:val="single" w:color="000000" w:sz="4" w:space="0"/>
                    <w:right w:val="single" w:color="000000" w:sz="4" w:space="0"/>
                  </w:tcBorders>
                  <w:vAlign w:val="center"/>
                </w:tcPr>
                <w:p>
                  <w:pPr>
                    <w:pStyle w:val="218"/>
                    <w:spacing w:line="242" w:lineRule="auto"/>
                    <w:ind w:right="274"/>
                    <w:jc w:val="both"/>
                    <w:rPr>
                      <w:rFonts w:hint="eastAsia" w:ascii="宋体" w:hAnsi="宋体" w:eastAsia="宋体" w:cs="宋体"/>
                      <w:b/>
                      <w:sz w:val="21"/>
                      <w:szCs w:val="21"/>
                    </w:rPr>
                  </w:pPr>
                  <w:r>
                    <w:rPr>
                      <w:rFonts w:hint="eastAsia" w:ascii="宋体" w:hAnsi="宋体" w:eastAsia="宋体" w:cs="宋体"/>
                      <w:b/>
                      <w:sz w:val="21"/>
                      <w:szCs w:val="21"/>
                    </w:rPr>
                    <w:t>污染物种类</w:t>
                  </w:r>
                </w:p>
              </w:tc>
              <w:tc>
                <w:tcPr>
                  <w:tcW w:w="3199" w:type="dxa"/>
                  <w:gridSpan w:val="3"/>
                  <w:tcBorders>
                    <w:left w:val="single" w:color="000000" w:sz="4" w:space="0"/>
                    <w:bottom w:val="single" w:color="000000" w:sz="4" w:space="0"/>
                    <w:right w:val="single" w:color="000000" w:sz="4" w:space="0"/>
                  </w:tcBorders>
                  <w:vAlign w:val="center"/>
                </w:tcPr>
                <w:p>
                  <w:pPr>
                    <w:pStyle w:val="218"/>
                    <w:spacing w:before="48"/>
                    <w:ind w:left="439"/>
                    <w:rPr>
                      <w:rFonts w:hint="eastAsia" w:ascii="宋体" w:hAnsi="宋体" w:eastAsia="宋体" w:cs="宋体"/>
                      <w:b/>
                      <w:sz w:val="21"/>
                      <w:szCs w:val="21"/>
                    </w:rPr>
                  </w:pPr>
                  <w:r>
                    <w:rPr>
                      <w:rFonts w:hint="eastAsia" w:ascii="宋体" w:hAnsi="宋体" w:eastAsia="宋体" w:cs="宋体"/>
                      <w:b/>
                      <w:sz w:val="21"/>
                      <w:szCs w:val="21"/>
                    </w:rPr>
                    <w:t>污染物产生情况</w:t>
                  </w:r>
                </w:p>
              </w:tc>
              <w:tc>
                <w:tcPr>
                  <w:tcW w:w="828" w:type="dxa"/>
                  <w:vMerge w:val="restart"/>
                  <w:tcBorders>
                    <w:left w:val="single" w:color="000000" w:sz="4" w:space="0"/>
                    <w:bottom w:val="single" w:color="000000" w:sz="4" w:space="0"/>
                    <w:right w:val="single" w:color="000000" w:sz="4" w:space="0"/>
                  </w:tcBorders>
                  <w:vAlign w:val="center"/>
                </w:tcPr>
                <w:p>
                  <w:pPr>
                    <w:pStyle w:val="218"/>
                    <w:spacing w:line="242" w:lineRule="auto"/>
                    <w:ind w:left="226" w:right="203"/>
                    <w:rPr>
                      <w:rFonts w:hint="eastAsia" w:ascii="宋体" w:hAnsi="宋体" w:eastAsia="宋体" w:cs="宋体"/>
                      <w:b/>
                      <w:sz w:val="21"/>
                      <w:szCs w:val="21"/>
                    </w:rPr>
                  </w:pPr>
                  <w:r>
                    <w:rPr>
                      <w:rFonts w:hint="eastAsia" w:ascii="宋体" w:hAnsi="宋体" w:eastAsia="宋体" w:cs="宋体"/>
                      <w:b/>
                      <w:sz w:val="21"/>
                      <w:szCs w:val="21"/>
                    </w:rPr>
                    <w:t>排放形式</w:t>
                  </w:r>
                </w:p>
              </w:tc>
              <w:tc>
                <w:tcPr>
                  <w:tcW w:w="2933" w:type="dxa"/>
                  <w:gridSpan w:val="3"/>
                  <w:tcBorders>
                    <w:left w:val="single" w:color="000000" w:sz="4" w:space="0"/>
                    <w:bottom w:val="single" w:color="000000" w:sz="4" w:space="0"/>
                    <w:right w:val="single" w:color="000000" w:sz="4" w:space="0"/>
                  </w:tcBorders>
                  <w:vAlign w:val="center"/>
                </w:tcPr>
                <w:p>
                  <w:pPr>
                    <w:pStyle w:val="218"/>
                    <w:spacing w:before="48"/>
                    <w:jc w:val="both"/>
                    <w:rPr>
                      <w:rFonts w:hint="eastAsia" w:ascii="宋体" w:hAnsi="宋体" w:eastAsia="宋体" w:cs="宋体"/>
                      <w:b/>
                      <w:sz w:val="21"/>
                      <w:szCs w:val="21"/>
                    </w:rPr>
                  </w:pPr>
                  <w:r>
                    <w:rPr>
                      <w:rFonts w:hint="eastAsia" w:ascii="宋体" w:hAnsi="宋体" w:eastAsia="宋体" w:cs="宋体"/>
                      <w:b/>
                      <w:sz w:val="21"/>
                      <w:szCs w:val="21"/>
                    </w:rPr>
                    <w:t>治理设施情况</w:t>
                  </w:r>
                </w:p>
              </w:tc>
              <w:tc>
                <w:tcPr>
                  <w:tcW w:w="2964" w:type="dxa"/>
                  <w:gridSpan w:val="3"/>
                  <w:tcBorders>
                    <w:left w:val="single" w:color="000000" w:sz="4" w:space="0"/>
                    <w:bottom w:val="single" w:color="000000" w:sz="4" w:space="0"/>
                    <w:right w:val="single" w:color="000000" w:sz="4" w:space="0"/>
                  </w:tcBorders>
                  <w:vAlign w:val="center"/>
                </w:tcPr>
                <w:p>
                  <w:pPr>
                    <w:pStyle w:val="218"/>
                    <w:spacing w:before="48"/>
                    <w:ind w:left="509"/>
                    <w:rPr>
                      <w:rFonts w:hint="eastAsia" w:ascii="宋体" w:hAnsi="宋体" w:eastAsia="宋体" w:cs="宋体"/>
                      <w:b/>
                      <w:sz w:val="21"/>
                      <w:szCs w:val="21"/>
                    </w:rPr>
                  </w:pPr>
                  <w:r>
                    <w:rPr>
                      <w:rFonts w:hint="eastAsia" w:ascii="宋体" w:hAnsi="宋体" w:eastAsia="宋体" w:cs="宋体"/>
                      <w:b/>
                      <w:sz w:val="21"/>
                      <w:szCs w:val="21"/>
                    </w:rPr>
                    <w:t>污染物排放情况</w:t>
                  </w:r>
                </w:p>
              </w:tc>
              <w:tc>
                <w:tcPr>
                  <w:tcW w:w="772" w:type="dxa"/>
                  <w:vMerge w:val="restart"/>
                  <w:tcBorders>
                    <w:left w:val="single" w:color="000000" w:sz="4" w:space="0"/>
                  </w:tcBorders>
                  <w:vAlign w:val="center"/>
                </w:tcPr>
                <w:p>
                  <w:pPr>
                    <w:pStyle w:val="218"/>
                    <w:spacing w:before="48"/>
                    <w:jc w:val="both"/>
                    <w:rPr>
                      <w:rFonts w:hint="eastAsia" w:ascii="宋体" w:hAnsi="宋体" w:eastAsia="宋体" w:cs="宋体"/>
                      <w:b/>
                      <w:sz w:val="21"/>
                      <w:szCs w:val="21"/>
                      <w:lang w:val="en-US" w:eastAsia="zh-CN"/>
                    </w:rPr>
                  </w:pPr>
                  <w:r>
                    <w:rPr>
                      <w:rFonts w:hint="eastAsia" w:ascii="宋体" w:hAnsi="宋体" w:eastAsia="宋体" w:cs="宋体"/>
                      <w:b/>
                      <w:sz w:val="21"/>
                      <w:szCs w:val="21"/>
                      <w:lang w:val="en-US" w:eastAsia="zh-CN"/>
                    </w:rPr>
                    <w:t>排放口编号</w:t>
                  </w:r>
                </w:p>
              </w:tc>
            </w:tr>
            <w:tr>
              <w:tblPrEx>
                <w:tblBorders>
                  <w:top w:val="single" w:color="auto" w:sz="4" w:space="0"/>
                  <w:left w:val="none" w:color="auto" w:sz="0" w:space="0"/>
                  <w:bottom w:val="single" w:color="auto" w:sz="4"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616" w:hRule="atLeast"/>
                <w:jc w:val="center"/>
              </w:trPr>
              <w:tc>
                <w:tcPr>
                  <w:tcW w:w="862" w:type="dxa"/>
                  <w:gridSpan w:val="2"/>
                  <w:vMerge w:val="continue"/>
                  <w:tcBorders>
                    <w:top w:val="nil"/>
                    <w:bottom w:val="single" w:color="000000" w:sz="4" w:space="0"/>
                    <w:right w:val="single" w:color="000000" w:sz="4" w:space="0"/>
                  </w:tcBorders>
                  <w:vAlign w:val="center"/>
                </w:tcPr>
                <w:p>
                  <w:pPr>
                    <w:rPr>
                      <w:rFonts w:hint="eastAsia" w:ascii="宋体" w:hAnsi="宋体" w:eastAsia="宋体" w:cs="宋体"/>
                      <w:sz w:val="21"/>
                      <w:szCs w:val="21"/>
                    </w:rPr>
                  </w:pPr>
                </w:p>
              </w:tc>
              <w:tc>
                <w:tcPr>
                  <w:tcW w:w="1020" w:type="dxa"/>
                  <w:vMerge w:val="continue"/>
                  <w:tcBorders>
                    <w:top w:val="nil"/>
                    <w:left w:val="single" w:color="000000" w:sz="4" w:space="0"/>
                    <w:bottom w:val="single" w:color="000000" w:sz="4" w:space="0"/>
                    <w:right w:val="single" w:color="000000" w:sz="4" w:space="0"/>
                  </w:tcBorders>
                  <w:vAlign w:val="center"/>
                </w:tcPr>
                <w:p>
                  <w:pPr>
                    <w:rPr>
                      <w:rFonts w:hint="eastAsia" w:ascii="宋体" w:hAnsi="宋体" w:eastAsia="宋体" w:cs="宋体"/>
                      <w:sz w:val="21"/>
                      <w:szCs w:val="21"/>
                    </w:rPr>
                  </w:pPr>
                </w:p>
              </w:tc>
              <w:tc>
                <w:tcPr>
                  <w:tcW w:w="1222" w:type="dxa"/>
                  <w:tcBorders>
                    <w:top w:val="single" w:color="000000" w:sz="4" w:space="0"/>
                    <w:left w:val="single" w:color="000000" w:sz="4" w:space="0"/>
                    <w:bottom w:val="single" w:color="000000" w:sz="4" w:space="0"/>
                    <w:right w:val="single" w:color="000000" w:sz="4" w:space="0"/>
                  </w:tcBorders>
                  <w:vAlign w:val="center"/>
                </w:tcPr>
                <w:p>
                  <w:pPr>
                    <w:pStyle w:val="218"/>
                    <w:spacing w:before="46" w:line="269" w:lineRule="exact"/>
                    <w:ind w:left="64" w:right="38"/>
                    <w:jc w:val="center"/>
                    <w:rPr>
                      <w:rFonts w:hint="eastAsia" w:ascii="宋体" w:hAnsi="宋体" w:eastAsia="宋体" w:cs="宋体"/>
                      <w:b/>
                      <w:sz w:val="21"/>
                      <w:szCs w:val="21"/>
                    </w:rPr>
                  </w:pPr>
                  <w:r>
                    <w:rPr>
                      <w:rFonts w:hint="eastAsia" w:ascii="宋体" w:hAnsi="宋体" w:eastAsia="宋体" w:cs="宋体"/>
                      <w:b/>
                      <w:sz w:val="21"/>
                      <w:szCs w:val="21"/>
                    </w:rPr>
                    <w:t>产生量</w:t>
                  </w:r>
                </w:p>
                <w:p>
                  <w:pPr>
                    <w:pStyle w:val="218"/>
                    <w:spacing w:line="241" w:lineRule="exact"/>
                    <w:ind w:left="61" w:right="38"/>
                    <w:jc w:val="center"/>
                    <w:rPr>
                      <w:rFonts w:hint="eastAsia" w:ascii="宋体" w:hAnsi="宋体" w:eastAsia="宋体" w:cs="宋体"/>
                      <w:b/>
                      <w:sz w:val="21"/>
                      <w:szCs w:val="21"/>
                    </w:rPr>
                  </w:pPr>
                  <w:r>
                    <w:rPr>
                      <w:rFonts w:hint="eastAsia" w:ascii="宋体" w:hAnsi="宋体" w:eastAsia="宋体" w:cs="宋体"/>
                      <w:b/>
                      <w:sz w:val="21"/>
                      <w:szCs w:val="21"/>
                    </w:rPr>
                    <w:t>t/a</w:t>
                  </w:r>
                </w:p>
              </w:tc>
              <w:tc>
                <w:tcPr>
                  <w:tcW w:w="1074" w:type="dxa"/>
                  <w:tcBorders>
                    <w:top w:val="single" w:color="000000" w:sz="4" w:space="0"/>
                    <w:left w:val="single" w:color="000000" w:sz="4" w:space="0"/>
                    <w:bottom w:val="single" w:color="000000" w:sz="4" w:space="0"/>
                    <w:right w:val="single" w:color="000000" w:sz="4" w:space="0"/>
                  </w:tcBorders>
                  <w:vAlign w:val="center"/>
                </w:tcPr>
                <w:p>
                  <w:pPr>
                    <w:pStyle w:val="218"/>
                    <w:spacing w:before="46" w:line="269" w:lineRule="exact"/>
                    <w:ind w:left="201"/>
                    <w:rPr>
                      <w:rFonts w:hint="eastAsia" w:ascii="宋体" w:hAnsi="宋体" w:eastAsia="宋体" w:cs="宋体"/>
                      <w:b/>
                      <w:sz w:val="21"/>
                      <w:szCs w:val="21"/>
                    </w:rPr>
                  </w:pPr>
                  <w:r>
                    <w:rPr>
                      <w:rFonts w:hint="eastAsia" w:ascii="宋体" w:hAnsi="宋体" w:eastAsia="宋体" w:cs="宋体"/>
                      <w:b/>
                      <w:sz w:val="21"/>
                      <w:szCs w:val="21"/>
                    </w:rPr>
                    <w:t>速率</w:t>
                  </w:r>
                </w:p>
                <w:p>
                  <w:pPr>
                    <w:pStyle w:val="218"/>
                    <w:spacing w:line="241" w:lineRule="exact"/>
                    <w:ind w:left="215"/>
                    <w:rPr>
                      <w:rFonts w:hint="eastAsia" w:ascii="宋体" w:hAnsi="宋体" w:eastAsia="宋体" w:cs="宋体"/>
                      <w:b/>
                      <w:sz w:val="21"/>
                      <w:szCs w:val="21"/>
                    </w:rPr>
                  </w:pPr>
                  <w:r>
                    <w:rPr>
                      <w:rFonts w:hint="eastAsia" w:ascii="宋体" w:hAnsi="宋体" w:eastAsia="宋体" w:cs="宋体"/>
                      <w:b/>
                      <w:sz w:val="21"/>
                      <w:szCs w:val="21"/>
                    </w:rPr>
                    <w:t>kg/h</w:t>
                  </w:r>
                </w:p>
              </w:tc>
              <w:tc>
                <w:tcPr>
                  <w:tcW w:w="903" w:type="dxa"/>
                  <w:tcBorders>
                    <w:top w:val="single" w:color="000000" w:sz="4" w:space="0"/>
                    <w:left w:val="single" w:color="000000" w:sz="4" w:space="0"/>
                    <w:bottom w:val="single" w:color="000000" w:sz="4" w:space="0"/>
                    <w:right w:val="single" w:color="000000" w:sz="4" w:space="0"/>
                  </w:tcBorders>
                  <w:vAlign w:val="center"/>
                </w:tcPr>
                <w:p>
                  <w:pPr>
                    <w:pStyle w:val="218"/>
                    <w:spacing w:before="46" w:line="269" w:lineRule="exact"/>
                    <w:ind w:left="166"/>
                    <w:rPr>
                      <w:rFonts w:hint="eastAsia" w:ascii="宋体" w:hAnsi="宋体" w:eastAsia="宋体" w:cs="宋体"/>
                      <w:b/>
                      <w:sz w:val="21"/>
                      <w:szCs w:val="21"/>
                    </w:rPr>
                  </w:pPr>
                  <w:r>
                    <w:rPr>
                      <w:rFonts w:hint="eastAsia" w:ascii="宋体" w:hAnsi="宋体" w:eastAsia="宋体" w:cs="宋体"/>
                      <w:b/>
                      <w:sz w:val="21"/>
                      <w:szCs w:val="21"/>
                    </w:rPr>
                    <w:t>浓度</w:t>
                  </w:r>
                </w:p>
                <w:p>
                  <w:pPr>
                    <w:pStyle w:val="218"/>
                    <w:spacing w:line="241" w:lineRule="exact"/>
                    <w:ind w:left="89"/>
                    <w:rPr>
                      <w:rFonts w:hint="eastAsia" w:ascii="宋体" w:hAnsi="宋体" w:eastAsia="宋体" w:cs="宋体"/>
                      <w:b/>
                      <w:sz w:val="21"/>
                      <w:szCs w:val="21"/>
                    </w:rPr>
                  </w:pPr>
                  <w:r>
                    <w:rPr>
                      <w:rFonts w:hint="eastAsia" w:ascii="宋体" w:hAnsi="宋体" w:eastAsia="宋体" w:cs="宋体"/>
                      <w:b/>
                      <w:spacing w:val="-3"/>
                      <w:sz w:val="21"/>
                      <w:szCs w:val="21"/>
                    </w:rPr>
                    <w:t>mg/m³</w:t>
                  </w:r>
                </w:p>
              </w:tc>
              <w:tc>
                <w:tcPr>
                  <w:tcW w:w="828" w:type="dxa"/>
                  <w:vMerge w:val="continue"/>
                  <w:tcBorders>
                    <w:top w:val="nil"/>
                    <w:left w:val="single" w:color="000000" w:sz="4" w:space="0"/>
                    <w:bottom w:val="single" w:color="000000" w:sz="4" w:space="0"/>
                    <w:right w:val="single" w:color="000000" w:sz="4" w:space="0"/>
                  </w:tcBorders>
                  <w:vAlign w:val="center"/>
                </w:tcPr>
                <w:p>
                  <w:pPr>
                    <w:rPr>
                      <w:rFonts w:hint="eastAsia" w:ascii="宋体" w:hAnsi="宋体" w:eastAsia="宋体" w:cs="宋体"/>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pStyle w:val="218"/>
                    <w:spacing w:before="166"/>
                    <w:ind w:left="180" w:right="158"/>
                    <w:jc w:val="center"/>
                    <w:rPr>
                      <w:rFonts w:hint="eastAsia" w:ascii="宋体" w:hAnsi="宋体" w:eastAsia="宋体" w:cs="宋体"/>
                      <w:b/>
                      <w:sz w:val="21"/>
                      <w:szCs w:val="21"/>
                    </w:rPr>
                  </w:pPr>
                  <w:r>
                    <w:rPr>
                      <w:rFonts w:hint="eastAsia" w:ascii="宋体" w:hAnsi="宋体" w:eastAsia="宋体" w:cs="宋体"/>
                      <w:b/>
                      <w:sz w:val="21"/>
                      <w:szCs w:val="21"/>
                    </w:rPr>
                    <w:t>治理工艺名称</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8"/>
                    <w:spacing w:before="30" w:line="244" w:lineRule="auto"/>
                    <w:ind w:left="89" w:right="64"/>
                    <w:rPr>
                      <w:rFonts w:hint="eastAsia" w:ascii="宋体" w:hAnsi="宋体" w:eastAsia="宋体" w:cs="宋体"/>
                      <w:b/>
                      <w:sz w:val="21"/>
                      <w:szCs w:val="21"/>
                    </w:rPr>
                  </w:pPr>
                  <w:r>
                    <w:rPr>
                      <w:rFonts w:hint="eastAsia" w:ascii="宋体" w:hAnsi="宋体" w:eastAsia="宋体" w:cs="宋体"/>
                      <w:b/>
                      <w:sz w:val="21"/>
                      <w:szCs w:val="21"/>
                    </w:rPr>
                    <w:t>处理效率</w:t>
                  </w:r>
                </w:p>
              </w:tc>
              <w:tc>
                <w:tcPr>
                  <w:tcW w:w="1181" w:type="dxa"/>
                  <w:tcBorders>
                    <w:top w:val="single" w:color="000000" w:sz="4" w:space="0"/>
                    <w:left w:val="single" w:color="000000" w:sz="4" w:space="0"/>
                    <w:bottom w:val="single" w:color="000000" w:sz="4" w:space="0"/>
                    <w:right w:val="single" w:color="000000" w:sz="4" w:space="0"/>
                  </w:tcBorders>
                  <w:vAlign w:val="center"/>
                </w:tcPr>
                <w:p>
                  <w:pPr>
                    <w:pStyle w:val="218"/>
                    <w:spacing w:before="30" w:line="244" w:lineRule="auto"/>
                    <w:ind w:left="103" w:right="78" w:firstLine="105"/>
                    <w:rPr>
                      <w:rFonts w:hint="eastAsia" w:ascii="宋体" w:hAnsi="宋体" w:eastAsia="宋体" w:cs="宋体"/>
                      <w:b/>
                      <w:sz w:val="21"/>
                      <w:szCs w:val="21"/>
                    </w:rPr>
                  </w:pPr>
                  <w:r>
                    <w:rPr>
                      <w:rFonts w:hint="eastAsia" w:ascii="宋体" w:hAnsi="宋体" w:eastAsia="宋体" w:cs="宋体"/>
                      <w:b/>
                      <w:sz w:val="21"/>
                      <w:szCs w:val="21"/>
                    </w:rPr>
                    <w:t>是否为可行技术</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8"/>
                    <w:spacing w:before="46" w:line="269" w:lineRule="exact"/>
                    <w:ind w:left="107" w:right="85"/>
                    <w:jc w:val="center"/>
                    <w:rPr>
                      <w:rFonts w:hint="eastAsia" w:ascii="宋体" w:hAnsi="宋体" w:eastAsia="宋体" w:cs="宋体"/>
                      <w:b/>
                      <w:sz w:val="21"/>
                      <w:szCs w:val="21"/>
                    </w:rPr>
                  </w:pPr>
                  <w:r>
                    <w:rPr>
                      <w:rFonts w:hint="eastAsia" w:ascii="宋体" w:hAnsi="宋体" w:eastAsia="宋体" w:cs="宋体"/>
                      <w:b/>
                      <w:sz w:val="21"/>
                      <w:szCs w:val="21"/>
                    </w:rPr>
                    <w:t>排放量</w:t>
                  </w:r>
                </w:p>
                <w:p>
                  <w:pPr>
                    <w:pStyle w:val="218"/>
                    <w:spacing w:line="241" w:lineRule="exact"/>
                    <w:ind w:left="104" w:right="85"/>
                    <w:jc w:val="center"/>
                    <w:rPr>
                      <w:rFonts w:hint="eastAsia" w:ascii="宋体" w:hAnsi="宋体" w:eastAsia="宋体" w:cs="宋体"/>
                      <w:b/>
                      <w:sz w:val="21"/>
                      <w:szCs w:val="21"/>
                    </w:rPr>
                  </w:pPr>
                  <w:r>
                    <w:rPr>
                      <w:rFonts w:hint="eastAsia" w:ascii="宋体" w:hAnsi="宋体" w:eastAsia="宋体" w:cs="宋体"/>
                      <w:b/>
                      <w:sz w:val="21"/>
                      <w:szCs w:val="21"/>
                    </w:rPr>
                    <w:t>t/a</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8"/>
                    <w:spacing w:before="46" w:line="269" w:lineRule="exact"/>
                    <w:ind w:left="194"/>
                    <w:rPr>
                      <w:rFonts w:hint="eastAsia" w:ascii="宋体" w:hAnsi="宋体" w:eastAsia="宋体" w:cs="宋体"/>
                      <w:b/>
                      <w:sz w:val="21"/>
                      <w:szCs w:val="21"/>
                    </w:rPr>
                  </w:pPr>
                  <w:r>
                    <w:rPr>
                      <w:rFonts w:hint="eastAsia" w:ascii="宋体" w:hAnsi="宋体" w:eastAsia="宋体" w:cs="宋体"/>
                      <w:b/>
                      <w:sz w:val="21"/>
                      <w:szCs w:val="21"/>
                    </w:rPr>
                    <w:t>速率</w:t>
                  </w:r>
                </w:p>
                <w:p>
                  <w:pPr>
                    <w:pStyle w:val="218"/>
                    <w:spacing w:line="241" w:lineRule="exact"/>
                    <w:ind w:left="209"/>
                    <w:rPr>
                      <w:rFonts w:hint="eastAsia" w:ascii="宋体" w:hAnsi="宋体" w:eastAsia="宋体" w:cs="宋体"/>
                      <w:b/>
                      <w:sz w:val="21"/>
                      <w:szCs w:val="21"/>
                    </w:rPr>
                  </w:pPr>
                  <w:r>
                    <w:rPr>
                      <w:rFonts w:hint="eastAsia" w:ascii="宋体" w:hAnsi="宋体" w:eastAsia="宋体" w:cs="宋体"/>
                      <w:b/>
                      <w:sz w:val="21"/>
                      <w:szCs w:val="21"/>
                    </w:rPr>
                    <w:t>kg/h</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8"/>
                    <w:spacing w:before="46" w:line="269" w:lineRule="exact"/>
                    <w:ind w:left="194"/>
                    <w:rPr>
                      <w:rFonts w:hint="eastAsia" w:ascii="宋体" w:hAnsi="宋体" w:eastAsia="宋体" w:cs="宋体"/>
                      <w:b/>
                      <w:sz w:val="21"/>
                      <w:szCs w:val="21"/>
                    </w:rPr>
                  </w:pPr>
                  <w:r>
                    <w:rPr>
                      <w:rFonts w:hint="eastAsia" w:ascii="宋体" w:hAnsi="宋体" w:eastAsia="宋体" w:cs="宋体"/>
                      <w:b/>
                      <w:sz w:val="21"/>
                      <w:szCs w:val="21"/>
                    </w:rPr>
                    <w:t>浓度</w:t>
                  </w:r>
                </w:p>
                <w:p>
                  <w:pPr>
                    <w:pStyle w:val="218"/>
                    <w:spacing w:before="46" w:line="269" w:lineRule="exact"/>
                    <w:ind w:left="194"/>
                    <w:rPr>
                      <w:rFonts w:hint="eastAsia" w:ascii="宋体" w:hAnsi="宋体" w:eastAsia="宋体" w:cs="宋体"/>
                      <w:b/>
                      <w:sz w:val="21"/>
                      <w:szCs w:val="21"/>
                    </w:rPr>
                  </w:pPr>
                  <w:r>
                    <w:rPr>
                      <w:rFonts w:hint="eastAsia" w:ascii="宋体" w:hAnsi="宋体" w:eastAsia="宋体" w:cs="宋体"/>
                      <w:b/>
                      <w:sz w:val="21"/>
                      <w:szCs w:val="21"/>
                    </w:rPr>
                    <w:t>mg/m³</w:t>
                  </w:r>
                </w:p>
              </w:tc>
              <w:tc>
                <w:tcPr>
                  <w:tcW w:w="772" w:type="dxa"/>
                  <w:vMerge w:val="continue"/>
                  <w:tcBorders>
                    <w:left w:val="single" w:color="000000" w:sz="4" w:space="0"/>
                    <w:bottom w:val="single" w:color="000000" w:sz="4" w:space="0"/>
                  </w:tcBorders>
                  <w:vAlign w:val="center"/>
                </w:tcPr>
                <w:p>
                  <w:pPr>
                    <w:pStyle w:val="218"/>
                    <w:spacing w:before="46" w:line="269" w:lineRule="exact"/>
                    <w:ind w:left="194"/>
                    <w:rPr>
                      <w:rFonts w:hint="eastAsia" w:ascii="宋体" w:hAnsi="宋体" w:eastAsia="宋体" w:cs="宋体"/>
                      <w:b/>
                      <w:sz w:val="21"/>
                      <w:szCs w:val="21"/>
                    </w:rPr>
                  </w:pPr>
                </w:p>
              </w:tc>
            </w:tr>
            <w:tr>
              <w:tblPrEx>
                <w:tblBorders>
                  <w:top w:val="single" w:color="auto" w:sz="4" w:space="0"/>
                  <w:left w:val="none" w:color="auto" w:sz="0" w:space="0"/>
                  <w:bottom w:val="single" w:color="auto" w:sz="4"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478" w:hRule="atLeast"/>
                <w:jc w:val="center"/>
              </w:trPr>
              <w:tc>
                <w:tcPr>
                  <w:tcW w:w="303" w:type="dxa"/>
                  <w:vMerge w:val="restart"/>
                  <w:tcBorders>
                    <w:top w:val="single" w:color="000000" w:sz="4" w:space="0"/>
                    <w:right w:val="single" w:color="000000" w:sz="4" w:space="0"/>
                  </w:tcBorders>
                  <w:vAlign w:val="center"/>
                </w:tcPr>
                <w:p>
                  <w:pPr>
                    <w:pStyle w:val="218"/>
                    <w:spacing w:before="1" w:line="244" w:lineRule="auto"/>
                    <w:ind w:left="86" w:right="46"/>
                    <w:jc w:val="center"/>
                    <w:rPr>
                      <w:rFonts w:hint="eastAsia" w:ascii="宋体" w:hAnsi="宋体" w:eastAsia="宋体" w:cs="宋体"/>
                      <w:sz w:val="21"/>
                      <w:szCs w:val="21"/>
                    </w:rPr>
                  </w:pPr>
                  <w:r>
                    <w:rPr>
                      <w:rFonts w:hint="eastAsia" w:ascii="宋体" w:hAnsi="宋体" w:eastAsia="宋体" w:cs="宋体"/>
                      <w:sz w:val="21"/>
                      <w:szCs w:val="21"/>
                    </w:rPr>
                    <w:t>生产车间</w:t>
                  </w:r>
                </w:p>
                <w:p>
                  <w:pPr>
                    <w:pStyle w:val="74"/>
                    <w:rPr>
                      <w:rFonts w:hint="eastAsia" w:ascii="宋体" w:hAnsi="宋体" w:eastAsia="宋体" w:cs="宋体"/>
                      <w:sz w:val="21"/>
                      <w:szCs w:val="21"/>
                    </w:rPr>
                  </w:pPr>
                </w:p>
                <w:p>
                  <w:pPr>
                    <w:pStyle w:val="74"/>
                    <w:rPr>
                      <w:rFonts w:hint="eastAsia" w:ascii="宋体" w:hAnsi="宋体" w:eastAsia="宋体" w:cs="宋体"/>
                      <w:sz w:val="21"/>
                      <w:szCs w:val="21"/>
                    </w:rPr>
                  </w:pPr>
                </w:p>
                <w:p>
                  <w:pPr>
                    <w:pStyle w:val="74"/>
                    <w:rPr>
                      <w:rFonts w:hint="eastAsia" w:ascii="宋体" w:hAnsi="宋体" w:eastAsia="宋体" w:cs="宋体"/>
                      <w:sz w:val="21"/>
                      <w:szCs w:val="21"/>
                    </w:rPr>
                  </w:pPr>
                </w:p>
                <w:p>
                  <w:pPr>
                    <w:pStyle w:val="74"/>
                    <w:rPr>
                      <w:rFonts w:hint="eastAsia" w:ascii="宋体" w:hAnsi="宋体" w:eastAsia="宋体" w:cs="宋体"/>
                      <w:sz w:val="21"/>
                      <w:szCs w:val="21"/>
                    </w:rPr>
                  </w:pPr>
                </w:p>
                <w:p>
                  <w:pPr>
                    <w:pStyle w:val="74"/>
                    <w:rPr>
                      <w:rFonts w:hint="eastAsia" w:ascii="宋体" w:hAnsi="宋体" w:eastAsia="宋体" w:cs="宋体"/>
                      <w:sz w:val="21"/>
                      <w:szCs w:val="21"/>
                    </w:rPr>
                  </w:pPr>
                </w:p>
                <w:p>
                  <w:pPr>
                    <w:pStyle w:val="74"/>
                    <w:rPr>
                      <w:rFonts w:hint="eastAsia" w:ascii="宋体" w:hAnsi="宋体" w:eastAsia="宋体" w:cs="宋体"/>
                      <w:sz w:val="21"/>
                      <w:szCs w:val="21"/>
                    </w:rPr>
                  </w:pPr>
                </w:p>
              </w:tc>
              <w:tc>
                <w:tcPr>
                  <w:tcW w:w="559" w:type="dxa"/>
                  <w:vMerge w:val="restart"/>
                  <w:tcBorders>
                    <w:top w:val="single" w:color="000000" w:sz="4" w:space="0"/>
                    <w:left w:val="single" w:color="000000" w:sz="4" w:space="0"/>
                    <w:bottom w:val="single" w:color="000000" w:sz="4" w:space="0"/>
                    <w:right w:val="single" w:color="000000" w:sz="4" w:space="0"/>
                  </w:tcBorders>
                  <w:vAlign w:val="center"/>
                </w:tcPr>
                <w:p>
                  <w:pPr>
                    <w:pStyle w:val="218"/>
                    <w:spacing w:before="129"/>
                    <w:ind w:left="109"/>
                    <w:jc w:val="center"/>
                    <w:rPr>
                      <w:rFonts w:hint="eastAsia" w:ascii="宋体" w:hAnsi="宋体" w:eastAsia="宋体" w:cs="宋体"/>
                      <w:sz w:val="21"/>
                      <w:szCs w:val="21"/>
                    </w:rPr>
                  </w:pPr>
                  <w:r>
                    <w:rPr>
                      <w:rFonts w:hint="eastAsia" w:ascii="宋体" w:hAnsi="宋体" w:eastAsia="宋体" w:cs="宋体"/>
                      <w:sz w:val="21"/>
                      <w:szCs w:val="21"/>
                    </w:rPr>
                    <w:t>注塑工序</w:t>
                  </w:r>
                </w:p>
              </w:tc>
              <w:tc>
                <w:tcPr>
                  <w:tcW w:w="1020" w:type="dxa"/>
                  <w:tcBorders>
                    <w:top w:val="single" w:color="000000" w:sz="4" w:space="0"/>
                    <w:left w:val="single" w:color="000000" w:sz="4" w:space="0"/>
                    <w:bottom w:val="single" w:color="000000" w:sz="4" w:space="0"/>
                    <w:right w:val="single" w:color="000000" w:sz="4" w:space="0"/>
                  </w:tcBorders>
                  <w:vAlign w:val="center"/>
                </w:tcPr>
                <w:p>
                  <w:pPr>
                    <w:pStyle w:val="218"/>
                    <w:spacing w:before="34"/>
                    <w:ind w:left="74" w:right="46"/>
                    <w:jc w:val="center"/>
                    <w:rPr>
                      <w:rFonts w:hint="eastAsia" w:ascii="宋体" w:hAnsi="宋体" w:eastAsia="宋体" w:cs="宋体"/>
                      <w:sz w:val="21"/>
                      <w:szCs w:val="21"/>
                    </w:rPr>
                  </w:pPr>
                  <w:r>
                    <w:rPr>
                      <w:rFonts w:hint="eastAsia" w:ascii="宋体" w:hAnsi="宋体" w:eastAsia="宋体" w:cs="宋体"/>
                      <w:sz w:val="21"/>
                      <w:szCs w:val="21"/>
                    </w:rPr>
                    <w:t>非甲烷总烃</w:t>
                  </w:r>
                </w:p>
              </w:tc>
              <w:tc>
                <w:tcPr>
                  <w:tcW w:w="1222" w:type="dxa"/>
                  <w:tcBorders>
                    <w:top w:val="single" w:color="000000" w:sz="4" w:space="0"/>
                    <w:left w:val="single" w:color="000000" w:sz="4" w:space="0"/>
                    <w:bottom w:val="single" w:color="000000" w:sz="4" w:space="0"/>
                    <w:right w:val="single" w:color="000000" w:sz="4" w:space="0"/>
                  </w:tcBorders>
                  <w:vAlign w:val="center"/>
                </w:tcPr>
                <w:p>
                  <w:pPr>
                    <w:pStyle w:val="218"/>
                    <w:spacing w:before="43"/>
                    <w:ind w:left="163"/>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0.6568</w:t>
                  </w:r>
                </w:p>
              </w:tc>
              <w:tc>
                <w:tcPr>
                  <w:tcW w:w="1074" w:type="dxa"/>
                  <w:tcBorders>
                    <w:top w:val="single" w:color="000000" w:sz="4" w:space="0"/>
                    <w:left w:val="single" w:color="000000" w:sz="4" w:space="0"/>
                    <w:bottom w:val="single" w:color="000000" w:sz="4" w:space="0"/>
                    <w:right w:val="single" w:color="000000" w:sz="4" w:space="0"/>
                  </w:tcBorders>
                  <w:vAlign w:val="center"/>
                </w:tcPr>
                <w:p>
                  <w:pPr>
                    <w:pStyle w:val="218"/>
                    <w:spacing w:before="43"/>
                    <w:ind w:right="147"/>
                    <w:jc w:val="right"/>
                    <w:rPr>
                      <w:rFonts w:hint="eastAsia" w:ascii="宋体" w:hAnsi="宋体" w:eastAsia="宋体" w:cs="宋体"/>
                      <w:sz w:val="21"/>
                      <w:szCs w:val="21"/>
                      <w:lang w:val="en-US" w:eastAsia="zh-CN"/>
                    </w:rPr>
                  </w:pPr>
                  <w:r>
                    <w:rPr>
                      <w:rFonts w:hint="eastAsia" w:ascii="宋体" w:hAnsi="宋体" w:eastAsia="宋体" w:cs="宋体"/>
                      <w:sz w:val="21"/>
                      <w:szCs w:val="21"/>
                    </w:rPr>
                    <w:t>0.</w:t>
                  </w:r>
                  <w:r>
                    <w:rPr>
                      <w:rFonts w:hint="eastAsia" w:ascii="宋体" w:hAnsi="宋体" w:eastAsia="宋体" w:cs="宋体"/>
                      <w:sz w:val="21"/>
                      <w:szCs w:val="21"/>
                      <w:lang w:val="en-US" w:eastAsia="zh-CN"/>
                    </w:rPr>
                    <w:t>0912</w:t>
                  </w:r>
                </w:p>
              </w:tc>
              <w:tc>
                <w:tcPr>
                  <w:tcW w:w="903" w:type="dxa"/>
                  <w:tcBorders>
                    <w:top w:val="single" w:color="000000" w:sz="4" w:space="0"/>
                    <w:left w:val="single" w:color="000000" w:sz="4" w:space="0"/>
                    <w:bottom w:val="single" w:color="000000" w:sz="4" w:space="0"/>
                    <w:right w:val="single" w:color="000000" w:sz="4" w:space="0"/>
                  </w:tcBorders>
                  <w:vAlign w:val="center"/>
                </w:tcPr>
                <w:p>
                  <w:pPr>
                    <w:pStyle w:val="218"/>
                    <w:spacing w:before="43"/>
                    <w:ind w:left="68" w:right="45"/>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4.5611</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8"/>
                    <w:spacing w:before="34"/>
                    <w:ind w:left="123"/>
                    <w:rPr>
                      <w:rFonts w:hint="eastAsia" w:ascii="宋体" w:hAnsi="宋体" w:eastAsia="宋体" w:cs="宋体"/>
                      <w:sz w:val="21"/>
                      <w:szCs w:val="21"/>
                    </w:rPr>
                  </w:pPr>
                  <w:r>
                    <w:rPr>
                      <w:rFonts w:hint="eastAsia" w:ascii="宋体" w:hAnsi="宋体" w:eastAsia="宋体" w:cs="宋体"/>
                      <w:sz w:val="21"/>
                      <w:szCs w:val="21"/>
                    </w:rPr>
                    <w:t>有组织</w:t>
                  </w:r>
                </w:p>
              </w:tc>
              <w:tc>
                <w:tcPr>
                  <w:tcW w:w="1072" w:type="dxa"/>
                  <w:vMerge w:val="restart"/>
                  <w:tcBorders>
                    <w:top w:val="single" w:color="000000" w:sz="4" w:space="0"/>
                    <w:left w:val="single" w:color="000000" w:sz="4" w:space="0"/>
                    <w:bottom w:val="single" w:color="000000" w:sz="4" w:space="0"/>
                    <w:right w:val="single" w:color="000000" w:sz="4" w:space="0"/>
                  </w:tcBorders>
                  <w:vAlign w:val="center"/>
                </w:tcPr>
                <w:p>
                  <w:pPr>
                    <w:pStyle w:val="218"/>
                    <w:spacing w:before="128"/>
                    <w:ind w:left="96"/>
                    <w:rPr>
                      <w:rFonts w:hint="eastAsia" w:ascii="宋体" w:hAnsi="宋体" w:eastAsia="宋体" w:cs="宋体"/>
                      <w:sz w:val="21"/>
                      <w:szCs w:val="21"/>
                    </w:rPr>
                  </w:pPr>
                  <w:r>
                    <w:rPr>
                      <w:rFonts w:hint="eastAsia" w:ascii="宋体" w:hAnsi="宋体" w:eastAsia="宋体" w:cs="宋体"/>
                      <w:sz w:val="21"/>
                      <w:szCs w:val="21"/>
                    </w:rPr>
                    <w:t>两级活性炭吸附</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8"/>
                    <w:spacing w:before="43"/>
                    <w:ind w:left="89" w:right="64"/>
                    <w:jc w:val="center"/>
                    <w:rPr>
                      <w:rFonts w:hint="eastAsia" w:ascii="宋体" w:hAnsi="宋体" w:eastAsia="宋体" w:cs="宋体"/>
                      <w:sz w:val="21"/>
                      <w:szCs w:val="21"/>
                    </w:rPr>
                  </w:pPr>
                  <w:r>
                    <w:rPr>
                      <w:rFonts w:hint="eastAsia" w:ascii="宋体" w:hAnsi="宋体" w:eastAsia="宋体" w:cs="宋体"/>
                      <w:sz w:val="21"/>
                      <w:szCs w:val="21"/>
                    </w:rPr>
                    <w:t>90%</w:t>
                  </w:r>
                </w:p>
              </w:tc>
              <w:tc>
                <w:tcPr>
                  <w:tcW w:w="1181" w:type="dxa"/>
                  <w:vMerge w:val="restart"/>
                  <w:tcBorders>
                    <w:top w:val="single" w:color="000000" w:sz="4" w:space="0"/>
                    <w:left w:val="single" w:color="000000" w:sz="4" w:space="0"/>
                    <w:bottom w:val="single" w:color="000000" w:sz="4" w:space="0"/>
                    <w:right w:val="single" w:color="000000" w:sz="4" w:space="0"/>
                  </w:tcBorders>
                  <w:vAlign w:val="center"/>
                </w:tcPr>
                <w:p>
                  <w:pPr>
                    <w:pStyle w:val="218"/>
                    <w:rPr>
                      <w:rFonts w:hint="eastAsia" w:ascii="宋体" w:hAnsi="宋体" w:eastAsia="宋体" w:cs="宋体"/>
                      <w:sz w:val="21"/>
                      <w:szCs w:val="21"/>
                    </w:rPr>
                  </w:pPr>
                </w:p>
                <w:p>
                  <w:pPr>
                    <w:pStyle w:val="218"/>
                    <w:spacing w:before="128"/>
                    <w:ind w:left="22"/>
                    <w:jc w:val="center"/>
                    <w:rPr>
                      <w:rFonts w:hint="eastAsia" w:ascii="宋体" w:hAnsi="宋体" w:eastAsia="宋体" w:cs="宋体"/>
                      <w:sz w:val="21"/>
                      <w:szCs w:val="21"/>
                    </w:rPr>
                  </w:pPr>
                  <w:r>
                    <w:rPr>
                      <w:rFonts w:hint="eastAsia" w:ascii="宋体" w:hAnsi="宋体" w:eastAsia="宋体" w:cs="宋体"/>
                      <w:w w:val="100"/>
                      <w:sz w:val="21"/>
                      <w:szCs w:val="21"/>
                    </w:rPr>
                    <w:t>是</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8"/>
                    <w:spacing w:before="43"/>
                    <w:ind w:left="206"/>
                    <w:rPr>
                      <w:rFonts w:hint="eastAsia" w:ascii="宋体" w:hAnsi="宋体" w:eastAsia="宋体" w:cs="宋体"/>
                      <w:sz w:val="21"/>
                      <w:szCs w:val="21"/>
                      <w:lang w:val="en-US" w:eastAsia="zh-CN"/>
                    </w:rPr>
                  </w:pPr>
                  <w:r>
                    <w:rPr>
                      <w:rFonts w:hint="eastAsia" w:ascii="宋体" w:hAnsi="宋体" w:eastAsia="宋体" w:cs="宋体"/>
                      <w:sz w:val="21"/>
                      <w:szCs w:val="21"/>
                    </w:rPr>
                    <w:t>0.</w:t>
                  </w:r>
                  <w:r>
                    <w:rPr>
                      <w:rFonts w:hint="eastAsia" w:ascii="宋体" w:hAnsi="宋体" w:eastAsia="宋体" w:cs="宋体"/>
                      <w:sz w:val="21"/>
                      <w:szCs w:val="21"/>
                      <w:lang w:val="en-US" w:eastAsia="zh-CN"/>
                    </w:rPr>
                    <w:t>0657</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8"/>
                    <w:spacing w:before="43"/>
                    <w:ind w:left="170"/>
                    <w:rPr>
                      <w:rFonts w:hint="eastAsia" w:ascii="宋体" w:hAnsi="宋体" w:eastAsia="宋体" w:cs="宋体"/>
                      <w:sz w:val="21"/>
                      <w:szCs w:val="21"/>
                      <w:lang w:val="en-US" w:eastAsia="zh-CN"/>
                    </w:rPr>
                  </w:pPr>
                  <w:r>
                    <w:rPr>
                      <w:rFonts w:hint="eastAsia" w:ascii="宋体" w:hAnsi="宋体" w:eastAsia="宋体" w:cs="宋体"/>
                      <w:sz w:val="21"/>
                      <w:szCs w:val="21"/>
                    </w:rPr>
                    <w:t>0.0</w:t>
                  </w:r>
                  <w:r>
                    <w:rPr>
                      <w:rFonts w:hint="eastAsia" w:ascii="宋体" w:hAnsi="宋体" w:eastAsia="宋体" w:cs="宋体"/>
                      <w:sz w:val="21"/>
                      <w:szCs w:val="21"/>
                      <w:lang w:val="en-US" w:eastAsia="zh-CN"/>
                    </w:rPr>
                    <w:t>091</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8"/>
                    <w:spacing w:before="43"/>
                    <w:ind w:left="99" w:right="75"/>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0.456</w:t>
                  </w:r>
                  <w:r>
                    <w:rPr>
                      <w:rFonts w:hint="eastAsia" w:cs="宋体"/>
                      <w:sz w:val="21"/>
                      <w:szCs w:val="21"/>
                      <w:lang w:val="en-US" w:eastAsia="zh-CN"/>
                    </w:rPr>
                    <w:t>0</w:t>
                  </w:r>
                </w:p>
              </w:tc>
              <w:tc>
                <w:tcPr>
                  <w:tcW w:w="772" w:type="dxa"/>
                  <w:vMerge w:val="restart"/>
                  <w:tcBorders>
                    <w:top w:val="single" w:color="000000" w:sz="4" w:space="0"/>
                    <w:left w:val="single" w:color="000000" w:sz="4" w:space="0"/>
                  </w:tcBorders>
                  <w:vAlign w:val="center"/>
                </w:tcPr>
                <w:p>
                  <w:pPr>
                    <w:pStyle w:val="218"/>
                    <w:spacing w:before="43"/>
                    <w:ind w:left="99" w:right="75"/>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DA001</w:t>
                  </w:r>
                </w:p>
              </w:tc>
            </w:tr>
            <w:tr>
              <w:tblPrEx>
                <w:tblBorders>
                  <w:top w:val="single" w:color="auto" w:sz="4" w:space="0"/>
                  <w:left w:val="none" w:color="auto" w:sz="0" w:space="0"/>
                  <w:bottom w:val="single" w:color="auto" w:sz="4"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419" w:hRule="atLeast"/>
                <w:jc w:val="center"/>
              </w:trPr>
              <w:tc>
                <w:tcPr>
                  <w:tcW w:w="303" w:type="dxa"/>
                  <w:vMerge w:val="continue"/>
                  <w:tcBorders>
                    <w:right w:val="single" w:color="000000" w:sz="4" w:space="0"/>
                  </w:tcBorders>
                  <w:vAlign w:val="center"/>
                </w:tcPr>
                <w:p>
                  <w:pPr>
                    <w:jc w:val="center"/>
                    <w:rPr>
                      <w:rFonts w:hint="eastAsia" w:ascii="宋体" w:hAnsi="宋体" w:eastAsia="宋体" w:cs="宋体"/>
                      <w:sz w:val="21"/>
                      <w:szCs w:val="21"/>
                    </w:rPr>
                  </w:pPr>
                </w:p>
              </w:tc>
              <w:tc>
                <w:tcPr>
                  <w:tcW w:w="559" w:type="dxa"/>
                  <w:vMerge w:val="continue"/>
                  <w:tcBorders>
                    <w:top w:val="nil"/>
                    <w:left w:val="single" w:color="000000" w:sz="4" w:space="0"/>
                    <w:bottom w:val="single" w:color="000000" w:sz="4" w:space="0"/>
                    <w:right w:val="single" w:color="000000" w:sz="4" w:space="0"/>
                  </w:tcBorders>
                  <w:vAlign w:val="center"/>
                </w:tcPr>
                <w:p>
                  <w:pPr>
                    <w:jc w:val="center"/>
                    <w:rPr>
                      <w:rFonts w:hint="eastAsia" w:ascii="宋体" w:hAnsi="宋体" w:eastAsia="宋体" w:cs="宋体"/>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pStyle w:val="218"/>
                    <w:spacing w:before="24"/>
                    <w:ind w:left="72" w:right="46"/>
                    <w:jc w:val="center"/>
                    <w:rPr>
                      <w:rFonts w:hint="eastAsia" w:ascii="宋体" w:hAnsi="宋体" w:eastAsia="宋体" w:cs="宋体"/>
                      <w:sz w:val="21"/>
                      <w:szCs w:val="21"/>
                    </w:rPr>
                  </w:pPr>
                  <w:r>
                    <w:rPr>
                      <w:rFonts w:hint="eastAsia" w:ascii="宋体" w:hAnsi="宋体" w:eastAsia="宋体" w:cs="宋体"/>
                      <w:sz w:val="21"/>
                      <w:szCs w:val="21"/>
                    </w:rPr>
                    <w:t>苯乙烯</w:t>
                  </w:r>
                </w:p>
              </w:tc>
              <w:tc>
                <w:tcPr>
                  <w:tcW w:w="1222" w:type="dxa"/>
                  <w:tcBorders>
                    <w:top w:val="single" w:color="000000" w:sz="4" w:space="0"/>
                    <w:left w:val="single" w:color="000000" w:sz="4" w:space="0"/>
                    <w:bottom w:val="single" w:color="000000" w:sz="4" w:space="0"/>
                    <w:right w:val="single" w:color="000000" w:sz="4" w:space="0"/>
                  </w:tcBorders>
                  <w:vAlign w:val="center"/>
                </w:tcPr>
                <w:p>
                  <w:pPr>
                    <w:pStyle w:val="218"/>
                    <w:spacing w:before="31"/>
                    <w:ind w:left="163"/>
                    <w:rPr>
                      <w:rFonts w:hint="eastAsia" w:ascii="宋体" w:hAnsi="宋体" w:eastAsia="宋体" w:cs="宋体"/>
                      <w:sz w:val="21"/>
                      <w:szCs w:val="21"/>
                      <w:lang w:val="en-US" w:eastAsia="zh-CN"/>
                    </w:rPr>
                  </w:pPr>
                  <w:r>
                    <w:rPr>
                      <w:rFonts w:hint="eastAsia" w:ascii="宋体" w:hAnsi="宋体" w:eastAsia="宋体" w:cs="宋体"/>
                      <w:sz w:val="21"/>
                      <w:szCs w:val="21"/>
                    </w:rPr>
                    <w:t>0.0</w:t>
                  </w:r>
                  <w:r>
                    <w:rPr>
                      <w:rFonts w:hint="eastAsia" w:ascii="宋体" w:hAnsi="宋体" w:eastAsia="宋体" w:cs="宋体"/>
                      <w:sz w:val="21"/>
                      <w:szCs w:val="21"/>
                      <w:lang w:val="en-US" w:eastAsia="zh-CN"/>
                    </w:rPr>
                    <w:t>002</w:t>
                  </w:r>
                </w:p>
              </w:tc>
              <w:tc>
                <w:tcPr>
                  <w:tcW w:w="1074" w:type="dxa"/>
                  <w:tcBorders>
                    <w:top w:val="single" w:color="000000" w:sz="4" w:space="0"/>
                    <w:left w:val="single" w:color="000000" w:sz="4" w:space="0"/>
                    <w:bottom w:val="single" w:color="000000" w:sz="4" w:space="0"/>
                    <w:right w:val="single" w:color="000000" w:sz="4" w:space="0"/>
                  </w:tcBorders>
                  <w:vAlign w:val="center"/>
                </w:tcPr>
                <w:p>
                  <w:pPr>
                    <w:pStyle w:val="218"/>
                    <w:spacing w:before="31"/>
                    <w:ind w:right="150"/>
                    <w:jc w:val="right"/>
                    <w:rPr>
                      <w:rFonts w:hint="eastAsia" w:ascii="宋体" w:hAnsi="宋体" w:eastAsia="宋体" w:cs="宋体"/>
                      <w:sz w:val="21"/>
                      <w:szCs w:val="21"/>
                      <w:lang w:val="en-US" w:eastAsia="zh-CN"/>
                    </w:rPr>
                  </w:pPr>
                  <w:r>
                    <w:rPr>
                      <w:rFonts w:hint="eastAsia" w:ascii="宋体" w:hAnsi="宋体" w:eastAsia="宋体" w:cs="宋体"/>
                      <w:sz w:val="21"/>
                      <w:szCs w:val="21"/>
                    </w:rPr>
                    <w:t>0.00</w:t>
                  </w:r>
                  <w:r>
                    <w:rPr>
                      <w:rFonts w:hint="eastAsia" w:ascii="宋体" w:hAnsi="宋体" w:eastAsia="宋体" w:cs="宋体"/>
                      <w:sz w:val="21"/>
                      <w:szCs w:val="21"/>
                      <w:lang w:val="en-US" w:eastAsia="zh-CN"/>
                    </w:rPr>
                    <w:t>003</w:t>
                  </w:r>
                </w:p>
              </w:tc>
              <w:tc>
                <w:tcPr>
                  <w:tcW w:w="903" w:type="dxa"/>
                  <w:tcBorders>
                    <w:top w:val="single" w:color="000000" w:sz="4" w:space="0"/>
                    <w:left w:val="single" w:color="000000" w:sz="4" w:space="0"/>
                    <w:bottom w:val="single" w:color="000000" w:sz="4" w:space="0"/>
                    <w:right w:val="single" w:color="000000" w:sz="4" w:space="0"/>
                  </w:tcBorders>
                  <w:vAlign w:val="center"/>
                </w:tcPr>
                <w:p>
                  <w:pPr>
                    <w:pStyle w:val="218"/>
                    <w:spacing w:before="31"/>
                    <w:ind w:left="68" w:right="45"/>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0.0017</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8"/>
                    <w:spacing w:before="24"/>
                    <w:ind w:left="123"/>
                    <w:rPr>
                      <w:rFonts w:hint="eastAsia" w:ascii="宋体" w:hAnsi="宋体" w:eastAsia="宋体" w:cs="宋体"/>
                      <w:sz w:val="21"/>
                      <w:szCs w:val="21"/>
                    </w:rPr>
                  </w:pPr>
                  <w:r>
                    <w:rPr>
                      <w:rFonts w:hint="eastAsia" w:ascii="宋体" w:hAnsi="宋体" w:eastAsia="宋体" w:cs="宋体"/>
                      <w:sz w:val="21"/>
                      <w:szCs w:val="21"/>
                    </w:rPr>
                    <w:t>有组织</w:t>
                  </w:r>
                </w:p>
              </w:tc>
              <w:tc>
                <w:tcPr>
                  <w:tcW w:w="1072" w:type="dxa"/>
                  <w:vMerge w:val="continue"/>
                  <w:tcBorders>
                    <w:top w:val="nil"/>
                    <w:left w:val="single" w:color="000000" w:sz="4" w:space="0"/>
                    <w:bottom w:val="single" w:color="000000" w:sz="4" w:space="0"/>
                    <w:right w:val="single" w:color="000000" w:sz="4" w:space="0"/>
                  </w:tcBorders>
                  <w:vAlign w:val="center"/>
                </w:tcPr>
                <w:p>
                  <w:pPr>
                    <w:rPr>
                      <w:rFonts w:hint="eastAsia" w:ascii="宋体" w:hAnsi="宋体" w:eastAsia="宋体" w:cs="宋体"/>
                      <w:sz w:val="21"/>
                      <w:szCs w:val="21"/>
                    </w:rPr>
                  </w:pP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8"/>
                    <w:spacing w:before="31"/>
                    <w:ind w:left="89" w:right="64"/>
                    <w:jc w:val="center"/>
                    <w:rPr>
                      <w:rFonts w:hint="eastAsia" w:ascii="宋体" w:hAnsi="宋体" w:eastAsia="宋体" w:cs="宋体"/>
                      <w:sz w:val="21"/>
                      <w:szCs w:val="21"/>
                    </w:rPr>
                  </w:pPr>
                  <w:r>
                    <w:rPr>
                      <w:rFonts w:hint="eastAsia" w:ascii="宋体" w:hAnsi="宋体" w:eastAsia="宋体" w:cs="宋体"/>
                      <w:sz w:val="21"/>
                      <w:szCs w:val="21"/>
                    </w:rPr>
                    <w:t>90%</w:t>
                  </w:r>
                </w:p>
              </w:tc>
              <w:tc>
                <w:tcPr>
                  <w:tcW w:w="1181" w:type="dxa"/>
                  <w:vMerge w:val="continue"/>
                  <w:tcBorders>
                    <w:top w:val="nil"/>
                    <w:left w:val="single" w:color="000000" w:sz="4" w:space="0"/>
                    <w:bottom w:val="single" w:color="000000" w:sz="4" w:space="0"/>
                    <w:right w:val="single" w:color="000000" w:sz="4" w:space="0"/>
                  </w:tcBorders>
                  <w:vAlign w:val="center"/>
                </w:tcPr>
                <w:p>
                  <w:pPr>
                    <w:rPr>
                      <w:rFonts w:hint="eastAsia" w:ascii="宋体" w:hAnsi="宋体" w:eastAsia="宋体" w:cs="宋体"/>
                      <w:sz w:val="21"/>
                      <w:szCs w:val="21"/>
                    </w:rPr>
                  </w:pP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8"/>
                    <w:spacing w:before="31"/>
                    <w:ind w:left="206"/>
                    <w:rPr>
                      <w:rFonts w:hint="eastAsia" w:ascii="宋体" w:hAnsi="宋体" w:eastAsia="宋体" w:cs="宋体"/>
                      <w:sz w:val="21"/>
                      <w:szCs w:val="21"/>
                      <w:lang w:val="en-US" w:eastAsia="zh-CN"/>
                    </w:rPr>
                  </w:pPr>
                  <w:r>
                    <w:rPr>
                      <w:rFonts w:hint="eastAsia" w:ascii="宋体" w:hAnsi="宋体" w:eastAsia="宋体" w:cs="宋体"/>
                      <w:sz w:val="21"/>
                      <w:szCs w:val="21"/>
                    </w:rPr>
                    <w:t>0.00</w:t>
                  </w:r>
                  <w:r>
                    <w:rPr>
                      <w:rFonts w:hint="eastAsia" w:ascii="宋体" w:hAnsi="宋体" w:eastAsia="宋体" w:cs="宋体"/>
                      <w:sz w:val="21"/>
                      <w:szCs w:val="21"/>
                      <w:lang w:val="en-US" w:eastAsia="zh-CN"/>
                    </w:rPr>
                    <w:t>002</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8"/>
                    <w:spacing w:before="31"/>
                    <w:ind w:left="118"/>
                    <w:rPr>
                      <w:rFonts w:hint="eastAsia" w:ascii="宋体" w:hAnsi="宋体" w:eastAsia="宋体" w:cs="宋体"/>
                      <w:sz w:val="21"/>
                      <w:szCs w:val="21"/>
                      <w:lang w:val="en-US" w:eastAsia="zh-CN"/>
                    </w:rPr>
                  </w:pPr>
                  <w:r>
                    <w:rPr>
                      <w:rFonts w:hint="eastAsia" w:ascii="宋体" w:hAnsi="宋体" w:eastAsia="宋体" w:cs="宋体"/>
                      <w:sz w:val="21"/>
                      <w:szCs w:val="21"/>
                    </w:rPr>
                    <w:t>0.000</w:t>
                  </w:r>
                  <w:r>
                    <w:rPr>
                      <w:rFonts w:hint="eastAsia" w:ascii="宋体" w:hAnsi="宋体" w:eastAsia="宋体" w:cs="宋体"/>
                      <w:sz w:val="21"/>
                      <w:szCs w:val="21"/>
                      <w:lang w:val="en-US" w:eastAsia="zh-CN"/>
                    </w:rPr>
                    <w:t>003</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8"/>
                    <w:spacing w:before="31"/>
                    <w:ind w:left="95" w:right="75"/>
                    <w:jc w:val="center"/>
                    <w:rPr>
                      <w:rFonts w:hint="eastAsia" w:ascii="宋体" w:hAnsi="宋体" w:eastAsia="宋体" w:cs="宋体"/>
                      <w:sz w:val="21"/>
                      <w:szCs w:val="21"/>
                      <w:lang w:val="en-US" w:eastAsia="zh-CN"/>
                    </w:rPr>
                  </w:pPr>
                  <w:r>
                    <w:rPr>
                      <w:rFonts w:hint="eastAsia" w:ascii="宋体" w:hAnsi="宋体" w:eastAsia="宋体" w:cs="宋体"/>
                      <w:sz w:val="21"/>
                      <w:szCs w:val="21"/>
                    </w:rPr>
                    <w:t>0.</w:t>
                  </w:r>
                  <w:r>
                    <w:rPr>
                      <w:rFonts w:hint="eastAsia" w:ascii="宋体" w:hAnsi="宋体" w:eastAsia="宋体" w:cs="宋体"/>
                      <w:sz w:val="21"/>
                      <w:szCs w:val="21"/>
                      <w:lang w:val="en-US" w:eastAsia="zh-CN"/>
                    </w:rPr>
                    <w:t>0002</w:t>
                  </w:r>
                </w:p>
              </w:tc>
              <w:tc>
                <w:tcPr>
                  <w:tcW w:w="772" w:type="dxa"/>
                  <w:vMerge w:val="continue"/>
                  <w:tcBorders>
                    <w:left w:val="single" w:color="000000" w:sz="4" w:space="0"/>
                    <w:bottom w:val="single" w:color="000000" w:sz="4" w:space="0"/>
                  </w:tcBorders>
                  <w:vAlign w:val="center"/>
                </w:tcPr>
                <w:p>
                  <w:pPr>
                    <w:pStyle w:val="218"/>
                    <w:spacing w:before="31"/>
                    <w:ind w:left="95" w:right="75"/>
                    <w:jc w:val="center"/>
                    <w:rPr>
                      <w:rFonts w:hint="eastAsia" w:ascii="宋体" w:hAnsi="宋体" w:eastAsia="宋体" w:cs="宋体"/>
                      <w:sz w:val="21"/>
                      <w:szCs w:val="21"/>
                    </w:rPr>
                  </w:pPr>
                </w:p>
              </w:tc>
            </w:tr>
            <w:tr>
              <w:tblPrEx>
                <w:tblBorders>
                  <w:top w:val="single" w:color="auto" w:sz="4" w:space="0"/>
                  <w:left w:val="none" w:color="auto" w:sz="0" w:space="0"/>
                  <w:bottom w:val="single" w:color="auto" w:sz="4"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502" w:hRule="atLeast"/>
                <w:jc w:val="center"/>
              </w:trPr>
              <w:tc>
                <w:tcPr>
                  <w:tcW w:w="303" w:type="dxa"/>
                  <w:vMerge w:val="continue"/>
                  <w:tcBorders>
                    <w:right w:val="single" w:color="000000" w:sz="4" w:space="0"/>
                  </w:tcBorders>
                  <w:vAlign w:val="center"/>
                </w:tcPr>
                <w:p>
                  <w:pPr>
                    <w:jc w:val="center"/>
                    <w:rPr>
                      <w:rFonts w:hint="eastAsia" w:ascii="宋体" w:hAnsi="宋体" w:eastAsia="宋体" w:cs="宋体"/>
                      <w:sz w:val="21"/>
                      <w:szCs w:val="21"/>
                    </w:rPr>
                  </w:pPr>
                </w:p>
              </w:tc>
              <w:tc>
                <w:tcPr>
                  <w:tcW w:w="559" w:type="dxa"/>
                  <w:vMerge w:val="restart"/>
                  <w:tcBorders>
                    <w:top w:val="single" w:color="000000" w:sz="4" w:space="0"/>
                    <w:left w:val="single" w:color="000000" w:sz="4" w:space="0"/>
                    <w:right w:val="single" w:color="000000" w:sz="4" w:space="0"/>
                  </w:tcBorders>
                  <w:vAlign w:val="center"/>
                </w:tcPr>
                <w:p>
                  <w:pPr>
                    <w:pStyle w:val="218"/>
                    <w:ind w:left="109"/>
                    <w:jc w:val="center"/>
                    <w:rPr>
                      <w:rFonts w:hint="eastAsia" w:ascii="宋体" w:hAnsi="宋体" w:eastAsia="宋体" w:cs="宋体"/>
                      <w:sz w:val="21"/>
                      <w:szCs w:val="21"/>
                    </w:rPr>
                  </w:pPr>
                  <w:r>
                    <w:rPr>
                      <w:rFonts w:hint="eastAsia" w:ascii="宋体" w:hAnsi="宋体" w:eastAsia="宋体" w:cs="宋体"/>
                      <w:sz w:val="21"/>
                      <w:szCs w:val="21"/>
                    </w:rPr>
                    <w:t>注塑工序</w:t>
                  </w:r>
                </w:p>
              </w:tc>
              <w:tc>
                <w:tcPr>
                  <w:tcW w:w="1020" w:type="dxa"/>
                  <w:tcBorders>
                    <w:top w:val="single" w:color="000000" w:sz="4" w:space="0"/>
                    <w:left w:val="single" w:color="000000" w:sz="4" w:space="0"/>
                    <w:bottom w:val="single" w:color="000000" w:sz="4" w:space="0"/>
                    <w:right w:val="single" w:color="000000" w:sz="4" w:space="0"/>
                  </w:tcBorders>
                  <w:vAlign w:val="center"/>
                </w:tcPr>
                <w:p>
                  <w:pPr>
                    <w:pStyle w:val="218"/>
                    <w:spacing w:before="27"/>
                    <w:ind w:left="74" w:right="46"/>
                    <w:jc w:val="center"/>
                    <w:rPr>
                      <w:rFonts w:hint="eastAsia" w:ascii="宋体" w:hAnsi="宋体" w:eastAsia="宋体" w:cs="宋体"/>
                      <w:sz w:val="21"/>
                      <w:szCs w:val="21"/>
                    </w:rPr>
                  </w:pPr>
                  <w:r>
                    <w:rPr>
                      <w:rFonts w:hint="eastAsia" w:ascii="宋体" w:hAnsi="宋体" w:eastAsia="宋体" w:cs="宋体"/>
                      <w:sz w:val="21"/>
                      <w:szCs w:val="21"/>
                    </w:rPr>
                    <w:t>非甲烷总烃</w:t>
                  </w:r>
                </w:p>
              </w:tc>
              <w:tc>
                <w:tcPr>
                  <w:tcW w:w="1222"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163"/>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0.1642</w:t>
                  </w:r>
                </w:p>
              </w:tc>
              <w:tc>
                <w:tcPr>
                  <w:tcW w:w="1074"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right="150"/>
                    <w:jc w:val="right"/>
                    <w:rPr>
                      <w:rFonts w:hint="eastAsia" w:ascii="宋体" w:hAnsi="宋体" w:eastAsia="宋体" w:cs="宋体"/>
                      <w:sz w:val="21"/>
                      <w:szCs w:val="21"/>
                      <w:lang w:val="en-US" w:eastAsia="zh-CN"/>
                    </w:rPr>
                  </w:pPr>
                  <w:r>
                    <w:rPr>
                      <w:rFonts w:hint="eastAsia" w:ascii="宋体" w:hAnsi="宋体" w:eastAsia="宋体" w:cs="宋体"/>
                      <w:sz w:val="21"/>
                      <w:szCs w:val="21"/>
                    </w:rPr>
                    <w:t>0.</w:t>
                  </w:r>
                  <w:r>
                    <w:rPr>
                      <w:rFonts w:hint="eastAsia" w:ascii="宋体" w:hAnsi="宋体" w:eastAsia="宋体" w:cs="宋体"/>
                      <w:sz w:val="21"/>
                      <w:szCs w:val="21"/>
                      <w:lang w:val="en-US" w:eastAsia="zh-CN"/>
                    </w:rPr>
                    <w:t>0228</w:t>
                  </w:r>
                </w:p>
              </w:tc>
              <w:tc>
                <w:tcPr>
                  <w:tcW w:w="903"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24"/>
                    <w:jc w:val="center"/>
                    <w:rPr>
                      <w:rFonts w:hint="eastAsia" w:ascii="宋体" w:hAnsi="宋体" w:eastAsia="宋体" w:cs="宋体"/>
                      <w:sz w:val="21"/>
                      <w:szCs w:val="21"/>
                    </w:rPr>
                  </w:pPr>
                  <w:r>
                    <w:rPr>
                      <w:rFonts w:hint="eastAsia" w:ascii="宋体" w:hAnsi="宋体" w:eastAsia="宋体" w:cs="宋体"/>
                      <w:w w:val="100"/>
                      <w:sz w:val="21"/>
                      <w:szCs w:val="21"/>
                    </w:rPr>
                    <w:t>/</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8"/>
                    <w:spacing w:before="27"/>
                    <w:ind w:left="123"/>
                    <w:rPr>
                      <w:rFonts w:hint="eastAsia" w:ascii="宋体" w:hAnsi="宋体" w:eastAsia="宋体" w:cs="宋体"/>
                      <w:sz w:val="21"/>
                      <w:szCs w:val="21"/>
                    </w:rPr>
                  </w:pPr>
                  <w:r>
                    <w:rPr>
                      <w:rFonts w:hint="eastAsia" w:ascii="宋体" w:hAnsi="宋体" w:eastAsia="宋体" w:cs="宋体"/>
                      <w:sz w:val="21"/>
                      <w:szCs w:val="21"/>
                    </w:rPr>
                    <w:t>无组织</w:t>
                  </w:r>
                </w:p>
              </w:tc>
              <w:tc>
                <w:tcPr>
                  <w:tcW w:w="1072"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19"/>
                    <w:jc w:val="center"/>
                    <w:rPr>
                      <w:rFonts w:hint="eastAsia" w:ascii="宋体" w:hAnsi="宋体" w:eastAsia="宋体" w:cs="宋体"/>
                      <w:sz w:val="21"/>
                      <w:szCs w:val="21"/>
                    </w:rPr>
                  </w:pPr>
                  <w:r>
                    <w:rPr>
                      <w:rFonts w:hint="eastAsia" w:ascii="宋体" w:hAnsi="宋体" w:eastAsia="宋体" w:cs="宋体"/>
                      <w:w w:val="100"/>
                      <w:sz w:val="21"/>
                      <w:szCs w:val="21"/>
                    </w:rPr>
                    <w:t>/</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23"/>
                    <w:jc w:val="center"/>
                    <w:rPr>
                      <w:rFonts w:hint="eastAsia" w:ascii="宋体" w:hAnsi="宋体" w:eastAsia="宋体" w:cs="宋体"/>
                      <w:sz w:val="21"/>
                      <w:szCs w:val="21"/>
                    </w:rPr>
                  </w:pPr>
                  <w:r>
                    <w:rPr>
                      <w:rFonts w:hint="eastAsia" w:ascii="宋体" w:hAnsi="宋体" w:eastAsia="宋体" w:cs="宋体"/>
                      <w:w w:val="100"/>
                      <w:sz w:val="21"/>
                      <w:szCs w:val="21"/>
                    </w:rPr>
                    <w:t>/</w:t>
                  </w:r>
                </w:p>
              </w:tc>
              <w:tc>
                <w:tcPr>
                  <w:tcW w:w="1181"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23"/>
                    <w:jc w:val="center"/>
                    <w:rPr>
                      <w:rFonts w:hint="eastAsia" w:ascii="宋体" w:hAnsi="宋体" w:eastAsia="宋体" w:cs="宋体"/>
                      <w:sz w:val="21"/>
                      <w:szCs w:val="21"/>
                    </w:rPr>
                  </w:pPr>
                  <w:r>
                    <w:rPr>
                      <w:rFonts w:hint="eastAsia" w:ascii="宋体" w:hAnsi="宋体" w:eastAsia="宋体" w:cs="宋体"/>
                      <w:w w:val="100"/>
                      <w:sz w:val="21"/>
                      <w:szCs w:val="21"/>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163" w:leftChars="0"/>
                    <w:rPr>
                      <w:rFonts w:hint="eastAsia" w:ascii="宋体" w:hAnsi="宋体" w:eastAsia="宋体" w:cs="宋体"/>
                      <w:kern w:val="0"/>
                      <w:sz w:val="21"/>
                      <w:szCs w:val="21"/>
                      <w:lang w:val="en-US" w:eastAsia="zh-CN" w:bidi="zh-CN"/>
                    </w:rPr>
                  </w:pPr>
                  <w:r>
                    <w:rPr>
                      <w:rFonts w:hint="eastAsia" w:ascii="宋体" w:hAnsi="宋体" w:eastAsia="宋体" w:cs="宋体"/>
                      <w:sz w:val="21"/>
                      <w:szCs w:val="21"/>
                      <w:lang w:val="en-US" w:eastAsia="zh-CN"/>
                    </w:rPr>
                    <w:t>0.1642</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right="150" w:rightChars="0"/>
                    <w:jc w:val="right"/>
                    <w:rPr>
                      <w:rFonts w:hint="eastAsia" w:ascii="宋体" w:hAnsi="宋体" w:eastAsia="宋体" w:cs="宋体"/>
                      <w:kern w:val="0"/>
                      <w:sz w:val="21"/>
                      <w:szCs w:val="21"/>
                      <w:lang w:val="en-US" w:eastAsia="zh-CN" w:bidi="zh-CN"/>
                    </w:rPr>
                  </w:pPr>
                  <w:r>
                    <w:rPr>
                      <w:rFonts w:hint="eastAsia" w:ascii="宋体" w:hAnsi="宋体" w:eastAsia="宋体" w:cs="宋体"/>
                      <w:sz w:val="21"/>
                      <w:szCs w:val="21"/>
                    </w:rPr>
                    <w:t>0.</w:t>
                  </w:r>
                  <w:r>
                    <w:rPr>
                      <w:rFonts w:hint="eastAsia" w:ascii="宋体" w:hAnsi="宋体" w:eastAsia="宋体" w:cs="宋体"/>
                      <w:sz w:val="21"/>
                      <w:szCs w:val="21"/>
                      <w:lang w:val="en-US" w:eastAsia="zh-CN"/>
                    </w:rPr>
                    <w:t>0228</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21"/>
                    <w:jc w:val="center"/>
                    <w:rPr>
                      <w:rFonts w:hint="eastAsia" w:ascii="宋体" w:hAnsi="宋体" w:eastAsia="宋体" w:cs="宋体"/>
                      <w:sz w:val="21"/>
                      <w:szCs w:val="21"/>
                    </w:rPr>
                  </w:pPr>
                  <w:r>
                    <w:rPr>
                      <w:rFonts w:hint="eastAsia" w:ascii="宋体" w:hAnsi="宋体" w:eastAsia="宋体" w:cs="宋体"/>
                      <w:w w:val="100"/>
                      <w:sz w:val="21"/>
                      <w:szCs w:val="21"/>
                    </w:rPr>
                    <w:t>/</w:t>
                  </w:r>
                </w:p>
              </w:tc>
              <w:tc>
                <w:tcPr>
                  <w:tcW w:w="772" w:type="dxa"/>
                  <w:tcBorders>
                    <w:top w:val="single" w:color="000000" w:sz="4" w:space="0"/>
                    <w:left w:val="single" w:color="000000" w:sz="4" w:space="0"/>
                    <w:bottom w:val="single" w:color="000000" w:sz="4" w:space="0"/>
                  </w:tcBorders>
                  <w:vAlign w:val="center"/>
                </w:tcPr>
                <w:p>
                  <w:pPr>
                    <w:pStyle w:val="218"/>
                    <w:spacing w:before="33"/>
                    <w:ind w:left="21"/>
                    <w:jc w:val="center"/>
                    <w:rPr>
                      <w:rFonts w:hint="eastAsia" w:ascii="宋体" w:hAnsi="宋体" w:eastAsia="宋体" w:cs="宋体"/>
                      <w:w w:val="100"/>
                      <w:sz w:val="21"/>
                      <w:szCs w:val="21"/>
                      <w:lang w:val="en-US" w:eastAsia="zh-CN"/>
                    </w:rPr>
                  </w:pPr>
                  <w:r>
                    <w:rPr>
                      <w:rFonts w:hint="eastAsia" w:ascii="宋体" w:hAnsi="宋体" w:eastAsia="宋体" w:cs="宋体"/>
                      <w:w w:val="100"/>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405" w:hRule="atLeast"/>
                <w:jc w:val="center"/>
              </w:trPr>
              <w:tc>
                <w:tcPr>
                  <w:tcW w:w="303" w:type="dxa"/>
                  <w:vMerge w:val="continue"/>
                  <w:tcBorders>
                    <w:right w:val="single" w:color="000000" w:sz="4" w:space="0"/>
                  </w:tcBorders>
                  <w:vAlign w:val="center"/>
                </w:tcPr>
                <w:p>
                  <w:pPr>
                    <w:pStyle w:val="74"/>
                    <w:rPr>
                      <w:rFonts w:hint="eastAsia" w:ascii="宋体" w:hAnsi="宋体" w:eastAsia="宋体" w:cs="宋体"/>
                      <w:sz w:val="21"/>
                      <w:szCs w:val="21"/>
                    </w:rPr>
                  </w:pPr>
                </w:p>
              </w:tc>
              <w:tc>
                <w:tcPr>
                  <w:tcW w:w="559" w:type="dxa"/>
                  <w:vMerge w:val="continue"/>
                  <w:tcBorders>
                    <w:left w:val="single" w:color="000000" w:sz="4" w:space="0"/>
                    <w:bottom w:val="single" w:color="000000" w:sz="4" w:space="0"/>
                    <w:right w:val="single" w:color="000000" w:sz="4" w:space="0"/>
                  </w:tcBorders>
                  <w:vAlign w:val="center"/>
                </w:tcPr>
                <w:p>
                  <w:pPr>
                    <w:pStyle w:val="218"/>
                    <w:ind w:left="109"/>
                    <w:jc w:val="center"/>
                    <w:rPr>
                      <w:rFonts w:hint="eastAsia" w:ascii="宋体" w:hAnsi="宋体" w:eastAsia="宋体" w:cs="宋体"/>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pStyle w:val="218"/>
                    <w:spacing w:before="27"/>
                    <w:ind w:left="74" w:leftChars="0" w:right="46" w:rightChars="0"/>
                    <w:jc w:val="center"/>
                    <w:rPr>
                      <w:rFonts w:hint="eastAsia" w:ascii="宋体" w:hAnsi="宋体" w:eastAsia="宋体" w:cs="宋体"/>
                      <w:kern w:val="0"/>
                      <w:sz w:val="21"/>
                      <w:szCs w:val="21"/>
                      <w:lang w:val="zh-CN" w:eastAsia="zh-CN" w:bidi="zh-CN"/>
                    </w:rPr>
                  </w:pPr>
                  <w:r>
                    <w:rPr>
                      <w:rFonts w:hint="eastAsia" w:ascii="宋体" w:hAnsi="宋体" w:eastAsia="宋体" w:cs="宋体"/>
                      <w:sz w:val="21"/>
                      <w:szCs w:val="21"/>
                    </w:rPr>
                    <w:t>苯乙烯</w:t>
                  </w:r>
                </w:p>
              </w:tc>
              <w:tc>
                <w:tcPr>
                  <w:tcW w:w="1222"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163" w:leftChars="0"/>
                    <w:rPr>
                      <w:rFonts w:hint="eastAsia" w:ascii="宋体" w:hAnsi="宋体" w:eastAsia="宋体" w:cs="宋体"/>
                      <w:kern w:val="0"/>
                      <w:sz w:val="21"/>
                      <w:szCs w:val="21"/>
                      <w:lang w:val="en-US" w:eastAsia="zh-CN" w:bidi="zh-CN"/>
                    </w:rPr>
                  </w:pPr>
                  <w:r>
                    <w:rPr>
                      <w:rFonts w:hint="eastAsia" w:ascii="宋体" w:hAnsi="宋体" w:eastAsia="宋体" w:cs="宋体"/>
                      <w:sz w:val="21"/>
                      <w:szCs w:val="21"/>
                    </w:rPr>
                    <w:t>0.</w:t>
                  </w:r>
                  <w:r>
                    <w:rPr>
                      <w:rFonts w:hint="eastAsia" w:ascii="宋体" w:hAnsi="宋体" w:eastAsia="宋体" w:cs="宋体"/>
                      <w:sz w:val="21"/>
                      <w:szCs w:val="21"/>
                      <w:lang w:val="en-US" w:eastAsia="zh-CN"/>
                    </w:rPr>
                    <w:t>00006</w:t>
                  </w:r>
                </w:p>
              </w:tc>
              <w:tc>
                <w:tcPr>
                  <w:tcW w:w="1074"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right="150" w:rightChars="0"/>
                    <w:jc w:val="right"/>
                    <w:rPr>
                      <w:rFonts w:hint="eastAsia" w:ascii="宋体" w:hAnsi="宋体" w:eastAsia="宋体" w:cs="宋体"/>
                      <w:kern w:val="0"/>
                      <w:sz w:val="21"/>
                      <w:szCs w:val="21"/>
                      <w:lang w:val="en-US" w:eastAsia="zh-CN" w:bidi="zh-CN"/>
                    </w:rPr>
                  </w:pPr>
                  <w:r>
                    <w:rPr>
                      <w:rFonts w:hint="eastAsia" w:ascii="宋体" w:hAnsi="宋体" w:eastAsia="宋体" w:cs="宋体"/>
                      <w:sz w:val="21"/>
                      <w:szCs w:val="21"/>
                    </w:rPr>
                    <w:t>0.</w:t>
                  </w:r>
                  <w:r>
                    <w:rPr>
                      <w:rFonts w:hint="eastAsia" w:ascii="宋体" w:hAnsi="宋体" w:eastAsia="宋体" w:cs="宋体"/>
                      <w:sz w:val="21"/>
                      <w:szCs w:val="21"/>
                      <w:lang w:val="en-US" w:eastAsia="zh-CN"/>
                    </w:rPr>
                    <w:t>00001</w:t>
                  </w:r>
                </w:p>
              </w:tc>
              <w:tc>
                <w:tcPr>
                  <w:tcW w:w="903"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24" w:leftChars="0"/>
                    <w:jc w:val="center"/>
                    <w:rPr>
                      <w:rFonts w:hint="eastAsia" w:ascii="宋体" w:hAnsi="宋体" w:eastAsia="宋体" w:cs="宋体"/>
                      <w:kern w:val="0"/>
                      <w:sz w:val="21"/>
                      <w:szCs w:val="21"/>
                      <w:lang w:val="zh-CN" w:eastAsia="zh-CN" w:bidi="zh-CN"/>
                    </w:rPr>
                  </w:pPr>
                  <w:r>
                    <w:rPr>
                      <w:rFonts w:hint="eastAsia" w:ascii="宋体" w:hAnsi="宋体" w:eastAsia="宋体" w:cs="宋体"/>
                      <w:w w:val="100"/>
                      <w:sz w:val="21"/>
                      <w:szCs w:val="21"/>
                    </w:rPr>
                    <w:t>/</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8"/>
                    <w:spacing w:before="27"/>
                    <w:ind w:left="123" w:leftChars="0"/>
                    <w:rPr>
                      <w:rFonts w:hint="eastAsia" w:ascii="宋体" w:hAnsi="宋体" w:eastAsia="宋体" w:cs="宋体"/>
                      <w:kern w:val="0"/>
                      <w:sz w:val="21"/>
                      <w:szCs w:val="21"/>
                      <w:lang w:val="zh-CN" w:eastAsia="zh-CN" w:bidi="zh-CN"/>
                    </w:rPr>
                  </w:pPr>
                  <w:r>
                    <w:rPr>
                      <w:rFonts w:hint="eastAsia" w:ascii="宋体" w:hAnsi="宋体" w:eastAsia="宋体" w:cs="宋体"/>
                      <w:sz w:val="21"/>
                      <w:szCs w:val="21"/>
                    </w:rPr>
                    <w:t>无组织</w:t>
                  </w:r>
                </w:p>
              </w:tc>
              <w:tc>
                <w:tcPr>
                  <w:tcW w:w="1072"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19" w:leftChars="0"/>
                    <w:jc w:val="center"/>
                    <w:rPr>
                      <w:rFonts w:hint="eastAsia" w:ascii="宋体" w:hAnsi="宋体" w:eastAsia="宋体" w:cs="宋体"/>
                      <w:kern w:val="0"/>
                      <w:sz w:val="21"/>
                      <w:szCs w:val="21"/>
                      <w:lang w:val="zh-CN" w:eastAsia="zh-CN" w:bidi="zh-CN"/>
                    </w:rPr>
                  </w:pPr>
                  <w:r>
                    <w:rPr>
                      <w:rFonts w:hint="eastAsia" w:ascii="宋体" w:hAnsi="宋体" w:eastAsia="宋体" w:cs="宋体"/>
                      <w:w w:val="100"/>
                      <w:sz w:val="21"/>
                      <w:szCs w:val="21"/>
                    </w:rPr>
                    <w:t>/</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23" w:leftChars="0"/>
                    <w:jc w:val="center"/>
                    <w:rPr>
                      <w:rFonts w:hint="eastAsia" w:ascii="宋体" w:hAnsi="宋体" w:eastAsia="宋体" w:cs="宋体"/>
                      <w:kern w:val="0"/>
                      <w:sz w:val="21"/>
                      <w:szCs w:val="21"/>
                      <w:lang w:val="zh-CN" w:eastAsia="zh-CN" w:bidi="zh-CN"/>
                    </w:rPr>
                  </w:pPr>
                  <w:r>
                    <w:rPr>
                      <w:rFonts w:hint="eastAsia" w:ascii="宋体" w:hAnsi="宋体" w:eastAsia="宋体" w:cs="宋体"/>
                      <w:w w:val="100"/>
                      <w:sz w:val="21"/>
                      <w:szCs w:val="21"/>
                    </w:rPr>
                    <w:t>/</w:t>
                  </w:r>
                </w:p>
              </w:tc>
              <w:tc>
                <w:tcPr>
                  <w:tcW w:w="1181"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23" w:leftChars="0"/>
                    <w:jc w:val="center"/>
                    <w:rPr>
                      <w:rFonts w:hint="eastAsia" w:ascii="宋体" w:hAnsi="宋体" w:eastAsia="宋体" w:cs="宋体"/>
                      <w:kern w:val="0"/>
                      <w:sz w:val="21"/>
                      <w:szCs w:val="21"/>
                      <w:lang w:val="zh-CN" w:eastAsia="zh-CN" w:bidi="zh-CN"/>
                    </w:rPr>
                  </w:pPr>
                  <w:r>
                    <w:rPr>
                      <w:rFonts w:hint="eastAsia" w:ascii="宋体" w:hAnsi="宋体" w:eastAsia="宋体" w:cs="宋体"/>
                      <w:w w:val="100"/>
                      <w:sz w:val="21"/>
                      <w:szCs w:val="21"/>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163" w:leftChars="0"/>
                    <w:rPr>
                      <w:rFonts w:hint="eastAsia" w:ascii="宋体" w:hAnsi="宋体" w:eastAsia="宋体" w:cs="宋体"/>
                      <w:kern w:val="0"/>
                      <w:sz w:val="21"/>
                      <w:szCs w:val="21"/>
                      <w:lang w:val="zh-CN" w:eastAsia="zh-CN" w:bidi="zh-CN"/>
                    </w:rPr>
                  </w:pPr>
                  <w:r>
                    <w:rPr>
                      <w:rFonts w:hint="eastAsia" w:ascii="宋体" w:hAnsi="宋体" w:eastAsia="宋体" w:cs="宋体"/>
                      <w:sz w:val="21"/>
                      <w:szCs w:val="21"/>
                    </w:rPr>
                    <w:t>0.</w:t>
                  </w:r>
                  <w:r>
                    <w:rPr>
                      <w:rFonts w:hint="eastAsia" w:ascii="宋体" w:hAnsi="宋体" w:eastAsia="宋体" w:cs="宋体"/>
                      <w:sz w:val="21"/>
                      <w:szCs w:val="21"/>
                      <w:lang w:val="en-US" w:eastAsia="zh-CN"/>
                    </w:rPr>
                    <w:t>00006</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right="150" w:rightChars="0"/>
                    <w:jc w:val="right"/>
                    <w:rPr>
                      <w:rFonts w:hint="eastAsia" w:ascii="宋体" w:hAnsi="宋体" w:eastAsia="宋体" w:cs="宋体"/>
                      <w:kern w:val="0"/>
                      <w:sz w:val="21"/>
                      <w:szCs w:val="21"/>
                      <w:lang w:val="zh-CN" w:eastAsia="zh-CN" w:bidi="zh-CN"/>
                    </w:rPr>
                  </w:pPr>
                  <w:r>
                    <w:rPr>
                      <w:rFonts w:hint="eastAsia" w:ascii="宋体" w:hAnsi="宋体" w:eastAsia="宋体" w:cs="宋体"/>
                      <w:sz w:val="21"/>
                      <w:szCs w:val="21"/>
                    </w:rPr>
                    <w:t>0.</w:t>
                  </w:r>
                  <w:r>
                    <w:rPr>
                      <w:rFonts w:hint="eastAsia" w:ascii="宋体" w:hAnsi="宋体" w:eastAsia="宋体" w:cs="宋体"/>
                      <w:sz w:val="21"/>
                      <w:szCs w:val="21"/>
                      <w:lang w:val="en-US" w:eastAsia="zh-CN"/>
                    </w:rPr>
                    <w:t>00001</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21" w:leftChars="0"/>
                    <w:jc w:val="center"/>
                    <w:rPr>
                      <w:rFonts w:hint="eastAsia" w:ascii="宋体" w:hAnsi="宋体" w:eastAsia="宋体" w:cs="宋体"/>
                      <w:kern w:val="0"/>
                      <w:sz w:val="21"/>
                      <w:szCs w:val="21"/>
                      <w:lang w:val="zh-CN" w:eastAsia="zh-CN" w:bidi="zh-CN"/>
                    </w:rPr>
                  </w:pPr>
                  <w:r>
                    <w:rPr>
                      <w:rFonts w:hint="eastAsia" w:ascii="宋体" w:hAnsi="宋体" w:eastAsia="宋体" w:cs="宋体"/>
                      <w:w w:val="100"/>
                      <w:sz w:val="21"/>
                      <w:szCs w:val="21"/>
                    </w:rPr>
                    <w:t>/</w:t>
                  </w:r>
                </w:p>
              </w:tc>
              <w:tc>
                <w:tcPr>
                  <w:tcW w:w="772" w:type="dxa"/>
                  <w:tcBorders>
                    <w:top w:val="single" w:color="000000" w:sz="4" w:space="0"/>
                    <w:left w:val="single" w:color="000000" w:sz="4" w:space="0"/>
                    <w:bottom w:val="single" w:color="000000" w:sz="4" w:space="0"/>
                  </w:tcBorders>
                  <w:vAlign w:val="center"/>
                </w:tcPr>
                <w:p>
                  <w:pPr>
                    <w:pStyle w:val="218"/>
                    <w:spacing w:before="33"/>
                    <w:ind w:left="21" w:leftChars="0"/>
                    <w:jc w:val="center"/>
                    <w:rPr>
                      <w:rFonts w:hint="eastAsia" w:ascii="宋体" w:hAnsi="宋体" w:eastAsia="宋体" w:cs="宋体"/>
                      <w:w w:val="100"/>
                      <w:sz w:val="21"/>
                      <w:szCs w:val="21"/>
                      <w:lang w:val="en-US" w:eastAsia="zh-CN"/>
                    </w:rPr>
                  </w:pPr>
                  <w:r>
                    <w:rPr>
                      <w:rFonts w:hint="eastAsia" w:ascii="宋体" w:hAnsi="宋体" w:eastAsia="宋体" w:cs="宋体"/>
                      <w:w w:val="100"/>
                      <w:sz w:val="21"/>
                      <w:szCs w:val="21"/>
                      <w:lang w:val="en-US" w:eastAsia="zh-CN"/>
                    </w:rPr>
                    <w:t>/</w:t>
                  </w:r>
                </w:p>
              </w:tc>
            </w:tr>
            <w:tr>
              <w:tblPrEx>
                <w:tblBorders>
                  <w:top w:val="single" w:color="auto" w:sz="4" w:space="0"/>
                  <w:left w:val="none" w:color="auto" w:sz="0" w:space="0"/>
                  <w:bottom w:val="single" w:color="auto" w:sz="4"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821" w:hRule="atLeast"/>
                <w:jc w:val="center"/>
              </w:trPr>
              <w:tc>
                <w:tcPr>
                  <w:tcW w:w="303" w:type="dxa"/>
                  <w:vMerge w:val="continue"/>
                  <w:tcBorders>
                    <w:right w:val="single" w:color="000000" w:sz="4" w:space="0"/>
                  </w:tcBorders>
                  <w:vAlign w:val="center"/>
                </w:tcPr>
                <w:p>
                  <w:pPr>
                    <w:pStyle w:val="74"/>
                    <w:rPr>
                      <w:rFonts w:hint="eastAsia" w:ascii="宋体" w:hAnsi="宋体" w:eastAsia="宋体" w:cs="宋体"/>
                      <w:sz w:val="21"/>
                      <w:szCs w:val="21"/>
                    </w:rPr>
                  </w:pPr>
                </w:p>
              </w:tc>
              <w:tc>
                <w:tcPr>
                  <w:tcW w:w="559" w:type="dxa"/>
                  <w:tcBorders>
                    <w:top w:val="single" w:color="000000" w:sz="4" w:space="0"/>
                    <w:left w:val="single" w:color="000000" w:sz="4" w:space="0"/>
                    <w:bottom w:val="single" w:color="000000" w:sz="4" w:space="0"/>
                    <w:right w:val="single" w:color="000000" w:sz="4" w:space="0"/>
                  </w:tcBorders>
                  <w:vAlign w:val="center"/>
                </w:tcPr>
                <w:p>
                  <w:pPr>
                    <w:pStyle w:val="218"/>
                    <w:ind w:left="109"/>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破碎工序</w:t>
                  </w:r>
                </w:p>
              </w:tc>
              <w:tc>
                <w:tcPr>
                  <w:tcW w:w="1020" w:type="dxa"/>
                  <w:tcBorders>
                    <w:top w:val="single" w:color="000000" w:sz="4" w:space="0"/>
                    <w:left w:val="single" w:color="000000" w:sz="4" w:space="0"/>
                    <w:bottom w:val="single" w:color="000000" w:sz="4" w:space="0"/>
                    <w:right w:val="single" w:color="000000" w:sz="4" w:space="0"/>
                  </w:tcBorders>
                  <w:vAlign w:val="center"/>
                </w:tcPr>
                <w:p>
                  <w:pPr>
                    <w:pStyle w:val="218"/>
                    <w:spacing w:before="27"/>
                    <w:ind w:left="74" w:right="46"/>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粉尘</w:t>
                  </w:r>
                </w:p>
              </w:tc>
              <w:tc>
                <w:tcPr>
                  <w:tcW w:w="1222"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163"/>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0.0480</w:t>
                  </w:r>
                </w:p>
              </w:tc>
              <w:tc>
                <w:tcPr>
                  <w:tcW w:w="1074"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right="150"/>
                    <w:jc w:val="righ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0.016</w:t>
                  </w:r>
                </w:p>
              </w:tc>
              <w:tc>
                <w:tcPr>
                  <w:tcW w:w="903"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24"/>
                    <w:jc w:val="center"/>
                    <w:rPr>
                      <w:rFonts w:hint="eastAsia" w:ascii="宋体" w:hAnsi="宋体" w:eastAsia="宋体" w:cs="宋体"/>
                      <w:w w:val="100"/>
                      <w:sz w:val="21"/>
                      <w:szCs w:val="21"/>
                      <w:lang w:val="en-US" w:eastAsia="zh-CN"/>
                    </w:rPr>
                  </w:pPr>
                  <w:r>
                    <w:rPr>
                      <w:rFonts w:hint="eastAsia" w:ascii="宋体" w:hAnsi="宋体" w:eastAsia="宋体" w:cs="宋体"/>
                      <w:w w:val="100"/>
                      <w:sz w:val="21"/>
                      <w:szCs w:val="21"/>
                      <w:lang w:val="en-US" w:eastAsia="zh-CN"/>
                    </w:rPr>
                    <w:t>1.6</w:t>
                  </w:r>
                </w:p>
              </w:tc>
              <w:tc>
                <w:tcPr>
                  <w:tcW w:w="828" w:type="dxa"/>
                  <w:tcBorders>
                    <w:top w:val="single" w:color="000000" w:sz="4" w:space="0"/>
                    <w:left w:val="single" w:color="000000" w:sz="4" w:space="0"/>
                    <w:bottom w:val="single" w:color="000000" w:sz="4" w:space="0"/>
                    <w:right w:val="single" w:color="000000" w:sz="4" w:space="0"/>
                  </w:tcBorders>
                  <w:vAlign w:val="center"/>
                </w:tcPr>
                <w:p>
                  <w:pPr>
                    <w:pStyle w:val="218"/>
                    <w:spacing w:before="24"/>
                    <w:ind w:left="123" w:leftChars="0"/>
                    <w:rPr>
                      <w:rFonts w:hint="eastAsia" w:ascii="宋体" w:hAnsi="宋体" w:eastAsia="宋体" w:cs="宋体"/>
                      <w:kern w:val="0"/>
                      <w:sz w:val="21"/>
                      <w:szCs w:val="21"/>
                      <w:lang w:val="zh-CN" w:eastAsia="zh-CN" w:bidi="zh-CN"/>
                    </w:rPr>
                  </w:pPr>
                  <w:r>
                    <w:rPr>
                      <w:rFonts w:hint="eastAsia" w:ascii="宋体" w:hAnsi="宋体" w:eastAsia="宋体" w:cs="宋体"/>
                      <w:sz w:val="21"/>
                      <w:szCs w:val="21"/>
                    </w:rPr>
                    <w:t>有组织</w:t>
                  </w:r>
                </w:p>
              </w:tc>
              <w:tc>
                <w:tcPr>
                  <w:tcW w:w="1072"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19"/>
                    <w:jc w:val="center"/>
                    <w:rPr>
                      <w:rFonts w:hint="eastAsia" w:ascii="宋体" w:hAnsi="宋体" w:eastAsia="宋体" w:cs="宋体"/>
                      <w:w w:val="100"/>
                      <w:sz w:val="21"/>
                      <w:szCs w:val="21"/>
                      <w:lang w:val="en-US" w:eastAsia="zh-CN"/>
                    </w:rPr>
                  </w:pPr>
                  <w:r>
                    <w:rPr>
                      <w:rFonts w:hint="eastAsia" w:ascii="宋体" w:hAnsi="宋体" w:eastAsia="宋体" w:cs="宋体"/>
                      <w:w w:val="100"/>
                      <w:sz w:val="21"/>
                      <w:szCs w:val="21"/>
                      <w:lang w:val="en-US" w:eastAsia="zh-CN"/>
                    </w:rPr>
                    <w:t>布袋除尘器</w:t>
                  </w:r>
                </w:p>
              </w:tc>
              <w:tc>
                <w:tcPr>
                  <w:tcW w:w="680"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23"/>
                    <w:jc w:val="center"/>
                    <w:rPr>
                      <w:rFonts w:hint="eastAsia" w:ascii="宋体" w:hAnsi="宋体" w:eastAsia="宋体" w:cs="宋体"/>
                      <w:w w:val="100"/>
                      <w:sz w:val="21"/>
                      <w:szCs w:val="21"/>
                    </w:rPr>
                  </w:pPr>
                  <w:r>
                    <w:rPr>
                      <w:rFonts w:hint="eastAsia" w:ascii="宋体" w:hAnsi="宋体" w:eastAsia="宋体" w:cs="宋体"/>
                      <w:sz w:val="21"/>
                      <w:szCs w:val="21"/>
                    </w:rPr>
                    <w:t>9</w:t>
                  </w:r>
                  <w:r>
                    <w:rPr>
                      <w:rFonts w:hint="eastAsia" w:ascii="宋体" w:hAnsi="宋体" w:eastAsia="宋体" w:cs="宋体"/>
                      <w:sz w:val="21"/>
                      <w:szCs w:val="21"/>
                      <w:lang w:val="en-US" w:eastAsia="zh-CN"/>
                    </w:rPr>
                    <w:t>5</w:t>
                  </w:r>
                  <w:r>
                    <w:rPr>
                      <w:rFonts w:hint="eastAsia" w:ascii="宋体" w:hAnsi="宋体" w:eastAsia="宋体" w:cs="宋体"/>
                      <w:sz w:val="21"/>
                      <w:szCs w:val="21"/>
                    </w:rPr>
                    <w:t>%</w:t>
                  </w:r>
                </w:p>
              </w:tc>
              <w:tc>
                <w:tcPr>
                  <w:tcW w:w="1181"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23"/>
                    <w:jc w:val="center"/>
                    <w:rPr>
                      <w:rFonts w:hint="eastAsia" w:ascii="宋体" w:hAnsi="宋体" w:eastAsia="宋体" w:cs="宋体"/>
                      <w:w w:val="100"/>
                      <w:sz w:val="21"/>
                      <w:szCs w:val="21"/>
                    </w:rPr>
                  </w:pPr>
                  <w:r>
                    <w:rPr>
                      <w:rFonts w:hint="eastAsia" w:ascii="宋体" w:hAnsi="宋体" w:eastAsia="宋体" w:cs="宋体"/>
                      <w:w w:val="100"/>
                      <w:sz w:val="21"/>
                      <w:szCs w:val="21"/>
                    </w:rPr>
                    <w:t>是</w:t>
                  </w:r>
                </w:p>
              </w:tc>
              <w:tc>
                <w:tcPr>
                  <w:tcW w:w="1073"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206"/>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0.0024</w:t>
                  </w:r>
                </w:p>
              </w:tc>
              <w:tc>
                <w:tcPr>
                  <w:tcW w:w="1043"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168"/>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0.0008</w:t>
                  </w:r>
                </w:p>
              </w:tc>
              <w:tc>
                <w:tcPr>
                  <w:tcW w:w="848" w:type="dxa"/>
                  <w:tcBorders>
                    <w:top w:val="single" w:color="000000" w:sz="4" w:space="0"/>
                    <w:left w:val="single" w:color="000000" w:sz="4" w:space="0"/>
                    <w:bottom w:val="single" w:color="000000" w:sz="4" w:space="0"/>
                    <w:right w:val="single" w:color="000000" w:sz="4" w:space="0"/>
                  </w:tcBorders>
                  <w:vAlign w:val="center"/>
                </w:tcPr>
                <w:p>
                  <w:pPr>
                    <w:pStyle w:val="218"/>
                    <w:spacing w:before="33"/>
                    <w:ind w:left="21"/>
                    <w:jc w:val="center"/>
                    <w:rPr>
                      <w:rFonts w:hint="eastAsia" w:ascii="宋体" w:hAnsi="宋体" w:eastAsia="宋体" w:cs="宋体"/>
                      <w:w w:val="100"/>
                      <w:sz w:val="21"/>
                      <w:szCs w:val="21"/>
                      <w:lang w:val="en-US" w:eastAsia="zh-CN"/>
                    </w:rPr>
                  </w:pPr>
                  <w:r>
                    <w:rPr>
                      <w:rFonts w:hint="eastAsia" w:ascii="宋体" w:hAnsi="宋体" w:eastAsia="宋体" w:cs="宋体"/>
                      <w:w w:val="100"/>
                      <w:sz w:val="21"/>
                      <w:szCs w:val="21"/>
                      <w:lang w:val="en-US" w:eastAsia="zh-CN"/>
                    </w:rPr>
                    <w:t>0.0800</w:t>
                  </w:r>
                </w:p>
              </w:tc>
              <w:tc>
                <w:tcPr>
                  <w:tcW w:w="772" w:type="dxa"/>
                  <w:tcBorders>
                    <w:top w:val="single" w:color="000000" w:sz="4" w:space="0"/>
                    <w:left w:val="single" w:color="000000" w:sz="4" w:space="0"/>
                    <w:bottom w:val="single" w:color="000000" w:sz="4" w:space="0"/>
                  </w:tcBorders>
                  <w:vAlign w:val="center"/>
                </w:tcPr>
                <w:p>
                  <w:pPr>
                    <w:pStyle w:val="218"/>
                    <w:spacing w:before="33"/>
                    <w:ind w:left="21"/>
                    <w:jc w:val="center"/>
                    <w:rPr>
                      <w:rFonts w:hint="eastAsia" w:ascii="宋体" w:hAnsi="宋体" w:eastAsia="宋体" w:cs="宋体"/>
                      <w:w w:val="100"/>
                      <w:sz w:val="21"/>
                      <w:szCs w:val="21"/>
                      <w:lang w:val="en-US" w:eastAsia="zh-CN"/>
                    </w:rPr>
                  </w:pPr>
                  <w:r>
                    <w:rPr>
                      <w:rFonts w:hint="eastAsia" w:ascii="宋体" w:hAnsi="宋体" w:eastAsia="宋体" w:cs="宋体"/>
                      <w:w w:val="100"/>
                      <w:sz w:val="21"/>
                      <w:szCs w:val="21"/>
                      <w:lang w:val="en-US" w:eastAsia="zh-CN"/>
                    </w:rPr>
                    <w:t>DA002</w:t>
                  </w:r>
                </w:p>
              </w:tc>
            </w:tr>
            <w:tr>
              <w:tblPrEx>
                <w:tblBorders>
                  <w:top w:val="single" w:color="auto" w:sz="4" w:space="0"/>
                  <w:left w:val="none" w:color="auto" w:sz="0" w:space="0"/>
                  <w:bottom w:val="single" w:color="auto" w:sz="4" w:space="0"/>
                  <w:right w:val="none" w:color="auto" w:sz="0" w:space="0"/>
                  <w:insideH w:val="single" w:color="000000" w:sz="12" w:space="0"/>
                  <w:insideV w:val="single" w:color="000000" w:sz="12" w:space="0"/>
                </w:tblBorders>
                <w:tblCellMar>
                  <w:top w:w="0" w:type="dxa"/>
                  <w:left w:w="0" w:type="dxa"/>
                  <w:bottom w:w="0" w:type="dxa"/>
                  <w:right w:w="0" w:type="dxa"/>
                </w:tblCellMar>
              </w:tblPrEx>
              <w:trPr>
                <w:trHeight w:val="415" w:hRule="atLeast"/>
                <w:jc w:val="center"/>
              </w:trPr>
              <w:tc>
                <w:tcPr>
                  <w:tcW w:w="303" w:type="dxa"/>
                  <w:vMerge w:val="continue"/>
                  <w:tcBorders>
                    <w:right w:val="single" w:color="000000" w:sz="4" w:space="0"/>
                  </w:tcBorders>
                  <w:vAlign w:val="center"/>
                </w:tcPr>
                <w:p>
                  <w:pPr>
                    <w:pStyle w:val="74"/>
                    <w:rPr>
                      <w:rFonts w:hint="eastAsia" w:ascii="宋体" w:hAnsi="宋体" w:eastAsia="宋体" w:cs="宋体"/>
                      <w:sz w:val="21"/>
                      <w:szCs w:val="21"/>
                    </w:rPr>
                  </w:pPr>
                </w:p>
              </w:tc>
              <w:tc>
                <w:tcPr>
                  <w:tcW w:w="559" w:type="dxa"/>
                  <w:tcBorders>
                    <w:top w:val="single" w:color="000000" w:sz="4" w:space="0"/>
                    <w:left w:val="single" w:color="000000" w:sz="4" w:space="0"/>
                    <w:right w:val="single" w:color="000000" w:sz="4" w:space="0"/>
                  </w:tcBorders>
                  <w:vAlign w:val="center"/>
                </w:tcPr>
                <w:p>
                  <w:pPr>
                    <w:pStyle w:val="218"/>
                    <w:ind w:left="109"/>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破碎工序</w:t>
                  </w:r>
                </w:p>
              </w:tc>
              <w:tc>
                <w:tcPr>
                  <w:tcW w:w="1020" w:type="dxa"/>
                  <w:tcBorders>
                    <w:top w:val="single" w:color="000000" w:sz="4" w:space="0"/>
                    <w:left w:val="single" w:color="000000" w:sz="4" w:space="0"/>
                    <w:right w:val="single" w:color="000000" w:sz="4" w:space="0"/>
                  </w:tcBorders>
                  <w:vAlign w:val="center"/>
                </w:tcPr>
                <w:p>
                  <w:pPr>
                    <w:pStyle w:val="218"/>
                    <w:spacing w:before="27"/>
                    <w:ind w:left="74" w:right="46"/>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粉尘</w:t>
                  </w:r>
                </w:p>
              </w:tc>
              <w:tc>
                <w:tcPr>
                  <w:tcW w:w="1222" w:type="dxa"/>
                  <w:tcBorders>
                    <w:top w:val="single" w:color="000000" w:sz="4" w:space="0"/>
                    <w:left w:val="single" w:color="000000" w:sz="4" w:space="0"/>
                    <w:right w:val="single" w:color="000000" w:sz="4" w:space="0"/>
                  </w:tcBorders>
                  <w:vAlign w:val="center"/>
                </w:tcPr>
                <w:p>
                  <w:pPr>
                    <w:pStyle w:val="218"/>
                    <w:spacing w:before="33"/>
                    <w:ind w:left="206" w:leftChars="0"/>
                    <w:rPr>
                      <w:rFonts w:hint="eastAsia" w:ascii="宋体" w:hAnsi="宋体" w:eastAsia="宋体" w:cs="宋体"/>
                      <w:kern w:val="0"/>
                      <w:sz w:val="21"/>
                      <w:szCs w:val="21"/>
                      <w:lang w:val="en-US" w:eastAsia="zh-CN" w:bidi="zh-CN"/>
                    </w:rPr>
                  </w:pPr>
                  <w:r>
                    <w:rPr>
                      <w:rFonts w:hint="eastAsia" w:ascii="宋体" w:hAnsi="宋体" w:eastAsia="宋体" w:cs="宋体"/>
                      <w:sz w:val="21"/>
                      <w:szCs w:val="21"/>
                      <w:lang w:val="en-US" w:eastAsia="zh-CN"/>
                    </w:rPr>
                    <w:t>0.0120</w:t>
                  </w:r>
                </w:p>
              </w:tc>
              <w:tc>
                <w:tcPr>
                  <w:tcW w:w="1074" w:type="dxa"/>
                  <w:tcBorders>
                    <w:top w:val="single" w:color="000000" w:sz="4" w:space="0"/>
                    <w:left w:val="single" w:color="000000" w:sz="4" w:space="0"/>
                    <w:right w:val="single" w:color="000000" w:sz="4" w:space="0"/>
                  </w:tcBorders>
                  <w:vAlign w:val="center"/>
                </w:tcPr>
                <w:p>
                  <w:pPr>
                    <w:pStyle w:val="218"/>
                    <w:spacing w:before="33"/>
                    <w:ind w:left="168" w:leftChars="0"/>
                    <w:rPr>
                      <w:rFonts w:hint="eastAsia" w:ascii="宋体" w:hAnsi="宋体" w:eastAsia="宋体" w:cs="宋体"/>
                      <w:kern w:val="0"/>
                      <w:sz w:val="21"/>
                      <w:szCs w:val="21"/>
                      <w:lang w:val="en-US" w:eastAsia="zh-CN" w:bidi="zh-CN"/>
                    </w:rPr>
                  </w:pPr>
                  <w:r>
                    <w:rPr>
                      <w:rFonts w:hint="eastAsia" w:ascii="宋体" w:hAnsi="宋体" w:eastAsia="宋体" w:cs="宋体"/>
                      <w:sz w:val="21"/>
                      <w:szCs w:val="21"/>
                      <w:lang w:val="en-US" w:eastAsia="zh-CN"/>
                    </w:rPr>
                    <w:t>0.0040</w:t>
                  </w:r>
                </w:p>
              </w:tc>
              <w:tc>
                <w:tcPr>
                  <w:tcW w:w="903" w:type="dxa"/>
                  <w:tcBorders>
                    <w:top w:val="single" w:color="000000" w:sz="4" w:space="0"/>
                    <w:left w:val="single" w:color="000000" w:sz="4" w:space="0"/>
                    <w:right w:val="single" w:color="000000" w:sz="4" w:space="0"/>
                  </w:tcBorders>
                  <w:vAlign w:val="center"/>
                </w:tcPr>
                <w:p>
                  <w:pPr>
                    <w:pStyle w:val="218"/>
                    <w:spacing w:before="33"/>
                    <w:ind w:left="24"/>
                    <w:jc w:val="center"/>
                    <w:rPr>
                      <w:rFonts w:hint="eastAsia" w:ascii="宋体" w:hAnsi="宋体" w:eastAsia="宋体" w:cs="宋体"/>
                      <w:w w:val="100"/>
                      <w:sz w:val="21"/>
                      <w:szCs w:val="21"/>
                    </w:rPr>
                  </w:pPr>
                  <w:r>
                    <w:rPr>
                      <w:rFonts w:hint="eastAsia" w:ascii="宋体" w:hAnsi="宋体" w:eastAsia="宋体" w:cs="宋体"/>
                      <w:w w:val="100"/>
                      <w:sz w:val="21"/>
                      <w:szCs w:val="21"/>
                    </w:rPr>
                    <w:t>/</w:t>
                  </w:r>
                </w:p>
              </w:tc>
              <w:tc>
                <w:tcPr>
                  <w:tcW w:w="828" w:type="dxa"/>
                  <w:tcBorders>
                    <w:top w:val="single" w:color="000000" w:sz="4" w:space="0"/>
                    <w:left w:val="single" w:color="000000" w:sz="4" w:space="0"/>
                    <w:right w:val="single" w:color="000000" w:sz="4" w:space="0"/>
                  </w:tcBorders>
                  <w:vAlign w:val="center"/>
                </w:tcPr>
                <w:p>
                  <w:pPr>
                    <w:pStyle w:val="218"/>
                    <w:spacing w:before="27"/>
                    <w:ind w:left="123" w:leftChars="0"/>
                    <w:rPr>
                      <w:rFonts w:hint="eastAsia" w:ascii="宋体" w:hAnsi="宋体" w:eastAsia="宋体" w:cs="宋体"/>
                      <w:kern w:val="0"/>
                      <w:sz w:val="21"/>
                      <w:szCs w:val="21"/>
                      <w:lang w:val="zh-CN" w:eastAsia="zh-CN" w:bidi="zh-CN"/>
                    </w:rPr>
                  </w:pPr>
                  <w:r>
                    <w:rPr>
                      <w:rFonts w:hint="eastAsia" w:ascii="宋体" w:hAnsi="宋体" w:eastAsia="宋体" w:cs="宋体"/>
                      <w:sz w:val="21"/>
                      <w:szCs w:val="21"/>
                    </w:rPr>
                    <w:t>无组织</w:t>
                  </w:r>
                </w:p>
              </w:tc>
              <w:tc>
                <w:tcPr>
                  <w:tcW w:w="1072" w:type="dxa"/>
                  <w:tcBorders>
                    <w:top w:val="single" w:color="000000" w:sz="4" w:space="0"/>
                    <w:left w:val="single" w:color="000000" w:sz="4" w:space="0"/>
                    <w:right w:val="single" w:color="000000" w:sz="4" w:space="0"/>
                  </w:tcBorders>
                  <w:vAlign w:val="center"/>
                </w:tcPr>
                <w:p>
                  <w:pPr>
                    <w:pStyle w:val="218"/>
                    <w:spacing w:before="33"/>
                    <w:ind w:left="19" w:leftChars="0"/>
                    <w:jc w:val="center"/>
                    <w:rPr>
                      <w:rFonts w:hint="eastAsia" w:ascii="宋体" w:hAnsi="宋体" w:eastAsia="宋体" w:cs="宋体"/>
                      <w:kern w:val="0"/>
                      <w:sz w:val="21"/>
                      <w:szCs w:val="21"/>
                      <w:lang w:val="zh-CN" w:eastAsia="zh-CN" w:bidi="zh-CN"/>
                    </w:rPr>
                  </w:pPr>
                  <w:r>
                    <w:rPr>
                      <w:rFonts w:hint="eastAsia" w:ascii="宋体" w:hAnsi="宋体" w:eastAsia="宋体" w:cs="宋体"/>
                      <w:w w:val="100"/>
                      <w:sz w:val="21"/>
                      <w:szCs w:val="21"/>
                    </w:rPr>
                    <w:t>/</w:t>
                  </w:r>
                </w:p>
              </w:tc>
              <w:tc>
                <w:tcPr>
                  <w:tcW w:w="680" w:type="dxa"/>
                  <w:tcBorders>
                    <w:top w:val="single" w:color="000000" w:sz="4" w:space="0"/>
                    <w:left w:val="single" w:color="000000" w:sz="4" w:space="0"/>
                    <w:right w:val="single" w:color="000000" w:sz="4" w:space="0"/>
                  </w:tcBorders>
                  <w:vAlign w:val="center"/>
                </w:tcPr>
                <w:p>
                  <w:pPr>
                    <w:pStyle w:val="218"/>
                    <w:spacing w:before="33"/>
                    <w:ind w:left="23" w:leftChars="0"/>
                    <w:jc w:val="center"/>
                    <w:rPr>
                      <w:rFonts w:hint="eastAsia" w:ascii="宋体" w:hAnsi="宋体" w:eastAsia="宋体" w:cs="宋体"/>
                      <w:kern w:val="0"/>
                      <w:sz w:val="21"/>
                      <w:szCs w:val="21"/>
                      <w:lang w:val="zh-CN" w:eastAsia="zh-CN" w:bidi="zh-CN"/>
                    </w:rPr>
                  </w:pPr>
                  <w:r>
                    <w:rPr>
                      <w:rFonts w:hint="eastAsia" w:ascii="宋体" w:hAnsi="宋体" w:eastAsia="宋体" w:cs="宋体"/>
                      <w:w w:val="100"/>
                      <w:sz w:val="21"/>
                      <w:szCs w:val="21"/>
                    </w:rPr>
                    <w:t>/</w:t>
                  </w:r>
                </w:p>
              </w:tc>
              <w:tc>
                <w:tcPr>
                  <w:tcW w:w="1181" w:type="dxa"/>
                  <w:tcBorders>
                    <w:top w:val="single" w:color="000000" w:sz="4" w:space="0"/>
                    <w:left w:val="single" w:color="000000" w:sz="4" w:space="0"/>
                    <w:right w:val="single" w:color="000000" w:sz="4" w:space="0"/>
                  </w:tcBorders>
                  <w:vAlign w:val="center"/>
                </w:tcPr>
                <w:p>
                  <w:pPr>
                    <w:pStyle w:val="218"/>
                    <w:spacing w:before="33"/>
                    <w:ind w:left="23" w:leftChars="0"/>
                    <w:jc w:val="center"/>
                    <w:rPr>
                      <w:rFonts w:hint="eastAsia" w:ascii="宋体" w:hAnsi="宋体" w:eastAsia="宋体" w:cs="宋体"/>
                      <w:kern w:val="0"/>
                      <w:sz w:val="21"/>
                      <w:szCs w:val="21"/>
                      <w:lang w:val="zh-CN" w:eastAsia="zh-CN" w:bidi="zh-CN"/>
                    </w:rPr>
                  </w:pPr>
                  <w:r>
                    <w:rPr>
                      <w:rFonts w:hint="eastAsia" w:ascii="宋体" w:hAnsi="宋体" w:eastAsia="宋体" w:cs="宋体"/>
                      <w:w w:val="100"/>
                      <w:sz w:val="21"/>
                      <w:szCs w:val="21"/>
                    </w:rPr>
                    <w:t>/</w:t>
                  </w:r>
                </w:p>
              </w:tc>
              <w:tc>
                <w:tcPr>
                  <w:tcW w:w="1073" w:type="dxa"/>
                  <w:tcBorders>
                    <w:top w:val="single" w:color="000000" w:sz="4" w:space="0"/>
                    <w:left w:val="single" w:color="000000" w:sz="4" w:space="0"/>
                    <w:right w:val="single" w:color="000000" w:sz="4" w:space="0"/>
                  </w:tcBorders>
                  <w:vAlign w:val="center"/>
                </w:tcPr>
                <w:p>
                  <w:pPr>
                    <w:pStyle w:val="218"/>
                    <w:spacing w:before="33"/>
                    <w:ind w:left="206"/>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0.0120</w:t>
                  </w:r>
                </w:p>
              </w:tc>
              <w:tc>
                <w:tcPr>
                  <w:tcW w:w="1043" w:type="dxa"/>
                  <w:tcBorders>
                    <w:top w:val="single" w:color="000000" w:sz="4" w:space="0"/>
                    <w:left w:val="single" w:color="000000" w:sz="4" w:space="0"/>
                    <w:right w:val="single" w:color="000000" w:sz="4" w:space="0"/>
                  </w:tcBorders>
                  <w:vAlign w:val="center"/>
                </w:tcPr>
                <w:p>
                  <w:pPr>
                    <w:pStyle w:val="218"/>
                    <w:spacing w:before="33"/>
                    <w:ind w:left="168"/>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0.0040</w:t>
                  </w:r>
                </w:p>
              </w:tc>
              <w:tc>
                <w:tcPr>
                  <w:tcW w:w="848" w:type="dxa"/>
                  <w:tcBorders>
                    <w:top w:val="single" w:color="000000" w:sz="4" w:space="0"/>
                    <w:left w:val="single" w:color="000000" w:sz="4" w:space="0"/>
                    <w:right w:val="single" w:color="000000" w:sz="4" w:space="0"/>
                  </w:tcBorders>
                  <w:vAlign w:val="center"/>
                </w:tcPr>
                <w:p>
                  <w:pPr>
                    <w:pStyle w:val="218"/>
                    <w:spacing w:before="33"/>
                    <w:ind w:left="21" w:leftChars="0"/>
                    <w:jc w:val="center"/>
                    <w:rPr>
                      <w:rFonts w:hint="eastAsia" w:ascii="宋体" w:hAnsi="宋体" w:eastAsia="宋体" w:cs="宋体"/>
                      <w:kern w:val="0"/>
                      <w:sz w:val="21"/>
                      <w:szCs w:val="21"/>
                      <w:lang w:val="zh-CN" w:eastAsia="zh-CN" w:bidi="zh-CN"/>
                    </w:rPr>
                  </w:pPr>
                  <w:r>
                    <w:rPr>
                      <w:rFonts w:hint="eastAsia" w:ascii="宋体" w:hAnsi="宋体" w:eastAsia="宋体" w:cs="宋体"/>
                      <w:w w:val="100"/>
                      <w:sz w:val="21"/>
                      <w:szCs w:val="21"/>
                    </w:rPr>
                    <w:t>/</w:t>
                  </w:r>
                </w:p>
              </w:tc>
              <w:tc>
                <w:tcPr>
                  <w:tcW w:w="772" w:type="dxa"/>
                  <w:tcBorders>
                    <w:top w:val="single" w:color="000000" w:sz="4" w:space="0"/>
                    <w:left w:val="single" w:color="000000" w:sz="4" w:space="0"/>
                  </w:tcBorders>
                  <w:vAlign w:val="center"/>
                </w:tcPr>
                <w:p>
                  <w:pPr>
                    <w:pStyle w:val="218"/>
                    <w:spacing w:before="33"/>
                    <w:ind w:left="21" w:leftChars="0"/>
                    <w:jc w:val="center"/>
                    <w:rPr>
                      <w:rFonts w:hint="eastAsia" w:ascii="宋体" w:hAnsi="宋体" w:eastAsia="宋体" w:cs="宋体"/>
                      <w:w w:val="100"/>
                      <w:sz w:val="21"/>
                      <w:szCs w:val="21"/>
                      <w:lang w:val="en-US" w:eastAsia="zh-CN"/>
                    </w:rPr>
                  </w:pPr>
                  <w:r>
                    <w:rPr>
                      <w:rFonts w:hint="eastAsia" w:ascii="宋体" w:hAnsi="宋体" w:eastAsia="宋体" w:cs="宋体"/>
                      <w:w w:val="100"/>
                      <w:sz w:val="21"/>
                      <w:szCs w:val="21"/>
                      <w:lang w:val="en-US" w:eastAsia="zh-CN"/>
                    </w:rPr>
                    <w:t>/</w:t>
                  </w:r>
                </w:p>
              </w:tc>
            </w:tr>
          </w:tbl>
          <w:p>
            <w:pPr>
              <w:pStyle w:val="2"/>
              <w:ind w:left="0" w:leftChars="0" w:firstLine="0" w:firstLineChars="0"/>
              <w:jc w:val="center"/>
              <w:rPr>
                <w:color w:val="000000" w:themeColor="text1"/>
                <w14:textFill>
                  <w14:solidFill>
                    <w14:schemeClr w14:val="tx1"/>
                  </w14:solidFill>
                </w14:textFill>
              </w:rPr>
            </w:pPr>
            <w:r>
              <w:rPr>
                <w:b/>
                <w:color w:val="000000" w:themeColor="text1"/>
                <w:sz w:val="24"/>
                <w14:textFill>
                  <w14:solidFill>
                    <w14:schemeClr w14:val="tx1"/>
                  </w14:solidFill>
                </w14:textFill>
              </w:rPr>
              <w:t>表</w:t>
            </w:r>
            <w:r>
              <w:rPr>
                <w:rFonts w:hint="eastAsia"/>
                <w:b/>
                <w:color w:val="000000" w:themeColor="text1"/>
                <w:sz w:val="24"/>
                <w14:textFill>
                  <w14:solidFill>
                    <w14:schemeClr w14:val="tx1"/>
                  </w14:solidFill>
                </w14:textFill>
              </w:rPr>
              <w:t>4</w:t>
            </w:r>
            <w:r>
              <w:rPr>
                <w:b/>
                <w:color w:val="000000" w:themeColor="text1"/>
                <w:sz w:val="24"/>
                <w14:textFill>
                  <w14:solidFill>
                    <w14:schemeClr w14:val="tx1"/>
                  </w14:solidFill>
                </w14:textFill>
              </w:rPr>
              <w:t>-</w:t>
            </w:r>
            <w:r>
              <w:rPr>
                <w:rFonts w:hint="eastAsia"/>
                <w:b/>
                <w:color w:val="000000" w:themeColor="text1"/>
                <w:sz w:val="24"/>
                <w:lang w:val="en-US" w:eastAsia="zh-CN"/>
                <w14:textFill>
                  <w14:solidFill>
                    <w14:schemeClr w14:val="tx1"/>
                  </w14:solidFill>
                </w14:textFill>
              </w:rPr>
              <w:t>3</w:t>
            </w:r>
            <w:r>
              <w:rPr>
                <w:b/>
                <w:color w:val="000000" w:themeColor="text1"/>
                <w:sz w:val="24"/>
                <w14:textFill>
                  <w14:solidFill>
                    <w14:schemeClr w14:val="tx1"/>
                  </w14:solidFill>
                </w14:textFill>
              </w:rPr>
              <w:t xml:space="preserve">  项目</w:t>
            </w:r>
            <w:r>
              <w:rPr>
                <w:rFonts w:hint="eastAsia"/>
                <w:b/>
                <w:color w:val="000000" w:themeColor="text1"/>
                <w:sz w:val="24"/>
                <w:lang w:val="en-US" w:eastAsia="zh-CN"/>
                <w14:textFill>
                  <w14:solidFill>
                    <w14:schemeClr w14:val="tx1"/>
                  </w14:solidFill>
                </w14:textFill>
              </w:rPr>
              <w:t>大气排放口基本情况及排放标准一览</w:t>
            </w:r>
            <w:r>
              <w:rPr>
                <w:b/>
                <w:color w:val="000000" w:themeColor="text1"/>
                <w:sz w:val="24"/>
                <w14:textFill>
                  <w14:solidFill>
                    <w14:schemeClr w14:val="tx1"/>
                  </w14:solidFill>
                </w14:textFill>
              </w:rPr>
              <w:t>表</w:t>
            </w:r>
          </w:p>
          <w:tbl>
            <w:tblPr>
              <w:tblStyle w:val="59"/>
              <w:tblW w:w="12617"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272"/>
              <w:gridCol w:w="1318"/>
              <w:gridCol w:w="1318"/>
              <w:gridCol w:w="1197"/>
              <w:gridCol w:w="803"/>
              <w:gridCol w:w="788"/>
              <w:gridCol w:w="1014"/>
              <w:gridCol w:w="1302"/>
              <w:gridCol w:w="1819"/>
              <w:gridCol w:w="102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762" w:type="dxa"/>
                  <w:vMerge w:val="restart"/>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color w:val="000000" w:themeColor="text1"/>
                      <w:sz w:val="21"/>
                      <w:szCs w:val="21"/>
                      <w:vertAlign w:val="baseline"/>
                      <w:lang w:val="en-US" w:eastAsia="zh-CN"/>
                      <w14:textFill>
                        <w14:solidFill>
                          <w14:schemeClr w14:val="tx1"/>
                        </w14:solidFill>
                      </w14:textFill>
                    </w:rPr>
                    <w:t>排放口编号</w:t>
                  </w:r>
                </w:p>
              </w:tc>
              <w:tc>
                <w:tcPr>
                  <w:tcW w:w="1272" w:type="dxa"/>
                  <w:vMerge w:val="restart"/>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color w:val="000000" w:themeColor="text1"/>
                      <w:sz w:val="21"/>
                      <w:szCs w:val="21"/>
                      <w:vertAlign w:val="baseline"/>
                      <w:lang w:val="en-US" w:eastAsia="zh-CN"/>
                      <w14:textFill>
                        <w14:solidFill>
                          <w14:schemeClr w14:val="tx1"/>
                        </w14:solidFill>
                      </w14:textFill>
                    </w:rPr>
                    <w:t>排放口名称</w:t>
                  </w:r>
                </w:p>
              </w:tc>
              <w:tc>
                <w:tcPr>
                  <w:tcW w:w="1318" w:type="dxa"/>
                  <w:vMerge w:val="restart"/>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color w:val="000000" w:themeColor="text1"/>
                      <w:sz w:val="21"/>
                      <w:szCs w:val="21"/>
                      <w:vertAlign w:val="baseline"/>
                      <w:lang w:val="en-US" w:eastAsia="zh-CN"/>
                      <w14:textFill>
                        <w14:solidFill>
                          <w14:schemeClr w14:val="tx1"/>
                        </w14:solidFill>
                      </w14:textFill>
                    </w:rPr>
                    <w:t>污染物名称</w:t>
                  </w:r>
                </w:p>
              </w:tc>
              <w:tc>
                <w:tcPr>
                  <w:tcW w:w="2515" w:type="dxa"/>
                  <w:gridSpan w:val="2"/>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color w:val="000000" w:themeColor="text1"/>
                      <w:sz w:val="21"/>
                      <w:szCs w:val="21"/>
                      <w:vertAlign w:val="baseline"/>
                      <w:lang w:val="en-US" w:eastAsia="zh-CN"/>
                      <w14:textFill>
                        <w14:solidFill>
                          <w14:schemeClr w14:val="tx1"/>
                        </w14:solidFill>
                      </w14:textFill>
                    </w:rPr>
                    <w:t>排放口地理坐标</w:t>
                  </w:r>
                </w:p>
              </w:tc>
              <w:tc>
                <w:tcPr>
                  <w:tcW w:w="803" w:type="dxa"/>
                  <w:vMerge w:val="restart"/>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color w:val="000000" w:themeColor="text1"/>
                      <w:sz w:val="21"/>
                      <w:szCs w:val="21"/>
                      <w:vertAlign w:val="baseline"/>
                      <w:lang w:val="en-US" w:eastAsia="zh-CN"/>
                      <w14:textFill>
                        <w14:solidFill>
                          <w14:schemeClr w14:val="tx1"/>
                        </w14:solidFill>
                      </w14:textFill>
                    </w:rPr>
                    <w:t>高度</w:t>
                  </w:r>
                </w:p>
              </w:tc>
              <w:tc>
                <w:tcPr>
                  <w:tcW w:w="788" w:type="dxa"/>
                  <w:vMerge w:val="restart"/>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color w:val="000000" w:themeColor="text1"/>
                      <w:sz w:val="21"/>
                      <w:szCs w:val="21"/>
                      <w:vertAlign w:val="baseline"/>
                      <w:lang w:val="en-US" w:eastAsia="zh-CN"/>
                      <w14:textFill>
                        <w14:solidFill>
                          <w14:schemeClr w14:val="tx1"/>
                        </w14:solidFill>
                      </w14:textFill>
                    </w:rPr>
                    <w:t>内径</w:t>
                  </w:r>
                </w:p>
              </w:tc>
              <w:tc>
                <w:tcPr>
                  <w:tcW w:w="1014" w:type="dxa"/>
                  <w:vMerge w:val="restart"/>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color w:val="000000" w:themeColor="text1"/>
                      <w:sz w:val="21"/>
                      <w:szCs w:val="21"/>
                      <w:vertAlign w:val="baseline"/>
                      <w:lang w:val="en-US" w:eastAsia="zh-CN"/>
                      <w14:textFill>
                        <w14:solidFill>
                          <w14:schemeClr w14:val="tx1"/>
                        </w14:solidFill>
                      </w14:textFill>
                    </w:rPr>
                    <w:t>温度</w:t>
                  </w:r>
                </w:p>
              </w:tc>
              <w:tc>
                <w:tcPr>
                  <w:tcW w:w="1302" w:type="dxa"/>
                  <w:vMerge w:val="restart"/>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color w:val="000000" w:themeColor="text1"/>
                      <w:sz w:val="21"/>
                      <w:szCs w:val="21"/>
                      <w:vertAlign w:val="baseline"/>
                      <w:lang w:val="en-US" w:eastAsia="zh-CN"/>
                      <w14:textFill>
                        <w14:solidFill>
                          <w14:schemeClr w14:val="tx1"/>
                        </w14:solidFill>
                      </w14:textFill>
                    </w:rPr>
                    <w:t>类型</w:t>
                  </w:r>
                </w:p>
              </w:tc>
              <w:tc>
                <w:tcPr>
                  <w:tcW w:w="2843" w:type="dxa"/>
                  <w:gridSpan w:val="2"/>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color w:val="000000" w:themeColor="text1"/>
                      <w:sz w:val="21"/>
                      <w:szCs w:val="21"/>
                      <w:vertAlign w:val="baseline"/>
                      <w:lang w:val="en-US" w:eastAsia="zh-CN"/>
                      <w14:textFill>
                        <w14:solidFill>
                          <w14:schemeClr w14:val="tx1"/>
                        </w14:solidFill>
                      </w14:textFill>
                    </w:rPr>
                    <w:t>排放标准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762" w:type="dxa"/>
                  <w:vMerge w:val="continue"/>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14:textFill>
                        <w14:solidFill>
                          <w14:schemeClr w14:val="tx1"/>
                        </w14:solidFill>
                      </w14:textFill>
                    </w:rPr>
                  </w:pPr>
                </w:p>
              </w:tc>
              <w:tc>
                <w:tcPr>
                  <w:tcW w:w="1272" w:type="dxa"/>
                  <w:vMerge w:val="continue"/>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14:textFill>
                        <w14:solidFill>
                          <w14:schemeClr w14:val="tx1"/>
                        </w14:solidFill>
                      </w14:textFill>
                    </w:rPr>
                  </w:pPr>
                </w:p>
              </w:tc>
              <w:tc>
                <w:tcPr>
                  <w:tcW w:w="1318" w:type="dxa"/>
                  <w:vMerge w:val="continue"/>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14:textFill>
                        <w14:solidFill>
                          <w14:schemeClr w14:val="tx1"/>
                        </w14:solidFill>
                      </w14:textFill>
                    </w:rPr>
                  </w:pPr>
                </w:p>
              </w:tc>
              <w:tc>
                <w:tcPr>
                  <w:tcW w:w="1318" w:type="dxa"/>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color w:val="000000" w:themeColor="text1"/>
                      <w:sz w:val="21"/>
                      <w:szCs w:val="21"/>
                      <w:vertAlign w:val="baseline"/>
                      <w:lang w:val="en-US" w:eastAsia="zh-CN"/>
                      <w14:textFill>
                        <w14:solidFill>
                          <w14:schemeClr w14:val="tx1"/>
                        </w14:solidFill>
                      </w14:textFill>
                    </w:rPr>
                    <w:t>经度</w:t>
                  </w:r>
                </w:p>
              </w:tc>
              <w:tc>
                <w:tcPr>
                  <w:tcW w:w="1197" w:type="dxa"/>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color w:val="000000" w:themeColor="text1"/>
                      <w:sz w:val="21"/>
                      <w:szCs w:val="21"/>
                      <w:vertAlign w:val="baseline"/>
                      <w:lang w:val="en-US" w:eastAsia="zh-CN"/>
                      <w14:textFill>
                        <w14:solidFill>
                          <w14:schemeClr w14:val="tx1"/>
                        </w14:solidFill>
                      </w14:textFill>
                    </w:rPr>
                    <w:t>纬度</w:t>
                  </w:r>
                </w:p>
              </w:tc>
              <w:tc>
                <w:tcPr>
                  <w:tcW w:w="803" w:type="dxa"/>
                  <w:vMerge w:val="continue"/>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14:textFill>
                        <w14:solidFill>
                          <w14:schemeClr w14:val="tx1"/>
                        </w14:solidFill>
                      </w14:textFill>
                    </w:rPr>
                  </w:pPr>
                </w:p>
              </w:tc>
              <w:tc>
                <w:tcPr>
                  <w:tcW w:w="788" w:type="dxa"/>
                  <w:vMerge w:val="continue"/>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14:textFill>
                        <w14:solidFill>
                          <w14:schemeClr w14:val="tx1"/>
                        </w14:solidFill>
                      </w14:textFill>
                    </w:rPr>
                  </w:pPr>
                </w:p>
              </w:tc>
              <w:tc>
                <w:tcPr>
                  <w:tcW w:w="1014" w:type="dxa"/>
                  <w:vMerge w:val="continue"/>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14:textFill>
                        <w14:solidFill>
                          <w14:schemeClr w14:val="tx1"/>
                        </w14:solidFill>
                      </w14:textFill>
                    </w:rPr>
                  </w:pPr>
                </w:p>
              </w:tc>
              <w:tc>
                <w:tcPr>
                  <w:tcW w:w="1302" w:type="dxa"/>
                  <w:vMerge w:val="continue"/>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14:textFill>
                        <w14:solidFill>
                          <w14:schemeClr w14:val="tx1"/>
                        </w14:solidFill>
                      </w14:textFill>
                    </w:rPr>
                  </w:pPr>
                </w:p>
              </w:tc>
              <w:tc>
                <w:tcPr>
                  <w:tcW w:w="1819" w:type="dxa"/>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color w:val="000000" w:themeColor="text1"/>
                      <w:sz w:val="21"/>
                      <w:szCs w:val="21"/>
                      <w:vertAlign w:val="baseline"/>
                      <w:lang w:val="en-US" w:eastAsia="zh-CN"/>
                      <w14:textFill>
                        <w14:solidFill>
                          <w14:schemeClr w14:val="tx1"/>
                        </w14:solidFill>
                      </w14:textFill>
                    </w:rPr>
                    <w:t>标准名称</w:t>
                  </w:r>
                </w:p>
              </w:tc>
              <w:tc>
                <w:tcPr>
                  <w:tcW w:w="1024" w:type="dxa"/>
                  <w:vAlign w:val="center"/>
                </w:tcPr>
                <w:p>
                  <w:pPr>
                    <w:autoSpaceDE w:val="0"/>
                    <w:autoSpaceDN w:val="0"/>
                    <w:adjustRightInd w:val="0"/>
                    <w:spacing w:line="360" w:lineRule="auto"/>
                    <w:jc w:val="center"/>
                    <w:rPr>
                      <w:rFonts w:hint="eastAsia" w:ascii="宋体" w:hAnsi="宋体" w:eastAsia="宋体" w:cs="宋体"/>
                      <w:b/>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color w:val="000000" w:themeColor="text1"/>
                      <w:sz w:val="21"/>
                      <w:szCs w:val="21"/>
                      <w:vertAlign w:val="baseline"/>
                      <w:lang w:val="en-US" w:eastAsia="zh-CN"/>
                      <w14:textFill>
                        <w14:solidFill>
                          <w14:schemeClr w14:val="tx1"/>
                        </w14:solidFill>
                      </w14:textFill>
                    </w:rPr>
                    <w:t>浓度限值mg/m³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62" w:type="dxa"/>
                  <w:vMerge w:val="restart"/>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DA001</w:t>
                  </w:r>
                </w:p>
              </w:tc>
              <w:tc>
                <w:tcPr>
                  <w:tcW w:w="1272" w:type="dxa"/>
                  <w:vMerge w:val="restart"/>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注塑废气排口</w:t>
                  </w:r>
                </w:p>
              </w:tc>
              <w:tc>
                <w:tcPr>
                  <w:tcW w:w="1318" w:type="dxa"/>
                  <w:vAlign w:val="center"/>
                </w:tcPr>
                <w:p>
                  <w:pPr>
                    <w:autoSpaceDE w:val="0"/>
                    <w:autoSpaceDN w:val="0"/>
                    <w:adjustRightInd w:val="0"/>
                    <w:spacing w:line="360" w:lineRule="auto"/>
                    <w:jc w:val="center"/>
                    <w:rPr>
                      <w:rFonts w:hint="eastAsia" w:ascii="宋体" w:hAnsi="宋体" w:eastAsia="宋体" w:cs="宋体"/>
                      <w:b w:val="0"/>
                      <w:bCs/>
                      <w:color w:val="000000" w:themeColor="text1"/>
                      <w:sz w:val="21"/>
                      <w:szCs w:val="21"/>
                      <w:vertAlign w:val="baseline"/>
                      <w14:textFill>
                        <w14:solidFill>
                          <w14:schemeClr w14:val="tx1"/>
                        </w14:solidFill>
                      </w14:textFill>
                    </w:rPr>
                  </w:pPr>
                  <w:r>
                    <w:rPr>
                      <w:rFonts w:hint="eastAsia" w:ascii="宋体" w:hAnsi="宋体" w:eastAsia="宋体" w:cs="宋体"/>
                      <w:b w:val="0"/>
                      <w:bCs/>
                      <w:color w:val="000000" w:themeColor="text1"/>
                      <w:sz w:val="21"/>
                      <w:szCs w:val="21"/>
                      <w:vertAlign w:val="baseline"/>
                      <w14:textFill>
                        <w14:solidFill>
                          <w14:schemeClr w14:val="tx1"/>
                        </w14:solidFill>
                      </w14:textFill>
                    </w:rPr>
                    <w:t>非甲烷总烃</w:t>
                  </w:r>
                </w:p>
              </w:tc>
              <w:tc>
                <w:tcPr>
                  <w:tcW w:w="1318" w:type="dxa"/>
                  <w:vMerge w:val="restart"/>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118.445488</w:t>
                  </w:r>
                </w:p>
              </w:tc>
              <w:tc>
                <w:tcPr>
                  <w:tcW w:w="1197" w:type="dxa"/>
                  <w:vMerge w:val="restart"/>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31.391023</w:t>
                  </w:r>
                </w:p>
              </w:tc>
              <w:tc>
                <w:tcPr>
                  <w:tcW w:w="803" w:type="dxa"/>
                  <w:vMerge w:val="restart"/>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15m</w:t>
                  </w:r>
                </w:p>
              </w:tc>
              <w:tc>
                <w:tcPr>
                  <w:tcW w:w="788" w:type="dxa"/>
                  <w:vMerge w:val="restart"/>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0.4m</w:t>
                  </w:r>
                </w:p>
              </w:tc>
              <w:tc>
                <w:tcPr>
                  <w:tcW w:w="1014" w:type="dxa"/>
                  <w:vMerge w:val="restart"/>
                  <w:vAlign w:val="center"/>
                </w:tcPr>
                <w:p>
                  <w:pPr>
                    <w:autoSpaceDE w:val="0"/>
                    <w:autoSpaceDN w:val="0"/>
                    <w:adjustRightInd w:val="0"/>
                    <w:spacing w:line="360" w:lineRule="auto"/>
                    <w:jc w:val="cente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室温</w:t>
                  </w:r>
                </w:p>
              </w:tc>
              <w:tc>
                <w:tcPr>
                  <w:tcW w:w="1302" w:type="dxa"/>
                  <w:vMerge w:val="restart"/>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一般排放口</w:t>
                  </w:r>
                </w:p>
              </w:tc>
              <w:tc>
                <w:tcPr>
                  <w:tcW w:w="1819" w:type="dxa"/>
                  <w:vMerge w:val="restart"/>
                  <w:vAlign w:val="center"/>
                </w:tcPr>
                <w:p>
                  <w:pPr>
                    <w:autoSpaceDE w:val="0"/>
                    <w:autoSpaceDN w:val="0"/>
                    <w:adjustRightInd w:val="0"/>
                    <w:spacing w:line="360" w:lineRule="auto"/>
                    <w:jc w:val="center"/>
                    <w:rPr>
                      <w:rFonts w:hint="eastAsia" w:ascii="宋体" w:hAnsi="宋体" w:eastAsia="宋体" w:cs="宋体"/>
                      <w:b w:val="0"/>
                      <w:bCs/>
                      <w:color w:val="000000" w:themeColor="text1"/>
                      <w:sz w:val="21"/>
                      <w:szCs w:val="21"/>
                      <w:vertAlign w:val="baseline"/>
                      <w14:textFill>
                        <w14:solidFill>
                          <w14:schemeClr w14:val="tx1"/>
                        </w14:solidFill>
                      </w14:textFill>
                    </w:rPr>
                  </w:pPr>
                  <w:r>
                    <w:rPr>
                      <w:rFonts w:hint="eastAsia" w:ascii="宋体" w:hAnsi="宋体" w:eastAsia="宋体" w:cs="宋体"/>
                      <w:b w:val="0"/>
                      <w:bCs/>
                      <w:color w:val="000000" w:themeColor="text1"/>
                      <w:sz w:val="21"/>
                      <w:szCs w:val="21"/>
                      <w:vertAlign w:val="baseline"/>
                      <w14:textFill>
                        <w14:solidFill>
                          <w14:schemeClr w14:val="tx1"/>
                        </w14:solidFill>
                      </w14:textFill>
                    </w:rPr>
                    <w:t>《合成树脂工业污染物排放标准》(GB31572-2015)表5大气污染物特别排放限值要求</w:t>
                  </w:r>
                </w:p>
              </w:tc>
              <w:tc>
                <w:tcPr>
                  <w:tcW w:w="1024" w:type="dxa"/>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60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762" w:type="dxa"/>
                  <w:vMerge w:val="continue"/>
                  <w:vAlign w:val="center"/>
                </w:tcPr>
                <w:p>
                  <w:pPr>
                    <w:autoSpaceDE w:val="0"/>
                    <w:autoSpaceDN w:val="0"/>
                    <w:adjustRightInd w:val="0"/>
                    <w:spacing w:line="360" w:lineRule="auto"/>
                    <w:jc w:val="cente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pPr>
                </w:p>
              </w:tc>
              <w:tc>
                <w:tcPr>
                  <w:tcW w:w="1272" w:type="dxa"/>
                  <w:vMerge w:val="continue"/>
                  <w:vAlign w:val="center"/>
                </w:tcPr>
                <w:p>
                  <w:pPr>
                    <w:autoSpaceDE w:val="0"/>
                    <w:autoSpaceDN w:val="0"/>
                    <w:adjustRightInd w:val="0"/>
                    <w:spacing w:line="360" w:lineRule="auto"/>
                    <w:jc w:val="cente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pPr>
                </w:p>
              </w:tc>
              <w:tc>
                <w:tcPr>
                  <w:tcW w:w="1318" w:type="dxa"/>
                  <w:vAlign w:val="center"/>
                </w:tcPr>
                <w:p>
                  <w:pPr>
                    <w:autoSpaceDE w:val="0"/>
                    <w:autoSpaceDN w:val="0"/>
                    <w:adjustRightInd w:val="0"/>
                    <w:spacing w:line="360" w:lineRule="auto"/>
                    <w:jc w:val="center"/>
                    <w:rPr>
                      <w:rFonts w:hint="eastAsia" w:ascii="宋体" w:hAnsi="宋体" w:eastAsia="宋体" w:cs="宋体"/>
                      <w:b w:val="0"/>
                      <w:bCs/>
                      <w:color w:val="000000" w:themeColor="text1"/>
                      <w:sz w:val="21"/>
                      <w:szCs w:val="21"/>
                      <w:vertAlign w:val="baseline"/>
                      <w14:textFill>
                        <w14:solidFill>
                          <w14:schemeClr w14:val="tx1"/>
                        </w14:solidFill>
                      </w14:textFill>
                    </w:rPr>
                  </w:pPr>
                  <w:r>
                    <w:rPr>
                      <w:rFonts w:hint="eastAsia" w:ascii="宋体" w:hAnsi="宋体" w:eastAsia="宋体" w:cs="宋体"/>
                      <w:b w:val="0"/>
                      <w:bCs/>
                      <w:color w:val="000000" w:themeColor="text1"/>
                      <w:sz w:val="21"/>
                      <w:szCs w:val="21"/>
                      <w:vertAlign w:val="baseline"/>
                      <w14:textFill>
                        <w14:solidFill>
                          <w14:schemeClr w14:val="tx1"/>
                        </w14:solidFill>
                      </w14:textFill>
                    </w:rPr>
                    <w:t>苯乙烯</w:t>
                  </w:r>
                </w:p>
              </w:tc>
              <w:tc>
                <w:tcPr>
                  <w:tcW w:w="1318" w:type="dxa"/>
                  <w:vMerge w:val="continue"/>
                  <w:vAlign w:val="center"/>
                </w:tcPr>
                <w:p>
                  <w:pPr>
                    <w:autoSpaceDE w:val="0"/>
                    <w:autoSpaceDN w:val="0"/>
                    <w:adjustRightInd w:val="0"/>
                    <w:spacing w:line="360" w:lineRule="auto"/>
                    <w:jc w:val="cente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pPr>
                </w:p>
              </w:tc>
              <w:tc>
                <w:tcPr>
                  <w:tcW w:w="1197" w:type="dxa"/>
                  <w:vMerge w:val="continue"/>
                  <w:vAlign w:val="center"/>
                </w:tcPr>
                <w:p>
                  <w:pPr>
                    <w:autoSpaceDE w:val="0"/>
                    <w:autoSpaceDN w:val="0"/>
                    <w:adjustRightInd w:val="0"/>
                    <w:spacing w:line="360" w:lineRule="auto"/>
                    <w:jc w:val="cente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pPr>
                </w:p>
              </w:tc>
              <w:tc>
                <w:tcPr>
                  <w:tcW w:w="803" w:type="dxa"/>
                  <w:vMerge w:val="continue"/>
                  <w:vAlign w:val="center"/>
                </w:tcPr>
                <w:p>
                  <w:pPr>
                    <w:autoSpaceDE w:val="0"/>
                    <w:autoSpaceDN w:val="0"/>
                    <w:adjustRightInd w:val="0"/>
                    <w:spacing w:line="360" w:lineRule="auto"/>
                    <w:jc w:val="cente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pPr>
                </w:p>
              </w:tc>
              <w:tc>
                <w:tcPr>
                  <w:tcW w:w="788" w:type="dxa"/>
                  <w:vMerge w:val="continue"/>
                  <w:vAlign w:val="center"/>
                </w:tcPr>
                <w:p>
                  <w:pPr>
                    <w:autoSpaceDE w:val="0"/>
                    <w:autoSpaceDN w:val="0"/>
                    <w:adjustRightInd w:val="0"/>
                    <w:spacing w:line="360" w:lineRule="auto"/>
                    <w:jc w:val="cente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pPr>
                </w:p>
              </w:tc>
              <w:tc>
                <w:tcPr>
                  <w:tcW w:w="1014" w:type="dxa"/>
                  <w:vMerge w:val="continue"/>
                  <w:vAlign w:val="center"/>
                </w:tcPr>
                <w:p>
                  <w:pPr>
                    <w:autoSpaceDE w:val="0"/>
                    <w:autoSpaceDN w:val="0"/>
                    <w:adjustRightInd w:val="0"/>
                    <w:spacing w:line="360" w:lineRule="auto"/>
                    <w:jc w:val="cente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pPr>
                </w:p>
              </w:tc>
              <w:tc>
                <w:tcPr>
                  <w:tcW w:w="1302" w:type="dxa"/>
                  <w:vMerge w:val="continue"/>
                  <w:vAlign w:val="center"/>
                </w:tcPr>
                <w:p>
                  <w:pPr>
                    <w:autoSpaceDE w:val="0"/>
                    <w:autoSpaceDN w:val="0"/>
                    <w:adjustRightInd w:val="0"/>
                    <w:spacing w:line="360" w:lineRule="auto"/>
                    <w:jc w:val="cente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pPr>
                </w:p>
              </w:tc>
              <w:tc>
                <w:tcPr>
                  <w:tcW w:w="1819" w:type="dxa"/>
                  <w:vMerge w:val="continue"/>
                  <w:vAlign w:val="center"/>
                </w:tcPr>
                <w:p>
                  <w:pPr>
                    <w:autoSpaceDE w:val="0"/>
                    <w:autoSpaceDN w:val="0"/>
                    <w:adjustRightInd w:val="0"/>
                    <w:spacing w:line="360" w:lineRule="auto"/>
                    <w:jc w:val="center"/>
                    <w:rPr>
                      <w:rFonts w:hint="eastAsia" w:ascii="宋体" w:hAnsi="宋体" w:eastAsia="宋体" w:cs="宋体"/>
                      <w:b w:val="0"/>
                      <w:bCs/>
                      <w:color w:val="000000" w:themeColor="text1"/>
                      <w:sz w:val="21"/>
                      <w:szCs w:val="21"/>
                      <w:vertAlign w:val="baseline"/>
                      <w14:textFill>
                        <w14:solidFill>
                          <w14:schemeClr w14:val="tx1"/>
                        </w14:solidFill>
                      </w14:textFill>
                    </w:rPr>
                  </w:pPr>
                </w:p>
              </w:tc>
              <w:tc>
                <w:tcPr>
                  <w:tcW w:w="1024" w:type="dxa"/>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20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762" w:type="dxa"/>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DA002</w:t>
                  </w:r>
                </w:p>
              </w:tc>
              <w:tc>
                <w:tcPr>
                  <w:tcW w:w="1272" w:type="dxa"/>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破碎粉尘排口</w:t>
                  </w:r>
                </w:p>
              </w:tc>
              <w:tc>
                <w:tcPr>
                  <w:tcW w:w="1318" w:type="dxa"/>
                  <w:vAlign w:val="center"/>
                </w:tcPr>
                <w:p>
                  <w:pPr>
                    <w:autoSpaceDE w:val="0"/>
                    <w:autoSpaceDN w:val="0"/>
                    <w:adjustRightInd w:val="0"/>
                    <w:spacing w:line="360" w:lineRule="auto"/>
                    <w:jc w:val="cente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颗粒物</w:t>
                  </w:r>
                </w:p>
              </w:tc>
              <w:tc>
                <w:tcPr>
                  <w:tcW w:w="1318" w:type="dxa"/>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118.445564</w:t>
                  </w:r>
                </w:p>
              </w:tc>
              <w:tc>
                <w:tcPr>
                  <w:tcW w:w="1197" w:type="dxa"/>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31.391013</w:t>
                  </w:r>
                </w:p>
              </w:tc>
              <w:tc>
                <w:tcPr>
                  <w:tcW w:w="803" w:type="dxa"/>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15m</w:t>
                  </w:r>
                </w:p>
              </w:tc>
              <w:tc>
                <w:tcPr>
                  <w:tcW w:w="788" w:type="dxa"/>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0.4m</w:t>
                  </w:r>
                </w:p>
              </w:tc>
              <w:tc>
                <w:tcPr>
                  <w:tcW w:w="1014" w:type="dxa"/>
                  <w:vAlign w:val="center"/>
                </w:tcPr>
                <w:p>
                  <w:pPr>
                    <w:autoSpaceDE w:val="0"/>
                    <w:autoSpaceDN w:val="0"/>
                    <w:adjustRightInd w:val="0"/>
                    <w:spacing w:line="360" w:lineRule="auto"/>
                    <w:jc w:val="cente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室温</w:t>
                  </w:r>
                </w:p>
              </w:tc>
              <w:tc>
                <w:tcPr>
                  <w:tcW w:w="1302" w:type="dxa"/>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一般排放口</w:t>
                  </w:r>
                </w:p>
              </w:tc>
              <w:tc>
                <w:tcPr>
                  <w:tcW w:w="1819" w:type="dxa"/>
                  <w:vMerge w:val="continue"/>
                  <w:vAlign w:val="center"/>
                </w:tcPr>
                <w:p>
                  <w:pPr>
                    <w:autoSpaceDE w:val="0"/>
                    <w:autoSpaceDN w:val="0"/>
                    <w:adjustRightInd w:val="0"/>
                    <w:spacing w:line="360" w:lineRule="auto"/>
                    <w:jc w:val="center"/>
                    <w:rPr>
                      <w:rFonts w:hint="eastAsia" w:ascii="宋体" w:hAnsi="宋体" w:eastAsia="宋体" w:cs="宋体"/>
                      <w:b w:val="0"/>
                      <w:bCs/>
                      <w:color w:val="000000" w:themeColor="text1"/>
                      <w:sz w:val="21"/>
                      <w:szCs w:val="21"/>
                      <w:vertAlign w:val="baseline"/>
                      <w14:textFill>
                        <w14:solidFill>
                          <w14:schemeClr w14:val="tx1"/>
                        </w14:solidFill>
                      </w14:textFill>
                    </w:rPr>
                  </w:pPr>
                </w:p>
              </w:tc>
              <w:tc>
                <w:tcPr>
                  <w:tcW w:w="1024" w:type="dxa"/>
                  <w:vAlign w:val="center"/>
                </w:tcPr>
                <w:p>
                  <w:pPr>
                    <w:autoSpaceDE w:val="0"/>
                    <w:autoSpaceDN w:val="0"/>
                    <w:adjustRightInd w:val="0"/>
                    <w:spacing w:line="360" w:lineRule="auto"/>
                    <w:jc w:val="center"/>
                    <w:rPr>
                      <w:rFonts w:hint="default" w:ascii="宋体" w:hAnsi="宋体" w:eastAsia="宋体" w:cs="宋体"/>
                      <w:b w:val="0"/>
                      <w:bCs/>
                      <w:color w:val="000000" w:themeColor="text1"/>
                      <w:sz w:val="21"/>
                      <w:szCs w:val="21"/>
                      <w:vertAlign w:val="baseline"/>
                      <w:lang w:val="en-US" w:eastAsia="zh-CN"/>
                      <w14:textFill>
                        <w14:solidFill>
                          <w14:schemeClr w14:val="tx1"/>
                        </w14:solidFill>
                      </w14:textFill>
                    </w:rPr>
                  </w:pPr>
                  <w:r>
                    <w:rPr>
                      <w:rFonts w:hint="eastAsia" w:ascii="宋体" w:hAnsi="宋体" w:eastAsia="宋体" w:cs="宋体"/>
                      <w:b w:val="0"/>
                      <w:bCs/>
                      <w:color w:val="000000" w:themeColor="text1"/>
                      <w:sz w:val="21"/>
                      <w:szCs w:val="21"/>
                      <w:vertAlign w:val="baseline"/>
                      <w:lang w:val="en-US" w:eastAsia="zh-CN"/>
                      <w14:textFill>
                        <w14:solidFill>
                          <w14:schemeClr w14:val="tx1"/>
                        </w14:solidFill>
                      </w14:textFill>
                    </w:rPr>
                    <w:t>20</w:t>
                  </w:r>
                </w:p>
              </w:tc>
            </w:tr>
          </w:tbl>
          <w:p>
            <w:pPr>
              <w:tabs>
                <w:tab w:val="left" w:pos="1077"/>
              </w:tabs>
              <w:rPr>
                <w:rFonts w:cs="宋体"/>
                <w:b/>
                <w:color w:val="000000"/>
                <w:szCs w:val="21"/>
              </w:rPr>
            </w:pPr>
          </w:p>
        </w:tc>
      </w:tr>
    </w:tbl>
    <w:p>
      <w:pPr>
        <w:tabs>
          <w:tab w:val="left" w:pos="1077"/>
        </w:tabs>
        <w:rPr>
          <w:rFonts w:cs="宋体"/>
          <w:color w:val="000000"/>
          <w:sz w:val="24"/>
        </w:rPr>
        <w:sectPr>
          <w:pgSz w:w="16840" w:h="11907" w:orient="landscape"/>
          <w:pgMar w:top="1418" w:right="2126" w:bottom="1418" w:left="1701" w:header="851" w:footer="851" w:gutter="0"/>
          <w:cols w:space="720" w:num="1"/>
          <w:docGrid w:linePitch="312" w:charSpace="0"/>
        </w:sectPr>
      </w:pPr>
    </w:p>
    <w:tbl>
      <w:tblPr>
        <w:tblStyle w:val="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5" w:hRule="atLeast"/>
        </w:trPr>
        <w:tc>
          <w:tcPr>
            <w:tcW w:w="456" w:type="dxa"/>
            <w:vMerge w:val="restart"/>
            <w:shd w:val="clear" w:color="auto" w:fill="auto"/>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运营</w:t>
            </w:r>
          </w:p>
          <w:p>
            <w:pPr>
              <w:autoSpaceDE w:val="0"/>
              <w:autoSpaceDN w:val="0"/>
              <w:adjustRightInd w:val="0"/>
              <w:snapToGrid w:val="0"/>
              <w:jc w:val="center"/>
              <w:rPr>
                <w:rFonts w:cs="宋体"/>
                <w:color w:val="000000"/>
                <w:kern w:val="0"/>
                <w:sz w:val="24"/>
              </w:rPr>
            </w:pPr>
            <w:r>
              <w:rPr>
                <w:rFonts w:hint="eastAsia" w:cs="宋体"/>
                <w:color w:val="000000"/>
                <w:kern w:val="0"/>
                <w:sz w:val="24"/>
              </w:rPr>
              <w:t>期环</w:t>
            </w:r>
          </w:p>
          <w:p>
            <w:pPr>
              <w:autoSpaceDE w:val="0"/>
              <w:autoSpaceDN w:val="0"/>
              <w:adjustRightInd w:val="0"/>
              <w:snapToGrid w:val="0"/>
              <w:jc w:val="center"/>
              <w:rPr>
                <w:rFonts w:cs="宋体"/>
                <w:color w:val="000000"/>
                <w:kern w:val="0"/>
                <w:sz w:val="24"/>
              </w:rPr>
            </w:pPr>
            <w:r>
              <w:rPr>
                <w:rFonts w:hint="eastAsia" w:cs="宋体"/>
                <w:color w:val="000000"/>
                <w:kern w:val="0"/>
                <w:sz w:val="24"/>
              </w:rPr>
              <w:t>境影</w:t>
            </w:r>
          </w:p>
          <w:p>
            <w:pPr>
              <w:autoSpaceDE w:val="0"/>
              <w:autoSpaceDN w:val="0"/>
              <w:adjustRightInd w:val="0"/>
              <w:snapToGrid w:val="0"/>
              <w:jc w:val="center"/>
              <w:rPr>
                <w:rFonts w:cs="宋体"/>
                <w:color w:val="000000"/>
                <w:kern w:val="0"/>
                <w:sz w:val="24"/>
              </w:rPr>
            </w:pPr>
            <w:r>
              <w:rPr>
                <w:rFonts w:hint="eastAsia" w:cs="宋体"/>
                <w:color w:val="000000"/>
                <w:kern w:val="0"/>
                <w:sz w:val="24"/>
              </w:rPr>
              <w:t>响和</w:t>
            </w:r>
          </w:p>
          <w:p>
            <w:pPr>
              <w:autoSpaceDE w:val="0"/>
              <w:autoSpaceDN w:val="0"/>
              <w:adjustRightInd w:val="0"/>
              <w:snapToGrid w:val="0"/>
              <w:jc w:val="center"/>
              <w:rPr>
                <w:rFonts w:cs="宋体"/>
                <w:color w:val="000000"/>
                <w:kern w:val="0"/>
                <w:sz w:val="24"/>
              </w:rPr>
            </w:pPr>
            <w:r>
              <w:rPr>
                <w:rFonts w:hint="eastAsia" w:cs="宋体"/>
                <w:color w:val="000000"/>
                <w:kern w:val="0"/>
                <w:sz w:val="24"/>
              </w:rPr>
              <w:t>保护</w:t>
            </w:r>
          </w:p>
          <w:p>
            <w:pPr>
              <w:tabs>
                <w:tab w:val="left" w:pos="1077"/>
              </w:tabs>
              <w:jc w:val="center"/>
              <w:rPr>
                <w:rFonts w:cs="宋体"/>
                <w:color w:val="000000"/>
                <w:sz w:val="24"/>
              </w:rPr>
            </w:pPr>
            <w:r>
              <w:rPr>
                <w:rFonts w:hint="eastAsia" w:cs="宋体"/>
                <w:color w:val="000000"/>
                <w:kern w:val="0"/>
                <w:sz w:val="24"/>
              </w:rPr>
              <w:t>措施</w:t>
            </w:r>
          </w:p>
        </w:tc>
        <w:tc>
          <w:tcPr>
            <w:tcW w:w="8605" w:type="dxa"/>
            <w:shd w:val="clear" w:color="auto" w:fill="auto"/>
          </w:tcPr>
          <w:p>
            <w:pPr>
              <w:autoSpaceDE w:val="0"/>
              <w:autoSpaceDN w:val="0"/>
              <w:adjustRightInd w:val="0"/>
              <w:spacing w:line="360" w:lineRule="auto"/>
              <w:ind w:firstLine="482" w:firstLineChars="200"/>
              <w:jc w:val="left"/>
              <w:rPr>
                <w:b/>
                <w:sz w:val="24"/>
              </w:rPr>
            </w:pPr>
            <w:r>
              <w:rPr>
                <w:rFonts w:hint="eastAsia"/>
                <w:b/>
                <w:sz w:val="24"/>
              </w:rPr>
              <w:t>2、污染防治措施可行性分析</w:t>
            </w:r>
          </w:p>
          <w:p>
            <w:pPr>
              <w:tabs>
                <w:tab w:val="left" w:pos="1077"/>
              </w:tabs>
              <w:spacing w:line="360" w:lineRule="auto"/>
              <w:ind w:firstLine="480" w:firstLineChars="200"/>
              <w:rPr>
                <w:color w:val="000000"/>
                <w:kern w:val="0"/>
                <w:sz w:val="24"/>
              </w:rPr>
            </w:pPr>
            <w:r>
              <w:rPr>
                <w:rFonts w:hint="eastAsia"/>
                <w:color w:val="000000"/>
                <w:kern w:val="0"/>
                <w:sz w:val="24"/>
              </w:rPr>
              <w:t>（1）布袋除尘器</w:t>
            </w:r>
          </w:p>
          <w:p>
            <w:pPr>
              <w:tabs>
                <w:tab w:val="left" w:pos="1077"/>
              </w:tabs>
              <w:spacing w:line="360" w:lineRule="auto"/>
              <w:ind w:firstLine="480" w:firstLineChars="200"/>
              <w:rPr>
                <w:color w:val="000000"/>
                <w:kern w:val="0"/>
                <w:sz w:val="24"/>
              </w:rPr>
            </w:pPr>
            <w:r>
              <w:rPr>
                <w:rFonts w:hint="eastAsia"/>
                <w:color w:val="000000"/>
                <w:kern w:val="0"/>
                <w:sz w:val="24"/>
              </w:rPr>
              <w:t>本项目破碎工序中产生的粉尘经集气罩后通过布袋</w:t>
            </w:r>
            <w:r>
              <w:rPr>
                <w:color w:val="000000"/>
                <w:kern w:val="0"/>
                <w:sz w:val="24"/>
              </w:rPr>
              <w:t>除尘器处理后排放，布袋除尘装置是利用棉、毛、人造纤维等编织物作为滤袋起过滤作用，对颗粒物进行捕集而达到除尘效果的。其主要工作原理是：含尘气流从下部进入圆筒形滤袋，在通过滤料的孔隙时，粉尘被捕集于滤料上，透过滤料的清洁气体由排出口排出。沉积在滤料上的粉尘，可在机械振动的作用下从滤料表面脱落，落入灰斗中。常用滤料由棉、毛、人造纤维等加工而成，新型滤料有玻璃纤维和微滤膜等，滤料本身网孔较小，一般为</w:t>
            </w:r>
            <w:r>
              <w:rPr>
                <w:rFonts w:hint="eastAsia"/>
                <w:color w:val="000000"/>
                <w:kern w:val="0"/>
                <w:sz w:val="24"/>
              </w:rPr>
              <w:t>2</w:t>
            </w:r>
            <w:r>
              <w:rPr>
                <w:color w:val="000000"/>
                <w:kern w:val="0"/>
                <w:sz w:val="24"/>
              </w:rPr>
              <w:t>0</w:t>
            </w:r>
            <w:r>
              <w:rPr>
                <w:rFonts w:hint="eastAsia"/>
                <w:color w:val="000000"/>
                <w:kern w:val="0"/>
                <w:sz w:val="24"/>
              </w:rPr>
              <w:t>~</w:t>
            </w:r>
            <w:r>
              <w:rPr>
                <w:color w:val="000000"/>
                <w:kern w:val="0"/>
                <w:sz w:val="24"/>
              </w:rPr>
              <w:t>50μm，表面起绒的滤料为5</w:t>
            </w:r>
            <w:r>
              <w:rPr>
                <w:rFonts w:hint="eastAsia"/>
                <w:color w:val="000000"/>
                <w:kern w:val="0"/>
                <w:sz w:val="24"/>
              </w:rPr>
              <w:t>~</w:t>
            </w:r>
            <w:r>
              <w:rPr>
                <w:color w:val="000000"/>
                <w:kern w:val="0"/>
                <w:sz w:val="24"/>
              </w:rPr>
              <w:t>10μm，而新型滤料的孔径在5μm 以下。按不同粒径的粉尘在流体中运动的不同物理学特征，颗粒物通过惯性碰撞、截留、扩散、静电、筛滤等作用被捕集。此外，粉尘因截留、惯性碰撞、静电和扩散等作用，逐渐在滤袋表面形成粉尘层，常称为粉层初层。初层形成后，它成为袋式除尘器的主要过滤层，提高了除尘效率。滤布只不过起着形成粉尘初层和支撑它的骨架作用，但随着粉尘在滤袋上积聚，滤袋两侧的压力差增大，会把有些已附在滤料上的细小粉尘挤压过去，使除尘效率下降。另外，若除尘器阻力过高，还会使除尘系统的处理气体量显著下降，影响生产系统的排风效果。因此，除尘器阻力达到一定数值后，要及时清灰。</w:t>
            </w:r>
          </w:p>
          <w:p>
            <w:pPr>
              <w:autoSpaceDE w:val="0"/>
              <w:autoSpaceDN w:val="0"/>
              <w:adjustRightInd w:val="0"/>
              <w:spacing w:line="360" w:lineRule="auto"/>
              <w:ind w:firstLine="480" w:firstLineChars="200"/>
              <w:jc w:val="left"/>
              <w:rPr>
                <w:rFonts w:hint="default" w:ascii="Times New Roman" w:hAnsi="宋体" w:eastAsia="宋体" w:cs="Times New Roman"/>
                <w:sz w:val="24"/>
                <w:lang w:val="en-US" w:eastAsia="zh-CN"/>
              </w:rPr>
            </w:pPr>
            <w:r>
              <w:rPr>
                <w:rFonts w:hint="eastAsia" w:hAnsi="宋体" w:cs="Times New Roman"/>
                <w:sz w:val="24"/>
                <w:lang w:val="en-US" w:eastAsia="zh-CN"/>
              </w:rPr>
              <w:t>（2）两级活性炭</w:t>
            </w:r>
          </w:p>
          <w:p>
            <w:pPr>
              <w:autoSpaceDE w:val="0"/>
              <w:autoSpaceDN w:val="0"/>
              <w:adjustRightInd w:val="0"/>
              <w:spacing w:line="360" w:lineRule="auto"/>
              <w:ind w:firstLine="480" w:firstLineChars="200"/>
              <w:jc w:val="left"/>
              <w:rPr>
                <w:rFonts w:hint="eastAsia" w:ascii="Times New Roman" w:hAnsi="宋体" w:eastAsia="宋体" w:cs="Times New Roman"/>
                <w:sz w:val="24"/>
              </w:rPr>
            </w:pPr>
            <w:r>
              <w:rPr>
                <w:rFonts w:hint="eastAsia" w:ascii="Times New Roman" w:hAnsi="宋体" w:eastAsia="宋体" w:cs="Times New Roman"/>
                <w:sz w:val="24"/>
                <w:lang w:val="en-US" w:eastAsia="zh-CN"/>
              </w:rPr>
              <w:t xml:space="preserve">活性炭吸附技术：主要是利用活性炭吸附材料具有丰富空隙结构和巨大比表面积，将 </w:t>
            </w:r>
            <w:r>
              <w:rPr>
                <w:rFonts w:hint="default" w:ascii="Times New Roman" w:hAnsi="宋体" w:eastAsia="宋体" w:cs="Times New Roman"/>
                <w:sz w:val="24"/>
                <w:lang w:val="en-US" w:eastAsia="zh-CN"/>
              </w:rPr>
              <w:t xml:space="preserve">VOCs </w:t>
            </w:r>
            <w:r>
              <w:rPr>
                <w:rFonts w:hint="eastAsia" w:ascii="Times New Roman" w:hAnsi="宋体" w:eastAsia="宋体" w:cs="Times New Roman"/>
                <w:sz w:val="24"/>
                <w:lang w:val="en-US" w:eastAsia="zh-CN"/>
              </w:rPr>
              <w:t xml:space="preserve">吸附在其内部空隙，从而达到净化废气的目的。活性炭吸附剂包括：活性炭纤维，蜂窝状活性炭，活性炭颗粒等。本项目采用蜂窝状活性炭，具有孔隙结构发达，比表面积大，流体阻力小等优点，特别适用于大风量、低浓度有机废气净化治理。 </w:t>
            </w:r>
          </w:p>
          <w:p>
            <w:pPr>
              <w:autoSpaceDE w:val="0"/>
              <w:autoSpaceDN w:val="0"/>
              <w:adjustRightInd w:val="0"/>
              <w:spacing w:line="360" w:lineRule="auto"/>
              <w:ind w:firstLine="480" w:firstLineChars="200"/>
              <w:jc w:val="left"/>
              <w:rPr>
                <w:rFonts w:hint="eastAsia" w:ascii="Times New Roman" w:hAnsi="宋体" w:eastAsia="宋体" w:cs="Times New Roman"/>
                <w:sz w:val="24"/>
              </w:rPr>
            </w:pPr>
            <w:r>
              <w:rPr>
                <w:rFonts w:hint="eastAsia" w:ascii="Times New Roman" w:hAnsi="宋体" w:eastAsia="宋体" w:cs="Times New Roman"/>
                <w:sz w:val="24"/>
                <w:lang w:val="en-US" w:eastAsia="zh-CN"/>
              </w:rPr>
              <w:t xml:space="preserve">本项目采用蜂窝活性炭作为吸附剂，其碘值要求不宜低于 </w:t>
            </w:r>
            <w:r>
              <w:rPr>
                <w:rFonts w:hint="default" w:ascii="Times New Roman" w:hAnsi="宋体" w:eastAsia="宋体" w:cs="Times New Roman"/>
                <w:sz w:val="24"/>
                <w:lang w:val="en-US" w:eastAsia="zh-CN"/>
              </w:rPr>
              <w:t>650 mg/g</w:t>
            </w:r>
            <w:r>
              <w:rPr>
                <w:rFonts w:hint="eastAsia" w:ascii="Times New Roman" w:hAnsi="宋体" w:eastAsia="宋体" w:cs="Times New Roman"/>
                <w:sz w:val="24"/>
                <w:lang w:val="en-US" w:eastAsia="zh-CN"/>
              </w:rPr>
              <w:t>，类比同行业监测数据，注塑废气进入吸附装置的温度低于</w:t>
            </w:r>
            <w:r>
              <w:rPr>
                <w:rFonts w:hint="default" w:ascii="Times New Roman" w:hAnsi="宋体" w:eastAsia="宋体" w:cs="Times New Roman"/>
                <w:sz w:val="24"/>
                <w:lang w:val="en-US" w:eastAsia="zh-CN"/>
              </w:rPr>
              <w:t>40</w:t>
            </w:r>
            <w:r>
              <w:rPr>
                <w:rFonts w:hint="eastAsia" w:ascii="Times New Roman" w:hAnsi="宋体" w:eastAsia="宋体" w:cs="Times New Roman"/>
                <w:sz w:val="24"/>
                <w:lang w:val="en-US" w:eastAsia="zh-CN"/>
              </w:rPr>
              <w:t>℃，满足《吸附法工业有机废气治理工程技术规范》（</w:t>
            </w:r>
            <w:r>
              <w:rPr>
                <w:rFonts w:hint="default" w:ascii="Times New Roman" w:hAnsi="宋体" w:eastAsia="宋体" w:cs="Times New Roman"/>
                <w:sz w:val="24"/>
                <w:lang w:val="en-US" w:eastAsia="zh-CN"/>
              </w:rPr>
              <w:t>HJ2026-2013</w:t>
            </w:r>
            <w:r>
              <w:rPr>
                <w:rFonts w:hint="eastAsia" w:ascii="Times New Roman" w:hAnsi="宋体" w:eastAsia="宋体" w:cs="Times New Roman"/>
                <w:sz w:val="24"/>
                <w:lang w:val="en-US" w:eastAsia="zh-CN"/>
              </w:rPr>
              <w:t>）要求。</w:t>
            </w:r>
            <w:r>
              <w:rPr>
                <w:rFonts w:hint="eastAsia" w:ascii="Times New Roman" w:hAnsi="宋体" w:eastAsia="宋体" w:cs="Times New Roman"/>
                <w:sz w:val="24"/>
                <w:highlight w:val="none"/>
                <w:lang w:val="en-US" w:eastAsia="zh-CN"/>
              </w:rPr>
              <w:t xml:space="preserve">技术规范要求吸附装置的净化效率不得低于 </w:t>
            </w:r>
            <w:r>
              <w:rPr>
                <w:rFonts w:hint="default" w:ascii="Times New Roman" w:hAnsi="宋体" w:eastAsia="宋体" w:cs="Times New Roman"/>
                <w:sz w:val="24"/>
                <w:highlight w:val="none"/>
                <w:lang w:val="en-US" w:eastAsia="zh-CN"/>
              </w:rPr>
              <w:t>90%</w:t>
            </w:r>
            <w:r>
              <w:rPr>
                <w:rFonts w:hint="eastAsia" w:ascii="Times New Roman" w:hAnsi="宋体" w:eastAsia="宋体" w:cs="Times New Roman"/>
                <w:sz w:val="24"/>
                <w:highlight w:val="none"/>
                <w:lang w:val="en-US" w:eastAsia="zh-CN"/>
              </w:rPr>
              <w:t xml:space="preserve">。本环评处理效率按 </w:t>
            </w:r>
            <w:r>
              <w:rPr>
                <w:rFonts w:hint="default" w:ascii="Times New Roman" w:hAnsi="宋体" w:eastAsia="宋体" w:cs="Times New Roman"/>
                <w:sz w:val="24"/>
                <w:highlight w:val="none"/>
                <w:lang w:val="en-US" w:eastAsia="zh-CN"/>
              </w:rPr>
              <w:t>90%</w:t>
            </w:r>
            <w:r>
              <w:rPr>
                <w:rFonts w:hint="eastAsia" w:ascii="Times New Roman" w:hAnsi="宋体" w:eastAsia="宋体" w:cs="Times New Roman"/>
                <w:sz w:val="24"/>
                <w:highlight w:val="none"/>
                <w:lang w:val="en-US" w:eastAsia="zh-CN"/>
              </w:rPr>
              <w:t>计算</w:t>
            </w:r>
            <w:r>
              <w:rPr>
                <w:rFonts w:hint="eastAsia" w:ascii="Times New Roman" w:hAnsi="宋体" w:eastAsia="宋体" w:cs="Times New Roman"/>
                <w:sz w:val="24"/>
                <w:lang w:val="en-US" w:eastAsia="zh-CN"/>
              </w:rPr>
              <w:t xml:space="preserve">，建设单位应按照相关规定设计和安装活性炭吸附处理装置，及时更换活性炭确保处理效率。 </w:t>
            </w:r>
          </w:p>
          <w:p>
            <w:pPr>
              <w:autoSpaceDE w:val="0"/>
              <w:autoSpaceDN w:val="0"/>
              <w:adjustRightInd w:val="0"/>
              <w:spacing w:line="360" w:lineRule="auto"/>
              <w:ind w:firstLine="480" w:firstLineChars="200"/>
              <w:jc w:val="left"/>
              <w:rPr>
                <w:rFonts w:hint="eastAsia" w:ascii="Times New Roman" w:hAnsi="宋体" w:eastAsia="宋体" w:cs="Times New Roman"/>
                <w:sz w:val="24"/>
              </w:rPr>
            </w:pPr>
            <w:r>
              <w:rPr>
                <w:rFonts w:hint="eastAsia" w:ascii="Times New Roman" w:hAnsi="宋体" w:eastAsia="宋体" w:cs="Times New Roman"/>
                <w:sz w:val="24"/>
                <w:lang w:val="en-US" w:eastAsia="zh-CN"/>
              </w:rPr>
              <w:t>综上分析，本项目注塑废气污染物采取两级活性炭吸附处理能够达标排放，所采取的治理措施具有可行性。</w:t>
            </w:r>
          </w:p>
          <w:p>
            <w:pPr>
              <w:autoSpaceDE w:val="0"/>
              <w:autoSpaceDN w:val="0"/>
              <w:adjustRightInd w:val="0"/>
              <w:spacing w:line="360" w:lineRule="auto"/>
              <w:ind w:firstLine="480" w:firstLineChars="200"/>
              <w:jc w:val="left"/>
            </w:pPr>
            <w:r>
              <w:rPr>
                <w:rFonts w:hint="eastAsia" w:ascii="Times New Roman" w:hAnsi="宋体" w:eastAsia="宋体" w:cs="Times New Roman"/>
                <w:sz w:val="24"/>
                <w:lang w:val="en-US" w:eastAsia="zh-CN"/>
              </w:rPr>
              <w:t>根据《排污许可证核发技术指南 橡胶和塑料制品工业》（</w:t>
            </w:r>
            <w:r>
              <w:rPr>
                <w:rFonts w:hint="default" w:ascii="Times New Roman" w:hAnsi="宋体" w:eastAsia="宋体" w:cs="Times New Roman"/>
                <w:sz w:val="24"/>
                <w:lang w:val="en-US" w:eastAsia="zh-CN"/>
              </w:rPr>
              <w:t>HJ 1122-2020</w:t>
            </w:r>
            <w:r>
              <w:rPr>
                <w:rFonts w:hint="eastAsia" w:ascii="Times New Roman" w:hAnsi="宋体" w:eastAsia="宋体" w:cs="Times New Roman"/>
                <w:sz w:val="24"/>
                <w:lang w:val="en-US" w:eastAsia="zh-CN"/>
              </w:rPr>
              <w:t>）：塑料零件及其他塑料制品制造—注塑成型生产单元有组织排放口为一般排放口，污染物推荐采用吸附、热力燃烧、催化燃烧、低温等离子体、</w:t>
            </w:r>
            <w:r>
              <w:rPr>
                <w:rFonts w:hint="default" w:ascii="Times New Roman" w:hAnsi="宋体" w:eastAsia="宋体" w:cs="Times New Roman"/>
                <w:sz w:val="24"/>
                <w:lang w:val="en-US" w:eastAsia="zh-CN"/>
              </w:rPr>
              <w:t xml:space="preserve">UV </w:t>
            </w:r>
            <w:r>
              <w:rPr>
                <w:rFonts w:hint="eastAsia" w:ascii="Times New Roman" w:hAnsi="宋体" w:eastAsia="宋体" w:cs="Times New Roman"/>
                <w:sz w:val="24"/>
                <w:lang w:val="en-US" w:eastAsia="zh-CN"/>
              </w:rPr>
              <w:t>光氧化</w:t>
            </w:r>
            <w:r>
              <w:rPr>
                <w:rFonts w:hint="default" w:ascii="Times New Roman" w:hAnsi="宋体" w:eastAsia="宋体" w:cs="Times New Roman"/>
                <w:sz w:val="24"/>
                <w:lang w:val="en-US" w:eastAsia="zh-CN"/>
              </w:rPr>
              <w:t>/</w:t>
            </w:r>
            <w:r>
              <w:rPr>
                <w:rFonts w:hint="eastAsia" w:ascii="Times New Roman" w:hAnsi="宋体" w:eastAsia="宋体" w:cs="Times New Roman"/>
                <w:sz w:val="24"/>
                <w:lang w:val="en-US" w:eastAsia="zh-CN"/>
              </w:rPr>
              <w:t>光催化、生物法等组合技术。本项目注塑废气采用两级活性炭吸附工艺，属于可行技术。</w:t>
            </w:r>
          </w:p>
          <w:p>
            <w:pPr>
              <w:autoSpaceDE w:val="0"/>
              <w:autoSpaceDN w:val="0"/>
              <w:adjustRightInd w:val="0"/>
              <w:spacing w:line="360" w:lineRule="auto"/>
              <w:ind w:firstLine="482" w:firstLineChars="200"/>
              <w:jc w:val="left"/>
              <w:rPr>
                <w:rFonts w:hint="eastAsia"/>
                <w:b/>
                <w:sz w:val="24"/>
              </w:rPr>
            </w:pPr>
            <w:r>
              <w:rPr>
                <w:rFonts w:hint="eastAsia"/>
                <w:b/>
                <w:sz w:val="24"/>
                <w:lang w:val="en-US" w:eastAsia="zh-CN"/>
              </w:rPr>
              <w:t>3</w:t>
            </w:r>
            <w:r>
              <w:rPr>
                <w:rFonts w:hint="eastAsia"/>
                <w:b/>
                <w:sz w:val="24"/>
              </w:rPr>
              <w:t>、废气环境影响分析</w:t>
            </w:r>
          </w:p>
          <w:p>
            <w:pPr>
              <w:autoSpaceDE w:val="0"/>
              <w:autoSpaceDN w:val="0"/>
              <w:adjustRightInd w:val="0"/>
              <w:spacing w:line="360" w:lineRule="auto"/>
              <w:ind w:firstLine="480" w:firstLineChars="200"/>
              <w:jc w:val="left"/>
              <w:rPr>
                <w:rFonts w:hint="eastAsia" w:ascii="Times New Roman" w:hAnsi="宋体" w:eastAsia="宋体" w:cs="Times New Roman"/>
                <w:sz w:val="24"/>
                <w:lang w:eastAsia="zh-CN"/>
              </w:rPr>
            </w:pPr>
            <w:r>
              <w:rPr>
                <w:rFonts w:hint="eastAsia" w:ascii="Times New Roman" w:hAnsi="宋体" w:eastAsia="宋体" w:cs="Times New Roman"/>
                <w:sz w:val="24"/>
              </w:rPr>
              <w:t>由分析可知</w:t>
            </w:r>
            <w:r>
              <w:rPr>
                <w:rFonts w:hint="eastAsia" w:hAnsi="宋体" w:cs="Times New Roman"/>
                <w:sz w:val="24"/>
                <w:lang w:val="en-US" w:eastAsia="zh-CN"/>
              </w:rPr>
              <w:t>注塑废气</w:t>
            </w:r>
            <w:r>
              <w:rPr>
                <w:rFonts w:hint="eastAsia" w:ascii="Times New Roman" w:hAnsi="宋体" w:eastAsia="宋体" w:cs="Times New Roman"/>
                <w:sz w:val="24"/>
              </w:rPr>
              <w:t>及</w:t>
            </w:r>
            <w:r>
              <w:rPr>
                <w:rFonts w:hint="eastAsia" w:hAnsi="宋体" w:cs="Times New Roman"/>
                <w:sz w:val="24"/>
                <w:lang w:val="en-US" w:eastAsia="zh-CN"/>
              </w:rPr>
              <w:t>破碎粉尘</w:t>
            </w:r>
            <w:r>
              <w:rPr>
                <w:rFonts w:hint="eastAsia" w:ascii="Times New Roman" w:hAnsi="宋体" w:eastAsia="宋体" w:cs="Times New Roman"/>
                <w:sz w:val="24"/>
              </w:rPr>
              <w:t>采取有效的废气收集、治理措施处理后</w:t>
            </w:r>
            <w:r>
              <w:rPr>
                <w:rFonts w:hint="eastAsia"/>
                <w:color w:val="0D0D0D"/>
                <w:sz w:val="24"/>
              </w:rPr>
              <w:t>注塑</w:t>
            </w:r>
            <w:r>
              <w:rPr>
                <w:color w:val="0D0D0D"/>
                <w:sz w:val="24"/>
              </w:rPr>
              <w:t>工序产生的非甲烷总烃</w:t>
            </w:r>
            <w:r>
              <w:rPr>
                <w:rFonts w:hint="eastAsia"/>
                <w:color w:val="0D0D0D"/>
                <w:sz w:val="24"/>
                <w:lang w:eastAsia="zh-CN"/>
              </w:rPr>
              <w:t>、</w:t>
            </w:r>
            <w:r>
              <w:rPr>
                <w:rFonts w:hint="eastAsia"/>
                <w:color w:val="0D0D0D"/>
                <w:sz w:val="24"/>
                <w:lang w:val="en-US" w:eastAsia="zh-CN"/>
              </w:rPr>
              <w:t>苯乙烯</w:t>
            </w:r>
            <w:r>
              <w:rPr>
                <w:color w:val="0D0D0D"/>
                <w:sz w:val="24"/>
              </w:rPr>
              <w:t>及破碎工序产生的颗粒物有组织排放</w:t>
            </w:r>
            <w:r>
              <w:rPr>
                <w:rFonts w:hint="eastAsia"/>
                <w:color w:val="0D0D0D"/>
                <w:sz w:val="24"/>
                <w:lang w:val="en-US" w:eastAsia="zh-CN"/>
              </w:rPr>
              <w:t>能够满足</w:t>
            </w:r>
            <w:r>
              <w:rPr>
                <w:color w:val="0D0D0D"/>
                <w:sz w:val="24"/>
              </w:rPr>
              <w:t>《</w:t>
            </w:r>
            <w:r>
              <w:rPr>
                <w:rFonts w:hint="eastAsia"/>
                <w:color w:val="0D0D0D"/>
                <w:sz w:val="24"/>
              </w:rPr>
              <w:t>合成树脂工业污染物排放</w:t>
            </w:r>
            <w:r>
              <w:rPr>
                <w:color w:val="0D0D0D"/>
                <w:sz w:val="24"/>
              </w:rPr>
              <w:t>标准》(</w:t>
            </w:r>
            <w:r>
              <w:rPr>
                <w:rFonts w:hint="eastAsia"/>
                <w:color w:val="0D0D0D"/>
                <w:sz w:val="24"/>
              </w:rPr>
              <w:t>GB31572</w:t>
            </w:r>
            <w:r>
              <w:rPr>
                <w:color w:val="0D0D0D"/>
                <w:sz w:val="24"/>
              </w:rPr>
              <w:t>-201</w:t>
            </w:r>
            <w:r>
              <w:rPr>
                <w:rFonts w:hint="eastAsia"/>
                <w:color w:val="0D0D0D"/>
                <w:sz w:val="24"/>
              </w:rPr>
              <w:t>5</w:t>
            </w:r>
            <w:r>
              <w:rPr>
                <w:color w:val="0D0D0D"/>
                <w:sz w:val="24"/>
              </w:rPr>
              <w:t>)表</w:t>
            </w:r>
            <w:r>
              <w:rPr>
                <w:rFonts w:hint="eastAsia"/>
                <w:color w:val="0D0D0D"/>
                <w:sz w:val="24"/>
              </w:rPr>
              <w:t>5大气污染物特别排放限值</w:t>
            </w:r>
            <w:r>
              <w:rPr>
                <w:rFonts w:hint="eastAsia"/>
                <w:color w:val="0D0D0D"/>
                <w:sz w:val="24"/>
                <w:lang w:eastAsia="zh-CN"/>
              </w:rPr>
              <w:t>。</w:t>
            </w:r>
          </w:p>
          <w:p>
            <w:pPr>
              <w:autoSpaceDE w:val="0"/>
              <w:autoSpaceDN w:val="0"/>
              <w:adjustRightInd w:val="0"/>
              <w:spacing w:line="360" w:lineRule="auto"/>
              <w:ind w:firstLine="480" w:firstLineChars="200"/>
              <w:jc w:val="left"/>
              <w:rPr>
                <w:rFonts w:hint="eastAsia" w:hAnsi="宋体"/>
                <w:sz w:val="24"/>
              </w:rPr>
            </w:pPr>
            <w:r>
              <w:rPr>
                <w:rFonts w:hint="eastAsia" w:ascii="Times New Roman" w:hAnsi="宋体" w:eastAsia="宋体" w:cs="Times New Roman"/>
                <w:sz w:val="24"/>
              </w:rPr>
              <w:t>项目所在区域大气环境属于二类区，项目区500米范围内无环境敏感目标，本项目废气排放对区域大气环境周边敏感点环境影响不大。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tcPr>
          <w:p>
            <w:pPr>
              <w:tabs>
                <w:tab w:val="left" w:pos="1077"/>
              </w:tabs>
              <w:rPr>
                <w:rFonts w:cs="宋体"/>
                <w:color w:val="000000"/>
                <w:sz w:val="24"/>
              </w:rPr>
            </w:pPr>
          </w:p>
        </w:tc>
        <w:tc>
          <w:tcPr>
            <w:tcW w:w="8605" w:type="dxa"/>
            <w:shd w:val="clear" w:color="auto" w:fill="auto"/>
          </w:tcPr>
          <w:p>
            <w:pPr>
              <w:tabs>
                <w:tab w:val="left" w:pos="1077"/>
              </w:tabs>
              <w:spacing w:before="120" w:beforeLines="50" w:line="360" w:lineRule="auto"/>
              <w:ind w:firstLine="482" w:firstLineChars="200"/>
              <w:jc w:val="left"/>
              <w:rPr>
                <w:rFonts w:cs="宋体"/>
                <w:b/>
                <w:bCs/>
                <w:color w:val="auto"/>
                <w:sz w:val="24"/>
              </w:rPr>
            </w:pPr>
            <w:r>
              <w:rPr>
                <w:rFonts w:hint="eastAsia" w:cs="宋体"/>
                <w:b/>
                <w:bCs/>
                <w:color w:val="auto"/>
                <w:sz w:val="24"/>
              </w:rPr>
              <w:t>二、废水环境影响和保护措施</w:t>
            </w:r>
          </w:p>
          <w:p>
            <w:pPr>
              <w:keepNext/>
              <w:keepLines/>
              <w:spacing w:line="360" w:lineRule="auto"/>
              <w:ind w:firstLine="472" w:firstLineChars="196"/>
              <w:outlineLvl w:val="2"/>
              <w:rPr>
                <w:b/>
                <w:bCs/>
                <w:color w:val="000000"/>
                <w:sz w:val="24"/>
                <w:szCs w:val="32"/>
              </w:rPr>
            </w:pPr>
            <w:r>
              <w:rPr>
                <w:rFonts w:hint="eastAsia"/>
                <w:b/>
                <w:bCs/>
                <w:color w:val="000000"/>
                <w:sz w:val="24"/>
                <w:szCs w:val="32"/>
              </w:rPr>
              <w:t>1、</w:t>
            </w:r>
            <w:r>
              <w:rPr>
                <w:b/>
                <w:bCs/>
                <w:color w:val="000000"/>
                <w:sz w:val="24"/>
                <w:szCs w:val="32"/>
              </w:rPr>
              <w:t>废</w:t>
            </w:r>
            <w:r>
              <w:rPr>
                <w:rFonts w:hint="eastAsia"/>
                <w:b/>
                <w:bCs/>
                <w:color w:val="000000"/>
                <w:sz w:val="24"/>
                <w:szCs w:val="32"/>
              </w:rPr>
              <w:t>水</w:t>
            </w:r>
            <w:r>
              <w:rPr>
                <w:b/>
                <w:bCs/>
                <w:color w:val="000000"/>
                <w:sz w:val="24"/>
                <w:szCs w:val="32"/>
              </w:rPr>
              <w:t>污染源</w:t>
            </w:r>
            <w:r>
              <w:rPr>
                <w:rFonts w:hint="eastAsia"/>
                <w:b/>
                <w:bCs/>
                <w:color w:val="000000"/>
                <w:sz w:val="24"/>
                <w:szCs w:val="32"/>
              </w:rPr>
              <w:t>分析</w:t>
            </w:r>
          </w:p>
          <w:p>
            <w:pPr>
              <w:spacing w:line="360" w:lineRule="auto"/>
              <w:ind w:firstLine="480" w:firstLineChars="200"/>
              <w:rPr>
                <w:color w:val="000000"/>
                <w:kern w:val="0"/>
                <w:sz w:val="24"/>
              </w:rPr>
            </w:pPr>
            <w:r>
              <w:rPr>
                <w:rFonts w:hint="eastAsia"/>
                <w:color w:val="000000"/>
                <w:kern w:val="0"/>
                <w:sz w:val="24"/>
              </w:rPr>
              <w:t>项目用水为</w:t>
            </w:r>
            <w:r>
              <w:rPr>
                <w:rFonts w:hint="eastAsia"/>
                <w:color w:val="000000"/>
                <w:kern w:val="0"/>
                <w:sz w:val="24"/>
                <w:lang w:val="en-US" w:eastAsia="zh-CN"/>
              </w:rPr>
              <w:t>冷却塔</w:t>
            </w:r>
            <w:r>
              <w:rPr>
                <w:rFonts w:hint="eastAsia"/>
                <w:sz w:val="24"/>
              </w:rPr>
              <w:t>冷却用水及</w:t>
            </w:r>
            <w:r>
              <w:rPr>
                <w:rFonts w:hint="eastAsia"/>
                <w:color w:val="000000"/>
                <w:kern w:val="0"/>
                <w:sz w:val="24"/>
                <w:szCs w:val="20"/>
              </w:rPr>
              <w:t>员工生活用水</w:t>
            </w:r>
            <w:r>
              <w:rPr>
                <w:color w:val="000000"/>
                <w:kern w:val="0"/>
                <w:sz w:val="24"/>
              </w:rPr>
              <w:t>。</w:t>
            </w:r>
          </w:p>
          <w:p>
            <w:pPr>
              <w:spacing w:line="360" w:lineRule="auto"/>
              <w:ind w:firstLine="480" w:firstLineChars="200"/>
              <w:rPr>
                <w:sz w:val="24"/>
              </w:rPr>
            </w:pPr>
            <w:r>
              <w:rPr>
                <w:rFonts w:hint="eastAsia" w:ascii="宋体" w:hAnsi="宋体"/>
                <w:sz w:val="24"/>
                <w:lang w:val="en-US" w:eastAsia="zh-CN"/>
              </w:rPr>
              <w:t>①</w:t>
            </w:r>
            <w:r>
              <w:rPr>
                <w:rFonts w:hint="eastAsia"/>
                <w:sz w:val="24"/>
              </w:rPr>
              <w:t>生活</w:t>
            </w:r>
            <w:r>
              <w:rPr>
                <w:sz w:val="24"/>
              </w:rPr>
              <w:t>用水与排水</w:t>
            </w:r>
          </w:p>
          <w:p>
            <w:pPr>
              <w:pStyle w:val="104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Times New Roman"/>
                <w:b w:val="0"/>
                <w:bCs/>
                <w:color w:val="FF0000"/>
                <w:lang w:val="en-US" w:eastAsia="zh-CN"/>
              </w:rPr>
            </w:pPr>
            <w:r>
              <w:rPr>
                <w:rFonts w:hint="eastAsia" w:ascii="宋体" w:hAnsi="宋体" w:eastAsia="宋体" w:cs="Times New Roman"/>
                <w:b w:val="0"/>
                <w:bCs/>
                <w:color w:val="auto"/>
                <w:lang w:val="en-US" w:eastAsia="zh-CN"/>
              </w:rPr>
              <w:t>本项目劳动定员</w:t>
            </w:r>
            <w:r>
              <w:rPr>
                <w:rFonts w:hint="eastAsia" w:ascii="宋体" w:hAnsi="宋体" w:cs="Times New Roman"/>
                <w:b w:val="0"/>
                <w:bCs/>
                <w:color w:val="auto"/>
                <w:lang w:val="en-US" w:eastAsia="zh-CN"/>
              </w:rPr>
              <w:t>15</w:t>
            </w:r>
            <w:r>
              <w:rPr>
                <w:rFonts w:hint="eastAsia" w:ascii="宋体" w:hAnsi="宋体" w:eastAsia="宋体" w:cs="Times New Roman"/>
                <w:b w:val="0"/>
                <w:bCs/>
                <w:color w:val="auto"/>
                <w:lang w:val="en-US" w:eastAsia="zh-CN"/>
              </w:rPr>
              <w:t>人，根据《安徽省行业用水定额》（DB34/T 679-2014），员工用水量按每人每天50L计，年工作300天，则项目用水量为</w:t>
            </w:r>
            <w:r>
              <w:rPr>
                <w:rFonts w:hint="eastAsia" w:ascii="宋体" w:hAnsi="宋体" w:cs="Times New Roman"/>
                <w:b w:val="0"/>
                <w:bCs/>
                <w:color w:val="auto"/>
                <w:lang w:val="en-US" w:eastAsia="zh-CN"/>
              </w:rPr>
              <w:t>0.75</w:t>
            </w:r>
            <w:r>
              <w:rPr>
                <w:rFonts w:hint="eastAsia" w:ascii="宋体" w:hAnsi="宋体" w:eastAsia="宋体" w:cs="Times New Roman"/>
                <w:b w:val="0"/>
                <w:bCs/>
                <w:color w:val="auto"/>
                <w:lang w:val="en-US" w:eastAsia="zh-CN"/>
              </w:rPr>
              <w:t>m</w:t>
            </w:r>
            <w:r>
              <w:rPr>
                <w:rFonts w:hint="eastAsia" w:ascii="宋体" w:hAnsi="宋体" w:eastAsia="宋体" w:cs="Times New Roman"/>
                <w:b w:val="0"/>
                <w:bCs/>
                <w:color w:val="auto"/>
                <w:vertAlign w:val="superscript"/>
                <w:lang w:val="en-US" w:eastAsia="zh-CN"/>
              </w:rPr>
              <w:t>3</w:t>
            </w:r>
            <w:r>
              <w:rPr>
                <w:rFonts w:hint="eastAsia" w:ascii="宋体" w:hAnsi="宋体" w:eastAsia="宋体" w:cs="Times New Roman"/>
                <w:b w:val="0"/>
                <w:bCs/>
                <w:color w:val="auto"/>
                <w:lang w:val="en-US" w:eastAsia="zh-CN"/>
              </w:rPr>
              <w:t>/d（</w:t>
            </w:r>
            <w:r>
              <w:rPr>
                <w:rFonts w:hint="eastAsia" w:ascii="宋体" w:hAnsi="宋体" w:cs="Times New Roman"/>
                <w:b w:val="0"/>
                <w:bCs/>
                <w:color w:val="auto"/>
                <w:lang w:val="en-US" w:eastAsia="zh-CN"/>
              </w:rPr>
              <w:t>225</w:t>
            </w:r>
            <w:r>
              <w:rPr>
                <w:rFonts w:hint="eastAsia" w:ascii="宋体" w:hAnsi="宋体" w:eastAsia="宋体" w:cs="Times New Roman"/>
                <w:b w:val="0"/>
                <w:bCs/>
                <w:color w:val="auto"/>
                <w:lang w:val="en-US" w:eastAsia="zh-CN"/>
              </w:rPr>
              <w:t>m</w:t>
            </w:r>
            <w:r>
              <w:rPr>
                <w:rFonts w:hint="eastAsia" w:ascii="宋体" w:hAnsi="宋体" w:eastAsia="宋体" w:cs="Times New Roman"/>
                <w:b w:val="0"/>
                <w:bCs/>
                <w:color w:val="auto"/>
                <w:vertAlign w:val="superscript"/>
                <w:lang w:val="en-US" w:eastAsia="zh-CN"/>
              </w:rPr>
              <w:t>3</w:t>
            </w:r>
            <w:r>
              <w:rPr>
                <w:rFonts w:hint="eastAsia" w:ascii="宋体" w:hAnsi="宋体" w:eastAsia="宋体" w:cs="Times New Roman"/>
                <w:b w:val="0"/>
                <w:bCs/>
                <w:color w:val="auto"/>
                <w:lang w:val="en-US" w:eastAsia="zh-CN"/>
              </w:rPr>
              <w:t>/a）。产污系数以0.8计，则生活污水排放量为</w:t>
            </w:r>
            <w:r>
              <w:rPr>
                <w:rFonts w:hint="eastAsia" w:ascii="宋体" w:hAnsi="宋体" w:cs="Times New Roman"/>
                <w:b w:val="0"/>
                <w:bCs/>
                <w:color w:val="auto"/>
                <w:lang w:val="en-US" w:eastAsia="zh-CN"/>
              </w:rPr>
              <w:t>0.6</w:t>
            </w:r>
            <w:r>
              <w:rPr>
                <w:rFonts w:hint="eastAsia" w:ascii="宋体" w:hAnsi="宋体" w:eastAsia="宋体" w:cs="Times New Roman"/>
                <w:b w:val="0"/>
                <w:bCs/>
                <w:color w:val="auto"/>
                <w:lang w:val="en-US" w:eastAsia="zh-CN"/>
              </w:rPr>
              <w:t>m</w:t>
            </w:r>
            <w:r>
              <w:rPr>
                <w:rFonts w:hint="eastAsia" w:ascii="宋体" w:hAnsi="宋体" w:eastAsia="宋体" w:cs="Times New Roman"/>
                <w:b w:val="0"/>
                <w:bCs/>
                <w:color w:val="auto"/>
                <w:vertAlign w:val="superscript"/>
                <w:lang w:val="en-US" w:eastAsia="zh-CN"/>
              </w:rPr>
              <w:t>3</w:t>
            </w:r>
            <w:r>
              <w:rPr>
                <w:rFonts w:hint="eastAsia" w:ascii="宋体" w:hAnsi="宋体" w:eastAsia="宋体" w:cs="Times New Roman"/>
                <w:b w:val="0"/>
                <w:bCs/>
                <w:color w:val="auto"/>
                <w:lang w:val="en-US" w:eastAsia="zh-CN"/>
              </w:rPr>
              <w:t>/d（</w:t>
            </w:r>
            <w:r>
              <w:rPr>
                <w:rFonts w:hint="eastAsia" w:ascii="宋体" w:hAnsi="宋体" w:cs="Times New Roman"/>
                <w:b w:val="0"/>
                <w:bCs/>
                <w:color w:val="auto"/>
                <w:lang w:val="en-US" w:eastAsia="zh-CN"/>
              </w:rPr>
              <w:t>18</w:t>
            </w:r>
            <w:r>
              <w:rPr>
                <w:rFonts w:hint="eastAsia" w:ascii="宋体" w:hAnsi="宋体" w:eastAsia="宋体" w:cs="Times New Roman"/>
                <w:b w:val="0"/>
                <w:bCs/>
                <w:color w:val="auto"/>
                <w:lang w:val="en-US" w:eastAsia="zh-CN"/>
              </w:rPr>
              <w:t>0m</w:t>
            </w:r>
            <w:r>
              <w:rPr>
                <w:rFonts w:hint="eastAsia" w:ascii="宋体" w:hAnsi="宋体" w:eastAsia="宋体" w:cs="Times New Roman"/>
                <w:b w:val="0"/>
                <w:bCs/>
                <w:color w:val="auto"/>
                <w:vertAlign w:val="superscript"/>
                <w:lang w:val="en-US" w:eastAsia="zh-CN"/>
              </w:rPr>
              <w:t>3</w:t>
            </w:r>
            <w:r>
              <w:rPr>
                <w:rFonts w:hint="eastAsia" w:ascii="宋体" w:hAnsi="宋体" w:eastAsia="宋体" w:cs="Times New Roman"/>
                <w:b w:val="0"/>
                <w:bCs/>
                <w:color w:val="auto"/>
                <w:lang w:val="en-US" w:eastAsia="zh-CN"/>
              </w:rPr>
              <w:t>/a）。生活废水COD、BOD</w:t>
            </w:r>
            <w:r>
              <w:rPr>
                <w:rFonts w:hint="eastAsia" w:ascii="宋体" w:hAnsi="宋体" w:eastAsia="宋体" w:cs="Times New Roman"/>
                <w:b w:val="0"/>
                <w:bCs/>
                <w:color w:val="auto"/>
                <w:vertAlign w:val="subscript"/>
                <w:lang w:val="en-US" w:eastAsia="zh-CN"/>
              </w:rPr>
              <w:t>5</w:t>
            </w:r>
            <w:r>
              <w:rPr>
                <w:rFonts w:hint="eastAsia" w:ascii="宋体" w:hAnsi="宋体" w:eastAsia="宋体" w:cs="Times New Roman"/>
                <w:b w:val="0"/>
                <w:bCs/>
                <w:color w:val="auto"/>
                <w:lang w:val="en-US" w:eastAsia="zh-CN"/>
              </w:rPr>
              <w:t>、NH</w:t>
            </w:r>
            <w:r>
              <w:rPr>
                <w:rFonts w:hint="eastAsia" w:ascii="宋体" w:hAnsi="宋体" w:eastAsia="宋体" w:cs="Times New Roman"/>
                <w:b w:val="0"/>
                <w:bCs/>
                <w:color w:val="auto"/>
                <w:vertAlign w:val="subscript"/>
                <w:lang w:val="en-US" w:eastAsia="zh-CN"/>
              </w:rPr>
              <w:t>3</w:t>
            </w:r>
            <w:r>
              <w:rPr>
                <w:rFonts w:hint="eastAsia" w:ascii="宋体" w:hAnsi="宋体" w:eastAsia="宋体" w:cs="Times New Roman"/>
                <w:b w:val="0"/>
                <w:bCs/>
                <w:color w:val="auto"/>
                <w:lang w:val="en-US" w:eastAsia="zh-CN"/>
              </w:rPr>
              <w:t>-N、SS浓度约250mg/L、160mg/L、30mg/L、</w:t>
            </w:r>
            <w:r>
              <w:rPr>
                <w:rFonts w:hint="eastAsia" w:ascii="宋体" w:hAnsi="宋体" w:cs="Times New Roman"/>
                <w:b w:val="0"/>
                <w:bCs/>
                <w:color w:val="auto"/>
                <w:lang w:val="en-US" w:eastAsia="zh-CN"/>
              </w:rPr>
              <w:t>12</w:t>
            </w:r>
            <w:r>
              <w:rPr>
                <w:rFonts w:hint="eastAsia" w:ascii="宋体" w:hAnsi="宋体" w:eastAsia="宋体" w:cs="Times New Roman"/>
                <w:b w:val="0"/>
                <w:bCs/>
                <w:color w:val="auto"/>
                <w:lang w:val="en-US" w:eastAsia="zh-CN"/>
              </w:rPr>
              <w:t>0mg/L。</w:t>
            </w:r>
          </w:p>
          <w:p>
            <w:pPr>
              <w:spacing w:line="360" w:lineRule="auto"/>
              <w:ind w:firstLine="480" w:firstLineChars="200"/>
              <w:rPr>
                <w:rFonts w:hint="eastAsia" w:ascii="宋体" w:hAnsi="宋体"/>
                <w:sz w:val="24"/>
                <w:lang w:val="en-US" w:eastAsia="zh-CN"/>
              </w:rPr>
            </w:pPr>
            <w:r>
              <w:rPr>
                <w:rFonts w:hint="eastAsia" w:ascii="宋体" w:hAnsi="宋体"/>
                <w:sz w:val="24"/>
                <w:lang w:val="en-US" w:eastAsia="zh-CN"/>
              </w:rPr>
              <w:t>②冷却塔补充用水</w:t>
            </w:r>
          </w:p>
          <w:p>
            <w:pPr>
              <w:spacing w:line="360" w:lineRule="auto"/>
              <w:ind w:firstLine="480" w:firstLineChars="200"/>
              <w:rPr>
                <w:rFonts w:hint="eastAsia" w:ascii="宋体" w:hAnsi="宋体"/>
                <w:sz w:val="24"/>
                <w:lang w:val="en-US" w:eastAsia="zh-CN"/>
              </w:rPr>
            </w:pPr>
            <w:r>
              <w:rPr>
                <w:rFonts w:hint="eastAsia" w:ascii="宋体" w:hAnsi="宋体"/>
                <w:sz w:val="24"/>
                <w:lang w:val="en-US" w:eastAsia="zh-CN"/>
              </w:rPr>
              <w:t>本项目共设1个冷却塔，供冷却脱模所用，冷却塔循环冷却水池循环水量为5m</w:t>
            </w:r>
            <w:r>
              <w:rPr>
                <w:rFonts w:hint="eastAsia" w:ascii="宋体" w:hAnsi="宋体"/>
                <w:sz w:val="24"/>
                <w:vertAlign w:val="superscript"/>
                <w:lang w:val="en-US" w:eastAsia="zh-CN"/>
              </w:rPr>
              <w:t>3</w:t>
            </w:r>
            <w:r>
              <w:rPr>
                <w:rFonts w:hint="eastAsia" w:ascii="宋体" w:hAnsi="宋体"/>
                <w:sz w:val="24"/>
                <w:lang w:val="en-US" w:eastAsia="zh-CN"/>
              </w:rPr>
              <w:t>，循环过程中存在蒸发及风吹损耗，需定期补充新鲜水，补充水量约0.1m</w:t>
            </w:r>
            <w:r>
              <w:rPr>
                <w:rFonts w:hint="eastAsia" w:ascii="宋体" w:hAnsi="宋体"/>
                <w:sz w:val="24"/>
                <w:vertAlign w:val="superscript"/>
                <w:lang w:val="en-US" w:eastAsia="zh-CN"/>
              </w:rPr>
              <w:t>3</w:t>
            </w:r>
            <w:r>
              <w:rPr>
                <w:rFonts w:hint="eastAsia" w:ascii="宋体" w:hAnsi="宋体"/>
                <w:sz w:val="24"/>
                <w:lang w:val="en-US" w:eastAsia="zh-CN"/>
              </w:rPr>
              <w:t>/d（30m</w:t>
            </w:r>
            <w:r>
              <w:rPr>
                <w:rFonts w:hint="eastAsia" w:ascii="宋体" w:hAnsi="宋体"/>
                <w:sz w:val="24"/>
                <w:vertAlign w:val="superscript"/>
                <w:lang w:val="en-US" w:eastAsia="zh-CN"/>
              </w:rPr>
              <w:t>3</w:t>
            </w:r>
            <w:r>
              <w:rPr>
                <w:rFonts w:hint="eastAsia" w:ascii="宋体" w:hAnsi="宋体"/>
                <w:sz w:val="24"/>
                <w:lang w:val="en-US" w:eastAsia="zh-CN"/>
              </w:rPr>
              <w:t>/a）。</w:t>
            </w:r>
          </w:p>
          <w:p>
            <w:pPr>
              <w:adjustRightInd w:val="0"/>
              <w:spacing w:line="360" w:lineRule="auto"/>
              <w:ind w:firstLine="480" w:firstLineChars="200"/>
              <w:rPr>
                <w:color w:val="auto"/>
                <w:sz w:val="24"/>
              </w:rPr>
            </w:pPr>
            <w:r>
              <w:rPr>
                <w:rFonts w:hint="eastAsia"/>
                <w:color w:val="auto"/>
                <w:sz w:val="24"/>
              </w:rPr>
              <w:t>本项目运营期全厂水平衡见图4-</w:t>
            </w:r>
            <w:r>
              <w:rPr>
                <w:rFonts w:hint="eastAsia"/>
                <w:color w:val="auto"/>
                <w:sz w:val="24"/>
                <w:lang w:val="en-US" w:eastAsia="zh-CN"/>
              </w:rPr>
              <w:t>1</w:t>
            </w:r>
            <w:r>
              <w:rPr>
                <w:rFonts w:hint="eastAsia"/>
                <w:color w:val="auto"/>
                <w:sz w:val="24"/>
              </w:rPr>
              <w:t>。</w:t>
            </w:r>
          </w:p>
          <w:p>
            <w:pPr>
              <w:adjustRightInd w:val="0"/>
              <w:spacing w:line="360" w:lineRule="auto"/>
              <w:ind w:firstLine="420" w:firstLineChars="200"/>
              <w:rPr>
                <w:sz w:val="24"/>
              </w:rPr>
            </w:pPr>
            <w:r>
              <w:drawing>
                <wp:inline distT="0" distB="0" distL="114300" distR="114300">
                  <wp:extent cx="5093335" cy="1914525"/>
                  <wp:effectExtent l="0" t="0" r="1206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093335" cy="1914525"/>
                          </a:xfrm>
                          <a:prstGeom prst="rect">
                            <a:avLst/>
                          </a:prstGeom>
                          <a:noFill/>
                          <a:ln>
                            <a:noFill/>
                          </a:ln>
                        </pic:spPr>
                      </pic:pic>
                    </a:graphicData>
                  </a:graphic>
                </wp:inline>
              </w:drawing>
            </w:r>
          </w:p>
          <w:p>
            <w:pPr>
              <w:spacing w:line="360" w:lineRule="auto"/>
              <w:ind w:firstLine="361" w:firstLineChars="150"/>
              <w:jc w:val="center"/>
              <w:rPr>
                <w:color w:val="000000"/>
                <w:kern w:val="0"/>
                <w:sz w:val="24"/>
                <w:szCs w:val="20"/>
              </w:rPr>
            </w:pPr>
            <w:r>
              <w:rPr>
                <w:rFonts w:cs="宋体"/>
                <w:b/>
                <w:bCs/>
                <w:sz w:val="24"/>
                <w:lang w:val="zh-CN"/>
              </w:rPr>
              <w:t>图</w:t>
            </w:r>
            <w:r>
              <w:rPr>
                <w:rFonts w:hint="eastAsia" w:cs="宋体"/>
                <w:b/>
                <w:bCs/>
                <w:sz w:val="24"/>
              </w:rPr>
              <w:t>4-</w:t>
            </w:r>
            <w:r>
              <w:rPr>
                <w:rFonts w:hint="eastAsia" w:cs="宋体"/>
                <w:b/>
                <w:bCs/>
                <w:sz w:val="24"/>
                <w:lang w:val="en-US" w:eastAsia="zh-CN"/>
              </w:rPr>
              <w:t>1</w:t>
            </w:r>
            <w:r>
              <w:rPr>
                <w:rFonts w:cs="宋体"/>
                <w:b/>
                <w:bCs/>
                <w:sz w:val="24"/>
                <w:lang w:val="zh-CN"/>
              </w:rPr>
              <w:t xml:space="preserve">  项目</w:t>
            </w:r>
            <w:r>
              <w:rPr>
                <w:rFonts w:hint="eastAsia" w:cs="宋体"/>
                <w:b/>
                <w:bCs/>
                <w:sz w:val="24"/>
                <w:lang w:val="zh-CN"/>
              </w:rPr>
              <w:t>运营期</w:t>
            </w:r>
            <w:r>
              <w:rPr>
                <w:rFonts w:cs="宋体"/>
                <w:b/>
                <w:bCs/>
                <w:sz w:val="24"/>
                <w:lang w:val="zh-CN"/>
              </w:rPr>
              <w:t>水平衡图</w:t>
            </w:r>
            <w:r>
              <w:rPr>
                <w:rFonts w:hint="eastAsia" w:cs="宋体"/>
                <w:b/>
                <w:bCs/>
                <w:sz w:val="24"/>
                <w:lang w:val="zh-CN"/>
              </w:rPr>
              <w:t>（</w:t>
            </w:r>
            <w:r>
              <w:rPr>
                <w:rFonts w:cs="宋体"/>
                <w:b/>
                <w:bCs/>
                <w:sz w:val="24"/>
                <w:lang w:val="zh-CN"/>
              </w:rPr>
              <w:t>单位：t/</w:t>
            </w:r>
            <w:r>
              <w:rPr>
                <w:rFonts w:hint="eastAsia" w:cs="宋体"/>
                <w:b/>
                <w:bCs/>
                <w:sz w:val="24"/>
                <w:lang w:val="zh-CN"/>
              </w:rPr>
              <w:t>d）</w:t>
            </w:r>
          </w:p>
          <w:p>
            <w:pPr>
              <w:spacing w:line="360" w:lineRule="auto"/>
              <w:ind w:firstLine="360" w:firstLineChars="150"/>
              <w:rPr>
                <w:color w:val="000000"/>
                <w:kern w:val="0"/>
                <w:sz w:val="24"/>
                <w:szCs w:val="20"/>
              </w:rPr>
            </w:pPr>
            <w:r>
              <w:rPr>
                <w:rFonts w:hint="eastAsia"/>
                <w:color w:val="000000"/>
                <w:kern w:val="0"/>
                <w:sz w:val="24"/>
              </w:rPr>
              <w:t>生活污水产生情况见下表。</w:t>
            </w:r>
          </w:p>
          <w:p>
            <w:pPr>
              <w:widowControl/>
              <w:jc w:val="center"/>
              <w:rPr>
                <w:b/>
                <w:color w:val="000000" w:themeColor="text1"/>
                <w:kern w:val="0"/>
                <w:sz w:val="24"/>
                <w14:textFill>
                  <w14:solidFill>
                    <w14:schemeClr w14:val="tx1"/>
                  </w14:solidFill>
                </w14:textFill>
              </w:rPr>
            </w:pPr>
            <w:r>
              <w:rPr>
                <w:rFonts w:hint="eastAsia"/>
                <w:b/>
                <w:color w:val="000000" w:themeColor="text1"/>
                <w:kern w:val="0"/>
                <w:sz w:val="24"/>
                <w14:textFill>
                  <w14:solidFill>
                    <w14:schemeClr w14:val="tx1"/>
                  </w14:solidFill>
                </w14:textFill>
              </w:rPr>
              <w:t>表4-</w:t>
            </w:r>
            <w:r>
              <w:rPr>
                <w:rFonts w:hint="eastAsia"/>
                <w:b/>
                <w:color w:val="000000" w:themeColor="text1"/>
                <w:kern w:val="0"/>
                <w:sz w:val="24"/>
                <w:lang w:val="en-US" w:eastAsia="zh-CN"/>
                <w14:textFill>
                  <w14:solidFill>
                    <w14:schemeClr w14:val="tx1"/>
                  </w14:solidFill>
                </w14:textFill>
              </w:rPr>
              <w:t>4</w:t>
            </w:r>
            <w:r>
              <w:rPr>
                <w:rFonts w:hint="eastAsia"/>
                <w:b/>
                <w:color w:val="000000" w:themeColor="text1"/>
                <w:kern w:val="0"/>
                <w:sz w:val="24"/>
                <w14:textFill>
                  <w14:solidFill>
                    <w14:schemeClr w14:val="tx1"/>
                  </w14:solidFill>
                </w14:textFill>
              </w:rPr>
              <w:t xml:space="preserve"> 项目废水产生及排放情况汇总一览表</w:t>
            </w:r>
          </w:p>
          <w:tbl>
            <w:tblPr>
              <w:tblStyle w:val="59"/>
              <w:tblW w:w="8410"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0"/>
              <w:gridCol w:w="989"/>
              <w:gridCol w:w="919"/>
              <w:gridCol w:w="777"/>
              <w:gridCol w:w="885"/>
              <w:gridCol w:w="855"/>
              <w:gridCol w:w="870"/>
              <w:gridCol w:w="915"/>
              <w:gridCol w:w="135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093" w:type="pct"/>
                  <w:gridSpan w:val="2"/>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类别</w:t>
                  </w:r>
                </w:p>
              </w:tc>
              <w:tc>
                <w:tcPr>
                  <w:tcW w:w="546"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废水量（t/a）</w:t>
                  </w:r>
                </w:p>
              </w:tc>
              <w:tc>
                <w:tcPr>
                  <w:tcW w:w="461"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ph</w:t>
                  </w:r>
                </w:p>
              </w:tc>
              <w:tc>
                <w:tcPr>
                  <w:tcW w:w="526"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rPr>
                  </w:pPr>
                  <w:r>
                    <w:rPr>
                      <w:rFonts w:hint="eastAsia" w:ascii="宋体" w:hAnsi="宋体" w:eastAsia="宋体" w:cs="宋体"/>
                      <w:color w:val="000000"/>
                      <w:kern w:val="0"/>
                      <w:sz w:val="21"/>
                      <w:szCs w:val="21"/>
                    </w:rPr>
                    <w:t>COD</w:t>
                  </w:r>
                </w:p>
              </w:tc>
              <w:tc>
                <w:tcPr>
                  <w:tcW w:w="508"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rPr>
                  </w:pPr>
                  <w:r>
                    <w:rPr>
                      <w:rFonts w:hint="eastAsia" w:ascii="宋体" w:hAnsi="宋体" w:eastAsia="宋体" w:cs="宋体"/>
                      <w:color w:val="000000"/>
                      <w:kern w:val="0"/>
                      <w:sz w:val="21"/>
                      <w:szCs w:val="21"/>
                    </w:rPr>
                    <w:t>BOD</w:t>
                  </w:r>
                  <w:r>
                    <w:rPr>
                      <w:rFonts w:hint="eastAsia" w:ascii="宋体" w:hAnsi="宋体" w:eastAsia="宋体" w:cs="宋体"/>
                      <w:color w:val="000000"/>
                      <w:kern w:val="0"/>
                      <w:sz w:val="21"/>
                      <w:szCs w:val="21"/>
                      <w:vertAlign w:val="subscript"/>
                    </w:rPr>
                    <w:t>5</w:t>
                  </w:r>
                </w:p>
              </w:tc>
              <w:tc>
                <w:tcPr>
                  <w:tcW w:w="517"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rPr>
                  </w:pPr>
                  <w:r>
                    <w:rPr>
                      <w:rFonts w:hint="eastAsia" w:ascii="宋体" w:hAnsi="宋体" w:eastAsia="宋体" w:cs="宋体"/>
                      <w:color w:val="000000"/>
                      <w:kern w:val="0"/>
                      <w:sz w:val="21"/>
                      <w:szCs w:val="21"/>
                    </w:rPr>
                    <w:t>氨氮</w:t>
                  </w:r>
                </w:p>
              </w:tc>
              <w:tc>
                <w:tcPr>
                  <w:tcW w:w="543"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rPr>
                  </w:pPr>
                  <w:r>
                    <w:rPr>
                      <w:rFonts w:hint="eastAsia" w:ascii="宋体" w:hAnsi="宋体" w:eastAsia="宋体" w:cs="宋体"/>
                      <w:color w:val="000000"/>
                      <w:kern w:val="0"/>
                      <w:sz w:val="21"/>
                      <w:szCs w:val="21"/>
                    </w:rPr>
                    <w:t>SS</w:t>
                  </w:r>
                </w:p>
              </w:tc>
              <w:tc>
                <w:tcPr>
                  <w:tcW w:w="802"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去向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505" w:type="pct"/>
                  <w:vMerge w:val="restar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生活污水</w:t>
                  </w:r>
                </w:p>
              </w:tc>
              <w:tc>
                <w:tcPr>
                  <w:tcW w:w="587"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浓度（mg/l）</w:t>
                  </w:r>
                </w:p>
              </w:tc>
              <w:tc>
                <w:tcPr>
                  <w:tcW w:w="546" w:type="pct"/>
                  <w:vMerge w:val="restar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180</w:t>
                  </w:r>
                </w:p>
              </w:tc>
              <w:tc>
                <w:tcPr>
                  <w:tcW w:w="461"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6-9</w:t>
                  </w:r>
                </w:p>
              </w:tc>
              <w:tc>
                <w:tcPr>
                  <w:tcW w:w="526"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250</w:t>
                  </w:r>
                </w:p>
              </w:tc>
              <w:tc>
                <w:tcPr>
                  <w:tcW w:w="508"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160</w:t>
                  </w:r>
                </w:p>
              </w:tc>
              <w:tc>
                <w:tcPr>
                  <w:tcW w:w="517"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30</w:t>
                  </w:r>
                </w:p>
              </w:tc>
              <w:tc>
                <w:tcPr>
                  <w:tcW w:w="543"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120</w:t>
                  </w:r>
                </w:p>
              </w:tc>
              <w:tc>
                <w:tcPr>
                  <w:tcW w:w="802" w:type="pct"/>
                  <w:vMerge w:val="restar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化粪池</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505" w:type="pct"/>
                  <w:vMerge w:val="continue"/>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p>
              </w:tc>
              <w:tc>
                <w:tcPr>
                  <w:tcW w:w="587"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产生量（t/a）</w:t>
                  </w:r>
                </w:p>
              </w:tc>
              <w:tc>
                <w:tcPr>
                  <w:tcW w:w="546" w:type="pct"/>
                  <w:vMerge w:val="continue"/>
                  <w:vAlign w:val="center"/>
                </w:tcPr>
                <w:p>
                  <w:pPr>
                    <w:pStyle w:val="219"/>
                    <w:spacing w:line="360" w:lineRule="auto"/>
                    <w:jc w:val="center"/>
                    <w:rPr>
                      <w:rFonts w:hint="eastAsia" w:ascii="宋体" w:hAnsi="宋体" w:eastAsia="宋体" w:cs="宋体"/>
                      <w:sz w:val="21"/>
                      <w:szCs w:val="21"/>
                      <w:vertAlign w:val="baseline"/>
                    </w:rPr>
                  </w:pPr>
                </w:p>
              </w:tc>
              <w:tc>
                <w:tcPr>
                  <w:tcW w:w="461"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w:t>
                  </w:r>
                </w:p>
              </w:tc>
              <w:tc>
                <w:tcPr>
                  <w:tcW w:w="526"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0.0450</w:t>
                  </w:r>
                </w:p>
              </w:tc>
              <w:tc>
                <w:tcPr>
                  <w:tcW w:w="508"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0.0288</w:t>
                  </w:r>
                </w:p>
              </w:tc>
              <w:tc>
                <w:tcPr>
                  <w:tcW w:w="517"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0.0054</w:t>
                  </w:r>
                </w:p>
              </w:tc>
              <w:tc>
                <w:tcPr>
                  <w:tcW w:w="543"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0.0216</w:t>
                  </w:r>
                </w:p>
              </w:tc>
              <w:tc>
                <w:tcPr>
                  <w:tcW w:w="802" w:type="pct"/>
                  <w:vMerge w:val="continue"/>
                  <w:vAlign w:val="center"/>
                </w:tcPr>
                <w:p>
                  <w:pPr>
                    <w:pStyle w:val="219"/>
                    <w:spacing w:line="360" w:lineRule="auto"/>
                    <w:jc w:val="center"/>
                    <w:rPr>
                      <w:rFonts w:hint="eastAsia" w:ascii="宋体" w:hAnsi="宋体" w:eastAsia="宋体" w:cs="宋体"/>
                      <w:sz w:val="21"/>
                      <w:szCs w:val="21"/>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05" w:type="pct"/>
                  <w:vMerge w:val="restar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生活污水经化粪池处理后</w:t>
                  </w:r>
                </w:p>
              </w:tc>
              <w:tc>
                <w:tcPr>
                  <w:tcW w:w="587" w:type="pct"/>
                  <w:vAlign w:val="center"/>
                </w:tcPr>
                <w:p>
                  <w:pPr>
                    <w:pStyle w:val="219"/>
                    <w:spacing w:line="360" w:lineRule="auto"/>
                    <w:ind w:left="0" w:leftChars="0" w:firstLine="0" w:firstLineChars="0"/>
                    <w:jc w:val="center"/>
                    <w:rPr>
                      <w:rFonts w:hint="eastAsia" w:ascii="宋体" w:hAnsi="宋体" w:eastAsia="宋体" w:cs="宋体"/>
                      <w:kern w:val="0"/>
                      <w:sz w:val="21"/>
                      <w:szCs w:val="21"/>
                      <w:vertAlign w:val="baseline"/>
                      <w:lang w:val="en-US" w:eastAsia="zh-CN" w:bidi="ar-SA"/>
                    </w:rPr>
                  </w:pPr>
                  <w:r>
                    <w:rPr>
                      <w:rFonts w:hint="eastAsia" w:ascii="宋体" w:hAnsi="宋体" w:eastAsia="宋体" w:cs="宋体"/>
                      <w:sz w:val="21"/>
                      <w:szCs w:val="21"/>
                      <w:vertAlign w:val="baseline"/>
                      <w:lang w:val="en-US" w:eastAsia="zh-CN"/>
                    </w:rPr>
                    <w:t>浓度（mg/l）</w:t>
                  </w:r>
                </w:p>
              </w:tc>
              <w:tc>
                <w:tcPr>
                  <w:tcW w:w="546" w:type="pct"/>
                  <w:vMerge w:val="restar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180</w:t>
                  </w:r>
                </w:p>
              </w:tc>
              <w:tc>
                <w:tcPr>
                  <w:tcW w:w="461"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lang w:val="en-US" w:eastAsia="zh-CN"/>
                    </w:rPr>
                    <w:t>6-9</w:t>
                  </w:r>
                </w:p>
              </w:tc>
              <w:tc>
                <w:tcPr>
                  <w:tcW w:w="526"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200</w:t>
                  </w:r>
                </w:p>
              </w:tc>
              <w:tc>
                <w:tcPr>
                  <w:tcW w:w="508"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120</w:t>
                  </w:r>
                </w:p>
              </w:tc>
              <w:tc>
                <w:tcPr>
                  <w:tcW w:w="517"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543"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70</w:t>
                  </w:r>
                </w:p>
              </w:tc>
              <w:tc>
                <w:tcPr>
                  <w:tcW w:w="802" w:type="pct"/>
                  <w:vMerge w:val="restar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rPr>
                  </w:pPr>
                  <w:r>
                    <w:rPr>
                      <w:rFonts w:hint="eastAsia" w:ascii="宋体" w:hAnsi="宋体" w:eastAsia="宋体" w:cs="宋体"/>
                      <w:sz w:val="21"/>
                      <w:szCs w:val="21"/>
                      <w:vertAlign w:val="baseline"/>
                      <w:lang w:val="en-US" w:eastAsia="zh-CN"/>
                    </w:rPr>
                    <w:t>芜湖市城东污水处理厂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505" w:type="pct"/>
                  <w:vMerge w:val="continue"/>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p>
              </w:tc>
              <w:tc>
                <w:tcPr>
                  <w:tcW w:w="587" w:type="pct"/>
                  <w:vAlign w:val="center"/>
                </w:tcPr>
                <w:p>
                  <w:pPr>
                    <w:pStyle w:val="219"/>
                    <w:spacing w:line="360" w:lineRule="auto"/>
                    <w:ind w:left="0" w:leftChars="0" w:firstLine="0" w:firstLineChars="0"/>
                    <w:jc w:val="center"/>
                    <w:rPr>
                      <w:rFonts w:hint="eastAsia" w:ascii="宋体" w:hAnsi="宋体" w:eastAsia="宋体" w:cs="宋体"/>
                      <w:kern w:val="0"/>
                      <w:sz w:val="21"/>
                      <w:szCs w:val="21"/>
                      <w:vertAlign w:val="baseline"/>
                      <w:lang w:val="en-US" w:eastAsia="zh-CN" w:bidi="ar-SA"/>
                    </w:rPr>
                  </w:pPr>
                  <w:r>
                    <w:rPr>
                      <w:rFonts w:hint="eastAsia" w:ascii="宋体" w:hAnsi="宋体" w:eastAsia="宋体" w:cs="宋体"/>
                      <w:sz w:val="21"/>
                      <w:szCs w:val="21"/>
                      <w:vertAlign w:val="baseline"/>
                      <w:lang w:val="en-US" w:eastAsia="zh-CN"/>
                    </w:rPr>
                    <w:t>排放量（t/a）</w:t>
                  </w:r>
                </w:p>
              </w:tc>
              <w:tc>
                <w:tcPr>
                  <w:tcW w:w="546" w:type="pct"/>
                  <w:vMerge w:val="continue"/>
                  <w:vAlign w:val="center"/>
                </w:tcPr>
                <w:p>
                  <w:pPr>
                    <w:pStyle w:val="219"/>
                    <w:spacing w:line="360" w:lineRule="auto"/>
                    <w:jc w:val="center"/>
                    <w:rPr>
                      <w:rFonts w:hint="eastAsia" w:ascii="宋体" w:hAnsi="宋体" w:eastAsia="宋体" w:cs="宋体"/>
                      <w:sz w:val="21"/>
                      <w:szCs w:val="21"/>
                      <w:vertAlign w:val="baseline"/>
                    </w:rPr>
                  </w:pPr>
                </w:p>
              </w:tc>
              <w:tc>
                <w:tcPr>
                  <w:tcW w:w="461"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w:t>
                  </w:r>
                </w:p>
              </w:tc>
              <w:tc>
                <w:tcPr>
                  <w:tcW w:w="526"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0.0360</w:t>
                  </w:r>
                </w:p>
              </w:tc>
              <w:tc>
                <w:tcPr>
                  <w:tcW w:w="508"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0.0216</w:t>
                  </w:r>
                </w:p>
              </w:tc>
              <w:tc>
                <w:tcPr>
                  <w:tcW w:w="517"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0.0032</w:t>
                  </w:r>
                </w:p>
              </w:tc>
              <w:tc>
                <w:tcPr>
                  <w:tcW w:w="543"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0.0126</w:t>
                  </w:r>
                </w:p>
              </w:tc>
              <w:tc>
                <w:tcPr>
                  <w:tcW w:w="802" w:type="pct"/>
                  <w:vMerge w:val="continue"/>
                  <w:vAlign w:val="center"/>
                </w:tcPr>
                <w:p>
                  <w:pPr>
                    <w:pStyle w:val="219"/>
                    <w:spacing w:line="360" w:lineRule="auto"/>
                    <w:jc w:val="center"/>
                    <w:rPr>
                      <w:rFonts w:hint="eastAsia" w:ascii="宋体" w:hAnsi="宋体" w:eastAsia="宋体" w:cs="宋体"/>
                      <w:sz w:val="21"/>
                      <w:szCs w:val="21"/>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9" w:hRule="atLeast"/>
                <w:jc w:val="center"/>
              </w:trPr>
              <w:tc>
                <w:tcPr>
                  <w:tcW w:w="505"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接管标准</w:t>
                  </w:r>
                </w:p>
              </w:tc>
              <w:tc>
                <w:tcPr>
                  <w:tcW w:w="587" w:type="pct"/>
                  <w:vAlign w:val="center"/>
                </w:tcPr>
                <w:p>
                  <w:pPr>
                    <w:pStyle w:val="219"/>
                    <w:spacing w:line="360" w:lineRule="auto"/>
                    <w:ind w:left="0" w:leftChars="0" w:firstLine="0" w:firstLineChars="0"/>
                    <w:jc w:val="both"/>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浓度（mg/l）</w:t>
                  </w:r>
                </w:p>
              </w:tc>
              <w:tc>
                <w:tcPr>
                  <w:tcW w:w="546"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w:t>
                  </w:r>
                </w:p>
              </w:tc>
              <w:tc>
                <w:tcPr>
                  <w:tcW w:w="461"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lang w:val="en-US" w:eastAsia="zh-CN"/>
                    </w:rPr>
                    <w:t>6-9</w:t>
                  </w:r>
                </w:p>
              </w:tc>
              <w:tc>
                <w:tcPr>
                  <w:tcW w:w="526"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500</w:t>
                  </w:r>
                </w:p>
              </w:tc>
              <w:tc>
                <w:tcPr>
                  <w:tcW w:w="508"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300</w:t>
                  </w:r>
                </w:p>
              </w:tc>
              <w:tc>
                <w:tcPr>
                  <w:tcW w:w="517"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w:t>
                  </w:r>
                </w:p>
              </w:tc>
              <w:tc>
                <w:tcPr>
                  <w:tcW w:w="543"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400</w:t>
                  </w:r>
                </w:p>
              </w:tc>
              <w:tc>
                <w:tcPr>
                  <w:tcW w:w="802" w:type="pct"/>
                  <w:vAlign w:val="center"/>
                </w:tcPr>
                <w:p>
                  <w:pPr>
                    <w:pStyle w:val="219"/>
                    <w:spacing w:line="360" w:lineRule="auto"/>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505" w:type="pct"/>
                  <w:vMerge w:val="restart"/>
                  <w:vAlign w:val="center"/>
                </w:tcPr>
                <w:p>
                  <w:pPr>
                    <w:pStyle w:val="219"/>
                    <w:spacing w:line="360" w:lineRule="auto"/>
                    <w:ind w:left="0" w:leftChars="0" w:firstLine="0" w:firstLineChars="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lang w:val="en-US" w:eastAsia="zh-CN"/>
                    </w:rPr>
                    <w:t>芜湖市城东污水处理厂达标排放</w:t>
                  </w:r>
                </w:p>
              </w:tc>
              <w:tc>
                <w:tcPr>
                  <w:tcW w:w="587" w:type="pct"/>
                  <w:vAlign w:val="center"/>
                </w:tcPr>
                <w:p>
                  <w:pPr>
                    <w:pStyle w:val="219"/>
                    <w:spacing w:line="360" w:lineRule="auto"/>
                    <w:ind w:left="0" w:leftChars="0" w:firstLine="0" w:firstLineChars="0"/>
                    <w:jc w:val="center"/>
                    <w:rPr>
                      <w:rFonts w:hint="eastAsia" w:ascii="宋体" w:hAnsi="宋体" w:eastAsia="宋体" w:cs="宋体"/>
                      <w:kern w:val="0"/>
                      <w:sz w:val="21"/>
                      <w:szCs w:val="21"/>
                      <w:vertAlign w:val="baseline"/>
                      <w:lang w:val="en-US" w:eastAsia="zh-CN" w:bidi="ar-SA"/>
                    </w:rPr>
                  </w:pPr>
                  <w:r>
                    <w:rPr>
                      <w:rFonts w:hint="eastAsia" w:ascii="宋体" w:hAnsi="宋体" w:eastAsia="宋体" w:cs="宋体"/>
                      <w:sz w:val="21"/>
                      <w:szCs w:val="21"/>
                      <w:vertAlign w:val="baseline"/>
                      <w:lang w:val="en-US" w:eastAsia="zh-CN"/>
                    </w:rPr>
                    <w:t>浓度（mg/l）</w:t>
                  </w:r>
                </w:p>
              </w:tc>
              <w:tc>
                <w:tcPr>
                  <w:tcW w:w="546" w:type="pct"/>
                  <w:vMerge w:val="restar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180</w:t>
                  </w:r>
                </w:p>
              </w:tc>
              <w:tc>
                <w:tcPr>
                  <w:tcW w:w="461"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lang w:val="en-US" w:eastAsia="zh-CN"/>
                    </w:rPr>
                    <w:t>6-9</w:t>
                  </w:r>
                </w:p>
              </w:tc>
              <w:tc>
                <w:tcPr>
                  <w:tcW w:w="526"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c>
                <w:tcPr>
                  <w:tcW w:w="508"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w:t>
                  </w:r>
                </w:p>
              </w:tc>
              <w:tc>
                <w:tcPr>
                  <w:tcW w:w="517"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543"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w:t>
                  </w:r>
                </w:p>
              </w:tc>
              <w:tc>
                <w:tcPr>
                  <w:tcW w:w="802" w:type="pct"/>
                  <w:vMerge w:val="restar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青弋江</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505" w:type="pct"/>
                  <w:vMerge w:val="continue"/>
                  <w:vAlign w:val="center"/>
                </w:tcPr>
                <w:p>
                  <w:pPr>
                    <w:pStyle w:val="219"/>
                    <w:spacing w:line="360" w:lineRule="auto"/>
                    <w:jc w:val="center"/>
                    <w:rPr>
                      <w:rFonts w:hint="eastAsia" w:ascii="宋体" w:hAnsi="宋体" w:eastAsia="宋体" w:cs="宋体"/>
                      <w:sz w:val="21"/>
                      <w:szCs w:val="21"/>
                      <w:vertAlign w:val="baseline"/>
                    </w:rPr>
                  </w:pPr>
                </w:p>
              </w:tc>
              <w:tc>
                <w:tcPr>
                  <w:tcW w:w="587" w:type="pct"/>
                  <w:vAlign w:val="center"/>
                </w:tcPr>
                <w:p>
                  <w:pPr>
                    <w:pStyle w:val="219"/>
                    <w:spacing w:line="360" w:lineRule="auto"/>
                    <w:ind w:left="0" w:leftChars="0" w:firstLine="0" w:firstLineChars="0"/>
                    <w:jc w:val="center"/>
                    <w:rPr>
                      <w:rFonts w:hint="eastAsia" w:ascii="宋体" w:hAnsi="宋体" w:eastAsia="宋体" w:cs="宋体"/>
                      <w:kern w:val="0"/>
                      <w:sz w:val="21"/>
                      <w:szCs w:val="21"/>
                      <w:vertAlign w:val="baseline"/>
                      <w:lang w:val="en-US" w:eastAsia="zh-CN" w:bidi="ar-SA"/>
                    </w:rPr>
                  </w:pPr>
                  <w:r>
                    <w:rPr>
                      <w:rFonts w:hint="eastAsia" w:ascii="宋体" w:hAnsi="宋体" w:eastAsia="宋体" w:cs="宋体"/>
                      <w:sz w:val="21"/>
                      <w:szCs w:val="21"/>
                      <w:vertAlign w:val="baseline"/>
                      <w:lang w:val="en-US" w:eastAsia="zh-CN"/>
                    </w:rPr>
                    <w:t>排放量（t/a）</w:t>
                  </w:r>
                </w:p>
              </w:tc>
              <w:tc>
                <w:tcPr>
                  <w:tcW w:w="546" w:type="pct"/>
                  <w:vMerge w:val="continue"/>
                  <w:vAlign w:val="center"/>
                </w:tcPr>
                <w:p>
                  <w:pPr>
                    <w:pStyle w:val="219"/>
                    <w:spacing w:line="360" w:lineRule="auto"/>
                    <w:jc w:val="center"/>
                    <w:rPr>
                      <w:rFonts w:hint="eastAsia" w:ascii="宋体" w:hAnsi="宋体" w:eastAsia="宋体" w:cs="宋体"/>
                      <w:sz w:val="21"/>
                      <w:szCs w:val="21"/>
                      <w:vertAlign w:val="baseline"/>
                    </w:rPr>
                  </w:pPr>
                </w:p>
              </w:tc>
              <w:tc>
                <w:tcPr>
                  <w:tcW w:w="461"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w:t>
                  </w:r>
                </w:p>
              </w:tc>
              <w:tc>
                <w:tcPr>
                  <w:tcW w:w="526"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0.009</w:t>
                  </w:r>
                </w:p>
              </w:tc>
              <w:tc>
                <w:tcPr>
                  <w:tcW w:w="508"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0.0018</w:t>
                  </w:r>
                </w:p>
              </w:tc>
              <w:tc>
                <w:tcPr>
                  <w:tcW w:w="517"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0.0009</w:t>
                  </w:r>
                </w:p>
              </w:tc>
              <w:tc>
                <w:tcPr>
                  <w:tcW w:w="543" w:type="pct"/>
                  <w:vAlign w:val="center"/>
                </w:tcPr>
                <w:p>
                  <w:pPr>
                    <w:pStyle w:val="219"/>
                    <w:spacing w:line="360" w:lineRule="auto"/>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0.0018</w:t>
                  </w:r>
                </w:p>
              </w:tc>
              <w:tc>
                <w:tcPr>
                  <w:tcW w:w="802" w:type="pct"/>
                  <w:vMerge w:val="continue"/>
                  <w:vAlign w:val="center"/>
                </w:tcPr>
                <w:p>
                  <w:pPr>
                    <w:pStyle w:val="219"/>
                    <w:spacing w:line="360" w:lineRule="auto"/>
                    <w:jc w:val="center"/>
                    <w:rPr>
                      <w:rFonts w:hint="eastAsia" w:ascii="宋体" w:hAnsi="宋体" w:eastAsia="宋体" w:cs="宋体"/>
                      <w:sz w:val="21"/>
                      <w:szCs w:val="21"/>
                      <w:vertAlign w:val="baseline"/>
                    </w:rPr>
                  </w:pPr>
                </w:p>
              </w:tc>
            </w:tr>
          </w:tbl>
          <w:p>
            <w:pPr>
              <w:pStyle w:val="219"/>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本项目生活污水经预处理后，污染物接管浓度满足芜湖市城东污水处理厂接管标准，废水经污水厂处理达到《城镇污水处理厂污染物排放标准》（GB18918-2002）中一级 A 标准后，最终排入青弋江。</w:t>
            </w:r>
          </w:p>
          <w:p>
            <w:pPr>
              <w:tabs>
                <w:tab w:val="left" w:pos="612"/>
              </w:tabs>
              <w:adjustRightInd w:val="0"/>
              <w:spacing w:before="120" w:beforeLines="50" w:line="360" w:lineRule="auto"/>
              <w:ind w:firstLine="482" w:firstLineChars="200"/>
              <w:jc w:val="left"/>
              <w:rPr>
                <w:b/>
                <w:bCs/>
                <w:sz w:val="24"/>
              </w:rPr>
            </w:pPr>
            <w:r>
              <w:rPr>
                <w:rFonts w:hint="eastAsia"/>
                <w:b/>
                <w:bCs/>
                <w:sz w:val="24"/>
              </w:rPr>
              <w:t>2、地表水评价等级</w:t>
            </w:r>
          </w:p>
          <w:p>
            <w:pPr>
              <w:tabs>
                <w:tab w:val="left" w:pos="612"/>
              </w:tabs>
              <w:adjustRightInd w:val="0"/>
              <w:spacing w:line="360" w:lineRule="auto"/>
              <w:ind w:firstLine="480" w:firstLineChars="200"/>
              <w:jc w:val="left"/>
              <w:rPr>
                <w:color w:val="000000"/>
                <w:sz w:val="24"/>
              </w:rPr>
            </w:pPr>
            <w:r>
              <w:rPr>
                <w:color w:val="000000"/>
                <w:sz w:val="24"/>
              </w:rPr>
              <w:t>根据HJ2.3-2018第5.2条中所列出的地面水环境影响评价分级判据标准，</w:t>
            </w:r>
            <w:r>
              <w:rPr>
                <w:rFonts w:hint="eastAsia"/>
                <w:color w:val="000000"/>
                <w:sz w:val="24"/>
              </w:rPr>
              <w:t>本项目生活污水进入化粪池处理</w:t>
            </w:r>
            <w:r>
              <w:rPr>
                <w:rFonts w:hint="eastAsia" w:hAnsi="宋体"/>
                <w:kern w:val="24"/>
                <w:sz w:val="24"/>
              </w:rPr>
              <w:t>后</w:t>
            </w:r>
            <w:r>
              <w:rPr>
                <w:rFonts w:hint="eastAsia" w:hAnsi="宋体"/>
                <w:kern w:val="24"/>
                <w:sz w:val="24"/>
                <w:lang w:eastAsia="zh-CN"/>
              </w:rPr>
              <w:t>，</w:t>
            </w:r>
            <w:r>
              <w:rPr>
                <w:rFonts w:hint="eastAsia" w:hAnsi="宋体"/>
                <w:kern w:val="24"/>
                <w:sz w:val="24"/>
                <w:lang w:val="en-US" w:eastAsia="zh-CN"/>
              </w:rPr>
              <w:t>经市政管网</w:t>
            </w:r>
            <w:r>
              <w:rPr>
                <w:rFonts w:hint="eastAsia" w:hAnsi="宋体"/>
                <w:kern w:val="24"/>
                <w:sz w:val="24"/>
              </w:rPr>
              <w:t>进入</w:t>
            </w:r>
            <w:r>
              <w:rPr>
                <w:rFonts w:hint="eastAsia" w:hAnsi="宋体"/>
                <w:kern w:val="24"/>
                <w:sz w:val="24"/>
                <w:lang w:val="en-US" w:eastAsia="zh-CN"/>
              </w:rPr>
              <w:t>城东</w:t>
            </w:r>
            <w:r>
              <w:rPr>
                <w:rFonts w:hint="eastAsia" w:hAnsi="宋体"/>
                <w:kern w:val="24"/>
                <w:sz w:val="24"/>
              </w:rPr>
              <w:t>污水处理</w:t>
            </w:r>
            <w:r>
              <w:rPr>
                <w:rFonts w:hint="eastAsia" w:hAnsi="宋体"/>
                <w:kern w:val="24"/>
                <w:sz w:val="24"/>
                <w:lang w:val="en-US" w:eastAsia="zh-CN"/>
              </w:rPr>
              <w:t>厂</w:t>
            </w:r>
            <w:r>
              <w:rPr>
                <w:rFonts w:hint="eastAsia" w:hAnsi="宋体"/>
                <w:kern w:val="24"/>
                <w:sz w:val="24"/>
              </w:rPr>
              <w:t>，属于“间接排放”，故</w:t>
            </w:r>
            <w:r>
              <w:rPr>
                <w:rFonts w:hAnsi="宋体"/>
                <w:kern w:val="24"/>
                <w:sz w:val="24"/>
              </w:rPr>
              <w:t>评价等级为三级B。</w:t>
            </w:r>
          </w:p>
          <w:p>
            <w:pPr>
              <w:tabs>
                <w:tab w:val="left" w:pos="612"/>
              </w:tabs>
              <w:adjustRightInd w:val="0"/>
              <w:spacing w:line="360" w:lineRule="auto"/>
              <w:ind w:firstLine="482" w:firstLineChars="200"/>
              <w:jc w:val="left"/>
              <w:rPr>
                <w:b/>
                <w:bCs/>
                <w:sz w:val="24"/>
              </w:rPr>
            </w:pPr>
            <w:r>
              <w:rPr>
                <w:rFonts w:hint="eastAsia"/>
                <w:b/>
                <w:bCs/>
                <w:sz w:val="24"/>
              </w:rPr>
              <w:t>3、废水来源及治理措施</w:t>
            </w:r>
          </w:p>
          <w:p>
            <w:pPr>
              <w:tabs>
                <w:tab w:val="left" w:pos="0"/>
                <w:tab w:val="left" w:pos="3600"/>
              </w:tabs>
              <w:spacing w:line="360" w:lineRule="auto"/>
              <w:ind w:firstLine="480" w:firstLineChars="200"/>
              <w:rPr>
                <w:sz w:val="24"/>
              </w:rPr>
            </w:pPr>
            <w:r>
              <w:rPr>
                <w:rFonts w:hint="eastAsia"/>
                <w:color w:val="000000"/>
                <w:kern w:val="0"/>
                <w:sz w:val="24"/>
              </w:rPr>
              <w:t>项目用水为</w:t>
            </w:r>
            <w:r>
              <w:rPr>
                <w:rFonts w:hint="eastAsia"/>
                <w:color w:val="000000"/>
                <w:kern w:val="0"/>
                <w:sz w:val="24"/>
                <w:lang w:val="en-US" w:eastAsia="zh-CN"/>
              </w:rPr>
              <w:t>冷却塔</w:t>
            </w:r>
            <w:r>
              <w:rPr>
                <w:rFonts w:hint="eastAsia"/>
                <w:sz w:val="24"/>
              </w:rPr>
              <w:t>冷却用水及</w:t>
            </w:r>
            <w:r>
              <w:rPr>
                <w:rFonts w:hint="eastAsia"/>
                <w:color w:val="000000"/>
                <w:kern w:val="0"/>
                <w:sz w:val="24"/>
                <w:szCs w:val="20"/>
              </w:rPr>
              <w:t>员工生活用水</w:t>
            </w:r>
            <w:r>
              <w:rPr>
                <w:rFonts w:hint="eastAsia"/>
                <w:color w:val="0D0D0D"/>
                <w:sz w:val="24"/>
              </w:rPr>
              <w:t>。</w:t>
            </w:r>
            <w:r>
              <w:rPr>
                <w:rFonts w:hint="eastAsia"/>
                <w:sz w:val="24"/>
              </w:rPr>
              <w:t>冷却水循环使用不外排，定期补充损耗，</w:t>
            </w:r>
            <w:r>
              <w:rPr>
                <w:rFonts w:hint="eastAsia"/>
                <w:color w:val="000000"/>
                <w:sz w:val="24"/>
              </w:rPr>
              <w:t>员工生活</w:t>
            </w:r>
            <w:r>
              <w:rPr>
                <w:rFonts w:hint="eastAsia"/>
                <w:color w:val="000000"/>
                <w:sz w:val="24"/>
                <w:lang w:val="en-US" w:eastAsia="zh-CN"/>
              </w:rPr>
              <w:t>污</w:t>
            </w:r>
            <w:r>
              <w:rPr>
                <w:rFonts w:hint="eastAsia"/>
                <w:color w:val="000000"/>
                <w:sz w:val="24"/>
              </w:rPr>
              <w:t>水通过厂区配套设置的化粪池进行预处理后，再经市政污水管网排</w:t>
            </w:r>
            <w:r>
              <w:rPr>
                <w:rFonts w:hint="eastAsia"/>
                <w:color w:val="000000"/>
                <w:sz w:val="24"/>
                <w:lang w:val="en-US" w:eastAsia="zh-CN"/>
              </w:rPr>
              <w:t>城东</w:t>
            </w:r>
            <w:r>
              <w:rPr>
                <w:rFonts w:hint="eastAsia"/>
                <w:color w:val="000000"/>
                <w:sz w:val="24"/>
              </w:rPr>
              <w:t>污水处理厂进行达标处理。</w:t>
            </w:r>
          </w:p>
          <w:p>
            <w:pPr>
              <w:tabs>
                <w:tab w:val="left" w:pos="612"/>
              </w:tabs>
              <w:adjustRightInd w:val="0"/>
              <w:spacing w:line="360" w:lineRule="auto"/>
              <w:ind w:firstLine="482" w:firstLineChars="200"/>
              <w:jc w:val="left"/>
              <w:rPr>
                <w:b/>
                <w:bCs/>
                <w:color w:val="0D0D0D"/>
                <w:sz w:val="24"/>
              </w:rPr>
            </w:pPr>
            <w:r>
              <w:rPr>
                <w:b/>
                <w:bCs/>
                <w:color w:val="0D0D0D"/>
                <w:sz w:val="24"/>
              </w:rPr>
              <w:t>4</w:t>
            </w:r>
            <w:r>
              <w:rPr>
                <w:rFonts w:hint="eastAsia"/>
                <w:b/>
                <w:bCs/>
                <w:color w:val="0D0D0D"/>
                <w:sz w:val="24"/>
              </w:rPr>
              <w:t>、废水接管可行性分析</w:t>
            </w:r>
          </w:p>
          <w:p>
            <w:pPr>
              <w:spacing w:line="360" w:lineRule="auto"/>
              <w:ind w:firstLine="480" w:firstLineChars="200"/>
              <w:rPr>
                <w:rFonts w:hint="eastAsia"/>
                <w:color w:val="000000"/>
                <w:sz w:val="24"/>
              </w:rPr>
            </w:pPr>
            <w:r>
              <w:rPr>
                <w:rFonts w:hint="eastAsia"/>
                <w:color w:val="000000"/>
                <w:sz w:val="24"/>
              </w:rPr>
              <w:t>①接管处理能力分析</w:t>
            </w:r>
          </w:p>
          <w:p>
            <w:pPr>
              <w:spacing w:line="360" w:lineRule="auto"/>
              <w:ind w:firstLine="480" w:firstLineChars="200"/>
              <w:rPr>
                <w:rFonts w:hint="eastAsia"/>
                <w:color w:val="000000"/>
                <w:sz w:val="24"/>
              </w:rPr>
            </w:pPr>
            <w:r>
              <w:rPr>
                <w:rFonts w:hint="eastAsia"/>
                <w:color w:val="000000"/>
                <w:sz w:val="24"/>
              </w:rPr>
              <w:t>芜湖市城东污水处理厂简介：城东污水处理厂建设地点位于芜湖市城东片区东北角，靠近青山河。目前投入运行的一期工程设计污水处理能力为 6 万 t/d，远期规划处理规模 35 万 t/d。污水处理厂污水处理工艺采用 A/A/O 工艺＋中心进水周边出水辐流式沉淀池处理工艺，出水水质执行《城镇污水处理厂污染物排放标准》（GB18918-2002）一级 A 标准，尾水排入青弋江。</w:t>
            </w:r>
          </w:p>
          <w:p>
            <w:pPr>
              <w:spacing w:line="360" w:lineRule="auto"/>
              <w:ind w:firstLine="480" w:firstLineChars="200"/>
              <w:rPr>
                <w:rFonts w:hint="eastAsia"/>
                <w:color w:val="000000"/>
                <w:sz w:val="24"/>
              </w:rPr>
            </w:pPr>
            <w:r>
              <w:rPr>
                <w:rFonts w:hint="eastAsia"/>
                <w:color w:val="000000"/>
                <w:sz w:val="24"/>
              </w:rPr>
              <w:t>芜湖市城东污水厂服务范围为扁担河以东的芜湖市城东片区。本项目建设地点位于芜湖鸠江经济开发区东区、扁担河以东，属于城东污水处理厂的服务范围内，因此本项目产生的废水可接入该污水处理厂集中处理。目前芜湖市城东污水处理厂设计污水处理能力为 6 万 t/d。本项目建成后污水排放总量</w:t>
            </w:r>
            <w:r>
              <w:rPr>
                <w:rFonts w:hint="eastAsia"/>
                <w:color w:val="auto"/>
                <w:sz w:val="24"/>
              </w:rPr>
              <w:t xml:space="preserve"> </w:t>
            </w:r>
            <w:r>
              <w:rPr>
                <w:rFonts w:hint="eastAsia"/>
                <w:color w:val="auto"/>
                <w:sz w:val="24"/>
                <w:lang w:val="en-US" w:eastAsia="zh-CN"/>
              </w:rPr>
              <w:t>180</w:t>
            </w:r>
            <w:r>
              <w:rPr>
                <w:rFonts w:hint="eastAsia"/>
                <w:color w:val="auto"/>
                <w:sz w:val="24"/>
              </w:rPr>
              <w:t xml:space="preserve"> t/a，约 </w:t>
            </w:r>
            <w:r>
              <w:rPr>
                <w:rFonts w:hint="eastAsia"/>
                <w:color w:val="auto"/>
                <w:sz w:val="24"/>
                <w:lang w:val="en-US" w:eastAsia="zh-CN"/>
              </w:rPr>
              <w:t>0.6</w:t>
            </w:r>
            <w:r>
              <w:rPr>
                <w:rFonts w:hint="eastAsia"/>
                <w:color w:val="auto"/>
                <w:sz w:val="24"/>
              </w:rPr>
              <w:t xml:space="preserve"> t/d，</w:t>
            </w:r>
            <w:r>
              <w:rPr>
                <w:rFonts w:hint="eastAsia"/>
                <w:color w:val="000000"/>
                <w:sz w:val="24"/>
              </w:rPr>
              <w:t>排水量占该污水处理厂的总负荷比重较小。本项目所在位置的污水管网已经铺设完成，并与污水处理厂连通，本项目污水接管口应根据安徽省环保厅《安徽省排污口设置及规范化整治管理办法》中的规定设计。</w:t>
            </w:r>
          </w:p>
          <w:p>
            <w:pPr>
              <w:spacing w:line="360" w:lineRule="auto"/>
              <w:ind w:firstLine="480" w:firstLineChars="200"/>
              <w:rPr>
                <w:rFonts w:hint="eastAsia"/>
                <w:color w:val="000000"/>
                <w:sz w:val="24"/>
              </w:rPr>
            </w:pPr>
            <w:r>
              <w:rPr>
                <w:rFonts w:hint="eastAsia"/>
                <w:color w:val="000000"/>
                <w:sz w:val="24"/>
              </w:rPr>
              <w:t>②接管水质可行性分析</w:t>
            </w:r>
          </w:p>
          <w:p>
            <w:pPr>
              <w:spacing w:line="360" w:lineRule="auto"/>
              <w:ind w:firstLine="480" w:firstLineChars="200"/>
              <w:rPr>
                <w:rFonts w:hint="eastAsia"/>
                <w:color w:val="000000"/>
                <w:sz w:val="24"/>
              </w:rPr>
            </w:pPr>
            <w:r>
              <w:rPr>
                <w:rFonts w:hint="eastAsia"/>
                <w:color w:val="000000"/>
                <w:sz w:val="24"/>
              </w:rPr>
              <w:t>芜湖市城东污水处理厂接管标准执行《污水综合排放标准》（GB8978-1996）中三级标准。本项目所排废水可满足污水处理厂接管标准要求。</w:t>
            </w:r>
          </w:p>
          <w:p>
            <w:pPr>
              <w:spacing w:line="360" w:lineRule="auto"/>
              <w:ind w:firstLine="480" w:firstLineChars="200"/>
              <w:rPr>
                <w:color w:val="000000"/>
                <w:sz w:val="24"/>
              </w:rPr>
            </w:pPr>
            <w:r>
              <w:rPr>
                <w:rFonts w:hint="eastAsia"/>
                <w:color w:val="000000"/>
                <w:sz w:val="24"/>
              </w:rPr>
              <w:t>根据上述分析，本项目产生的生活污水接管芜湖市城东污水处理厂集中处理是可行的。本项目运营期废水接入污水处理厂处理处理后，最终排入地表水体的总量为</w:t>
            </w:r>
            <w:r>
              <w:rPr>
                <w:rFonts w:hint="eastAsia"/>
                <w:color w:val="auto"/>
                <w:sz w:val="24"/>
              </w:rPr>
              <w:t xml:space="preserve"> COD：0.0</w:t>
            </w:r>
            <w:r>
              <w:rPr>
                <w:rFonts w:hint="eastAsia"/>
                <w:color w:val="auto"/>
                <w:sz w:val="24"/>
                <w:lang w:val="en-US" w:eastAsia="zh-CN"/>
              </w:rPr>
              <w:t>09</w:t>
            </w:r>
            <w:r>
              <w:rPr>
                <w:rFonts w:hint="eastAsia"/>
                <w:color w:val="auto"/>
                <w:sz w:val="24"/>
              </w:rPr>
              <w:t xml:space="preserve"> t/a、NH</w:t>
            </w:r>
            <w:r>
              <w:rPr>
                <w:rFonts w:hint="eastAsia"/>
                <w:color w:val="auto"/>
                <w:sz w:val="24"/>
                <w:vertAlign w:val="subscript"/>
              </w:rPr>
              <w:t>3</w:t>
            </w:r>
            <w:r>
              <w:rPr>
                <w:rFonts w:hint="eastAsia"/>
                <w:color w:val="auto"/>
                <w:sz w:val="24"/>
              </w:rPr>
              <w:t>-N：0.00</w:t>
            </w:r>
            <w:r>
              <w:rPr>
                <w:rFonts w:hint="eastAsia"/>
                <w:color w:val="auto"/>
                <w:sz w:val="24"/>
                <w:lang w:val="en-US" w:eastAsia="zh-CN"/>
              </w:rPr>
              <w:t>09</w:t>
            </w:r>
            <w:r>
              <w:rPr>
                <w:rFonts w:hint="eastAsia"/>
                <w:color w:val="auto"/>
                <w:sz w:val="24"/>
              </w:rPr>
              <w:t xml:space="preserve"> t/a，</w:t>
            </w:r>
            <w:r>
              <w:rPr>
                <w:rFonts w:hint="eastAsia"/>
                <w:color w:val="000000"/>
                <w:sz w:val="24"/>
              </w:rPr>
              <w:t>对地表水环境影响较小。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tcPr>
          <w:p>
            <w:pPr>
              <w:tabs>
                <w:tab w:val="left" w:pos="1077"/>
              </w:tabs>
              <w:rPr>
                <w:rFonts w:cs="宋体"/>
                <w:color w:val="000000"/>
                <w:sz w:val="24"/>
              </w:rPr>
            </w:pPr>
          </w:p>
        </w:tc>
        <w:tc>
          <w:tcPr>
            <w:tcW w:w="8605" w:type="dxa"/>
            <w:shd w:val="clear" w:color="auto" w:fill="auto"/>
          </w:tcPr>
          <w:p>
            <w:pPr>
              <w:keepNext/>
              <w:keepLines/>
              <w:spacing w:before="120" w:beforeLines="50" w:line="360" w:lineRule="auto"/>
              <w:ind w:firstLine="354" w:firstLineChars="147"/>
              <w:outlineLvl w:val="2"/>
              <w:rPr>
                <w:b/>
                <w:bCs/>
                <w:color w:val="000000"/>
                <w:sz w:val="24"/>
                <w:szCs w:val="32"/>
              </w:rPr>
            </w:pPr>
            <w:r>
              <w:rPr>
                <w:rFonts w:hint="eastAsia"/>
                <w:b/>
                <w:bCs/>
                <w:color w:val="000000"/>
                <w:sz w:val="24"/>
                <w:szCs w:val="32"/>
              </w:rPr>
              <w:t>三、噪声环境影响和保护措施</w:t>
            </w:r>
          </w:p>
          <w:p>
            <w:pPr>
              <w:keepNext/>
              <w:keepLines/>
              <w:spacing w:line="360" w:lineRule="auto"/>
              <w:ind w:firstLine="472" w:firstLineChars="196"/>
              <w:outlineLvl w:val="2"/>
              <w:rPr>
                <w:b/>
                <w:bCs/>
                <w:color w:val="0D0D0D" w:themeColor="text1" w:themeTint="F2"/>
                <w:sz w:val="24"/>
                <w:szCs w:val="32"/>
                <w14:textFill>
                  <w14:solidFill>
                    <w14:schemeClr w14:val="tx1">
                      <w14:lumMod w14:val="95000"/>
                      <w14:lumOff w14:val="5000"/>
                    </w14:schemeClr>
                  </w14:solidFill>
                </w14:textFill>
              </w:rPr>
            </w:pPr>
            <w:r>
              <w:rPr>
                <w:rFonts w:hint="eastAsia"/>
                <w:b/>
                <w:bCs/>
                <w:color w:val="0D0D0D" w:themeColor="text1" w:themeTint="F2"/>
                <w:sz w:val="24"/>
                <w:szCs w:val="32"/>
                <w14:textFill>
                  <w14:solidFill>
                    <w14:schemeClr w14:val="tx1">
                      <w14:lumMod w14:val="95000"/>
                      <w14:lumOff w14:val="5000"/>
                    </w14:schemeClr>
                  </w14:solidFill>
                </w14:textFill>
              </w:rPr>
              <w:t>1、噪声源强</w:t>
            </w:r>
          </w:p>
          <w:p>
            <w:pPr>
              <w:pStyle w:val="219"/>
              <w:spacing w:line="360" w:lineRule="auto"/>
              <w:ind w:firstLineChars="0"/>
              <w:rPr>
                <w:rFonts w:hAnsi="宋体"/>
                <w:b/>
                <w:sz w:val="24"/>
              </w:rPr>
            </w:pPr>
            <w:r>
              <w:rPr>
                <w:rFonts w:hint="eastAsia"/>
                <w:color w:val="0D0D0D" w:themeColor="text1" w:themeTint="F2"/>
                <w:sz w:val="24"/>
                <w14:textFill>
                  <w14:solidFill>
                    <w14:schemeClr w14:val="tx1">
                      <w14:lumMod w14:val="95000"/>
                      <w14:lumOff w14:val="5000"/>
                    </w14:schemeClr>
                  </w14:solidFill>
                </w14:textFill>
              </w:rPr>
              <w:t>本项目噪声源为</w:t>
            </w:r>
            <w:r>
              <w:rPr>
                <w:rFonts w:hint="eastAsia"/>
                <w:color w:val="0D0D0D" w:themeColor="text1" w:themeTint="F2"/>
                <w:sz w:val="24"/>
                <w:lang w:val="en-US" w:eastAsia="zh-CN"/>
                <w14:textFill>
                  <w14:solidFill>
                    <w14:schemeClr w14:val="tx1">
                      <w14:lumMod w14:val="95000"/>
                      <w14:lumOff w14:val="5000"/>
                    </w14:schemeClr>
                  </w14:solidFill>
                </w14:textFill>
              </w:rPr>
              <w:t>注塑</w:t>
            </w:r>
            <w:r>
              <w:rPr>
                <w:rFonts w:hint="eastAsia"/>
                <w:color w:val="0D0D0D" w:themeColor="text1" w:themeTint="F2"/>
                <w:sz w:val="24"/>
                <w14:textFill>
                  <w14:solidFill>
                    <w14:schemeClr w14:val="tx1">
                      <w14:lumMod w14:val="95000"/>
                      <w14:lumOff w14:val="5000"/>
                    </w14:schemeClr>
                  </w14:solidFill>
                </w14:textFill>
              </w:rPr>
              <w:t>机、</w:t>
            </w:r>
            <w:r>
              <w:rPr>
                <w:rFonts w:hint="eastAsia"/>
                <w:color w:val="0D0D0D" w:themeColor="text1" w:themeTint="F2"/>
                <w:sz w:val="24"/>
                <w:lang w:val="en-US" w:eastAsia="zh-CN"/>
                <w14:textFill>
                  <w14:solidFill>
                    <w14:schemeClr w14:val="tx1">
                      <w14:lumMod w14:val="95000"/>
                      <w14:lumOff w14:val="5000"/>
                    </w14:schemeClr>
                  </w14:solidFill>
                </w14:textFill>
              </w:rPr>
              <w:t>粉碎</w:t>
            </w:r>
            <w:r>
              <w:rPr>
                <w:rFonts w:hint="eastAsia"/>
                <w:color w:val="0D0D0D" w:themeColor="text1" w:themeTint="F2"/>
                <w:sz w:val="24"/>
                <w14:textFill>
                  <w14:solidFill>
                    <w14:schemeClr w14:val="tx1">
                      <w14:lumMod w14:val="95000"/>
                      <w14:lumOff w14:val="5000"/>
                    </w14:schemeClr>
                  </w14:solidFill>
                </w14:textFill>
              </w:rPr>
              <w:t>机、</w:t>
            </w:r>
            <w:r>
              <w:rPr>
                <w:rFonts w:hint="eastAsia"/>
                <w:color w:val="0D0D0D" w:themeColor="text1" w:themeTint="F2"/>
                <w:sz w:val="24"/>
                <w:lang w:val="en-US" w:eastAsia="zh-CN"/>
                <w14:textFill>
                  <w14:solidFill>
                    <w14:schemeClr w14:val="tx1">
                      <w14:lumMod w14:val="95000"/>
                      <w14:lumOff w14:val="5000"/>
                    </w14:schemeClr>
                  </w14:solidFill>
                </w14:textFill>
              </w:rPr>
              <w:t>模温</w:t>
            </w:r>
            <w:r>
              <w:rPr>
                <w:rFonts w:hint="eastAsia"/>
                <w:color w:val="0D0D0D" w:themeColor="text1" w:themeTint="F2"/>
                <w:sz w:val="24"/>
                <w14:textFill>
                  <w14:solidFill>
                    <w14:schemeClr w14:val="tx1">
                      <w14:lumMod w14:val="95000"/>
                      <w14:lumOff w14:val="5000"/>
                    </w14:schemeClr>
                  </w14:solidFill>
                </w14:textFill>
              </w:rPr>
              <w:t>机、</w:t>
            </w:r>
            <w:r>
              <w:rPr>
                <w:rFonts w:hint="eastAsia"/>
                <w:color w:val="0D0D0D" w:themeColor="text1" w:themeTint="F2"/>
                <w:sz w:val="24"/>
                <w:lang w:val="en-US" w:eastAsia="zh-CN"/>
                <w14:textFill>
                  <w14:solidFill>
                    <w14:schemeClr w14:val="tx1">
                      <w14:lumMod w14:val="95000"/>
                      <w14:lumOff w14:val="5000"/>
                    </w14:schemeClr>
                  </w14:solidFill>
                </w14:textFill>
              </w:rPr>
              <w:t>三机一体</w:t>
            </w:r>
            <w:r>
              <w:rPr>
                <w:rFonts w:hint="eastAsia"/>
                <w:color w:val="0D0D0D" w:themeColor="text1" w:themeTint="F2"/>
                <w:sz w:val="24"/>
                <w14:textFill>
                  <w14:solidFill>
                    <w14:schemeClr w14:val="tx1">
                      <w14:lumMod w14:val="95000"/>
                      <w14:lumOff w14:val="5000"/>
                    </w14:schemeClr>
                  </w14:solidFill>
                </w14:textFill>
              </w:rPr>
              <w:t>机、</w:t>
            </w:r>
            <w:r>
              <w:rPr>
                <w:rFonts w:hint="eastAsia"/>
                <w:color w:val="0D0D0D" w:themeColor="text1" w:themeTint="F2"/>
                <w:sz w:val="24"/>
                <w:lang w:val="en-US" w:eastAsia="zh-CN"/>
                <w14:textFill>
                  <w14:solidFill>
                    <w14:schemeClr w14:val="tx1">
                      <w14:lumMod w14:val="95000"/>
                      <w14:lumOff w14:val="5000"/>
                    </w14:schemeClr>
                  </w14:solidFill>
                </w14:textFill>
              </w:rPr>
              <w:t>机械手</w:t>
            </w:r>
            <w:r>
              <w:rPr>
                <w:rFonts w:hint="eastAsia"/>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lang w:val="en-US" w:eastAsia="zh-CN"/>
                <w14:textFill>
                  <w14:solidFill>
                    <w14:schemeClr w14:val="tx1">
                      <w14:lumMod w14:val="95000"/>
                      <w14:lumOff w14:val="5000"/>
                    </w14:schemeClr>
                  </w14:solidFill>
                </w14:textFill>
              </w:rPr>
              <w:t>冷却塔</w:t>
            </w:r>
            <w:r>
              <w:rPr>
                <w:color w:val="0D0D0D" w:themeColor="text1" w:themeTint="F2"/>
                <w:sz w:val="24"/>
                <w14:textFill>
                  <w14:solidFill>
                    <w14:schemeClr w14:val="tx1">
                      <w14:lumMod w14:val="95000"/>
                      <w14:lumOff w14:val="5000"/>
                    </w14:schemeClr>
                  </w14:solidFill>
                </w14:textFill>
              </w:rPr>
              <w:t>等设备运行时将产生噪声</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本项目的</w:t>
            </w:r>
            <w:r>
              <w:rPr>
                <w:rFonts w:hint="eastAsia"/>
                <w:color w:val="0D0D0D" w:themeColor="text1" w:themeTint="F2"/>
                <w:sz w:val="24"/>
                <w14:textFill>
                  <w14:solidFill>
                    <w14:schemeClr w14:val="tx1">
                      <w14:lumMod w14:val="95000"/>
                      <w14:lumOff w14:val="5000"/>
                    </w14:schemeClr>
                  </w14:solidFill>
                </w14:textFill>
              </w:rPr>
              <w:t>主</w:t>
            </w:r>
            <w:r>
              <w:rPr>
                <w:color w:val="0D0D0D" w:themeColor="text1" w:themeTint="F2"/>
                <w:sz w:val="24"/>
                <w14:textFill>
                  <w14:solidFill>
                    <w14:schemeClr w14:val="tx1">
                      <w14:lumMod w14:val="95000"/>
                      <w14:lumOff w14:val="5000"/>
                    </w14:schemeClr>
                  </w14:solidFill>
                </w14:textFill>
              </w:rPr>
              <w:t>要设备噪声情况见表</w:t>
            </w:r>
            <w:r>
              <w:rPr>
                <w:rFonts w:hint="eastAsia"/>
                <w:color w:val="0D0D0D" w:themeColor="text1" w:themeTint="F2"/>
                <w:sz w:val="24"/>
                <w14:textFill>
                  <w14:solidFill>
                    <w14:schemeClr w14:val="tx1">
                      <w14:lumMod w14:val="95000"/>
                      <w14:lumOff w14:val="5000"/>
                    </w14:schemeClr>
                  </w14:solidFill>
                </w14:textFill>
              </w:rPr>
              <w:t>4-</w:t>
            </w:r>
            <w:r>
              <w:rPr>
                <w:rFonts w:hint="eastAsia"/>
                <w:color w:val="0D0D0D" w:themeColor="text1" w:themeTint="F2"/>
                <w:sz w:val="24"/>
                <w:lang w:val="en-US" w:eastAsia="zh-CN"/>
                <w14:textFill>
                  <w14:solidFill>
                    <w14:schemeClr w14:val="tx1">
                      <w14:lumMod w14:val="95000"/>
                      <w14:lumOff w14:val="5000"/>
                    </w14:schemeClr>
                  </w14:solidFill>
                </w14:textFill>
              </w:rPr>
              <w:t>5</w:t>
            </w:r>
            <w:r>
              <w:rPr>
                <w:color w:val="0D0D0D" w:themeColor="text1" w:themeTint="F2"/>
                <w:sz w:val="24"/>
                <w14:textFill>
                  <w14:solidFill>
                    <w14:schemeClr w14:val="tx1">
                      <w14:lumMod w14:val="95000"/>
                      <w14:lumOff w14:val="5000"/>
                    </w14:schemeClr>
                  </w14:solidFill>
                </w14:textFill>
              </w:rPr>
              <w:t>。</w:t>
            </w:r>
          </w:p>
          <w:p>
            <w:pPr>
              <w:spacing w:before="120" w:beforeLines="50"/>
              <w:jc w:val="center"/>
              <w:rPr>
                <w:b/>
                <w:color w:val="auto"/>
                <w:kern w:val="0"/>
                <w:sz w:val="24"/>
              </w:rPr>
            </w:pPr>
            <w:r>
              <w:rPr>
                <w:rFonts w:hAnsi="宋体"/>
                <w:b/>
                <w:color w:val="auto"/>
                <w:sz w:val="24"/>
              </w:rPr>
              <w:t>表</w:t>
            </w:r>
            <w:r>
              <w:rPr>
                <w:rFonts w:hint="eastAsia" w:hAnsi="宋体"/>
                <w:b/>
                <w:color w:val="auto"/>
                <w:sz w:val="24"/>
              </w:rPr>
              <w:t>4-</w:t>
            </w:r>
            <w:r>
              <w:rPr>
                <w:rFonts w:hint="eastAsia" w:hAnsi="宋体"/>
                <w:b/>
                <w:color w:val="auto"/>
                <w:sz w:val="24"/>
                <w:lang w:val="en-US" w:eastAsia="zh-CN"/>
              </w:rPr>
              <w:t xml:space="preserve">5  </w:t>
            </w:r>
            <w:r>
              <w:rPr>
                <w:rFonts w:hint="eastAsia" w:hAnsi="宋体"/>
                <w:b/>
                <w:color w:val="auto"/>
                <w:sz w:val="24"/>
              </w:rPr>
              <w:t>噪声源强排放情况</w:t>
            </w:r>
          </w:p>
          <w:tbl>
            <w:tblPr>
              <w:tblStyle w:val="58"/>
              <w:tblW w:w="8318"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1044"/>
              <w:gridCol w:w="650"/>
              <w:gridCol w:w="840"/>
              <w:gridCol w:w="810"/>
              <w:gridCol w:w="1020"/>
              <w:gridCol w:w="1590"/>
              <w:gridCol w:w="12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1" w:hRule="exact"/>
              </w:trPr>
              <w:tc>
                <w:tcPr>
                  <w:tcW w:w="672" w:type="pct"/>
                  <w:vMerge w:val="restart"/>
                  <w:noWrap w:val="0"/>
                  <w:vAlign w:val="center"/>
                </w:tcPr>
                <w:p>
                  <w:pPr>
                    <w:spacing w:line="300" w:lineRule="exact"/>
                    <w:jc w:val="center"/>
                    <w:rPr>
                      <w:b/>
                      <w:color w:val="0C0C0C"/>
                      <w:szCs w:val="21"/>
                    </w:rPr>
                  </w:pPr>
                  <w:r>
                    <w:rPr>
                      <w:b/>
                      <w:color w:val="0C0C0C"/>
                      <w:szCs w:val="21"/>
                    </w:rPr>
                    <w:t>设备名称</w:t>
                  </w:r>
                </w:p>
              </w:tc>
              <w:tc>
                <w:tcPr>
                  <w:tcW w:w="627" w:type="pct"/>
                  <w:vMerge w:val="restart"/>
                  <w:noWrap w:val="0"/>
                  <w:vAlign w:val="center"/>
                </w:tcPr>
                <w:p>
                  <w:pPr>
                    <w:spacing w:line="300" w:lineRule="exact"/>
                    <w:jc w:val="center"/>
                    <w:rPr>
                      <w:rFonts w:hint="default" w:eastAsia="宋体"/>
                      <w:b/>
                      <w:color w:val="0C0C0C"/>
                      <w:szCs w:val="21"/>
                      <w:lang w:val="en-US" w:eastAsia="zh-CN"/>
                    </w:rPr>
                  </w:pPr>
                  <w:r>
                    <w:rPr>
                      <w:rFonts w:hint="eastAsia"/>
                      <w:b/>
                      <w:color w:val="0C0C0C"/>
                      <w:szCs w:val="21"/>
                      <w:lang w:val="en-US" w:eastAsia="zh-CN"/>
                    </w:rPr>
                    <w:t>设备数量</w:t>
                  </w:r>
                </w:p>
              </w:tc>
              <w:tc>
                <w:tcPr>
                  <w:tcW w:w="1995" w:type="pct"/>
                  <w:gridSpan w:val="4"/>
                  <w:noWrap w:val="0"/>
                  <w:vAlign w:val="center"/>
                </w:tcPr>
                <w:p>
                  <w:pPr>
                    <w:spacing w:line="300" w:lineRule="exact"/>
                    <w:jc w:val="center"/>
                    <w:rPr>
                      <w:b/>
                      <w:color w:val="0C0C0C"/>
                      <w:szCs w:val="21"/>
                    </w:rPr>
                  </w:pPr>
                  <w:r>
                    <w:rPr>
                      <w:b/>
                      <w:color w:val="0C0C0C"/>
                      <w:szCs w:val="21"/>
                    </w:rPr>
                    <w:t>距各向厂界距离m</w:t>
                  </w:r>
                </w:p>
              </w:tc>
              <w:tc>
                <w:tcPr>
                  <w:tcW w:w="955" w:type="pct"/>
                  <w:vMerge w:val="restart"/>
                  <w:noWrap w:val="0"/>
                  <w:vAlign w:val="center"/>
                </w:tcPr>
                <w:p>
                  <w:pPr>
                    <w:spacing w:line="300" w:lineRule="exact"/>
                    <w:jc w:val="center"/>
                    <w:rPr>
                      <w:b/>
                      <w:color w:val="0C0C0C"/>
                      <w:szCs w:val="21"/>
                    </w:rPr>
                  </w:pPr>
                  <w:r>
                    <w:rPr>
                      <w:rFonts w:hint="eastAsia"/>
                      <w:b/>
                      <w:color w:val="0C0C0C"/>
                      <w:szCs w:val="21"/>
                    </w:rPr>
                    <w:t>A声功率</w:t>
                  </w:r>
                  <w:r>
                    <w:rPr>
                      <w:b/>
                      <w:color w:val="0C0C0C"/>
                      <w:szCs w:val="21"/>
                    </w:rPr>
                    <w:t>级</w:t>
                  </w:r>
                </w:p>
                <w:p>
                  <w:pPr>
                    <w:spacing w:line="300" w:lineRule="exact"/>
                    <w:jc w:val="center"/>
                    <w:rPr>
                      <w:rFonts w:eastAsia="黑体"/>
                      <w:color w:val="0C0C0C"/>
                      <w:szCs w:val="21"/>
                    </w:rPr>
                  </w:pPr>
                  <w:r>
                    <w:rPr>
                      <w:b/>
                      <w:color w:val="0C0C0C"/>
                      <w:szCs w:val="21"/>
                    </w:rPr>
                    <w:t>dB(A)</w:t>
                  </w:r>
                </w:p>
              </w:tc>
              <w:tc>
                <w:tcPr>
                  <w:tcW w:w="748" w:type="pct"/>
                  <w:vMerge w:val="restart"/>
                  <w:noWrap w:val="0"/>
                  <w:vAlign w:val="center"/>
                </w:tcPr>
                <w:p>
                  <w:pPr>
                    <w:spacing w:line="300" w:lineRule="exact"/>
                    <w:jc w:val="center"/>
                    <w:rPr>
                      <w:b/>
                      <w:color w:val="0C0C0C"/>
                      <w:szCs w:val="21"/>
                    </w:rPr>
                  </w:pPr>
                  <w:r>
                    <w:rPr>
                      <w:rFonts w:hint="eastAsia"/>
                      <w:b/>
                      <w:szCs w:val="21"/>
                    </w:rPr>
                    <w:t>减振、隔声（dB（A））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5" w:hRule="exact"/>
              </w:trPr>
              <w:tc>
                <w:tcPr>
                  <w:tcW w:w="672" w:type="pct"/>
                  <w:vMerge w:val="continue"/>
                  <w:noWrap w:val="0"/>
                  <w:vAlign w:val="center"/>
                </w:tcPr>
                <w:p>
                  <w:pPr>
                    <w:spacing w:line="300" w:lineRule="exact"/>
                    <w:jc w:val="center"/>
                    <w:rPr>
                      <w:b/>
                      <w:color w:val="0C0C0C"/>
                      <w:szCs w:val="21"/>
                    </w:rPr>
                  </w:pPr>
                </w:p>
              </w:tc>
              <w:tc>
                <w:tcPr>
                  <w:tcW w:w="627" w:type="pct"/>
                  <w:vMerge w:val="continue"/>
                  <w:noWrap w:val="0"/>
                  <w:vAlign w:val="center"/>
                </w:tcPr>
                <w:p>
                  <w:pPr>
                    <w:spacing w:line="300" w:lineRule="exact"/>
                    <w:jc w:val="center"/>
                    <w:rPr>
                      <w:b/>
                      <w:color w:val="0C0C0C"/>
                      <w:szCs w:val="21"/>
                    </w:rPr>
                  </w:pPr>
                </w:p>
              </w:tc>
              <w:tc>
                <w:tcPr>
                  <w:tcW w:w="390" w:type="pct"/>
                  <w:noWrap w:val="0"/>
                  <w:vAlign w:val="center"/>
                </w:tcPr>
                <w:p>
                  <w:pPr>
                    <w:spacing w:line="300" w:lineRule="exact"/>
                    <w:jc w:val="center"/>
                    <w:rPr>
                      <w:b/>
                      <w:color w:val="0C0C0C"/>
                      <w:szCs w:val="21"/>
                    </w:rPr>
                  </w:pPr>
                  <w:r>
                    <w:rPr>
                      <w:b/>
                      <w:color w:val="0C0C0C"/>
                      <w:szCs w:val="21"/>
                    </w:rPr>
                    <w:t>东</w:t>
                  </w:r>
                </w:p>
              </w:tc>
              <w:tc>
                <w:tcPr>
                  <w:tcW w:w="504" w:type="pct"/>
                  <w:noWrap w:val="0"/>
                  <w:vAlign w:val="center"/>
                </w:tcPr>
                <w:p>
                  <w:pPr>
                    <w:spacing w:line="300" w:lineRule="exact"/>
                    <w:jc w:val="center"/>
                    <w:rPr>
                      <w:b/>
                      <w:color w:val="0C0C0C"/>
                      <w:szCs w:val="21"/>
                    </w:rPr>
                  </w:pPr>
                  <w:r>
                    <w:rPr>
                      <w:b/>
                      <w:color w:val="0C0C0C"/>
                      <w:szCs w:val="21"/>
                    </w:rPr>
                    <w:t>南</w:t>
                  </w:r>
                </w:p>
              </w:tc>
              <w:tc>
                <w:tcPr>
                  <w:tcW w:w="486" w:type="pct"/>
                  <w:noWrap w:val="0"/>
                  <w:vAlign w:val="center"/>
                </w:tcPr>
                <w:p>
                  <w:pPr>
                    <w:spacing w:line="300" w:lineRule="exact"/>
                    <w:jc w:val="center"/>
                    <w:rPr>
                      <w:b/>
                      <w:color w:val="0C0C0C"/>
                      <w:szCs w:val="21"/>
                    </w:rPr>
                  </w:pPr>
                  <w:r>
                    <w:rPr>
                      <w:b/>
                      <w:color w:val="0C0C0C"/>
                      <w:szCs w:val="21"/>
                    </w:rPr>
                    <w:t>西</w:t>
                  </w:r>
                </w:p>
              </w:tc>
              <w:tc>
                <w:tcPr>
                  <w:tcW w:w="613" w:type="pct"/>
                  <w:noWrap w:val="0"/>
                  <w:vAlign w:val="center"/>
                </w:tcPr>
                <w:p>
                  <w:pPr>
                    <w:spacing w:line="300" w:lineRule="exact"/>
                    <w:jc w:val="center"/>
                    <w:rPr>
                      <w:b/>
                      <w:color w:val="0C0C0C"/>
                      <w:szCs w:val="21"/>
                    </w:rPr>
                  </w:pPr>
                  <w:r>
                    <w:rPr>
                      <w:b/>
                      <w:color w:val="0C0C0C"/>
                      <w:szCs w:val="21"/>
                    </w:rPr>
                    <w:t>北</w:t>
                  </w:r>
                </w:p>
              </w:tc>
              <w:tc>
                <w:tcPr>
                  <w:tcW w:w="955" w:type="pct"/>
                  <w:vMerge w:val="continue"/>
                  <w:noWrap w:val="0"/>
                  <w:vAlign w:val="center"/>
                </w:tcPr>
                <w:p>
                  <w:pPr>
                    <w:spacing w:line="300" w:lineRule="exact"/>
                    <w:jc w:val="center"/>
                    <w:rPr>
                      <w:color w:val="0C0C0C"/>
                      <w:szCs w:val="21"/>
                    </w:rPr>
                  </w:pPr>
                </w:p>
              </w:tc>
              <w:tc>
                <w:tcPr>
                  <w:tcW w:w="748" w:type="pct"/>
                  <w:vMerge w:val="continue"/>
                  <w:noWrap w:val="0"/>
                  <w:vAlign w:val="center"/>
                </w:tcPr>
                <w:p>
                  <w:pPr>
                    <w:spacing w:line="300" w:lineRule="exact"/>
                    <w:jc w:val="center"/>
                    <w:rPr>
                      <w:color w:val="0C0C0C"/>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672" w:type="pct"/>
                  <w:noWrap w:val="0"/>
                  <w:vAlign w:val="center"/>
                </w:tcPr>
                <w:p>
                  <w:pPr>
                    <w:widowControl/>
                    <w:jc w:val="center"/>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rPr>
                    <w:t>注塑机</w:t>
                  </w:r>
                </w:p>
              </w:tc>
              <w:tc>
                <w:tcPr>
                  <w:tcW w:w="627" w:type="pct"/>
                  <w:noWrap w:val="0"/>
                  <w:vAlign w:val="center"/>
                </w:tcPr>
                <w:p>
                  <w:pPr>
                    <w:spacing w:line="300" w:lineRule="exact"/>
                    <w:jc w:val="center"/>
                    <w:rPr>
                      <w:rFonts w:hint="default"/>
                      <w:color w:val="0C0C0C"/>
                      <w:szCs w:val="21"/>
                      <w:lang w:val="en-US" w:eastAsia="zh-CN"/>
                    </w:rPr>
                  </w:pPr>
                  <w:r>
                    <w:rPr>
                      <w:rFonts w:hint="eastAsia"/>
                      <w:color w:val="0C0C0C"/>
                      <w:szCs w:val="21"/>
                      <w:lang w:val="en-US" w:eastAsia="zh-CN"/>
                    </w:rPr>
                    <w:t>10</w:t>
                  </w:r>
                </w:p>
              </w:tc>
              <w:tc>
                <w:tcPr>
                  <w:tcW w:w="390"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35</w:t>
                  </w:r>
                </w:p>
              </w:tc>
              <w:tc>
                <w:tcPr>
                  <w:tcW w:w="504"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10.5</w:t>
                  </w:r>
                </w:p>
              </w:tc>
              <w:tc>
                <w:tcPr>
                  <w:tcW w:w="486"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30</w:t>
                  </w:r>
                </w:p>
              </w:tc>
              <w:tc>
                <w:tcPr>
                  <w:tcW w:w="613"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12.4</w:t>
                  </w:r>
                </w:p>
              </w:tc>
              <w:tc>
                <w:tcPr>
                  <w:tcW w:w="955" w:type="pct"/>
                  <w:noWrap w:val="0"/>
                  <w:vAlign w:val="center"/>
                </w:tcPr>
                <w:p>
                  <w:pPr>
                    <w:adjustRightInd w:val="0"/>
                    <w:snapToGrid w:val="0"/>
                    <w:jc w:val="center"/>
                    <w:rPr>
                      <w:rFonts w:hint="default" w:ascii="Times New Roman" w:hAnsi="Times New Roman" w:eastAsia="宋体" w:cs="Times New Roman"/>
                      <w:bCs/>
                      <w:kern w:val="2"/>
                      <w:sz w:val="21"/>
                      <w:szCs w:val="21"/>
                      <w:lang w:val="en-US" w:eastAsia="zh-CN" w:bidi="ar-SA"/>
                    </w:rPr>
                  </w:pPr>
                  <w:r>
                    <w:rPr>
                      <w:rFonts w:hint="eastAsia"/>
                      <w:bCs/>
                      <w:color w:val="0D0D0D" w:themeColor="text1" w:themeTint="F2"/>
                      <w:szCs w:val="21"/>
                      <w14:textFill>
                        <w14:solidFill>
                          <w14:schemeClr w14:val="tx1">
                            <w14:lumMod w14:val="95000"/>
                            <w14:lumOff w14:val="5000"/>
                          </w14:schemeClr>
                        </w14:solidFill>
                      </w14:textFill>
                    </w:rPr>
                    <w:t>7</w:t>
                  </w:r>
                  <w:r>
                    <w:rPr>
                      <w:rFonts w:hint="eastAsia"/>
                      <w:bCs/>
                      <w:color w:val="0D0D0D" w:themeColor="text1" w:themeTint="F2"/>
                      <w:szCs w:val="21"/>
                      <w:lang w:val="en-US" w:eastAsia="zh-CN"/>
                      <w14:textFill>
                        <w14:solidFill>
                          <w14:schemeClr w14:val="tx1">
                            <w14:lumMod w14:val="95000"/>
                            <w14:lumOff w14:val="5000"/>
                          </w14:schemeClr>
                        </w14:solidFill>
                      </w14:textFill>
                    </w:rPr>
                    <w:t>5</w:t>
                  </w:r>
                </w:p>
              </w:tc>
              <w:tc>
                <w:tcPr>
                  <w:tcW w:w="748" w:type="pct"/>
                  <w:noWrap w:val="0"/>
                  <w:vAlign w:val="center"/>
                </w:tcPr>
                <w:p>
                  <w:pPr>
                    <w:spacing w:line="300" w:lineRule="exact"/>
                    <w:jc w:val="center"/>
                    <w:rPr>
                      <w:rFonts w:hint="default" w:eastAsia="宋体"/>
                      <w:bCs/>
                      <w:color w:val="0C0C0C"/>
                      <w:szCs w:val="21"/>
                      <w:lang w:val="en-US" w:eastAsia="zh-CN"/>
                    </w:rPr>
                  </w:pPr>
                  <w:r>
                    <w:rPr>
                      <w:rFonts w:hint="eastAsia" w:eastAsia="宋体"/>
                      <w:bCs/>
                      <w:color w:val="0C0C0C"/>
                      <w:szCs w:val="21"/>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672" w:type="pct"/>
                  <w:noWrap w:val="0"/>
                  <w:vAlign w:val="center"/>
                </w:tcPr>
                <w:p>
                  <w:pPr>
                    <w:widowControl/>
                    <w:jc w:val="center"/>
                    <w:textAlignment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粉碎机</w:t>
                  </w:r>
                </w:p>
              </w:tc>
              <w:tc>
                <w:tcPr>
                  <w:tcW w:w="627" w:type="pct"/>
                  <w:noWrap w:val="0"/>
                  <w:vAlign w:val="center"/>
                </w:tcPr>
                <w:p>
                  <w:pPr>
                    <w:spacing w:line="300" w:lineRule="exact"/>
                    <w:jc w:val="center"/>
                    <w:rPr>
                      <w:rFonts w:hint="eastAsia"/>
                      <w:color w:val="0C0C0C"/>
                      <w:szCs w:val="21"/>
                      <w:lang w:val="en-US" w:eastAsia="zh-CN"/>
                    </w:rPr>
                  </w:pPr>
                  <w:r>
                    <w:rPr>
                      <w:rFonts w:hint="eastAsia"/>
                      <w:color w:val="0C0C0C"/>
                      <w:szCs w:val="21"/>
                      <w:lang w:val="en-US" w:eastAsia="zh-CN"/>
                    </w:rPr>
                    <w:t>2</w:t>
                  </w:r>
                </w:p>
              </w:tc>
              <w:tc>
                <w:tcPr>
                  <w:tcW w:w="390"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4.5</w:t>
                  </w:r>
                </w:p>
              </w:tc>
              <w:tc>
                <w:tcPr>
                  <w:tcW w:w="504"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7</w:t>
                  </w:r>
                </w:p>
              </w:tc>
              <w:tc>
                <w:tcPr>
                  <w:tcW w:w="486"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62</w:t>
                  </w:r>
                </w:p>
              </w:tc>
              <w:tc>
                <w:tcPr>
                  <w:tcW w:w="613"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21</w:t>
                  </w:r>
                </w:p>
              </w:tc>
              <w:tc>
                <w:tcPr>
                  <w:tcW w:w="955" w:type="pct"/>
                  <w:noWrap w:val="0"/>
                  <w:vAlign w:val="center"/>
                </w:tcPr>
                <w:p>
                  <w:pPr>
                    <w:adjustRightInd w:val="0"/>
                    <w:snapToGrid w:val="0"/>
                    <w:jc w:val="center"/>
                    <w:rPr>
                      <w:rFonts w:hint="default" w:ascii="Times New Roman" w:hAnsi="Times New Roman" w:eastAsia="宋体" w:cs="Times New Roman"/>
                      <w:bCs/>
                      <w:kern w:val="2"/>
                      <w:sz w:val="21"/>
                      <w:szCs w:val="21"/>
                      <w:lang w:val="en-US" w:eastAsia="zh-CN" w:bidi="ar-SA"/>
                    </w:rPr>
                  </w:pPr>
                  <w:r>
                    <w:rPr>
                      <w:rFonts w:hint="eastAsia"/>
                      <w:bCs/>
                      <w:color w:val="0D0D0D" w:themeColor="text1" w:themeTint="F2"/>
                      <w:szCs w:val="21"/>
                      <w14:textFill>
                        <w14:solidFill>
                          <w14:schemeClr w14:val="tx1">
                            <w14:lumMod w14:val="95000"/>
                            <w14:lumOff w14:val="5000"/>
                          </w14:schemeClr>
                        </w14:solidFill>
                      </w14:textFill>
                    </w:rPr>
                    <w:t>7</w:t>
                  </w:r>
                  <w:r>
                    <w:rPr>
                      <w:rFonts w:hint="eastAsia"/>
                      <w:bCs/>
                      <w:color w:val="0D0D0D" w:themeColor="text1" w:themeTint="F2"/>
                      <w:szCs w:val="21"/>
                      <w:lang w:val="en-US" w:eastAsia="zh-CN"/>
                      <w14:textFill>
                        <w14:solidFill>
                          <w14:schemeClr w14:val="tx1">
                            <w14:lumMod w14:val="95000"/>
                            <w14:lumOff w14:val="5000"/>
                          </w14:schemeClr>
                        </w14:solidFill>
                      </w14:textFill>
                    </w:rPr>
                    <w:t>5</w:t>
                  </w:r>
                </w:p>
              </w:tc>
              <w:tc>
                <w:tcPr>
                  <w:tcW w:w="748" w:type="pct"/>
                  <w:noWrap w:val="0"/>
                  <w:vAlign w:val="center"/>
                </w:tcPr>
                <w:p>
                  <w:pPr>
                    <w:spacing w:line="300" w:lineRule="exact"/>
                    <w:jc w:val="center"/>
                    <w:rPr>
                      <w:rFonts w:hint="default" w:eastAsia="宋体"/>
                      <w:bCs/>
                      <w:color w:val="0C0C0C"/>
                      <w:szCs w:val="21"/>
                      <w:lang w:val="en-US" w:eastAsia="zh-CN"/>
                    </w:rPr>
                  </w:pPr>
                  <w:r>
                    <w:rPr>
                      <w:rFonts w:hint="eastAsia"/>
                      <w:bCs/>
                      <w:color w:val="0C0C0C"/>
                      <w:szCs w:val="21"/>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672" w:type="pct"/>
                  <w:noWrap w:val="0"/>
                  <w:vAlign w:val="center"/>
                </w:tcPr>
                <w:p>
                  <w:pPr>
                    <w:widowControl/>
                    <w:jc w:val="center"/>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rPr>
                    <w:t>模温机</w:t>
                  </w:r>
                </w:p>
              </w:tc>
              <w:tc>
                <w:tcPr>
                  <w:tcW w:w="627" w:type="pct"/>
                  <w:noWrap w:val="0"/>
                  <w:vAlign w:val="center"/>
                </w:tcPr>
                <w:p>
                  <w:pPr>
                    <w:spacing w:line="300" w:lineRule="exact"/>
                    <w:jc w:val="center"/>
                    <w:rPr>
                      <w:rFonts w:hint="default"/>
                      <w:color w:val="0C0C0C"/>
                      <w:szCs w:val="21"/>
                      <w:lang w:val="en-US" w:eastAsia="zh-CN"/>
                    </w:rPr>
                  </w:pPr>
                  <w:r>
                    <w:rPr>
                      <w:rFonts w:hint="eastAsia"/>
                      <w:color w:val="0C0C0C"/>
                      <w:szCs w:val="21"/>
                      <w:lang w:val="en-US" w:eastAsia="zh-CN"/>
                    </w:rPr>
                    <w:t>10</w:t>
                  </w:r>
                </w:p>
              </w:tc>
              <w:tc>
                <w:tcPr>
                  <w:tcW w:w="390"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8</w:t>
                  </w:r>
                </w:p>
              </w:tc>
              <w:tc>
                <w:tcPr>
                  <w:tcW w:w="504"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16.5</w:t>
                  </w:r>
                </w:p>
              </w:tc>
              <w:tc>
                <w:tcPr>
                  <w:tcW w:w="486"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57.5</w:t>
                  </w:r>
                </w:p>
              </w:tc>
              <w:tc>
                <w:tcPr>
                  <w:tcW w:w="613"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14.9</w:t>
                  </w:r>
                </w:p>
              </w:tc>
              <w:tc>
                <w:tcPr>
                  <w:tcW w:w="955" w:type="pct"/>
                  <w:noWrap w:val="0"/>
                  <w:vAlign w:val="center"/>
                </w:tcPr>
                <w:p>
                  <w:pPr>
                    <w:adjustRightInd w:val="0"/>
                    <w:snapToGrid w:val="0"/>
                    <w:jc w:val="center"/>
                    <w:rPr>
                      <w:rFonts w:hint="default" w:ascii="Times New Roman" w:hAnsi="Times New Roman" w:eastAsia="宋体" w:cs="Times New Roman"/>
                      <w:bCs/>
                      <w:kern w:val="2"/>
                      <w:sz w:val="21"/>
                      <w:szCs w:val="21"/>
                      <w:lang w:val="en-US" w:eastAsia="zh-CN" w:bidi="ar-SA"/>
                    </w:rPr>
                  </w:pPr>
                  <w:r>
                    <w:rPr>
                      <w:rFonts w:hint="eastAsia"/>
                      <w:bCs/>
                      <w:color w:val="0D0D0D" w:themeColor="text1" w:themeTint="F2"/>
                      <w:szCs w:val="21"/>
                      <w14:textFill>
                        <w14:solidFill>
                          <w14:schemeClr w14:val="tx1">
                            <w14:lumMod w14:val="95000"/>
                            <w14:lumOff w14:val="5000"/>
                          </w14:schemeClr>
                        </w14:solidFill>
                      </w14:textFill>
                    </w:rPr>
                    <w:t>7</w:t>
                  </w:r>
                  <w:r>
                    <w:rPr>
                      <w:rFonts w:hint="eastAsia"/>
                      <w:bCs/>
                      <w:color w:val="0D0D0D" w:themeColor="text1" w:themeTint="F2"/>
                      <w:szCs w:val="21"/>
                      <w:lang w:val="en-US" w:eastAsia="zh-CN"/>
                      <w14:textFill>
                        <w14:solidFill>
                          <w14:schemeClr w14:val="tx1">
                            <w14:lumMod w14:val="95000"/>
                            <w14:lumOff w14:val="5000"/>
                          </w14:schemeClr>
                        </w14:solidFill>
                      </w14:textFill>
                    </w:rPr>
                    <w:t>0</w:t>
                  </w:r>
                </w:p>
              </w:tc>
              <w:tc>
                <w:tcPr>
                  <w:tcW w:w="748" w:type="pct"/>
                  <w:noWrap w:val="0"/>
                  <w:vAlign w:val="center"/>
                </w:tcPr>
                <w:p>
                  <w:pPr>
                    <w:spacing w:line="300" w:lineRule="exact"/>
                    <w:jc w:val="center"/>
                    <w:rPr>
                      <w:rFonts w:hint="default" w:eastAsia="宋体"/>
                      <w:bCs/>
                      <w:color w:val="0C0C0C"/>
                      <w:szCs w:val="21"/>
                      <w:lang w:val="en-US" w:eastAsia="zh-CN"/>
                    </w:rPr>
                  </w:pPr>
                  <w:r>
                    <w:rPr>
                      <w:rFonts w:hint="eastAsia"/>
                      <w:bCs/>
                      <w:color w:val="0C0C0C"/>
                      <w:szCs w:val="21"/>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2" w:hRule="exact"/>
              </w:trPr>
              <w:tc>
                <w:tcPr>
                  <w:tcW w:w="672" w:type="pct"/>
                  <w:noWrap w:val="0"/>
                  <w:vAlign w:val="center"/>
                </w:tcPr>
                <w:p>
                  <w:pPr>
                    <w:widowControl/>
                    <w:jc w:val="center"/>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rPr>
                    <w:t>三机一体</w:t>
                  </w:r>
                </w:p>
              </w:tc>
              <w:tc>
                <w:tcPr>
                  <w:tcW w:w="627" w:type="pct"/>
                  <w:noWrap w:val="0"/>
                  <w:vAlign w:val="center"/>
                </w:tcPr>
                <w:p>
                  <w:pPr>
                    <w:spacing w:line="300" w:lineRule="exact"/>
                    <w:jc w:val="center"/>
                    <w:rPr>
                      <w:rFonts w:hint="default"/>
                      <w:color w:val="0C0C0C"/>
                      <w:szCs w:val="21"/>
                      <w:lang w:val="en-US" w:eastAsia="zh-CN"/>
                    </w:rPr>
                  </w:pPr>
                  <w:r>
                    <w:rPr>
                      <w:rFonts w:hint="eastAsia"/>
                      <w:color w:val="0C0C0C"/>
                      <w:szCs w:val="21"/>
                      <w:lang w:val="en-US" w:eastAsia="zh-CN"/>
                    </w:rPr>
                    <w:t>10</w:t>
                  </w:r>
                </w:p>
              </w:tc>
              <w:tc>
                <w:tcPr>
                  <w:tcW w:w="390"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30</w:t>
                  </w:r>
                </w:p>
              </w:tc>
              <w:tc>
                <w:tcPr>
                  <w:tcW w:w="504"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15.5</w:t>
                  </w:r>
                </w:p>
              </w:tc>
              <w:tc>
                <w:tcPr>
                  <w:tcW w:w="486"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28</w:t>
                  </w:r>
                </w:p>
              </w:tc>
              <w:tc>
                <w:tcPr>
                  <w:tcW w:w="613"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13</w:t>
                  </w:r>
                </w:p>
              </w:tc>
              <w:tc>
                <w:tcPr>
                  <w:tcW w:w="955" w:type="pct"/>
                  <w:noWrap w:val="0"/>
                  <w:vAlign w:val="center"/>
                </w:tcPr>
                <w:p>
                  <w:pPr>
                    <w:adjustRightInd w:val="0"/>
                    <w:snapToGrid w:val="0"/>
                    <w:jc w:val="center"/>
                    <w:rPr>
                      <w:rFonts w:hint="default" w:ascii="Times New Roman" w:hAnsi="Times New Roman" w:eastAsia="宋体" w:cs="Times New Roman"/>
                      <w:bCs/>
                      <w:kern w:val="2"/>
                      <w:sz w:val="21"/>
                      <w:szCs w:val="21"/>
                      <w:lang w:val="en-US" w:eastAsia="zh-CN" w:bidi="ar-SA"/>
                    </w:rPr>
                  </w:pPr>
                  <w:r>
                    <w:rPr>
                      <w:rFonts w:hint="eastAsia"/>
                      <w:bCs/>
                      <w:color w:val="0D0D0D" w:themeColor="text1" w:themeTint="F2"/>
                      <w:szCs w:val="21"/>
                      <w14:textFill>
                        <w14:solidFill>
                          <w14:schemeClr w14:val="tx1">
                            <w14:lumMod w14:val="95000"/>
                            <w14:lumOff w14:val="5000"/>
                          </w14:schemeClr>
                        </w14:solidFill>
                      </w14:textFill>
                    </w:rPr>
                    <w:t>7</w:t>
                  </w:r>
                  <w:r>
                    <w:rPr>
                      <w:bCs/>
                      <w:color w:val="0D0D0D" w:themeColor="text1" w:themeTint="F2"/>
                      <w:szCs w:val="21"/>
                      <w14:textFill>
                        <w14:solidFill>
                          <w14:schemeClr w14:val="tx1">
                            <w14:lumMod w14:val="95000"/>
                            <w14:lumOff w14:val="5000"/>
                          </w14:schemeClr>
                        </w14:solidFill>
                      </w14:textFill>
                    </w:rPr>
                    <w:t>0</w:t>
                  </w:r>
                </w:p>
              </w:tc>
              <w:tc>
                <w:tcPr>
                  <w:tcW w:w="748" w:type="pct"/>
                  <w:noWrap w:val="0"/>
                  <w:vAlign w:val="center"/>
                </w:tcPr>
                <w:p>
                  <w:pPr>
                    <w:spacing w:line="300" w:lineRule="exact"/>
                    <w:jc w:val="center"/>
                    <w:rPr>
                      <w:rFonts w:hint="default"/>
                      <w:bCs/>
                      <w:color w:val="0C0C0C"/>
                      <w:szCs w:val="21"/>
                      <w:lang w:val="en-US" w:eastAsia="zh-CN"/>
                    </w:rPr>
                  </w:pPr>
                  <w:r>
                    <w:rPr>
                      <w:rFonts w:hint="eastAsia"/>
                      <w:bCs/>
                      <w:color w:val="0C0C0C"/>
                      <w:szCs w:val="21"/>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672" w:type="pct"/>
                  <w:noWrap w:val="0"/>
                  <w:vAlign w:val="center"/>
                </w:tcPr>
                <w:p>
                  <w:pPr>
                    <w:widowControl/>
                    <w:jc w:val="center"/>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rPr>
                    <w:t>机械手</w:t>
                  </w:r>
                </w:p>
              </w:tc>
              <w:tc>
                <w:tcPr>
                  <w:tcW w:w="627" w:type="pct"/>
                  <w:noWrap w:val="0"/>
                  <w:vAlign w:val="center"/>
                </w:tcPr>
                <w:p>
                  <w:pPr>
                    <w:spacing w:line="300" w:lineRule="exact"/>
                    <w:jc w:val="center"/>
                    <w:rPr>
                      <w:rFonts w:hint="default"/>
                      <w:color w:val="0C0C0C"/>
                      <w:szCs w:val="21"/>
                      <w:lang w:val="en-US" w:eastAsia="zh-CN"/>
                    </w:rPr>
                  </w:pPr>
                  <w:r>
                    <w:rPr>
                      <w:rFonts w:hint="eastAsia"/>
                      <w:color w:val="0C0C0C"/>
                      <w:szCs w:val="21"/>
                      <w:lang w:val="en-US" w:eastAsia="zh-CN"/>
                    </w:rPr>
                    <w:t>10</w:t>
                  </w:r>
                </w:p>
              </w:tc>
              <w:tc>
                <w:tcPr>
                  <w:tcW w:w="390"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30</w:t>
                  </w:r>
                </w:p>
              </w:tc>
              <w:tc>
                <w:tcPr>
                  <w:tcW w:w="504"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14</w:t>
                  </w:r>
                </w:p>
              </w:tc>
              <w:tc>
                <w:tcPr>
                  <w:tcW w:w="486"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29</w:t>
                  </w:r>
                </w:p>
              </w:tc>
              <w:tc>
                <w:tcPr>
                  <w:tcW w:w="613"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17</w:t>
                  </w:r>
                </w:p>
              </w:tc>
              <w:tc>
                <w:tcPr>
                  <w:tcW w:w="955" w:type="pct"/>
                  <w:noWrap w:val="0"/>
                  <w:vAlign w:val="center"/>
                </w:tcPr>
                <w:p>
                  <w:pPr>
                    <w:adjustRightInd w:val="0"/>
                    <w:snapToGrid w:val="0"/>
                    <w:jc w:val="center"/>
                    <w:rPr>
                      <w:rFonts w:hint="default" w:ascii="Times New Roman" w:hAnsi="Times New Roman" w:eastAsia="宋体" w:cs="Times New Roman"/>
                      <w:bCs/>
                      <w:kern w:val="2"/>
                      <w:sz w:val="21"/>
                      <w:szCs w:val="21"/>
                      <w:lang w:val="en-US" w:eastAsia="zh-CN" w:bidi="ar-SA"/>
                    </w:rPr>
                  </w:pPr>
                  <w:r>
                    <w:rPr>
                      <w:rFonts w:hint="eastAsia"/>
                      <w:bCs/>
                      <w:color w:val="0D0D0D" w:themeColor="text1" w:themeTint="F2"/>
                      <w:szCs w:val="21"/>
                      <w14:textFill>
                        <w14:solidFill>
                          <w14:schemeClr w14:val="tx1">
                            <w14:lumMod w14:val="95000"/>
                            <w14:lumOff w14:val="5000"/>
                          </w14:schemeClr>
                        </w14:solidFill>
                      </w14:textFill>
                    </w:rPr>
                    <w:t>7</w:t>
                  </w:r>
                  <w:r>
                    <w:rPr>
                      <w:bCs/>
                      <w:color w:val="0D0D0D" w:themeColor="text1" w:themeTint="F2"/>
                      <w:szCs w:val="21"/>
                      <w14:textFill>
                        <w14:solidFill>
                          <w14:schemeClr w14:val="tx1">
                            <w14:lumMod w14:val="95000"/>
                            <w14:lumOff w14:val="5000"/>
                          </w14:schemeClr>
                        </w14:solidFill>
                      </w14:textFill>
                    </w:rPr>
                    <w:t>0</w:t>
                  </w:r>
                </w:p>
              </w:tc>
              <w:tc>
                <w:tcPr>
                  <w:tcW w:w="748" w:type="pct"/>
                  <w:noWrap w:val="0"/>
                  <w:vAlign w:val="center"/>
                </w:tcPr>
                <w:p>
                  <w:pPr>
                    <w:spacing w:line="300" w:lineRule="exact"/>
                    <w:jc w:val="center"/>
                    <w:rPr>
                      <w:rFonts w:hint="default" w:eastAsia="宋体"/>
                      <w:bCs/>
                      <w:color w:val="0C0C0C"/>
                      <w:szCs w:val="21"/>
                      <w:lang w:val="en-US" w:eastAsia="zh-CN"/>
                    </w:rPr>
                  </w:pPr>
                  <w:r>
                    <w:rPr>
                      <w:rFonts w:hint="eastAsia"/>
                      <w:bCs/>
                      <w:color w:val="0C0C0C"/>
                      <w:szCs w:val="21"/>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9" w:hRule="exact"/>
              </w:trPr>
              <w:tc>
                <w:tcPr>
                  <w:tcW w:w="672" w:type="pct"/>
                  <w:noWrap w:val="0"/>
                  <w:vAlign w:val="center"/>
                </w:tcPr>
                <w:p>
                  <w:pPr>
                    <w:widowControl/>
                    <w:spacing w:line="240" w:lineRule="exact"/>
                    <w:ind w:left="-105" w:leftChars="-50" w:right="-105" w:rightChars="-50"/>
                    <w:jc w:val="center"/>
                    <w:rPr>
                      <w:rFonts w:hint="default" w:ascii="Times New Roman" w:hAnsi="Times New Roman" w:eastAsia="宋体" w:cs="Times New Roman"/>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kern w:val="0"/>
                      <w:sz w:val="21"/>
                      <w:szCs w:val="21"/>
                      <w14:textFill>
                        <w14:solidFill>
                          <w14:schemeClr w14:val="tx1">
                            <w14:lumMod w14:val="95000"/>
                            <w14:lumOff w14:val="5000"/>
                          </w14:schemeClr>
                        </w14:solidFill>
                      </w14:textFill>
                    </w:rPr>
                    <w:t>冷却塔</w:t>
                  </w:r>
                </w:p>
              </w:tc>
              <w:tc>
                <w:tcPr>
                  <w:tcW w:w="627" w:type="pct"/>
                  <w:noWrap w:val="0"/>
                  <w:vAlign w:val="center"/>
                </w:tcPr>
                <w:p>
                  <w:pPr>
                    <w:spacing w:line="300" w:lineRule="exact"/>
                    <w:jc w:val="center"/>
                    <w:rPr>
                      <w:rFonts w:hint="eastAsia"/>
                      <w:color w:val="0C0C0C"/>
                      <w:szCs w:val="21"/>
                      <w:lang w:val="en-US" w:eastAsia="zh-CN"/>
                    </w:rPr>
                  </w:pPr>
                  <w:r>
                    <w:rPr>
                      <w:rFonts w:hint="eastAsia"/>
                      <w:color w:val="0C0C0C"/>
                      <w:szCs w:val="21"/>
                      <w:lang w:val="en-US" w:eastAsia="zh-CN"/>
                    </w:rPr>
                    <w:t>1</w:t>
                  </w:r>
                </w:p>
              </w:tc>
              <w:tc>
                <w:tcPr>
                  <w:tcW w:w="390"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5.5</w:t>
                  </w:r>
                </w:p>
              </w:tc>
              <w:tc>
                <w:tcPr>
                  <w:tcW w:w="504"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3.5</w:t>
                  </w:r>
                </w:p>
              </w:tc>
              <w:tc>
                <w:tcPr>
                  <w:tcW w:w="486"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65</w:t>
                  </w:r>
                </w:p>
              </w:tc>
              <w:tc>
                <w:tcPr>
                  <w:tcW w:w="613"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26</w:t>
                  </w:r>
                </w:p>
              </w:tc>
              <w:tc>
                <w:tcPr>
                  <w:tcW w:w="955" w:type="pct"/>
                  <w:noWrap w:val="0"/>
                  <w:vAlign w:val="center"/>
                </w:tcPr>
                <w:p>
                  <w:pPr>
                    <w:adjustRightInd w:val="0"/>
                    <w:snapToGrid w:val="0"/>
                    <w:jc w:val="center"/>
                    <w:rPr>
                      <w:rFonts w:hint="default" w:ascii="Times New Roman" w:hAnsi="Times New Roman" w:eastAsia="宋体" w:cs="Times New Roman"/>
                      <w:bCs/>
                      <w:kern w:val="2"/>
                      <w:sz w:val="21"/>
                      <w:szCs w:val="21"/>
                      <w:lang w:val="en-US" w:eastAsia="zh-CN" w:bidi="ar-SA"/>
                    </w:rPr>
                  </w:pPr>
                  <w:r>
                    <w:rPr>
                      <w:rFonts w:hint="eastAsia"/>
                      <w:bCs/>
                      <w:color w:val="0D0D0D" w:themeColor="text1" w:themeTint="F2"/>
                      <w:szCs w:val="21"/>
                      <w:lang w:val="en-US" w:eastAsia="zh-CN"/>
                      <w14:textFill>
                        <w14:solidFill>
                          <w14:schemeClr w14:val="tx1">
                            <w14:lumMod w14:val="95000"/>
                            <w14:lumOff w14:val="5000"/>
                          </w14:schemeClr>
                        </w14:solidFill>
                      </w14:textFill>
                    </w:rPr>
                    <w:t>75</w:t>
                  </w:r>
                </w:p>
              </w:tc>
              <w:tc>
                <w:tcPr>
                  <w:tcW w:w="748" w:type="pct"/>
                  <w:noWrap w:val="0"/>
                  <w:vAlign w:val="center"/>
                </w:tcPr>
                <w:p>
                  <w:pPr>
                    <w:spacing w:line="300" w:lineRule="exact"/>
                    <w:jc w:val="center"/>
                    <w:rPr>
                      <w:rFonts w:hint="default"/>
                      <w:bCs/>
                      <w:color w:val="0C0C0C"/>
                      <w:szCs w:val="21"/>
                      <w:lang w:val="en-US" w:eastAsia="zh-CN"/>
                    </w:rPr>
                  </w:pPr>
                  <w:r>
                    <w:rPr>
                      <w:rFonts w:hint="eastAsia"/>
                      <w:bCs/>
                      <w:color w:val="0C0C0C"/>
                      <w:szCs w:val="21"/>
                      <w:lang w:val="en-US" w:eastAsia="zh-CN"/>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exact"/>
              </w:trPr>
              <w:tc>
                <w:tcPr>
                  <w:tcW w:w="672" w:type="pct"/>
                  <w:noWrap w:val="0"/>
                  <w:vAlign w:val="center"/>
                </w:tcPr>
                <w:p>
                  <w:pPr>
                    <w:widowControl/>
                    <w:spacing w:line="240" w:lineRule="exact"/>
                    <w:ind w:left="-105" w:leftChars="-50" w:right="-105" w:rightChars="-50"/>
                    <w:jc w:val="center"/>
                    <w:rPr>
                      <w:rFonts w:hint="eastAsia" w:ascii="Times New Roman" w:hAnsi="Times New Roman" w:eastAsia="宋体" w:cs="Times New Roman"/>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风机</w:t>
                  </w:r>
                </w:p>
              </w:tc>
              <w:tc>
                <w:tcPr>
                  <w:tcW w:w="627" w:type="pct"/>
                  <w:noWrap w:val="0"/>
                  <w:vAlign w:val="center"/>
                </w:tcPr>
                <w:p>
                  <w:pPr>
                    <w:spacing w:line="300" w:lineRule="exact"/>
                    <w:jc w:val="center"/>
                    <w:rPr>
                      <w:rFonts w:hint="eastAsia"/>
                      <w:color w:val="0C0C0C"/>
                      <w:szCs w:val="21"/>
                      <w:lang w:val="en-US" w:eastAsia="zh-CN"/>
                    </w:rPr>
                  </w:pPr>
                  <w:r>
                    <w:rPr>
                      <w:rFonts w:hint="eastAsia"/>
                      <w:color w:val="0C0C0C"/>
                      <w:szCs w:val="21"/>
                      <w:lang w:val="en-US" w:eastAsia="zh-CN"/>
                    </w:rPr>
                    <w:t>2</w:t>
                  </w:r>
                </w:p>
              </w:tc>
              <w:tc>
                <w:tcPr>
                  <w:tcW w:w="390"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4</w:t>
                  </w:r>
                </w:p>
              </w:tc>
              <w:tc>
                <w:tcPr>
                  <w:tcW w:w="504"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3.5</w:t>
                  </w:r>
                </w:p>
              </w:tc>
              <w:tc>
                <w:tcPr>
                  <w:tcW w:w="486"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67</w:t>
                  </w:r>
                </w:p>
              </w:tc>
              <w:tc>
                <w:tcPr>
                  <w:tcW w:w="613" w:type="pct"/>
                  <w:noWrap w:val="0"/>
                  <w:vAlign w:val="center"/>
                </w:tcPr>
                <w:p>
                  <w:pPr>
                    <w:spacing w:line="300" w:lineRule="exact"/>
                    <w:jc w:val="center"/>
                    <w:rPr>
                      <w:rFonts w:hint="default" w:eastAsia="宋体"/>
                      <w:color w:val="0C0C0C"/>
                      <w:szCs w:val="21"/>
                      <w:lang w:val="en-US" w:eastAsia="zh-CN"/>
                    </w:rPr>
                  </w:pPr>
                  <w:r>
                    <w:rPr>
                      <w:rFonts w:hint="eastAsia"/>
                      <w:color w:val="0C0C0C"/>
                      <w:szCs w:val="21"/>
                      <w:lang w:val="en-US" w:eastAsia="zh-CN"/>
                    </w:rPr>
                    <w:t>26</w:t>
                  </w:r>
                </w:p>
              </w:tc>
              <w:tc>
                <w:tcPr>
                  <w:tcW w:w="955" w:type="pct"/>
                  <w:noWrap w:val="0"/>
                  <w:vAlign w:val="center"/>
                </w:tcPr>
                <w:p>
                  <w:pPr>
                    <w:adjustRightInd w:val="0"/>
                    <w:snapToGrid w:val="0"/>
                    <w:jc w:val="center"/>
                    <w:rPr>
                      <w:rFonts w:hint="default" w:ascii="Times New Roman" w:hAnsi="Times New Roman" w:eastAsia="宋体" w:cs="Times New Roman"/>
                      <w:bCs/>
                      <w:kern w:val="2"/>
                      <w:sz w:val="21"/>
                      <w:szCs w:val="21"/>
                      <w:lang w:val="en-US" w:eastAsia="zh-CN" w:bidi="ar-SA"/>
                    </w:rPr>
                  </w:pPr>
                  <w:r>
                    <w:rPr>
                      <w:rFonts w:hint="eastAsia"/>
                      <w:bCs/>
                      <w:color w:val="0D0D0D" w:themeColor="text1" w:themeTint="F2"/>
                      <w:szCs w:val="21"/>
                      <w:lang w:val="en-US" w:eastAsia="zh-CN"/>
                      <w14:textFill>
                        <w14:solidFill>
                          <w14:schemeClr w14:val="tx1">
                            <w14:lumMod w14:val="95000"/>
                            <w14:lumOff w14:val="5000"/>
                          </w14:schemeClr>
                        </w14:solidFill>
                      </w14:textFill>
                    </w:rPr>
                    <w:t>75</w:t>
                  </w:r>
                </w:p>
              </w:tc>
              <w:tc>
                <w:tcPr>
                  <w:tcW w:w="748" w:type="pct"/>
                  <w:noWrap w:val="0"/>
                  <w:vAlign w:val="center"/>
                </w:tcPr>
                <w:p>
                  <w:pPr>
                    <w:spacing w:line="300" w:lineRule="exact"/>
                    <w:jc w:val="center"/>
                    <w:rPr>
                      <w:rFonts w:hint="default" w:eastAsia="宋体"/>
                      <w:bCs/>
                      <w:color w:val="0C0C0C"/>
                      <w:szCs w:val="21"/>
                      <w:lang w:val="en-US" w:eastAsia="zh-CN"/>
                    </w:rPr>
                  </w:pPr>
                  <w:r>
                    <w:rPr>
                      <w:rFonts w:hint="eastAsia"/>
                      <w:bCs/>
                      <w:color w:val="0C0C0C"/>
                      <w:szCs w:val="21"/>
                      <w:lang w:val="en-US" w:eastAsia="zh-CN"/>
                    </w:rPr>
                    <w:t>15</w:t>
                  </w:r>
                </w:p>
              </w:tc>
            </w:tr>
          </w:tbl>
          <w:p>
            <w:pPr>
              <w:widowControl/>
              <w:spacing w:line="480" w:lineRule="exact"/>
              <w:ind w:firstLine="482" w:firstLineChars="200"/>
              <w:jc w:val="left"/>
              <w:rPr>
                <w:b/>
                <w:color w:val="000000"/>
                <w:kern w:val="0"/>
                <w:sz w:val="24"/>
              </w:rPr>
            </w:pPr>
            <w:r>
              <w:rPr>
                <w:rFonts w:hint="eastAsia"/>
                <w:b/>
                <w:color w:val="000000"/>
                <w:kern w:val="0"/>
                <w:sz w:val="24"/>
              </w:rPr>
              <w:t>2、预测模式</w:t>
            </w:r>
          </w:p>
          <w:p>
            <w:pPr>
              <w:widowControl/>
              <w:spacing w:line="360" w:lineRule="auto"/>
              <w:ind w:firstLine="480" w:firstLineChars="200"/>
              <w:jc w:val="left"/>
              <w:rPr>
                <w:color w:val="000000"/>
                <w:kern w:val="0"/>
                <w:sz w:val="24"/>
              </w:rPr>
            </w:pPr>
            <w:r>
              <w:rPr>
                <w:color w:val="000000"/>
                <w:kern w:val="0"/>
                <w:sz w:val="24"/>
              </w:rPr>
              <w:t>本次噪声环境影响预测采用《环境影响评价技术导则 声环境》HJ2.4-2009中的工业噪声预测计算模式。</w:t>
            </w:r>
          </w:p>
          <w:p>
            <w:pPr>
              <w:widowControl/>
              <w:spacing w:line="480" w:lineRule="exact"/>
              <w:ind w:firstLine="480" w:firstLineChars="200"/>
              <w:jc w:val="left"/>
              <w:rPr>
                <w:color w:val="000000"/>
                <w:kern w:val="0"/>
                <w:sz w:val="24"/>
              </w:rPr>
            </w:pPr>
            <w:r>
              <w:rPr>
                <w:rFonts w:hint="eastAsia"/>
                <w:color w:val="000000"/>
                <w:kern w:val="0"/>
                <w:sz w:val="24"/>
              </w:rPr>
              <w:t>（</w:t>
            </w:r>
            <w:r>
              <w:rPr>
                <w:color w:val="000000"/>
                <w:kern w:val="0"/>
                <w:sz w:val="24"/>
              </w:rPr>
              <w:t>1</w:t>
            </w:r>
            <w:r>
              <w:rPr>
                <w:rFonts w:hint="eastAsia"/>
                <w:color w:val="000000"/>
                <w:kern w:val="0"/>
                <w:sz w:val="24"/>
              </w:rPr>
              <w:t>）计算某个室内靠近围护结构处的倍频带声压级</w:t>
            </w:r>
          </w:p>
          <w:p>
            <w:pPr>
              <w:widowControl/>
              <w:ind w:firstLine="480"/>
              <w:jc w:val="center"/>
              <w:rPr>
                <w:color w:val="000000"/>
                <w:kern w:val="0"/>
                <w:sz w:val="24"/>
              </w:rPr>
            </w:pPr>
            <w:r>
              <w:rPr>
                <w:color w:val="000000"/>
                <w:kern w:val="0"/>
                <w:sz w:val="24"/>
              </w:rPr>
              <w:drawing>
                <wp:inline distT="0" distB="0" distL="114300" distR="114300">
                  <wp:extent cx="1871980" cy="396875"/>
                  <wp:effectExtent l="0" t="0" r="13970" b="317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871980" cy="396875"/>
                          </a:xfrm>
                          <a:prstGeom prst="rect">
                            <a:avLst/>
                          </a:prstGeom>
                          <a:noFill/>
                          <a:ln>
                            <a:noFill/>
                          </a:ln>
                        </pic:spPr>
                      </pic:pic>
                    </a:graphicData>
                  </a:graphic>
                </wp:inline>
              </w:drawing>
            </w:r>
          </w:p>
          <w:p>
            <w:pPr>
              <w:widowControl/>
              <w:spacing w:line="480" w:lineRule="exact"/>
              <w:ind w:firstLine="480" w:firstLineChars="200"/>
              <w:jc w:val="left"/>
              <w:rPr>
                <w:color w:val="000000"/>
                <w:kern w:val="0"/>
                <w:sz w:val="24"/>
              </w:rPr>
            </w:pPr>
            <w:r>
              <w:rPr>
                <w:rFonts w:hint="eastAsia"/>
                <w:color w:val="000000"/>
                <w:kern w:val="0"/>
                <w:sz w:val="24"/>
              </w:rPr>
              <w:t>式中：</w:t>
            </w:r>
            <w:r>
              <w:rPr>
                <w:color w:val="000000"/>
                <w:kern w:val="0"/>
                <w:sz w:val="24"/>
              </w:rPr>
              <w:t>Loct,t——</w:t>
            </w:r>
            <w:r>
              <w:rPr>
                <w:rFonts w:hint="eastAsia"/>
                <w:color w:val="000000"/>
                <w:kern w:val="0"/>
                <w:sz w:val="24"/>
              </w:rPr>
              <w:t>某个室内声源在靠近围护结构处产生的倍频声压级，</w:t>
            </w:r>
            <w:r>
              <w:rPr>
                <w:color w:val="000000"/>
                <w:kern w:val="0"/>
                <w:sz w:val="24"/>
              </w:rPr>
              <w:t>dB</w:t>
            </w:r>
            <w:r>
              <w:rPr>
                <w:rFonts w:hint="eastAsia"/>
                <w:color w:val="000000"/>
                <w:kern w:val="0"/>
                <w:sz w:val="24"/>
              </w:rPr>
              <w:t>；</w:t>
            </w:r>
          </w:p>
          <w:p>
            <w:pPr>
              <w:widowControl/>
              <w:spacing w:line="480" w:lineRule="exact"/>
              <w:ind w:firstLine="480" w:firstLineChars="200"/>
              <w:jc w:val="left"/>
              <w:rPr>
                <w:color w:val="000000"/>
                <w:kern w:val="0"/>
                <w:sz w:val="24"/>
              </w:rPr>
            </w:pPr>
            <w:r>
              <w:rPr>
                <w:color w:val="000000"/>
                <w:kern w:val="0"/>
                <w:sz w:val="24"/>
              </w:rPr>
              <w:t xml:space="preserve">      Lw oct——</w:t>
            </w:r>
            <w:r>
              <w:rPr>
                <w:rFonts w:hint="eastAsia"/>
                <w:color w:val="000000"/>
                <w:kern w:val="0"/>
                <w:sz w:val="24"/>
              </w:rPr>
              <w:t>某个声源的倍频带声功率级，</w:t>
            </w:r>
            <w:r>
              <w:rPr>
                <w:color w:val="000000"/>
                <w:kern w:val="0"/>
                <w:sz w:val="24"/>
              </w:rPr>
              <w:t>dB</w:t>
            </w:r>
            <w:r>
              <w:rPr>
                <w:rFonts w:hint="eastAsia"/>
                <w:color w:val="000000"/>
                <w:kern w:val="0"/>
                <w:sz w:val="24"/>
              </w:rPr>
              <w:t>；</w:t>
            </w:r>
          </w:p>
          <w:p>
            <w:pPr>
              <w:widowControl/>
              <w:spacing w:line="480" w:lineRule="exact"/>
              <w:ind w:firstLine="1200" w:firstLineChars="500"/>
              <w:jc w:val="left"/>
              <w:rPr>
                <w:color w:val="000000"/>
                <w:kern w:val="0"/>
                <w:sz w:val="24"/>
              </w:rPr>
            </w:pPr>
            <w:r>
              <w:rPr>
                <w:color w:val="000000"/>
                <w:kern w:val="0"/>
                <w:sz w:val="24"/>
              </w:rPr>
              <w:t>r1——</w:t>
            </w:r>
            <w:r>
              <w:rPr>
                <w:rFonts w:hint="eastAsia"/>
                <w:color w:val="000000"/>
                <w:kern w:val="0"/>
                <w:sz w:val="24"/>
              </w:rPr>
              <w:t>室内某个声源与靠近围护结构处的距离，</w:t>
            </w:r>
            <w:r>
              <w:rPr>
                <w:color w:val="000000"/>
                <w:kern w:val="0"/>
                <w:sz w:val="24"/>
              </w:rPr>
              <w:t>m</w:t>
            </w:r>
            <w:r>
              <w:rPr>
                <w:rFonts w:hint="eastAsia"/>
                <w:color w:val="000000"/>
                <w:kern w:val="0"/>
                <w:sz w:val="24"/>
              </w:rPr>
              <w:t>：</w:t>
            </w:r>
          </w:p>
          <w:p>
            <w:pPr>
              <w:widowControl/>
              <w:spacing w:line="480" w:lineRule="exact"/>
              <w:ind w:firstLine="1200" w:firstLineChars="500"/>
              <w:jc w:val="left"/>
              <w:rPr>
                <w:color w:val="000000"/>
                <w:kern w:val="0"/>
                <w:sz w:val="24"/>
              </w:rPr>
            </w:pPr>
            <w:r>
              <w:rPr>
                <w:color w:val="000000"/>
                <w:kern w:val="0"/>
                <w:sz w:val="24"/>
              </w:rPr>
              <w:t>R——</w:t>
            </w:r>
            <w:r>
              <w:rPr>
                <w:rFonts w:hint="eastAsia"/>
                <w:color w:val="000000"/>
                <w:kern w:val="0"/>
                <w:sz w:val="24"/>
              </w:rPr>
              <w:t>房间常数，</w:t>
            </w:r>
            <w:r>
              <w:rPr>
                <w:color w:val="000000"/>
                <w:kern w:val="0"/>
                <w:sz w:val="24"/>
              </w:rPr>
              <w:t>m</w:t>
            </w:r>
            <w:r>
              <w:rPr>
                <w:color w:val="000000"/>
                <w:kern w:val="0"/>
                <w:sz w:val="24"/>
                <w:vertAlign w:val="superscript"/>
              </w:rPr>
              <w:t>2</w:t>
            </w:r>
            <w:r>
              <w:rPr>
                <w:rFonts w:hint="eastAsia"/>
                <w:color w:val="000000"/>
                <w:kern w:val="0"/>
                <w:sz w:val="24"/>
              </w:rPr>
              <w:t>；</w:t>
            </w:r>
          </w:p>
          <w:p>
            <w:pPr>
              <w:widowControl/>
              <w:spacing w:line="480" w:lineRule="exact"/>
              <w:ind w:firstLine="1200" w:firstLineChars="500"/>
              <w:jc w:val="left"/>
              <w:rPr>
                <w:color w:val="000000"/>
                <w:kern w:val="0"/>
                <w:sz w:val="24"/>
              </w:rPr>
            </w:pPr>
            <w:r>
              <w:rPr>
                <w:color w:val="000000"/>
                <w:kern w:val="0"/>
                <w:sz w:val="24"/>
              </w:rPr>
              <w:t>Q——</w:t>
            </w:r>
            <w:r>
              <w:rPr>
                <w:rFonts w:hint="eastAsia"/>
                <w:color w:val="000000"/>
                <w:kern w:val="0"/>
                <w:sz w:val="24"/>
              </w:rPr>
              <w:t>方向性因子，无量纲。</w:t>
            </w:r>
          </w:p>
          <w:p>
            <w:pPr>
              <w:widowControl/>
              <w:spacing w:line="480" w:lineRule="exact"/>
              <w:ind w:firstLine="480" w:firstLineChars="200"/>
              <w:jc w:val="left"/>
              <w:rPr>
                <w:color w:val="000000"/>
                <w:kern w:val="0"/>
                <w:sz w:val="24"/>
              </w:rPr>
            </w:pPr>
            <w:r>
              <w:rPr>
                <w:rFonts w:hint="eastAsia"/>
                <w:color w:val="000000"/>
                <w:kern w:val="0"/>
                <w:sz w:val="24"/>
              </w:rPr>
              <w:t>（</w:t>
            </w:r>
            <w:r>
              <w:rPr>
                <w:color w:val="000000"/>
                <w:kern w:val="0"/>
                <w:sz w:val="24"/>
              </w:rPr>
              <w:t>2</w:t>
            </w:r>
            <w:r>
              <w:rPr>
                <w:rFonts w:hint="eastAsia"/>
                <w:color w:val="000000"/>
                <w:kern w:val="0"/>
                <w:sz w:val="24"/>
              </w:rPr>
              <w:t>）计算所有室内声源在靠近围护结构处产生的总倍频声压级</w:t>
            </w:r>
          </w:p>
          <w:p>
            <w:pPr>
              <w:widowControl/>
              <w:spacing w:line="460" w:lineRule="exact"/>
              <w:ind w:firstLine="480"/>
              <w:jc w:val="center"/>
              <w:rPr>
                <w:color w:val="000000"/>
                <w:kern w:val="0"/>
                <w:sz w:val="24"/>
              </w:rPr>
            </w:pPr>
            <w:r>
              <w:rPr>
                <w:color w:val="000000"/>
                <w:kern w:val="0"/>
                <w:position w:val="-28"/>
                <w:sz w:val="24"/>
              </w:rPr>
              <w:drawing>
                <wp:inline distT="0" distB="0" distL="114300" distR="114300">
                  <wp:extent cx="2061845" cy="440055"/>
                  <wp:effectExtent l="0" t="0" r="0" b="17145"/>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2"/>
                          <a:stretch>
                            <a:fillRect/>
                          </a:stretch>
                        </pic:blipFill>
                        <pic:spPr>
                          <a:xfrm>
                            <a:off x="0" y="0"/>
                            <a:ext cx="2061845" cy="440055"/>
                          </a:xfrm>
                          <a:prstGeom prst="rect">
                            <a:avLst/>
                          </a:prstGeom>
                          <a:noFill/>
                          <a:ln>
                            <a:noFill/>
                          </a:ln>
                        </pic:spPr>
                      </pic:pic>
                    </a:graphicData>
                  </a:graphic>
                </wp:inline>
              </w:drawing>
            </w:r>
          </w:p>
          <w:p>
            <w:pPr>
              <w:widowControl/>
              <w:spacing w:line="480" w:lineRule="exact"/>
              <w:ind w:firstLine="480" w:firstLineChars="200"/>
              <w:jc w:val="left"/>
              <w:rPr>
                <w:color w:val="000000"/>
                <w:kern w:val="0"/>
                <w:sz w:val="24"/>
              </w:rPr>
            </w:pPr>
            <w:r>
              <w:rPr>
                <w:rFonts w:hint="eastAsia"/>
                <w:color w:val="000000"/>
                <w:kern w:val="0"/>
                <w:sz w:val="24"/>
              </w:rPr>
              <w:t>（</w:t>
            </w:r>
            <w:r>
              <w:rPr>
                <w:color w:val="000000"/>
                <w:kern w:val="0"/>
                <w:sz w:val="24"/>
              </w:rPr>
              <w:t>3</w:t>
            </w:r>
            <w:r>
              <w:rPr>
                <w:rFonts w:hint="eastAsia"/>
                <w:color w:val="000000"/>
                <w:kern w:val="0"/>
                <w:sz w:val="24"/>
              </w:rPr>
              <w:t>）计算室外靠近围护结构处的声压级</w:t>
            </w:r>
          </w:p>
          <w:p>
            <w:pPr>
              <w:widowControl/>
              <w:spacing w:line="460" w:lineRule="exact"/>
              <w:ind w:firstLine="480" w:firstLineChars="200"/>
              <w:jc w:val="center"/>
              <w:rPr>
                <w:color w:val="000000"/>
                <w:kern w:val="0"/>
                <w:sz w:val="24"/>
              </w:rPr>
            </w:pPr>
            <w:r>
              <w:rPr>
                <w:color w:val="000000"/>
                <w:kern w:val="0"/>
                <w:sz w:val="24"/>
              </w:rPr>
              <w:drawing>
                <wp:inline distT="0" distB="0" distL="114300" distR="114300">
                  <wp:extent cx="1932305" cy="233045"/>
                  <wp:effectExtent l="0" t="0" r="10795" b="1524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3"/>
                          <a:stretch>
                            <a:fillRect/>
                          </a:stretch>
                        </pic:blipFill>
                        <pic:spPr>
                          <a:xfrm>
                            <a:off x="0" y="0"/>
                            <a:ext cx="1932305" cy="233045"/>
                          </a:xfrm>
                          <a:prstGeom prst="rect">
                            <a:avLst/>
                          </a:prstGeom>
                          <a:noFill/>
                          <a:ln>
                            <a:noFill/>
                          </a:ln>
                        </pic:spPr>
                      </pic:pic>
                    </a:graphicData>
                  </a:graphic>
                </wp:inline>
              </w:drawing>
            </w:r>
          </w:p>
          <w:p>
            <w:pPr>
              <w:widowControl/>
              <w:spacing w:line="480" w:lineRule="exact"/>
              <w:ind w:firstLine="480" w:firstLineChars="200"/>
              <w:jc w:val="left"/>
              <w:rPr>
                <w:color w:val="000000"/>
                <w:kern w:val="0"/>
                <w:sz w:val="24"/>
              </w:rPr>
            </w:pPr>
            <w:r>
              <w:rPr>
                <w:rFonts w:hint="eastAsia"/>
                <w:color w:val="000000"/>
                <w:kern w:val="0"/>
                <w:sz w:val="24"/>
              </w:rPr>
              <w:t>（</w:t>
            </w:r>
            <w:r>
              <w:rPr>
                <w:color w:val="000000"/>
                <w:kern w:val="0"/>
                <w:sz w:val="24"/>
              </w:rPr>
              <w:t>4</w:t>
            </w:r>
            <w:r>
              <w:rPr>
                <w:rFonts w:hint="eastAsia"/>
                <w:color w:val="000000"/>
                <w:kern w:val="0"/>
                <w:sz w:val="24"/>
              </w:rPr>
              <w:t>）将室外声级</w:t>
            </w:r>
            <w:r>
              <w:rPr>
                <w:color w:val="000000"/>
                <w:kern w:val="0"/>
                <w:sz w:val="24"/>
              </w:rPr>
              <w:t>Loct,2(T)</w:t>
            </w:r>
            <w:r>
              <w:rPr>
                <w:rFonts w:hint="eastAsia"/>
                <w:color w:val="000000"/>
                <w:kern w:val="0"/>
                <w:sz w:val="24"/>
              </w:rPr>
              <w:t>和透声面积换算成等效的室外声源，计算等效声源第</w:t>
            </w:r>
            <w:r>
              <w:rPr>
                <w:color w:val="000000"/>
                <w:kern w:val="0"/>
                <w:sz w:val="24"/>
              </w:rPr>
              <w:t>i</w:t>
            </w:r>
            <w:r>
              <w:rPr>
                <w:rFonts w:hint="eastAsia"/>
                <w:color w:val="000000"/>
                <w:kern w:val="0"/>
                <w:sz w:val="24"/>
              </w:rPr>
              <w:t>个倍频带的声功率级</w:t>
            </w:r>
            <w:r>
              <w:rPr>
                <w:color w:val="000000"/>
                <w:kern w:val="0"/>
                <w:sz w:val="24"/>
              </w:rPr>
              <w:t>Lw,oc</w:t>
            </w:r>
            <w:r>
              <w:rPr>
                <w:rFonts w:hint="eastAsia"/>
                <w:color w:val="000000"/>
                <w:kern w:val="0"/>
                <w:sz w:val="24"/>
              </w:rPr>
              <w:t>：</w:t>
            </w:r>
          </w:p>
          <w:p>
            <w:pPr>
              <w:widowControl/>
              <w:spacing w:line="460" w:lineRule="exact"/>
              <w:ind w:firstLine="480" w:firstLineChars="200"/>
              <w:jc w:val="center"/>
              <w:rPr>
                <w:color w:val="000000"/>
                <w:kern w:val="0"/>
                <w:sz w:val="24"/>
              </w:rPr>
            </w:pPr>
            <w:r>
              <w:rPr>
                <w:color w:val="000000"/>
                <w:kern w:val="0"/>
                <w:sz w:val="24"/>
              </w:rPr>
              <w:drawing>
                <wp:inline distT="0" distB="0" distL="114300" distR="114300">
                  <wp:extent cx="1561465" cy="233045"/>
                  <wp:effectExtent l="0" t="0" r="635" b="1524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4"/>
                          <a:stretch>
                            <a:fillRect/>
                          </a:stretch>
                        </pic:blipFill>
                        <pic:spPr>
                          <a:xfrm>
                            <a:off x="0" y="0"/>
                            <a:ext cx="1561465" cy="233045"/>
                          </a:xfrm>
                          <a:prstGeom prst="rect">
                            <a:avLst/>
                          </a:prstGeom>
                          <a:noFill/>
                          <a:ln>
                            <a:noFill/>
                          </a:ln>
                        </pic:spPr>
                      </pic:pic>
                    </a:graphicData>
                  </a:graphic>
                </wp:inline>
              </w:drawing>
            </w:r>
          </w:p>
          <w:p>
            <w:pPr>
              <w:widowControl/>
              <w:spacing w:line="480" w:lineRule="exact"/>
              <w:ind w:firstLine="480" w:firstLineChars="200"/>
              <w:jc w:val="left"/>
              <w:rPr>
                <w:color w:val="000000"/>
                <w:kern w:val="0"/>
                <w:sz w:val="24"/>
              </w:rPr>
            </w:pPr>
            <w:r>
              <w:rPr>
                <w:rFonts w:hint="eastAsia"/>
                <w:color w:val="000000"/>
                <w:kern w:val="0"/>
                <w:sz w:val="24"/>
              </w:rPr>
              <w:t>式中：</w:t>
            </w:r>
            <w:r>
              <w:rPr>
                <w:color w:val="000000"/>
                <w:kern w:val="0"/>
                <w:sz w:val="24"/>
              </w:rPr>
              <w:t>S</w:t>
            </w:r>
            <w:r>
              <w:rPr>
                <w:rFonts w:hint="eastAsia"/>
                <w:color w:val="000000"/>
                <w:kern w:val="0"/>
                <w:sz w:val="24"/>
              </w:rPr>
              <w:t>为透声面积，</w:t>
            </w:r>
            <w:r>
              <w:rPr>
                <w:color w:val="000000"/>
                <w:kern w:val="0"/>
                <w:sz w:val="24"/>
              </w:rPr>
              <w:t>m</w:t>
            </w:r>
            <w:r>
              <w:rPr>
                <w:color w:val="000000"/>
                <w:kern w:val="0"/>
                <w:sz w:val="24"/>
                <w:vertAlign w:val="superscript"/>
              </w:rPr>
              <w:t>2</w:t>
            </w:r>
            <w:r>
              <w:rPr>
                <w:rFonts w:hint="eastAsia"/>
                <w:color w:val="000000"/>
                <w:kern w:val="0"/>
                <w:sz w:val="24"/>
              </w:rPr>
              <w:t>。</w:t>
            </w:r>
          </w:p>
          <w:p>
            <w:pPr>
              <w:widowControl/>
              <w:spacing w:line="480" w:lineRule="exact"/>
              <w:ind w:firstLine="480" w:firstLineChars="200"/>
              <w:jc w:val="left"/>
              <w:rPr>
                <w:color w:val="000000"/>
                <w:kern w:val="0"/>
                <w:sz w:val="24"/>
              </w:rPr>
            </w:pPr>
            <w:r>
              <w:rPr>
                <w:rFonts w:hint="eastAsia"/>
                <w:color w:val="000000"/>
                <w:kern w:val="0"/>
                <w:sz w:val="24"/>
              </w:rPr>
              <w:t>（</w:t>
            </w:r>
            <w:r>
              <w:rPr>
                <w:color w:val="000000"/>
                <w:kern w:val="0"/>
                <w:sz w:val="24"/>
              </w:rPr>
              <w:t>5</w:t>
            </w:r>
            <w:r>
              <w:rPr>
                <w:rFonts w:hint="eastAsia"/>
                <w:color w:val="000000"/>
                <w:kern w:val="0"/>
                <w:sz w:val="24"/>
              </w:rPr>
              <w:t>）等效室外声源的位置为围护结构的位置，其倍频带声功率级为</w:t>
            </w:r>
            <w:r>
              <w:rPr>
                <w:color w:val="000000"/>
                <w:kern w:val="0"/>
                <w:sz w:val="24"/>
              </w:rPr>
              <w:t>Lw,oct</w:t>
            </w:r>
            <w:r>
              <w:rPr>
                <w:rFonts w:hint="eastAsia"/>
                <w:color w:val="000000"/>
                <w:kern w:val="0"/>
                <w:sz w:val="24"/>
              </w:rPr>
              <w:t>，由此按室外声源在预测方法计算等效室外声源在预测点产生的声级。</w:t>
            </w:r>
          </w:p>
          <w:p>
            <w:pPr>
              <w:widowControl/>
              <w:spacing w:line="480" w:lineRule="exact"/>
              <w:ind w:firstLine="480" w:firstLineChars="200"/>
              <w:jc w:val="left"/>
              <w:rPr>
                <w:color w:val="000000"/>
                <w:kern w:val="0"/>
                <w:sz w:val="24"/>
              </w:rPr>
            </w:pPr>
            <w:r>
              <w:rPr>
                <w:rFonts w:hint="eastAsia"/>
                <w:color w:val="000000"/>
                <w:kern w:val="0"/>
                <w:sz w:val="24"/>
              </w:rPr>
              <w:t>（</w:t>
            </w:r>
            <w:r>
              <w:rPr>
                <w:color w:val="000000"/>
                <w:kern w:val="0"/>
                <w:sz w:val="24"/>
              </w:rPr>
              <w:t>6</w:t>
            </w:r>
            <w:r>
              <w:rPr>
                <w:rFonts w:hint="eastAsia"/>
                <w:color w:val="000000"/>
                <w:kern w:val="0"/>
                <w:sz w:val="24"/>
              </w:rPr>
              <w:t>）计算某个室外声源在预测点产生的倍频带声压级</w:t>
            </w:r>
          </w:p>
          <w:p>
            <w:pPr>
              <w:widowControl/>
              <w:spacing w:line="460" w:lineRule="exact"/>
              <w:ind w:firstLine="480" w:firstLineChars="200"/>
              <w:jc w:val="center"/>
              <w:rPr>
                <w:color w:val="000000"/>
                <w:kern w:val="0"/>
                <w:sz w:val="24"/>
              </w:rPr>
            </w:pPr>
            <w:r>
              <w:rPr>
                <w:color w:val="000000"/>
                <w:kern w:val="0"/>
                <w:sz w:val="24"/>
              </w:rPr>
              <w:drawing>
                <wp:inline distT="0" distB="0" distL="114300" distR="114300">
                  <wp:extent cx="2320290" cy="233045"/>
                  <wp:effectExtent l="0" t="0" r="3810" b="1524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5"/>
                          <a:stretch>
                            <a:fillRect/>
                          </a:stretch>
                        </pic:blipFill>
                        <pic:spPr>
                          <a:xfrm>
                            <a:off x="0" y="0"/>
                            <a:ext cx="2320290" cy="233045"/>
                          </a:xfrm>
                          <a:prstGeom prst="rect">
                            <a:avLst/>
                          </a:prstGeom>
                          <a:noFill/>
                          <a:ln>
                            <a:noFill/>
                          </a:ln>
                        </pic:spPr>
                      </pic:pic>
                    </a:graphicData>
                  </a:graphic>
                </wp:inline>
              </w:drawing>
            </w:r>
          </w:p>
          <w:p>
            <w:pPr>
              <w:widowControl/>
              <w:spacing w:line="480" w:lineRule="exact"/>
              <w:ind w:firstLine="480" w:firstLineChars="200"/>
              <w:jc w:val="left"/>
              <w:rPr>
                <w:color w:val="000000"/>
                <w:kern w:val="0"/>
                <w:sz w:val="24"/>
              </w:rPr>
            </w:pPr>
            <w:r>
              <w:rPr>
                <w:color w:val="000000"/>
                <w:kern w:val="0"/>
                <w:sz w:val="24"/>
              </w:rPr>
              <w:t xml:space="preserve">    </w:t>
            </w:r>
            <w:r>
              <w:rPr>
                <w:rFonts w:hint="eastAsia"/>
                <w:color w:val="000000"/>
                <w:kern w:val="0"/>
                <w:sz w:val="24"/>
              </w:rPr>
              <w:t>式中：</w:t>
            </w:r>
            <w:r>
              <w:rPr>
                <w:color w:val="000000"/>
                <w:kern w:val="0"/>
                <w:sz w:val="24"/>
              </w:rPr>
              <w:t>Loct(r)——</w:t>
            </w:r>
            <w:r>
              <w:rPr>
                <w:rFonts w:hint="eastAsia"/>
                <w:color w:val="000000"/>
                <w:kern w:val="0"/>
                <w:sz w:val="24"/>
              </w:rPr>
              <w:t>点声源在预测点产生的倍频带声压级，</w:t>
            </w:r>
            <w:r>
              <w:rPr>
                <w:color w:val="000000"/>
                <w:kern w:val="0"/>
                <w:sz w:val="24"/>
              </w:rPr>
              <w:t>dB</w:t>
            </w:r>
            <w:r>
              <w:rPr>
                <w:rFonts w:hint="eastAsia"/>
                <w:color w:val="000000"/>
                <w:kern w:val="0"/>
                <w:sz w:val="24"/>
              </w:rPr>
              <w:t>；</w:t>
            </w:r>
          </w:p>
          <w:p>
            <w:pPr>
              <w:widowControl/>
              <w:spacing w:line="480" w:lineRule="exact"/>
              <w:ind w:firstLine="480" w:firstLineChars="200"/>
              <w:jc w:val="left"/>
              <w:rPr>
                <w:color w:val="000000"/>
                <w:kern w:val="0"/>
                <w:sz w:val="24"/>
              </w:rPr>
            </w:pPr>
            <w:r>
              <w:rPr>
                <w:color w:val="000000"/>
                <w:kern w:val="0"/>
                <w:sz w:val="24"/>
              </w:rPr>
              <w:t xml:space="preserve">          Loct(r</w:t>
            </w:r>
            <w:r>
              <w:rPr>
                <w:color w:val="000000"/>
                <w:kern w:val="0"/>
                <w:sz w:val="24"/>
                <w:vertAlign w:val="subscript"/>
              </w:rPr>
              <w:t>0</w:t>
            </w:r>
            <w:r>
              <w:rPr>
                <w:color w:val="000000"/>
                <w:kern w:val="0"/>
                <w:sz w:val="24"/>
              </w:rPr>
              <w:t>)——</w:t>
            </w:r>
            <w:r>
              <w:rPr>
                <w:rFonts w:hint="eastAsia"/>
                <w:color w:val="000000"/>
                <w:kern w:val="0"/>
                <w:sz w:val="24"/>
              </w:rPr>
              <w:t>参考位置</w:t>
            </w:r>
            <w:r>
              <w:rPr>
                <w:color w:val="000000"/>
                <w:kern w:val="0"/>
                <w:sz w:val="24"/>
              </w:rPr>
              <w:t>r</w:t>
            </w:r>
            <w:r>
              <w:rPr>
                <w:color w:val="000000"/>
                <w:kern w:val="0"/>
                <w:sz w:val="24"/>
                <w:vertAlign w:val="subscript"/>
              </w:rPr>
              <w:t>0</w:t>
            </w:r>
            <w:r>
              <w:rPr>
                <w:rFonts w:hint="eastAsia"/>
                <w:color w:val="000000"/>
                <w:kern w:val="0"/>
                <w:sz w:val="24"/>
              </w:rPr>
              <w:t>处的倍频声压级，</w:t>
            </w:r>
            <w:r>
              <w:rPr>
                <w:color w:val="000000"/>
                <w:kern w:val="0"/>
                <w:sz w:val="24"/>
              </w:rPr>
              <w:t>dB</w:t>
            </w:r>
            <w:r>
              <w:rPr>
                <w:rFonts w:hint="eastAsia"/>
                <w:color w:val="000000"/>
                <w:kern w:val="0"/>
                <w:sz w:val="24"/>
              </w:rPr>
              <w:t>；</w:t>
            </w:r>
          </w:p>
          <w:p>
            <w:pPr>
              <w:widowControl/>
              <w:spacing w:line="480" w:lineRule="exact"/>
              <w:ind w:firstLine="1680" w:firstLineChars="700"/>
              <w:jc w:val="left"/>
              <w:rPr>
                <w:color w:val="000000"/>
                <w:kern w:val="0"/>
                <w:sz w:val="24"/>
              </w:rPr>
            </w:pPr>
            <w:r>
              <w:rPr>
                <w:color w:val="000000"/>
                <w:kern w:val="0"/>
                <w:sz w:val="24"/>
              </w:rPr>
              <w:t>r——</w:t>
            </w:r>
            <w:r>
              <w:rPr>
                <w:rFonts w:hint="eastAsia"/>
                <w:color w:val="000000"/>
                <w:kern w:val="0"/>
                <w:sz w:val="24"/>
              </w:rPr>
              <w:t>预测点距声源的距离，</w:t>
            </w:r>
            <w:r>
              <w:rPr>
                <w:color w:val="000000"/>
                <w:kern w:val="0"/>
                <w:sz w:val="24"/>
              </w:rPr>
              <w:t>m</w:t>
            </w:r>
            <w:r>
              <w:rPr>
                <w:rFonts w:hint="eastAsia"/>
                <w:color w:val="000000"/>
                <w:kern w:val="0"/>
                <w:sz w:val="24"/>
              </w:rPr>
              <w:t>；</w:t>
            </w:r>
          </w:p>
          <w:p>
            <w:pPr>
              <w:widowControl/>
              <w:spacing w:line="480" w:lineRule="exact"/>
              <w:ind w:firstLine="480" w:firstLineChars="200"/>
              <w:jc w:val="left"/>
              <w:rPr>
                <w:color w:val="000000"/>
                <w:kern w:val="0"/>
                <w:sz w:val="24"/>
              </w:rPr>
            </w:pPr>
            <w:r>
              <w:rPr>
                <w:color w:val="000000"/>
                <w:kern w:val="0"/>
                <w:sz w:val="24"/>
              </w:rPr>
              <w:t xml:space="preserve">          r</w:t>
            </w:r>
            <w:r>
              <w:rPr>
                <w:color w:val="000000"/>
                <w:kern w:val="0"/>
                <w:sz w:val="24"/>
                <w:vertAlign w:val="subscript"/>
              </w:rPr>
              <w:t>0</w:t>
            </w:r>
            <w:r>
              <w:rPr>
                <w:color w:val="000000"/>
                <w:kern w:val="0"/>
                <w:sz w:val="24"/>
              </w:rPr>
              <w:t>——</w:t>
            </w:r>
            <w:r>
              <w:rPr>
                <w:rFonts w:hint="eastAsia"/>
                <w:color w:val="000000"/>
                <w:kern w:val="0"/>
                <w:sz w:val="24"/>
              </w:rPr>
              <w:t>参考位置距声源的距离，</w:t>
            </w:r>
            <w:r>
              <w:rPr>
                <w:color w:val="000000"/>
                <w:kern w:val="0"/>
                <w:sz w:val="24"/>
              </w:rPr>
              <w:t>m</w:t>
            </w:r>
            <w:r>
              <w:rPr>
                <w:rFonts w:hint="eastAsia"/>
                <w:color w:val="000000"/>
                <w:kern w:val="0"/>
                <w:sz w:val="24"/>
              </w:rPr>
              <w:t>；</w:t>
            </w:r>
          </w:p>
          <w:p>
            <w:pPr>
              <w:widowControl/>
              <w:spacing w:line="480" w:lineRule="exact"/>
              <w:ind w:firstLine="480" w:firstLineChars="200"/>
              <w:jc w:val="left"/>
              <w:rPr>
                <w:color w:val="000000"/>
                <w:kern w:val="0"/>
                <w:sz w:val="24"/>
              </w:rPr>
            </w:pPr>
            <w:r>
              <w:rPr>
                <w:color w:val="000000"/>
                <w:kern w:val="0"/>
                <w:sz w:val="24"/>
              </w:rPr>
              <w:t xml:space="preserve">         </w:t>
            </w:r>
            <w:r>
              <w:rPr>
                <w:rFonts w:ascii="Cambria Math" w:hAnsi="Cambria Math" w:cs="Cambria Math"/>
                <w:color w:val="000000"/>
                <w:kern w:val="0"/>
                <w:sz w:val="24"/>
              </w:rPr>
              <w:t>△</w:t>
            </w:r>
            <w:r>
              <w:rPr>
                <w:color w:val="000000"/>
                <w:kern w:val="0"/>
                <w:sz w:val="24"/>
              </w:rPr>
              <w:t>Loct——</w:t>
            </w:r>
            <w:r>
              <w:rPr>
                <w:rFonts w:hint="eastAsia"/>
                <w:color w:val="000000"/>
                <w:kern w:val="0"/>
                <w:sz w:val="24"/>
              </w:rPr>
              <w:t>各种因素引起的衰减量</w:t>
            </w:r>
            <w:r>
              <w:rPr>
                <w:color w:val="000000"/>
                <w:kern w:val="0"/>
                <w:sz w:val="24"/>
              </w:rPr>
              <w:t>(</w:t>
            </w:r>
            <w:r>
              <w:rPr>
                <w:rFonts w:hint="eastAsia"/>
                <w:color w:val="000000"/>
                <w:kern w:val="0"/>
                <w:sz w:val="24"/>
              </w:rPr>
              <w:t>包括声屏障、遮挡物、空气吸收、地面效应引起的衰减量</w:t>
            </w:r>
            <w:r>
              <w:rPr>
                <w:color w:val="000000"/>
                <w:kern w:val="0"/>
                <w:sz w:val="24"/>
              </w:rPr>
              <w:t>)</w:t>
            </w:r>
            <w:r>
              <w:rPr>
                <w:rFonts w:hint="eastAsia"/>
                <w:color w:val="000000"/>
                <w:kern w:val="0"/>
                <w:sz w:val="24"/>
              </w:rPr>
              <w:t>。</w:t>
            </w:r>
          </w:p>
          <w:p>
            <w:pPr>
              <w:widowControl/>
              <w:spacing w:line="480" w:lineRule="exact"/>
              <w:ind w:firstLine="480" w:firstLineChars="200"/>
              <w:jc w:val="left"/>
              <w:rPr>
                <w:color w:val="000000"/>
                <w:kern w:val="0"/>
                <w:sz w:val="24"/>
              </w:rPr>
            </w:pPr>
            <w:r>
              <w:rPr>
                <w:rFonts w:hint="eastAsia"/>
                <w:color w:val="000000"/>
                <w:kern w:val="0"/>
                <w:sz w:val="24"/>
              </w:rPr>
              <w:t>如果已知声源的倍频带声功率级</w:t>
            </w:r>
            <w:r>
              <w:rPr>
                <w:color w:val="000000"/>
                <w:kern w:val="0"/>
                <w:sz w:val="24"/>
              </w:rPr>
              <w:t>Lw,oct</w:t>
            </w:r>
            <w:r>
              <w:rPr>
                <w:rFonts w:hint="eastAsia"/>
                <w:color w:val="000000"/>
                <w:kern w:val="0"/>
                <w:sz w:val="24"/>
              </w:rPr>
              <w:t>，且声源可看作是位于地面上的，则：</w:t>
            </w:r>
            <w:r>
              <w:rPr>
                <w:color w:val="000000"/>
                <w:kern w:val="0"/>
                <w:sz w:val="24"/>
              </w:rPr>
              <w:drawing>
                <wp:inline distT="0" distB="0" distL="114300" distR="114300">
                  <wp:extent cx="1716405" cy="233045"/>
                  <wp:effectExtent l="0" t="0" r="17145" b="1524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6"/>
                          <a:stretch>
                            <a:fillRect/>
                          </a:stretch>
                        </pic:blipFill>
                        <pic:spPr>
                          <a:xfrm>
                            <a:off x="0" y="0"/>
                            <a:ext cx="1716405" cy="233045"/>
                          </a:xfrm>
                          <a:prstGeom prst="rect">
                            <a:avLst/>
                          </a:prstGeom>
                          <a:noFill/>
                          <a:ln>
                            <a:noFill/>
                          </a:ln>
                        </pic:spPr>
                      </pic:pic>
                    </a:graphicData>
                  </a:graphic>
                </wp:inline>
              </w:drawing>
            </w:r>
          </w:p>
          <w:p>
            <w:pPr>
              <w:widowControl/>
              <w:spacing w:line="520" w:lineRule="exact"/>
              <w:ind w:firstLine="480" w:firstLineChars="200"/>
              <w:jc w:val="left"/>
              <w:rPr>
                <w:color w:val="000000"/>
                <w:kern w:val="0"/>
                <w:sz w:val="24"/>
              </w:rPr>
            </w:pPr>
            <w:r>
              <w:rPr>
                <w:rFonts w:hint="eastAsia"/>
                <w:color w:val="000000"/>
                <w:kern w:val="0"/>
                <w:sz w:val="24"/>
              </w:rPr>
              <w:t>（</w:t>
            </w:r>
            <w:r>
              <w:rPr>
                <w:color w:val="000000"/>
                <w:kern w:val="0"/>
                <w:sz w:val="24"/>
              </w:rPr>
              <w:t>7</w:t>
            </w:r>
            <w:r>
              <w:rPr>
                <w:rFonts w:hint="eastAsia"/>
                <w:color w:val="000000"/>
                <w:kern w:val="0"/>
                <w:sz w:val="24"/>
              </w:rPr>
              <w:t>）等效连续</w:t>
            </w:r>
            <w:r>
              <w:rPr>
                <w:color w:val="000000"/>
                <w:kern w:val="0"/>
                <w:sz w:val="24"/>
              </w:rPr>
              <w:t>A</w:t>
            </w:r>
            <w:r>
              <w:rPr>
                <w:rFonts w:hint="eastAsia"/>
                <w:color w:val="000000"/>
                <w:kern w:val="0"/>
                <w:sz w:val="24"/>
              </w:rPr>
              <w:t>声级</w:t>
            </w:r>
          </w:p>
          <w:p>
            <w:pPr>
              <w:widowControl/>
              <w:spacing w:line="460" w:lineRule="exact"/>
              <w:ind w:firstLine="480"/>
              <w:jc w:val="center"/>
              <w:rPr>
                <w:color w:val="000000"/>
                <w:kern w:val="0"/>
                <w:sz w:val="24"/>
              </w:rPr>
            </w:pPr>
          </w:p>
          <w:p>
            <w:pPr>
              <w:widowControl/>
              <w:spacing w:line="460" w:lineRule="exact"/>
              <w:ind w:firstLine="480"/>
              <w:jc w:val="center"/>
              <w:rPr>
                <w:color w:val="000000"/>
                <w:kern w:val="0"/>
                <w:sz w:val="24"/>
              </w:rPr>
            </w:pPr>
          </w:p>
          <w:p>
            <w:pPr>
              <w:widowControl/>
              <w:spacing w:line="460" w:lineRule="exact"/>
              <w:ind w:firstLine="420" w:firstLineChars="200"/>
              <w:jc w:val="left"/>
              <w:rPr>
                <w:color w:val="000000"/>
                <w:kern w:val="0"/>
                <w:sz w:val="24"/>
              </w:rPr>
            </w:pPr>
            <w:r>
              <w:drawing>
                <wp:anchor distT="0" distB="0" distL="114300" distR="114300" simplePos="0" relativeHeight="251659264" behindDoc="0" locked="0" layoutInCell="1" allowOverlap="1">
                  <wp:simplePos x="0" y="0"/>
                  <wp:positionH relativeFrom="column">
                    <wp:posOffset>1533525</wp:posOffset>
                  </wp:positionH>
                  <wp:positionV relativeFrom="paragraph">
                    <wp:posOffset>-533400</wp:posOffset>
                  </wp:positionV>
                  <wp:extent cx="1856740" cy="437515"/>
                  <wp:effectExtent l="0" t="0" r="10160" b="635"/>
                  <wp:wrapSquare wrapText="bothSides"/>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7"/>
                          <a:stretch>
                            <a:fillRect/>
                          </a:stretch>
                        </pic:blipFill>
                        <pic:spPr>
                          <a:xfrm>
                            <a:off x="0" y="0"/>
                            <a:ext cx="1856740" cy="437515"/>
                          </a:xfrm>
                          <a:prstGeom prst="rect">
                            <a:avLst/>
                          </a:prstGeom>
                          <a:noFill/>
                          <a:ln>
                            <a:noFill/>
                          </a:ln>
                        </pic:spPr>
                      </pic:pic>
                    </a:graphicData>
                  </a:graphic>
                </wp:anchor>
              </w:drawing>
            </w:r>
            <w:r>
              <w:rPr>
                <w:color w:val="000000"/>
                <w:kern w:val="0"/>
                <w:sz w:val="24"/>
              </w:rPr>
              <w:t xml:space="preserve">  </w:t>
            </w:r>
            <w:r>
              <w:rPr>
                <w:rFonts w:hint="eastAsia"/>
                <w:color w:val="000000"/>
                <w:kern w:val="0"/>
                <w:sz w:val="24"/>
              </w:rPr>
              <w:t>式中：</w:t>
            </w:r>
            <w:r>
              <w:rPr>
                <w:color w:val="000000"/>
                <w:kern w:val="0"/>
                <w:sz w:val="24"/>
              </w:rPr>
              <w:t>LAeq</w:t>
            </w:r>
            <w:r>
              <w:rPr>
                <w:rFonts w:hint="eastAsia"/>
                <w:color w:val="000000"/>
                <w:kern w:val="0"/>
                <w:sz w:val="24"/>
              </w:rPr>
              <w:t>：在</w:t>
            </w:r>
            <w:r>
              <w:rPr>
                <w:color w:val="000000"/>
                <w:kern w:val="0"/>
                <w:sz w:val="24"/>
              </w:rPr>
              <w:t>T</w:t>
            </w:r>
            <w:r>
              <w:rPr>
                <w:rFonts w:hint="eastAsia"/>
                <w:color w:val="000000"/>
                <w:kern w:val="0"/>
                <w:sz w:val="24"/>
              </w:rPr>
              <w:t>段时间内的等效声级</w:t>
            </w:r>
            <w:r>
              <w:rPr>
                <w:color w:val="000000"/>
                <w:kern w:val="0"/>
                <w:sz w:val="24"/>
              </w:rPr>
              <w:t>dB(A)</w:t>
            </w:r>
            <w:r>
              <w:rPr>
                <w:rFonts w:hint="eastAsia"/>
                <w:color w:val="000000"/>
                <w:kern w:val="0"/>
                <w:sz w:val="24"/>
              </w:rPr>
              <w:t>；</w:t>
            </w:r>
          </w:p>
          <w:p>
            <w:pPr>
              <w:widowControl/>
              <w:spacing w:line="460" w:lineRule="exact"/>
              <w:ind w:firstLine="480" w:firstLineChars="200"/>
              <w:jc w:val="left"/>
              <w:rPr>
                <w:color w:val="000000"/>
                <w:kern w:val="0"/>
                <w:sz w:val="24"/>
              </w:rPr>
            </w:pPr>
            <w:r>
              <w:rPr>
                <w:color w:val="000000"/>
                <w:kern w:val="0"/>
                <w:sz w:val="24"/>
              </w:rPr>
              <w:t xml:space="preserve">        T</w:t>
            </w:r>
            <w:r>
              <w:rPr>
                <w:rFonts w:hint="eastAsia"/>
                <w:color w:val="000000"/>
                <w:kern w:val="0"/>
                <w:sz w:val="24"/>
              </w:rPr>
              <w:t>：计算时间段的时间总数，对于昼间</w:t>
            </w:r>
            <w:r>
              <w:rPr>
                <w:color w:val="000000"/>
                <w:kern w:val="0"/>
                <w:sz w:val="24"/>
              </w:rPr>
              <w:t>T=16</w:t>
            </w:r>
            <w:r>
              <w:rPr>
                <w:rFonts w:hint="eastAsia"/>
                <w:color w:val="000000"/>
                <w:kern w:val="0"/>
                <w:sz w:val="24"/>
              </w:rPr>
              <w:t>，夜间</w:t>
            </w:r>
            <w:r>
              <w:rPr>
                <w:color w:val="000000"/>
                <w:kern w:val="0"/>
                <w:sz w:val="24"/>
              </w:rPr>
              <w:t>T=8</w:t>
            </w:r>
            <w:r>
              <w:rPr>
                <w:rFonts w:hint="eastAsia"/>
                <w:color w:val="000000"/>
                <w:kern w:val="0"/>
                <w:sz w:val="24"/>
              </w:rPr>
              <w:t>；</w:t>
            </w:r>
          </w:p>
          <w:p>
            <w:pPr>
              <w:widowControl/>
              <w:spacing w:line="460" w:lineRule="exact"/>
              <w:ind w:firstLine="480" w:firstLineChars="200"/>
              <w:jc w:val="left"/>
              <w:rPr>
                <w:color w:val="000000"/>
                <w:kern w:val="0"/>
                <w:sz w:val="24"/>
              </w:rPr>
            </w:pPr>
            <w:r>
              <w:rPr>
                <w:color w:val="000000"/>
                <w:kern w:val="0"/>
                <w:sz w:val="24"/>
              </w:rPr>
              <w:t xml:space="preserve">        t</w:t>
            </w:r>
            <w:r>
              <w:rPr>
                <w:rFonts w:hint="eastAsia"/>
                <w:color w:val="000000"/>
                <w:kern w:val="0"/>
                <w:sz w:val="24"/>
              </w:rPr>
              <w:t>：某时段的时间序号；</w:t>
            </w:r>
          </w:p>
          <w:p>
            <w:pPr>
              <w:widowControl/>
              <w:spacing w:line="460" w:lineRule="exact"/>
              <w:ind w:firstLine="480" w:firstLineChars="200"/>
              <w:jc w:val="left"/>
              <w:rPr>
                <w:color w:val="000000"/>
                <w:kern w:val="0"/>
                <w:sz w:val="24"/>
              </w:rPr>
            </w:pPr>
            <w:r>
              <w:rPr>
                <w:color w:val="000000"/>
                <w:kern w:val="0"/>
                <w:sz w:val="24"/>
              </w:rPr>
              <w:t xml:space="preserve">        SLA</w:t>
            </w:r>
            <w:r>
              <w:rPr>
                <w:rFonts w:hint="eastAsia"/>
                <w:color w:val="000000"/>
                <w:kern w:val="0"/>
                <w:sz w:val="24"/>
              </w:rPr>
              <w:t>：某时段的</w:t>
            </w:r>
            <w:r>
              <w:rPr>
                <w:color w:val="000000"/>
                <w:kern w:val="0"/>
                <w:sz w:val="24"/>
              </w:rPr>
              <w:t>A</w:t>
            </w:r>
            <w:r>
              <w:rPr>
                <w:rFonts w:hint="eastAsia"/>
                <w:color w:val="000000"/>
                <w:kern w:val="0"/>
                <w:sz w:val="24"/>
              </w:rPr>
              <w:t>声级</w:t>
            </w:r>
            <w:r>
              <w:rPr>
                <w:color w:val="000000"/>
                <w:kern w:val="0"/>
                <w:sz w:val="24"/>
              </w:rPr>
              <w:t>dB(A)</w:t>
            </w:r>
            <w:r>
              <w:rPr>
                <w:rFonts w:hint="eastAsia"/>
                <w:color w:val="000000"/>
                <w:kern w:val="0"/>
                <w:sz w:val="24"/>
              </w:rPr>
              <w:t>。</w:t>
            </w:r>
          </w:p>
          <w:p>
            <w:pPr>
              <w:widowControl/>
              <w:spacing w:line="480" w:lineRule="exact"/>
              <w:ind w:firstLine="482" w:firstLineChars="200"/>
              <w:jc w:val="left"/>
              <w:rPr>
                <w:b/>
                <w:color w:val="000000"/>
                <w:kern w:val="0"/>
                <w:sz w:val="24"/>
              </w:rPr>
            </w:pPr>
            <w:r>
              <w:rPr>
                <w:rFonts w:hint="eastAsia"/>
                <w:b/>
                <w:color w:val="000000"/>
                <w:kern w:val="0"/>
                <w:sz w:val="24"/>
              </w:rPr>
              <w:t>3、预测结果</w:t>
            </w:r>
          </w:p>
          <w:p>
            <w:pPr>
              <w:widowControl/>
              <w:spacing w:before="156" w:beforeLines="50"/>
              <w:jc w:val="center"/>
              <w:rPr>
                <w:rFonts w:hint="eastAsia"/>
                <w:color w:val="000000"/>
                <w:kern w:val="0"/>
                <w:sz w:val="24"/>
              </w:rPr>
            </w:pPr>
            <w:r>
              <w:rPr>
                <w:color w:val="000000"/>
                <w:kern w:val="0"/>
                <w:sz w:val="24"/>
              </w:rPr>
              <w:t>拟建项目运行时的预测噪声排放值结果见表</w:t>
            </w:r>
            <w:r>
              <w:rPr>
                <w:rFonts w:hint="eastAsia"/>
                <w:color w:val="000000"/>
                <w:kern w:val="0"/>
                <w:sz w:val="24"/>
              </w:rPr>
              <w:t>4</w:t>
            </w:r>
            <w:r>
              <w:rPr>
                <w:rFonts w:hint="eastAsia"/>
                <w:color w:val="000000"/>
                <w:kern w:val="0"/>
                <w:sz w:val="24"/>
                <w:lang w:val="en-US" w:eastAsia="zh-CN"/>
              </w:rPr>
              <w:t>-6</w:t>
            </w:r>
            <w:r>
              <w:rPr>
                <w:rFonts w:hint="eastAsia"/>
                <w:color w:val="000000"/>
                <w:kern w:val="0"/>
                <w:sz w:val="24"/>
              </w:rPr>
              <w:t>所示</w:t>
            </w:r>
          </w:p>
          <w:p>
            <w:pPr>
              <w:widowControl/>
              <w:spacing w:before="156" w:beforeLines="50"/>
              <w:jc w:val="center"/>
              <w:rPr>
                <w:color w:val="0C0C0C"/>
                <w:kern w:val="0"/>
                <w:sz w:val="24"/>
                <w:szCs w:val="20"/>
              </w:rPr>
            </w:pPr>
            <w:r>
              <w:rPr>
                <w:b/>
                <w:color w:val="0C0C0C"/>
                <w:kern w:val="0"/>
                <w:sz w:val="24"/>
              </w:rPr>
              <w:t>表</w:t>
            </w:r>
            <w:r>
              <w:rPr>
                <w:rFonts w:hint="eastAsia"/>
                <w:b/>
                <w:color w:val="0C0C0C"/>
                <w:kern w:val="0"/>
                <w:sz w:val="24"/>
                <w:lang w:val="en-US" w:eastAsia="zh-CN"/>
              </w:rPr>
              <w:t xml:space="preserve">4-6  </w:t>
            </w:r>
            <w:r>
              <w:rPr>
                <w:b/>
                <w:color w:val="0C0C0C"/>
                <w:kern w:val="0"/>
                <w:sz w:val="24"/>
              </w:rPr>
              <w:t>噪声排放预测结果  单位：dB(A)</w:t>
            </w:r>
          </w:p>
          <w:tbl>
            <w:tblPr>
              <w:tblStyle w:val="58"/>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509"/>
              <w:gridCol w:w="2607"/>
              <w:gridCol w:w="325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24" w:hRule="atLeast"/>
                <w:jc w:val="center"/>
              </w:trPr>
              <w:tc>
                <w:tcPr>
                  <w:tcW w:w="1498" w:type="pct"/>
                  <w:tcBorders>
                    <w:top w:val="single" w:color="000000" w:sz="12" w:space="0"/>
                    <w:left w:val="nil"/>
                    <w:bottom w:val="single" w:color="auto" w:sz="4" w:space="0"/>
                  </w:tcBorders>
                  <w:noWrap w:val="0"/>
                  <w:vAlign w:val="center"/>
                </w:tcPr>
                <w:p>
                  <w:pPr>
                    <w:widowControl/>
                    <w:snapToGrid w:val="0"/>
                    <w:spacing w:line="300" w:lineRule="exact"/>
                    <w:jc w:val="center"/>
                    <w:rPr>
                      <w:b/>
                      <w:color w:val="0C0C0C"/>
                      <w:kern w:val="0"/>
                      <w:szCs w:val="21"/>
                    </w:rPr>
                  </w:pPr>
                  <w:r>
                    <w:rPr>
                      <w:b/>
                      <w:color w:val="0C0C0C"/>
                      <w:kern w:val="0"/>
                      <w:szCs w:val="21"/>
                    </w:rPr>
                    <w:t>预测点位</w:t>
                  </w:r>
                </w:p>
              </w:tc>
              <w:tc>
                <w:tcPr>
                  <w:tcW w:w="1557" w:type="pct"/>
                  <w:tcBorders>
                    <w:top w:val="single" w:color="000000" w:sz="12" w:space="0"/>
                    <w:bottom w:val="single" w:color="auto" w:sz="4" w:space="0"/>
                  </w:tcBorders>
                  <w:noWrap w:val="0"/>
                  <w:vAlign w:val="center"/>
                </w:tcPr>
                <w:p>
                  <w:pPr>
                    <w:widowControl/>
                    <w:snapToGrid w:val="0"/>
                    <w:spacing w:line="300" w:lineRule="exact"/>
                    <w:jc w:val="center"/>
                    <w:rPr>
                      <w:b/>
                      <w:color w:val="0C0C0C"/>
                      <w:kern w:val="0"/>
                      <w:szCs w:val="21"/>
                    </w:rPr>
                  </w:pPr>
                  <w:r>
                    <w:rPr>
                      <w:rFonts w:hint="eastAsia"/>
                      <w:b/>
                      <w:color w:val="0C0C0C"/>
                      <w:kern w:val="0"/>
                      <w:szCs w:val="21"/>
                    </w:rPr>
                    <w:t>贡献</w:t>
                  </w:r>
                  <w:r>
                    <w:rPr>
                      <w:b/>
                      <w:color w:val="0C0C0C"/>
                      <w:kern w:val="0"/>
                      <w:szCs w:val="21"/>
                    </w:rPr>
                    <w:t>值</w:t>
                  </w:r>
                </w:p>
              </w:tc>
              <w:tc>
                <w:tcPr>
                  <w:tcW w:w="1945" w:type="pct"/>
                  <w:tcBorders>
                    <w:top w:val="single" w:color="000000" w:sz="12" w:space="0"/>
                    <w:bottom w:val="single" w:color="auto" w:sz="4" w:space="0"/>
                    <w:right w:val="nil"/>
                  </w:tcBorders>
                  <w:noWrap w:val="0"/>
                  <w:vAlign w:val="center"/>
                </w:tcPr>
                <w:p>
                  <w:pPr>
                    <w:widowControl/>
                    <w:snapToGrid w:val="0"/>
                    <w:spacing w:line="300" w:lineRule="exact"/>
                    <w:jc w:val="center"/>
                    <w:rPr>
                      <w:b/>
                      <w:color w:val="0C0C0C"/>
                      <w:kern w:val="0"/>
                      <w:szCs w:val="21"/>
                    </w:rPr>
                  </w:pPr>
                  <w:r>
                    <w:rPr>
                      <w:b/>
                      <w:color w:val="0C0C0C"/>
                      <w:kern w:val="0"/>
                      <w:szCs w:val="21"/>
                    </w:rPr>
                    <w:t>标准值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24" w:hRule="atLeast"/>
                <w:jc w:val="center"/>
              </w:trPr>
              <w:tc>
                <w:tcPr>
                  <w:tcW w:w="1498" w:type="pct"/>
                  <w:tcBorders>
                    <w:top w:val="single" w:color="auto" w:sz="4" w:space="0"/>
                    <w:left w:val="nil"/>
                  </w:tcBorders>
                  <w:noWrap w:val="0"/>
                  <w:vAlign w:val="center"/>
                </w:tcPr>
                <w:p>
                  <w:pPr>
                    <w:widowControl/>
                    <w:snapToGrid w:val="0"/>
                    <w:spacing w:line="300" w:lineRule="exact"/>
                    <w:jc w:val="center"/>
                    <w:rPr>
                      <w:color w:val="0C0C0C"/>
                      <w:kern w:val="0"/>
                      <w:szCs w:val="21"/>
                    </w:rPr>
                  </w:pPr>
                  <w:r>
                    <w:rPr>
                      <w:color w:val="0C0C0C"/>
                      <w:kern w:val="0"/>
                      <w:szCs w:val="21"/>
                    </w:rPr>
                    <w:t>东厂界</w:t>
                  </w:r>
                </w:p>
              </w:tc>
              <w:tc>
                <w:tcPr>
                  <w:tcW w:w="1557" w:type="pct"/>
                  <w:tcBorders>
                    <w:top w:val="single" w:color="auto" w:sz="4" w:space="0"/>
                  </w:tcBorders>
                  <w:noWrap w:val="0"/>
                  <w:vAlign w:val="center"/>
                </w:tcPr>
                <w:p>
                  <w:pPr>
                    <w:widowControl/>
                    <w:snapToGrid w:val="0"/>
                    <w:spacing w:line="300" w:lineRule="exact"/>
                    <w:jc w:val="center"/>
                    <w:rPr>
                      <w:rFonts w:hint="default" w:eastAsia="宋体"/>
                      <w:color w:val="0C0C0C"/>
                      <w:kern w:val="0"/>
                      <w:szCs w:val="21"/>
                      <w:lang w:val="en-US" w:eastAsia="zh-CN"/>
                    </w:rPr>
                  </w:pPr>
                  <w:r>
                    <w:rPr>
                      <w:rFonts w:hint="eastAsia"/>
                      <w:color w:val="0C0C0C"/>
                      <w:kern w:val="0"/>
                      <w:szCs w:val="21"/>
                      <w:lang w:val="en-US" w:eastAsia="zh-CN"/>
                    </w:rPr>
                    <w:t>53.2</w:t>
                  </w:r>
                </w:p>
              </w:tc>
              <w:tc>
                <w:tcPr>
                  <w:tcW w:w="1945" w:type="pct"/>
                  <w:vMerge w:val="restart"/>
                  <w:tcBorders>
                    <w:top w:val="single" w:color="auto" w:sz="4" w:space="0"/>
                    <w:right w:val="nil"/>
                  </w:tcBorders>
                  <w:noWrap w:val="0"/>
                  <w:vAlign w:val="center"/>
                </w:tcPr>
                <w:p>
                  <w:pPr>
                    <w:widowControl/>
                    <w:snapToGrid w:val="0"/>
                    <w:spacing w:line="300" w:lineRule="exact"/>
                    <w:jc w:val="center"/>
                    <w:rPr>
                      <w:color w:val="0C0C0C"/>
                      <w:kern w:val="0"/>
                      <w:szCs w:val="21"/>
                    </w:rPr>
                  </w:pPr>
                  <w:r>
                    <w:rPr>
                      <w:color w:val="0C0C0C"/>
                      <w:kern w:val="0"/>
                      <w:szCs w:val="21"/>
                    </w:rPr>
                    <w:t>昼间≤65dB(A)</w:t>
                  </w:r>
                </w:p>
                <w:p>
                  <w:pPr>
                    <w:widowControl/>
                    <w:snapToGrid w:val="0"/>
                    <w:spacing w:line="300" w:lineRule="exact"/>
                    <w:jc w:val="center"/>
                    <w:rPr>
                      <w:color w:val="0C0C0C"/>
                      <w:kern w:val="0"/>
                      <w:szCs w:val="21"/>
                    </w:rPr>
                  </w:pPr>
                  <w:r>
                    <w:rPr>
                      <w:rFonts w:hint="eastAsia"/>
                      <w:color w:val="0C0C0C"/>
                      <w:kern w:val="0"/>
                      <w:szCs w:val="21"/>
                      <w:lang w:val="en-US" w:eastAsia="zh-CN"/>
                    </w:rPr>
                    <w:t>夜</w:t>
                  </w:r>
                  <w:r>
                    <w:rPr>
                      <w:color w:val="0C0C0C"/>
                      <w:kern w:val="0"/>
                      <w:szCs w:val="21"/>
                    </w:rPr>
                    <w:t>间≤</w:t>
                  </w:r>
                  <w:r>
                    <w:rPr>
                      <w:rFonts w:hint="eastAsia"/>
                      <w:color w:val="0C0C0C"/>
                      <w:kern w:val="0"/>
                      <w:szCs w:val="21"/>
                      <w:lang w:val="en-US" w:eastAsia="zh-CN"/>
                    </w:rPr>
                    <w:t>5</w:t>
                  </w:r>
                  <w:r>
                    <w:rPr>
                      <w:color w:val="0C0C0C"/>
                      <w:kern w:val="0"/>
                      <w:szCs w:val="21"/>
                    </w:rPr>
                    <w:t>5dB(A)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44" w:hRule="atLeast"/>
                <w:jc w:val="center"/>
              </w:trPr>
              <w:tc>
                <w:tcPr>
                  <w:tcW w:w="1498" w:type="pct"/>
                  <w:tcBorders>
                    <w:left w:val="nil"/>
                  </w:tcBorders>
                  <w:noWrap w:val="0"/>
                  <w:vAlign w:val="center"/>
                </w:tcPr>
                <w:p>
                  <w:pPr>
                    <w:widowControl/>
                    <w:snapToGrid w:val="0"/>
                    <w:spacing w:line="300" w:lineRule="exact"/>
                    <w:jc w:val="center"/>
                    <w:rPr>
                      <w:color w:val="0C0C0C"/>
                      <w:kern w:val="0"/>
                      <w:szCs w:val="21"/>
                    </w:rPr>
                  </w:pPr>
                  <w:r>
                    <w:rPr>
                      <w:color w:val="0C0C0C"/>
                      <w:kern w:val="0"/>
                      <w:szCs w:val="21"/>
                    </w:rPr>
                    <w:t>南厂界</w:t>
                  </w:r>
                </w:p>
              </w:tc>
              <w:tc>
                <w:tcPr>
                  <w:tcW w:w="1557" w:type="pct"/>
                  <w:noWrap w:val="0"/>
                  <w:vAlign w:val="center"/>
                </w:tcPr>
                <w:p>
                  <w:pPr>
                    <w:widowControl/>
                    <w:snapToGrid w:val="0"/>
                    <w:spacing w:line="300" w:lineRule="exact"/>
                    <w:jc w:val="center"/>
                    <w:rPr>
                      <w:rFonts w:hint="default" w:eastAsia="宋体"/>
                      <w:color w:val="0C0C0C"/>
                      <w:kern w:val="0"/>
                      <w:szCs w:val="21"/>
                      <w:lang w:val="en-US" w:eastAsia="zh-CN"/>
                    </w:rPr>
                  </w:pPr>
                  <w:r>
                    <w:rPr>
                      <w:rFonts w:hint="eastAsia"/>
                      <w:color w:val="0C0C0C"/>
                      <w:kern w:val="0"/>
                      <w:szCs w:val="21"/>
                      <w:lang w:val="en-US" w:eastAsia="zh-CN"/>
                    </w:rPr>
                    <w:t>54.8</w:t>
                  </w:r>
                </w:p>
              </w:tc>
              <w:tc>
                <w:tcPr>
                  <w:tcW w:w="1945" w:type="pct"/>
                  <w:vMerge w:val="continue"/>
                  <w:tcBorders>
                    <w:right w:val="nil"/>
                  </w:tcBorders>
                  <w:noWrap w:val="0"/>
                  <w:vAlign w:val="center"/>
                </w:tcPr>
                <w:p>
                  <w:pPr>
                    <w:widowControl/>
                    <w:snapToGrid w:val="0"/>
                    <w:spacing w:line="300" w:lineRule="exact"/>
                    <w:jc w:val="center"/>
                    <w:rPr>
                      <w:color w:val="0C0C0C"/>
                      <w:kern w:val="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48" w:hRule="atLeast"/>
                <w:jc w:val="center"/>
              </w:trPr>
              <w:tc>
                <w:tcPr>
                  <w:tcW w:w="1498" w:type="pct"/>
                  <w:tcBorders>
                    <w:left w:val="nil"/>
                  </w:tcBorders>
                  <w:noWrap w:val="0"/>
                  <w:vAlign w:val="center"/>
                </w:tcPr>
                <w:p>
                  <w:pPr>
                    <w:widowControl/>
                    <w:snapToGrid w:val="0"/>
                    <w:spacing w:line="300" w:lineRule="exact"/>
                    <w:jc w:val="center"/>
                    <w:rPr>
                      <w:color w:val="0C0C0C"/>
                      <w:kern w:val="0"/>
                      <w:szCs w:val="21"/>
                    </w:rPr>
                  </w:pPr>
                  <w:r>
                    <w:rPr>
                      <w:color w:val="0C0C0C"/>
                      <w:kern w:val="0"/>
                      <w:szCs w:val="21"/>
                    </w:rPr>
                    <w:t>西厂界</w:t>
                  </w:r>
                </w:p>
              </w:tc>
              <w:tc>
                <w:tcPr>
                  <w:tcW w:w="1557" w:type="pct"/>
                  <w:noWrap w:val="0"/>
                  <w:vAlign w:val="center"/>
                </w:tcPr>
                <w:p>
                  <w:pPr>
                    <w:widowControl/>
                    <w:snapToGrid w:val="0"/>
                    <w:spacing w:line="300" w:lineRule="exact"/>
                    <w:jc w:val="center"/>
                    <w:rPr>
                      <w:rFonts w:hint="default" w:eastAsia="宋体"/>
                      <w:color w:val="0C0C0C"/>
                      <w:kern w:val="0"/>
                      <w:szCs w:val="21"/>
                      <w:lang w:val="en-US" w:eastAsia="zh-CN"/>
                    </w:rPr>
                  </w:pPr>
                  <w:r>
                    <w:rPr>
                      <w:rFonts w:hint="eastAsia"/>
                      <w:color w:val="0C0C0C"/>
                      <w:kern w:val="0"/>
                      <w:szCs w:val="21"/>
                      <w:lang w:val="en-US" w:eastAsia="zh-CN"/>
                    </w:rPr>
                    <w:t>37.7</w:t>
                  </w:r>
                </w:p>
              </w:tc>
              <w:tc>
                <w:tcPr>
                  <w:tcW w:w="1945" w:type="pct"/>
                  <w:vMerge w:val="continue"/>
                  <w:tcBorders>
                    <w:right w:val="nil"/>
                  </w:tcBorders>
                  <w:noWrap w:val="0"/>
                  <w:vAlign w:val="center"/>
                </w:tcPr>
                <w:p>
                  <w:pPr>
                    <w:widowControl/>
                    <w:snapToGrid w:val="0"/>
                    <w:spacing w:line="300" w:lineRule="exact"/>
                    <w:jc w:val="center"/>
                    <w:rPr>
                      <w:color w:val="0C0C0C"/>
                      <w:kern w:val="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4" w:hRule="atLeast"/>
                <w:jc w:val="center"/>
              </w:trPr>
              <w:tc>
                <w:tcPr>
                  <w:tcW w:w="1498" w:type="pct"/>
                  <w:tcBorders>
                    <w:left w:val="nil"/>
                    <w:bottom w:val="single" w:color="000000" w:sz="12" w:space="0"/>
                  </w:tcBorders>
                  <w:noWrap w:val="0"/>
                  <w:vAlign w:val="center"/>
                </w:tcPr>
                <w:p>
                  <w:pPr>
                    <w:widowControl/>
                    <w:snapToGrid w:val="0"/>
                    <w:spacing w:line="300" w:lineRule="exact"/>
                    <w:jc w:val="center"/>
                    <w:rPr>
                      <w:color w:val="0C0C0C"/>
                      <w:kern w:val="0"/>
                      <w:szCs w:val="21"/>
                    </w:rPr>
                  </w:pPr>
                  <w:r>
                    <w:rPr>
                      <w:color w:val="0C0C0C"/>
                      <w:kern w:val="0"/>
                      <w:szCs w:val="21"/>
                    </w:rPr>
                    <w:t>北厂界</w:t>
                  </w:r>
                </w:p>
              </w:tc>
              <w:tc>
                <w:tcPr>
                  <w:tcW w:w="1557" w:type="pct"/>
                  <w:tcBorders>
                    <w:bottom w:val="single" w:color="000000" w:sz="12" w:space="0"/>
                  </w:tcBorders>
                  <w:noWrap w:val="0"/>
                  <w:vAlign w:val="center"/>
                </w:tcPr>
                <w:p>
                  <w:pPr>
                    <w:widowControl/>
                    <w:snapToGrid w:val="0"/>
                    <w:spacing w:line="300" w:lineRule="exact"/>
                    <w:jc w:val="center"/>
                    <w:rPr>
                      <w:rFonts w:hint="default" w:eastAsia="宋体"/>
                      <w:color w:val="0C0C0C"/>
                      <w:kern w:val="0"/>
                      <w:szCs w:val="21"/>
                      <w:lang w:val="en-US" w:eastAsia="zh-CN"/>
                    </w:rPr>
                  </w:pPr>
                  <w:r>
                    <w:rPr>
                      <w:rFonts w:hint="eastAsia"/>
                      <w:color w:val="0C0C0C"/>
                      <w:kern w:val="0"/>
                      <w:szCs w:val="21"/>
                      <w:lang w:val="en-US" w:eastAsia="zh-CN"/>
                    </w:rPr>
                    <w:t>46.1</w:t>
                  </w:r>
                </w:p>
              </w:tc>
              <w:tc>
                <w:tcPr>
                  <w:tcW w:w="1945" w:type="pct"/>
                  <w:vMerge w:val="continue"/>
                  <w:tcBorders>
                    <w:bottom w:val="single" w:color="000000" w:sz="12" w:space="0"/>
                    <w:right w:val="nil"/>
                  </w:tcBorders>
                  <w:noWrap w:val="0"/>
                  <w:vAlign w:val="center"/>
                </w:tcPr>
                <w:p>
                  <w:pPr>
                    <w:widowControl/>
                    <w:snapToGrid w:val="0"/>
                    <w:spacing w:line="300" w:lineRule="exact"/>
                    <w:jc w:val="center"/>
                    <w:rPr>
                      <w:color w:val="0C0C0C"/>
                      <w:kern w:val="0"/>
                      <w:szCs w:val="21"/>
                    </w:rPr>
                  </w:pPr>
                </w:p>
              </w:tc>
            </w:tr>
          </w:tbl>
          <w:p>
            <w:pPr>
              <w:widowControl/>
              <w:spacing w:line="470" w:lineRule="exact"/>
              <w:ind w:firstLine="480" w:firstLineChars="200"/>
              <w:jc w:val="left"/>
              <w:rPr>
                <w:color w:val="000000"/>
                <w:kern w:val="0"/>
                <w:sz w:val="24"/>
              </w:rPr>
            </w:pPr>
            <w:r>
              <w:rPr>
                <w:color w:val="000000"/>
                <w:kern w:val="0"/>
                <w:sz w:val="24"/>
              </w:rPr>
              <w:t>由</w:t>
            </w:r>
            <w:r>
              <w:rPr>
                <w:rFonts w:hint="eastAsia"/>
                <w:color w:val="000000"/>
                <w:kern w:val="0"/>
                <w:sz w:val="24"/>
              </w:rPr>
              <w:t>上表</w:t>
            </w:r>
            <w:r>
              <w:rPr>
                <w:color w:val="000000"/>
                <w:kern w:val="0"/>
                <w:sz w:val="24"/>
              </w:rPr>
              <w:t>可知，由于本项目大部分噪声源均布置在室内，且主要噪声设备位于厂房内。本项目运行后厂界边界噪声预</w:t>
            </w:r>
            <w:r>
              <w:rPr>
                <w:color w:val="0D0D0D"/>
                <w:kern w:val="0"/>
                <w:sz w:val="24"/>
              </w:rPr>
              <w:t>测排放值为</w:t>
            </w:r>
            <w:r>
              <w:rPr>
                <w:rFonts w:hint="eastAsia"/>
                <w:color w:val="0D0D0D"/>
                <w:kern w:val="0"/>
                <w:sz w:val="24"/>
                <w:lang w:val="en-US" w:eastAsia="zh-CN"/>
              </w:rPr>
              <w:t>37.7</w:t>
            </w:r>
            <w:r>
              <w:rPr>
                <w:color w:val="0D0D0D"/>
                <w:kern w:val="0"/>
                <w:sz w:val="24"/>
              </w:rPr>
              <w:t>～</w:t>
            </w:r>
            <w:r>
              <w:rPr>
                <w:rFonts w:hint="eastAsia"/>
                <w:color w:val="0D0D0D"/>
                <w:kern w:val="0"/>
                <w:sz w:val="24"/>
                <w:lang w:val="en-US" w:eastAsia="zh-CN"/>
              </w:rPr>
              <w:t>54.8</w:t>
            </w:r>
            <w:r>
              <w:rPr>
                <w:color w:val="0D0D0D"/>
                <w:kern w:val="0"/>
                <w:sz w:val="24"/>
              </w:rPr>
              <w:t>dB(A)，故本项目实施后噪声排放可以达到《工业企业厂界环境噪声排放标准》</w:t>
            </w:r>
            <w:r>
              <w:rPr>
                <w:rFonts w:hint="eastAsia"/>
                <w:color w:val="0D0D0D"/>
                <w:kern w:val="0"/>
                <w:sz w:val="24"/>
                <w:lang w:eastAsia="zh-CN"/>
              </w:rPr>
              <w:t>（</w:t>
            </w:r>
            <w:r>
              <w:rPr>
                <w:color w:val="0D0D0D"/>
                <w:kern w:val="0"/>
                <w:sz w:val="24"/>
              </w:rPr>
              <w:t>GB12348-2008</w:t>
            </w:r>
            <w:r>
              <w:rPr>
                <w:rFonts w:hint="eastAsia"/>
                <w:color w:val="0D0D0D"/>
                <w:kern w:val="0"/>
                <w:sz w:val="24"/>
                <w:lang w:eastAsia="zh-CN"/>
              </w:rPr>
              <w:t>）</w:t>
            </w:r>
            <w:r>
              <w:rPr>
                <w:color w:val="0D0D0D"/>
                <w:kern w:val="0"/>
                <w:sz w:val="24"/>
              </w:rPr>
              <w:t>3</w:t>
            </w:r>
            <w:r>
              <w:rPr>
                <w:color w:val="000000"/>
                <w:kern w:val="0"/>
                <w:sz w:val="24"/>
              </w:rPr>
              <w:t>类标准要求。</w:t>
            </w:r>
          </w:p>
          <w:p>
            <w:pPr>
              <w:widowControl/>
              <w:spacing w:line="470" w:lineRule="exact"/>
              <w:ind w:firstLine="480" w:firstLineChars="200"/>
              <w:jc w:val="left"/>
              <w:rPr>
                <w:kern w:val="0"/>
                <w:sz w:val="24"/>
              </w:rPr>
            </w:pPr>
            <w:r>
              <w:rPr>
                <w:color w:val="000000"/>
                <w:kern w:val="0"/>
                <w:sz w:val="24"/>
              </w:rPr>
              <w:t>根据预测结果，拟建项目正常运营时，其厂界环境噪声能做到达标排放，因此</w:t>
            </w:r>
            <w:r>
              <w:rPr>
                <w:kern w:val="0"/>
                <w:sz w:val="24"/>
              </w:rPr>
              <w:t>拟建项目实施后对周围声环境的影响很小。</w:t>
            </w:r>
          </w:p>
          <w:p>
            <w:pPr>
              <w:widowControl/>
              <w:spacing w:line="480" w:lineRule="exact"/>
              <w:ind w:firstLine="482" w:firstLineChars="200"/>
              <w:jc w:val="left"/>
              <w:rPr>
                <w:rFonts w:hint="eastAsia" w:ascii="Times New Roman" w:hAnsi="Times New Roman" w:eastAsia="宋体" w:cs="Times New Roman"/>
                <w:b/>
                <w:color w:val="000000"/>
                <w:kern w:val="0"/>
                <w:sz w:val="24"/>
                <w:lang w:eastAsia="zh-CN"/>
              </w:rPr>
            </w:pPr>
            <w:r>
              <w:rPr>
                <w:rFonts w:hint="eastAsia" w:ascii="Times New Roman" w:hAnsi="Times New Roman" w:eastAsia="宋体" w:cs="Times New Roman"/>
                <w:b/>
                <w:color w:val="000000"/>
                <w:kern w:val="0"/>
                <w:sz w:val="24"/>
                <w:lang w:val="en-US" w:eastAsia="zh-CN"/>
              </w:rPr>
              <w:t>4、</w:t>
            </w:r>
            <w:r>
              <w:rPr>
                <w:rFonts w:hint="eastAsia" w:ascii="Times New Roman" w:hAnsi="Times New Roman" w:eastAsia="宋体" w:cs="Times New Roman"/>
                <w:b/>
                <w:color w:val="000000"/>
                <w:kern w:val="0"/>
                <w:sz w:val="24"/>
              </w:rPr>
              <w:t>噪声污染防治措施</w:t>
            </w:r>
          </w:p>
          <w:p>
            <w:pPr>
              <w:widowControl/>
              <w:spacing w:line="470" w:lineRule="exact"/>
              <w:ind w:firstLine="480" w:firstLineChars="200"/>
              <w:jc w:val="left"/>
              <w:rPr>
                <w:rFonts w:hint="eastAsia" w:ascii="Times New Roman" w:hAnsi="Times New Roman" w:eastAsia="宋体" w:cs="Times New Roman"/>
                <w:color w:val="000000"/>
                <w:kern w:val="0"/>
                <w:sz w:val="24"/>
                <w:lang w:eastAsia="zh-CN"/>
              </w:rPr>
            </w:pPr>
            <w:r>
              <w:rPr>
                <w:rFonts w:hint="default" w:ascii="Times New Roman" w:hAnsi="Times New Roman" w:eastAsia="宋体" w:cs="Times New Roman"/>
                <w:color w:val="000000"/>
                <w:kern w:val="0"/>
                <w:sz w:val="24"/>
              </w:rPr>
              <w:t>本项目噪声源经相应的降噪措施处理后通过建筑物门窗、墙壁的吸收、屏蔽及阻挡作用，将会大幅度地衰减。具体可采取的治理措施如下：</w:t>
            </w:r>
          </w:p>
          <w:p>
            <w:pPr>
              <w:widowControl/>
              <w:spacing w:line="470" w:lineRule="exact"/>
              <w:ind w:firstLine="480" w:firstLineChars="200"/>
              <w:jc w:val="left"/>
              <w:rPr>
                <w:rFonts w:hint="default" w:ascii="Times New Roman" w:hAnsi="Times New Roman" w:eastAsia="宋体" w:cs="Times New Roman"/>
                <w:color w:val="000000"/>
                <w:kern w:val="0"/>
                <w:sz w:val="24"/>
              </w:rPr>
            </w:pPr>
            <w:r>
              <w:rPr>
                <w:rFonts w:hint="default" w:ascii="Times New Roman" w:hAnsi="Times New Roman" w:eastAsia="宋体" w:cs="Times New Roman"/>
                <w:color w:val="000000"/>
                <w:kern w:val="0"/>
                <w:sz w:val="24"/>
              </w:rPr>
              <w:t>（1）合理布局：项目将高噪声设备尽量布置在厂区中部，通过距离衰减减轻噪声对外环境的影响。</w:t>
            </w:r>
          </w:p>
          <w:p>
            <w:pPr>
              <w:widowControl/>
              <w:spacing w:line="470" w:lineRule="exact"/>
              <w:ind w:firstLine="480" w:firstLineChars="200"/>
              <w:jc w:val="left"/>
              <w:rPr>
                <w:rFonts w:hint="default"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lang w:eastAsia="zh-CN"/>
              </w:rPr>
              <w:t>（</w:t>
            </w:r>
            <w:r>
              <w:rPr>
                <w:rFonts w:hint="eastAsia" w:ascii="Times New Roman" w:hAnsi="Times New Roman" w:eastAsia="宋体" w:cs="Times New Roman"/>
                <w:color w:val="000000"/>
                <w:kern w:val="0"/>
                <w:sz w:val="24"/>
                <w:lang w:val="en-US" w:eastAsia="zh-CN"/>
              </w:rPr>
              <w:t>2</w:t>
            </w:r>
            <w:r>
              <w:rPr>
                <w:rFonts w:hint="eastAsia" w:ascii="Times New Roman" w:hAnsi="Times New Roman" w:eastAsia="宋体" w:cs="Times New Roman"/>
                <w:color w:val="000000"/>
                <w:kern w:val="0"/>
                <w:sz w:val="24"/>
                <w:lang w:eastAsia="zh-CN"/>
              </w:rPr>
              <w:t>）</w:t>
            </w:r>
            <w:r>
              <w:rPr>
                <w:rFonts w:hint="default" w:ascii="Times New Roman" w:hAnsi="Times New Roman" w:eastAsia="宋体" w:cs="Times New Roman"/>
                <w:color w:val="000000"/>
                <w:kern w:val="0"/>
                <w:sz w:val="24"/>
              </w:rPr>
              <w:t>选择低噪声设备：项目在满足工艺设计的前提下，尽量选用满足国际标准的低噪声、低振动型号的设备，降低噪声源强。</w:t>
            </w:r>
          </w:p>
          <w:p>
            <w:pPr>
              <w:widowControl/>
              <w:spacing w:line="470" w:lineRule="exact"/>
              <w:ind w:firstLine="480" w:firstLineChars="200"/>
              <w:jc w:val="left"/>
              <w:rPr>
                <w:rFonts w:hint="default" w:ascii="Times New Roman" w:hAnsi="Times New Roman" w:eastAsia="宋体" w:cs="Times New Roman"/>
                <w:color w:val="000000"/>
                <w:kern w:val="0"/>
                <w:sz w:val="24"/>
              </w:rPr>
            </w:pPr>
            <w:r>
              <w:rPr>
                <w:rFonts w:hint="default" w:ascii="Times New Roman" w:hAnsi="Times New Roman" w:eastAsia="宋体" w:cs="Times New Roman"/>
                <w:color w:val="000000"/>
                <w:kern w:val="0"/>
                <w:sz w:val="24"/>
              </w:rPr>
              <w:t>（3）隔声、减震或加消声器：建设单位根据噪声产生的性质可分为机械运动噪声，根据其产生的性质和机理不同分别采用了隔声、减振等方式进行了降噪处理。通过安装减震垫或者隔声门窗来达到降低噪声的目的。</w:t>
            </w:r>
          </w:p>
          <w:p>
            <w:pPr>
              <w:widowControl/>
              <w:spacing w:line="470" w:lineRule="exact"/>
              <w:ind w:firstLine="480" w:firstLineChars="200"/>
              <w:jc w:val="left"/>
              <w:rPr>
                <w:rFonts w:hint="default" w:ascii="Times New Roman" w:hAnsi="Times New Roman" w:eastAsia="宋体" w:cs="Times New Roman"/>
                <w:color w:val="000000"/>
                <w:kern w:val="0"/>
                <w:sz w:val="24"/>
              </w:rPr>
            </w:pPr>
            <w:r>
              <w:rPr>
                <w:rFonts w:hint="default" w:ascii="Times New Roman" w:hAnsi="Times New Roman" w:eastAsia="宋体" w:cs="Times New Roman"/>
                <w:color w:val="000000"/>
                <w:kern w:val="0"/>
                <w:sz w:val="24"/>
              </w:rPr>
              <w:t>（4）强化生产管理：确保降噪设施的有效运行，并加强对生产设备的保养、检修与润滑，保证设备处于良好的运转状态。</w:t>
            </w:r>
          </w:p>
          <w:p>
            <w:pPr>
              <w:widowControl/>
              <w:spacing w:line="470" w:lineRule="exact"/>
              <w:ind w:firstLine="480" w:firstLineChars="200"/>
              <w:jc w:val="left"/>
              <w:rPr>
                <w:color w:val="000000"/>
                <w:sz w:val="24"/>
              </w:rPr>
            </w:pPr>
            <w:r>
              <w:rPr>
                <w:rFonts w:hint="default" w:ascii="Times New Roman" w:hAnsi="Times New Roman" w:eastAsia="宋体" w:cs="Times New Roman"/>
                <w:color w:val="000000"/>
                <w:kern w:val="0"/>
                <w:sz w:val="24"/>
              </w:rPr>
              <w:t>经上述治理措施后，可满足保护操作工人的身心健康需要，加上围墙隔音及距离衰减，能够做到厂界达标。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tcPr>
          <w:p>
            <w:pPr>
              <w:tabs>
                <w:tab w:val="left" w:pos="1077"/>
              </w:tabs>
              <w:rPr>
                <w:rFonts w:cs="宋体"/>
                <w:color w:val="000000"/>
                <w:sz w:val="24"/>
              </w:rPr>
            </w:pPr>
          </w:p>
        </w:tc>
        <w:tc>
          <w:tcPr>
            <w:tcW w:w="8605" w:type="dxa"/>
            <w:shd w:val="clear" w:color="auto" w:fill="auto"/>
          </w:tcPr>
          <w:p>
            <w:pPr>
              <w:keepNext/>
              <w:keepLines/>
              <w:spacing w:before="120" w:beforeLines="50" w:line="360" w:lineRule="auto"/>
              <w:ind w:firstLine="354" w:firstLineChars="147"/>
              <w:outlineLvl w:val="2"/>
              <w:rPr>
                <w:b/>
                <w:bCs/>
                <w:color w:val="auto"/>
                <w:sz w:val="24"/>
                <w:szCs w:val="32"/>
              </w:rPr>
            </w:pPr>
            <w:r>
              <w:rPr>
                <w:rFonts w:hint="eastAsia"/>
                <w:b/>
                <w:bCs/>
                <w:color w:val="auto"/>
                <w:sz w:val="24"/>
                <w:szCs w:val="32"/>
              </w:rPr>
              <w:t>四、固体废物环境影响和保护措施</w:t>
            </w:r>
          </w:p>
          <w:p>
            <w:pPr>
              <w:spacing w:line="360" w:lineRule="auto"/>
              <w:ind w:firstLine="482" w:firstLineChars="200"/>
              <w:rPr>
                <w:b/>
                <w:color w:val="000000"/>
                <w:sz w:val="24"/>
              </w:rPr>
            </w:pPr>
            <w:r>
              <w:rPr>
                <w:rFonts w:hint="eastAsia"/>
                <w:b/>
                <w:color w:val="000000"/>
                <w:sz w:val="24"/>
              </w:rPr>
              <w:t>1、固体废物产生情况</w:t>
            </w:r>
          </w:p>
          <w:p>
            <w:pPr>
              <w:spacing w:line="480" w:lineRule="exact"/>
              <w:ind w:firstLine="480" w:firstLineChars="200"/>
              <w:rPr>
                <w:sz w:val="24"/>
              </w:rPr>
            </w:pPr>
            <w:r>
              <w:rPr>
                <w:color w:val="000000"/>
                <w:sz w:val="24"/>
              </w:rPr>
              <w:t>本项目固体废物主要分为：一般工业固体废物、危险废物和生活垃圾。固体废物包括</w:t>
            </w:r>
            <w:r>
              <w:rPr>
                <w:rFonts w:hint="eastAsia"/>
                <w:color w:val="000000"/>
                <w:sz w:val="24"/>
              </w:rPr>
              <w:t>废包装袋</w:t>
            </w:r>
            <w:r>
              <w:rPr>
                <w:rFonts w:hint="eastAsia"/>
                <w:color w:val="000000"/>
                <w:sz w:val="24"/>
                <w:lang w:eastAsia="zh-CN"/>
              </w:rPr>
              <w:t>、</w:t>
            </w:r>
            <w:r>
              <w:rPr>
                <w:rFonts w:hint="eastAsia"/>
                <w:color w:val="auto"/>
                <w:sz w:val="24"/>
                <w:lang w:val="en-US" w:eastAsia="zh-CN"/>
              </w:rPr>
              <w:t>布袋除尘器收集的粉尘、</w:t>
            </w:r>
            <w:r>
              <w:rPr>
                <w:rFonts w:hint="eastAsia"/>
                <w:color w:val="000000"/>
                <w:sz w:val="24"/>
              </w:rPr>
              <w:t>废活性炭</w:t>
            </w:r>
            <w:r>
              <w:rPr>
                <w:rFonts w:hint="eastAsia"/>
                <w:color w:val="000000"/>
                <w:sz w:val="24"/>
                <w:lang w:eastAsia="zh-CN"/>
              </w:rPr>
              <w:t>、</w:t>
            </w:r>
            <w:r>
              <w:rPr>
                <w:rFonts w:hint="eastAsia"/>
                <w:color w:val="000000"/>
                <w:sz w:val="24"/>
              </w:rPr>
              <w:t>废润滑油</w:t>
            </w:r>
            <w:r>
              <w:rPr>
                <w:rFonts w:hint="eastAsia"/>
                <w:color w:val="000000"/>
                <w:sz w:val="24"/>
                <w:lang w:eastAsia="zh-CN"/>
              </w:rPr>
              <w:t>、</w:t>
            </w:r>
            <w:r>
              <w:rPr>
                <w:rFonts w:hint="eastAsia"/>
                <w:color w:val="000000"/>
                <w:sz w:val="24"/>
              </w:rPr>
              <w:t>废润滑油桶</w:t>
            </w:r>
            <w:r>
              <w:rPr>
                <w:rFonts w:hint="eastAsia"/>
                <w:color w:val="000000"/>
                <w:sz w:val="24"/>
                <w:lang w:eastAsia="zh-CN"/>
              </w:rPr>
              <w:t>、</w:t>
            </w:r>
            <w:r>
              <w:rPr>
                <w:rFonts w:hint="eastAsia"/>
                <w:color w:val="000000"/>
                <w:sz w:val="24"/>
              </w:rPr>
              <w:t>废含油手套抹布</w:t>
            </w:r>
            <w:r>
              <w:rPr>
                <w:rFonts w:hint="eastAsia"/>
                <w:sz w:val="24"/>
              </w:rPr>
              <w:t>及</w:t>
            </w:r>
            <w:r>
              <w:rPr>
                <w:sz w:val="24"/>
              </w:rPr>
              <w:t>职工生活垃圾。</w:t>
            </w:r>
          </w:p>
          <w:p>
            <w:pPr>
              <w:spacing w:line="480" w:lineRule="exact"/>
              <w:ind w:firstLine="480" w:firstLineChars="200"/>
              <w:rPr>
                <w:rFonts w:hint="eastAsia"/>
                <w:color w:val="auto"/>
                <w:sz w:val="24"/>
                <w:lang w:val="en-US" w:eastAsia="zh-CN"/>
              </w:rPr>
            </w:pPr>
            <w:r>
              <w:rPr>
                <w:rFonts w:hint="eastAsia"/>
                <w:color w:val="auto"/>
                <w:sz w:val="24"/>
                <w:lang w:val="en-US" w:eastAsia="zh-CN"/>
              </w:rPr>
              <w:t>①废包装袋：根据企业提供资料，原料入场及成品打包会产生废包装袋，产生量为0.5 t/a，为一般固废，集中收集后外售。</w:t>
            </w:r>
          </w:p>
          <w:p>
            <w:pPr>
              <w:spacing w:line="480" w:lineRule="exact"/>
              <w:ind w:firstLine="480" w:firstLineChars="200"/>
              <w:rPr>
                <w:rFonts w:hint="eastAsia"/>
                <w:color w:val="auto"/>
                <w:sz w:val="24"/>
                <w:lang w:val="en-US" w:eastAsia="zh-CN"/>
              </w:rPr>
            </w:pPr>
            <w:r>
              <w:rPr>
                <w:rFonts w:hint="eastAsia"/>
                <w:color w:val="auto"/>
                <w:sz w:val="24"/>
                <w:lang w:val="en-US" w:eastAsia="zh-CN"/>
              </w:rPr>
              <w:fldChar w:fldCharType="begin"/>
            </w:r>
            <w:r>
              <w:rPr>
                <w:rFonts w:hint="eastAsia"/>
                <w:color w:val="auto"/>
                <w:sz w:val="24"/>
                <w:lang w:val="en-US" w:eastAsia="zh-CN"/>
              </w:rPr>
              <w:instrText xml:space="preserve"> = 2 \* GB3 </w:instrText>
            </w:r>
            <w:r>
              <w:rPr>
                <w:rFonts w:hint="eastAsia"/>
                <w:color w:val="auto"/>
                <w:sz w:val="24"/>
                <w:lang w:val="en-US" w:eastAsia="zh-CN"/>
              </w:rPr>
              <w:fldChar w:fldCharType="separate"/>
            </w:r>
            <w:r>
              <w:rPr>
                <w:rFonts w:hint="eastAsia"/>
                <w:color w:val="auto"/>
                <w:sz w:val="24"/>
                <w:lang w:val="en-US" w:eastAsia="zh-CN"/>
              </w:rPr>
              <w:t>②</w:t>
            </w:r>
            <w:r>
              <w:rPr>
                <w:rFonts w:hint="eastAsia"/>
                <w:color w:val="auto"/>
                <w:sz w:val="24"/>
                <w:lang w:val="en-US" w:eastAsia="zh-CN"/>
              </w:rPr>
              <w:fldChar w:fldCharType="end"/>
            </w:r>
            <w:r>
              <w:rPr>
                <w:rFonts w:hint="eastAsia"/>
                <w:color w:val="auto"/>
                <w:sz w:val="24"/>
                <w:lang w:val="en-US" w:eastAsia="zh-CN"/>
              </w:rPr>
              <w:t>布袋除尘器收集的粉尘：布袋除尘器截留粉尘约0.046 t/a，为一般固废，集中收集后回用于生产。</w:t>
            </w:r>
          </w:p>
          <w:p>
            <w:pPr>
              <w:spacing w:line="480" w:lineRule="exact"/>
              <w:ind w:firstLine="480" w:firstLineChars="200"/>
              <w:rPr>
                <w:rFonts w:hint="eastAsia"/>
                <w:color w:val="000000" w:themeColor="text1"/>
                <w:sz w:val="24"/>
                <w14:textFill>
                  <w14:solidFill>
                    <w14:schemeClr w14:val="tx1"/>
                  </w14:solidFill>
                </w14:textFill>
              </w:rPr>
            </w:pPr>
            <w:r>
              <w:rPr>
                <w:rFonts w:hint="eastAsia" w:ascii="宋体" w:hAnsi="宋体" w:cs="Times New Roman"/>
                <w:color w:val="000000"/>
                <w:kern w:val="0"/>
                <w:sz w:val="24"/>
                <w:szCs w:val="20"/>
                <w:lang w:val="en-US" w:eastAsia="zh-CN"/>
              </w:rPr>
              <w:t>③</w:t>
            </w:r>
            <w:r>
              <w:rPr>
                <w:rFonts w:hint="eastAsia" w:ascii="宋体" w:hAnsi="宋体" w:cs="Times New Roman"/>
                <w:color w:val="000000" w:themeColor="text1"/>
                <w:kern w:val="0"/>
                <w:sz w:val="24"/>
                <w:szCs w:val="20"/>
                <w:lang w:val="en-US" w:eastAsia="zh-CN"/>
                <w14:textFill>
                  <w14:solidFill>
                    <w14:schemeClr w14:val="tx1"/>
                  </w14:solidFill>
                </w14:textFill>
              </w:rPr>
              <w:t>废活性炭</w:t>
            </w:r>
            <w:r>
              <w:rPr>
                <w:rFonts w:hint="eastAsia" w:ascii="宋体" w:hAnsi="宋体" w:eastAsia="宋体" w:cs="Times New Roman"/>
                <w:color w:val="000000" w:themeColor="text1"/>
                <w:kern w:val="0"/>
                <w:sz w:val="24"/>
                <w:szCs w:val="20"/>
                <w:lang w:val="en-US" w:eastAsia="zh-CN"/>
                <w14:textFill>
                  <w14:solidFill>
                    <w14:schemeClr w14:val="tx1"/>
                  </w14:solidFill>
                </w14:textFill>
              </w:rPr>
              <w:t>：</w:t>
            </w:r>
            <w:r>
              <w:rPr>
                <w:rFonts w:hint="eastAsia"/>
                <w:color w:val="000000" w:themeColor="text1"/>
                <w:sz w:val="24"/>
                <w14:textFill>
                  <w14:solidFill>
                    <w14:schemeClr w14:val="tx1"/>
                  </w14:solidFill>
                </w14:textFill>
              </w:rPr>
              <w:t>本项目设计使用两级活性炭吸附设备，产生量约</w:t>
            </w:r>
            <w:r>
              <w:rPr>
                <w:rFonts w:hint="eastAsia"/>
                <w:color w:val="000000" w:themeColor="text1"/>
                <w:sz w:val="24"/>
                <w:lang w:val="en-US" w:eastAsia="zh-CN"/>
                <w14:textFill>
                  <w14:solidFill>
                    <w14:schemeClr w14:val="tx1"/>
                  </w14:solidFill>
                </w14:textFill>
              </w:rPr>
              <w:t>2.591</w:t>
            </w:r>
            <w:r>
              <w:rPr>
                <w:rFonts w:hint="eastAsia"/>
                <w:color w:val="000000" w:themeColor="text1"/>
                <w:sz w:val="24"/>
                <w14:textFill>
                  <w14:solidFill>
                    <w14:schemeClr w14:val="tx1"/>
                  </w14:solidFill>
                </w14:textFill>
              </w:rPr>
              <w:t>t/a，属于危险废物（编号：HW49（900-039-49）），由企业统一收集后置于危废暂存间，再交由有相关资质单位进行统一处理。</w:t>
            </w:r>
          </w:p>
          <w:p>
            <w:pPr>
              <w:spacing w:line="480" w:lineRule="exact"/>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根据活性炭装填周期公式逆推装填量公式为：</w:t>
            </w:r>
          </w:p>
          <w:p>
            <w:pPr>
              <w:spacing w:line="480" w:lineRule="exact"/>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D=（T*t*C*L）/A</w:t>
            </w:r>
          </w:p>
          <w:p>
            <w:pPr>
              <w:spacing w:line="480" w:lineRule="exact"/>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D——活性炭装填量，g；</w:t>
            </w:r>
          </w:p>
          <w:p>
            <w:pPr>
              <w:spacing w:line="480" w:lineRule="exact"/>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T——更换周期，d；</w:t>
            </w:r>
          </w:p>
          <w:p>
            <w:pPr>
              <w:spacing w:line="480" w:lineRule="exact"/>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t——每日工作时长，h；</w:t>
            </w:r>
          </w:p>
          <w:p>
            <w:pPr>
              <w:spacing w:line="480" w:lineRule="exact"/>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C——产生浓度，mg/m3；</w:t>
            </w:r>
          </w:p>
          <w:p>
            <w:pPr>
              <w:spacing w:line="480" w:lineRule="exact"/>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L——风量，m3/h；</w:t>
            </w:r>
          </w:p>
          <w:p>
            <w:pPr>
              <w:spacing w:line="480" w:lineRule="exact"/>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A——碘值，mg/g。</w:t>
            </w:r>
          </w:p>
          <w:p>
            <w:pPr>
              <w:spacing w:line="480" w:lineRule="exact"/>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由建设方所给数据可知，本项目使用活性炭碘值为800mg/g。</w:t>
            </w:r>
          </w:p>
          <w:p>
            <w:pPr>
              <w:spacing w:line="480" w:lineRule="exact"/>
              <w:ind w:firstLine="480" w:firstLineChars="200"/>
              <w:rPr>
                <w:rFonts w:hint="eastAsia"/>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注塑废气</w:t>
            </w:r>
            <w:r>
              <w:rPr>
                <w:rFonts w:hint="eastAsia"/>
                <w:color w:val="000000" w:themeColor="text1"/>
                <w:sz w:val="24"/>
                <w14:textFill>
                  <w14:solidFill>
                    <w14:schemeClr w14:val="tx1"/>
                  </w14:solidFill>
                </w14:textFill>
              </w:rPr>
              <w:t>使用的两级活性炭吸附装置的更换周期为半年，即150d，</w:t>
            </w:r>
            <w:r>
              <w:rPr>
                <w:rFonts w:hint="eastAsia"/>
                <w:color w:val="000000" w:themeColor="text1"/>
                <w:sz w:val="24"/>
                <w:lang w:val="en-US" w:eastAsia="zh-CN"/>
                <w14:textFill>
                  <w14:solidFill>
                    <w14:schemeClr w14:val="tx1"/>
                  </w14:solidFill>
                </w14:textFill>
              </w:rPr>
              <w:t>注塑机</w:t>
            </w:r>
            <w:r>
              <w:rPr>
                <w:rFonts w:hint="eastAsia"/>
                <w:color w:val="000000" w:themeColor="text1"/>
                <w:sz w:val="24"/>
                <w14:textFill>
                  <w14:solidFill>
                    <w14:schemeClr w14:val="tx1"/>
                  </w14:solidFill>
                </w14:textFill>
              </w:rPr>
              <w:t>每日工作时长</w:t>
            </w:r>
            <w:r>
              <w:rPr>
                <w:rFonts w:hint="eastAsia"/>
                <w:color w:val="000000" w:themeColor="text1"/>
                <w:sz w:val="24"/>
                <w:lang w:val="en-US" w:eastAsia="zh-CN"/>
                <w14:textFill>
                  <w14:solidFill>
                    <w14:schemeClr w14:val="tx1"/>
                  </w14:solidFill>
                </w14:textFill>
              </w:rPr>
              <w:t>24</w:t>
            </w:r>
            <w:r>
              <w:rPr>
                <w:rFonts w:hint="eastAsia"/>
                <w:color w:val="000000" w:themeColor="text1"/>
                <w:sz w:val="24"/>
                <w14:textFill>
                  <w14:solidFill>
                    <w14:schemeClr w14:val="tx1"/>
                  </w14:solidFill>
                </w14:textFill>
              </w:rPr>
              <w:t>h，非甲烷总烃产生浓度为</w:t>
            </w:r>
            <w:r>
              <w:rPr>
                <w:rFonts w:hint="eastAsia"/>
                <w:color w:val="000000" w:themeColor="text1"/>
                <w:sz w:val="24"/>
                <w:lang w:val="en-US" w:eastAsia="zh-CN"/>
                <w14:textFill>
                  <w14:solidFill>
                    <w14:schemeClr w14:val="tx1"/>
                  </w14:solidFill>
                </w14:textFill>
              </w:rPr>
              <w:t>4.56</w:t>
            </w:r>
            <w:r>
              <w:rPr>
                <w:rFonts w:hint="eastAsia"/>
                <w:color w:val="000000" w:themeColor="text1"/>
                <w:sz w:val="24"/>
                <w14:textFill>
                  <w14:solidFill>
                    <w14:schemeClr w14:val="tx1"/>
                  </w14:solidFill>
                </w14:textFill>
              </w:rPr>
              <w:t>mg/m3，处理风量10000m3/h，则经过计算，</w:t>
            </w:r>
            <w:r>
              <w:rPr>
                <w:rFonts w:hint="eastAsia"/>
                <w:color w:val="000000" w:themeColor="text1"/>
                <w:sz w:val="24"/>
                <w:lang w:val="en-US" w:eastAsia="zh-CN"/>
                <w14:textFill>
                  <w14:solidFill>
                    <w14:schemeClr w14:val="tx1"/>
                  </w14:solidFill>
                </w14:textFill>
              </w:rPr>
              <w:t>注塑</w:t>
            </w:r>
            <w:r>
              <w:rPr>
                <w:rFonts w:hint="eastAsia"/>
                <w:color w:val="000000" w:themeColor="text1"/>
                <w:sz w:val="24"/>
                <w14:textFill>
                  <w14:solidFill>
                    <w14:schemeClr w14:val="tx1"/>
                  </w14:solidFill>
                </w14:textFill>
              </w:rPr>
              <w:t>房使用的活性炭装填量为D=</w:t>
            </w:r>
            <w:r>
              <w:rPr>
                <w:rFonts w:hint="eastAsia"/>
                <w:color w:val="000000" w:themeColor="text1"/>
                <w:sz w:val="24"/>
                <w:lang w:val="en-US" w:eastAsia="zh-CN"/>
                <w14:textFill>
                  <w14:solidFill>
                    <w14:schemeClr w14:val="tx1"/>
                  </w14:solidFill>
                </w14:textFill>
              </w:rPr>
              <w:t>205200</w:t>
            </w:r>
            <w:r>
              <w:rPr>
                <w:rFonts w:hint="eastAsia"/>
                <w:color w:val="000000" w:themeColor="text1"/>
                <w:sz w:val="24"/>
                <w14:textFill>
                  <w14:solidFill>
                    <w14:schemeClr w14:val="tx1"/>
                  </w14:solidFill>
                </w14:textFill>
              </w:rPr>
              <w:t>g=0.</w:t>
            </w:r>
            <w:r>
              <w:rPr>
                <w:rFonts w:hint="eastAsia"/>
                <w:color w:val="000000" w:themeColor="text1"/>
                <w:sz w:val="24"/>
                <w:lang w:val="en-US" w:eastAsia="zh-CN"/>
                <w14:textFill>
                  <w14:solidFill>
                    <w14:schemeClr w14:val="tx1"/>
                  </w14:solidFill>
                </w14:textFill>
              </w:rPr>
              <w:t>2</w:t>
            </w:r>
            <w:r>
              <w:rPr>
                <w:rFonts w:hint="eastAsia"/>
                <w:color w:val="000000" w:themeColor="text1"/>
                <w:sz w:val="24"/>
                <w14:textFill>
                  <w14:solidFill>
                    <w14:schemeClr w14:val="tx1"/>
                  </w14:solidFill>
                </w14:textFill>
              </w:rPr>
              <w:t>t，则根据计算年活性炭装填量为0.</w:t>
            </w: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t/a，但是在实际工程设计安装的过程中，由于该项目风量较大，根据同类型项目类比分析，风量为10000m3/h的环保设备中，活性炭需要装填1t，大于计算得出的废气吸附所需活性炭装填量，则可以装填1t/次的活性炭能够满足废气处理要求，一年更换两次，则年活性炭的总装填量为2t，活性炭吸附非甲烷总烃量为0.</w:t>
            </w:r>
            <w:r>
              <w:rPr>
                <w:rFonts w:hint="eastAsia"/>
                <w:color w:val="000000" w:themeColor="text1"/>
                <w:sz w:val="24"/>
                <w:lang w:val="en-US" w:eastAsia="zh-CN"/>
                <w14:textFill>
                  <w14:solidFill>
                    <w14:schemeClr w14:val="tx1"/>
                  </w14:solidFill>
                </w14:textFill>
              </w:rPr>
              <w:t>5911</w:t>
            </w:r>
            <w:r>
              <w:rPr>
                <w:rFonts w:hint="eastAsia"/>
                <w:color w:val="000000" w:themeColor="text1"/>
                <w:sz w:val="24"/>
                <w14:textFill>
                  <w14:solidFill>
                    <w14:schemeClr w14:val="tx1"/>
                  </w14:solidFill>
                </w14:textFill>
              </w:rPr>
              <w:t>t/a，则该项目的废活性炭产生量为2.</w:t>
            </w:r>
            <w:r>
              <w:rPr>
                <w:rFonts w:hint="eastAsia"/>
                <w:color w:val="000000" w:themeColor="text1"/>
                <w:sz w:val="24"/>
                <w:lang w:val="en-US" w:eastAsia="zh-CN"/>
                <w14:textFill>
                  <w14:solidFill>
                    <w14:schemeClr w14:val="tx1"/>
                  </w14:solidFill>
                </w14:textFill>
              </w:rPr>
              <w:t>591</w:t>
            </w:r>
            <w:r>
              <w:rPr>
                <w:rFonts w:hint="eastAsia"/>
                <w:color w:val="000000" w:themeColor="text1"/>
                <w:sz w:val="24"/>
                <w14:textFill>
                  <w14:solidFill>
                    <w14:schemeClr w14:val="tx1"/>
                  </w14:solidFill>
                </w14:textFill>
              </w:rPr>
              <w:t>t/a；</w:t>
            </w:r>
          </w:p>
          <w:p>
            <w:pPr>
              <w:spacing w:line="480" w:lineRule="exact"/>
              <w:ind w:firstLine="480" w:firstLineChars="200"/>
              <w:rPr>
                <w:rFonts w:hint="eastAsia"/>
                <w:color w:val="auto"/>
                <w:sz w:val="24"/>
              </w:rPr>
            </w:pPr>
            <w:r>
              <w:rPr>
                <w:rFonts w:hint="eastAsia"/>
                <w:color w:val="auto"/>
                <w:sz w:val="24"/>
                <w:lang w:val="en-US" w:eastAsia="zh-CN"/>
              </w:rPr>
              <w:t>④废润滑油</w:t>
            </w:r>
            <w:r>
              <w:rPr>
                <w:rFonts w:hint="eastAsia"/>
                <w:color w:val="auto"/>
                <w:sz w:val="24"/>
              </w:rPr>
              <w:t>：设备维护保养会产生少量</w:t>
            </w:r>
            <w:r>
              <w:rPr>
                <w:rFonts w:hint="eastAsia"/>
                <w:color w:val="auto"/>
                <w:sz w:val="24"/>
                <w:lang w:val="en-US" w:eastAsia="zh-CN"/>
              </w:rPr>
              <w:t>废润滑</w:t>
            </w:r>
            <w:r>
              <w:rPr>
                <w:rFonts w:hint="eastAsia"/>
                <w:color w:val="auto"/>
                <w:sz w:val="24"/>
              </w:rPr>
              <w:t>油，根据企业提供资料，项目产生的废润滑油（编号：HW08（900-2</w:t>
            </w:r>
            <w:r>
              <w:rPr>
                <w:rFonts w:hint="eastAsia"/>
                <w:color w:val="auto"/>
                <w:sz w:val="24"/>
                <w:lang w:val="en-US" w:eastAsia="zh-CN"/>
              </w:rPr>
              <w:t>49</w:t>
            </w:r>
            <w:r>
              <w:rPr>
                <w:rFonts w:hint="eastAsia"/>
                <w:color w:val="auto"/>
                <w:sz w:val="24"/>
              </w:rPr>
              <w:t>-08））约为0.0</w:t>
            </w:r>
            <w:r>
              <w:rPr>
                <w:rFonts w:hint="eastAsia"/>
                <w:color w:val="auto"/>
                <w:sz w:val="24"/>
                <w:lang w:val="en-US" w:eastAsia="zh-CN"/>
              </w:rPr>
              <w:t>02</w:t>
            </w:r>
            <w:r>
              <w:rPr>
                <w:rFonts w:hint="eastAsia"/>
                <w:color w:val="auto"/>
                <w:sz w:val="24"/>
              </w:rPr>
              <w:t xml:space="preserve"> t/a，由企业统一收集后置于危废暂存间，再交由有相关资质单位进行统一处理。</w:t>
            </w:r>
          </w:p>
          <w:p>
            <w:pPr>
              <w:spacing w:line="480" w:lineRule="exact"/>
              <w:ind w:firstLine="480" w:firstLineChars="200"/>
              <w:rPr>
                <w:rFonts w:hint="eastAsia"/>
                <w:color w:val="auto"/>
                <w:sz w:val="24"/>
              </w:rPr>
            </w:pPr>
            <w:r>
              <w:rPr>
                <w:rFonts w:hint="eastAsia"/>
                <w:color w:val="auto"/>
                <w:sz w:val="24"/>
                <w:lang w:val="en-US" w:eastAsia="zh-CN"/>
              </w:rPr>
              <w:t>⑤废润滑油桶</w:t>
            </w:r>
            <w:r>
              <w:rPr>
                <w:rFonts w:hint="eastAsia"/>
                <w:color w:val="auto"/>
                <w:sz w:val="24"/>
              </w:rPr>
              <w:t>：本项目会用到润滑油，则会产生</w:t>
            </w:r>
            <w:r>
              <w:rPr>
                <w:rFonts w:hint="eastAsia"/>
                <w:color w:val="auto"/>
                <w:sz w:val="24"/>
                <w:lang w:val="en-US" w:eastAsia="zh-CN"/>
              </w:rPr>
              <w:t>废润滑油桶</w:t>
            </w:r>
            <w:r>
              <w:rPr>
                <w:rFonts w:hint="eastAsia"/>
                <w:color w:val="auto"/>
                <w:sz w:val="24"/>
              </w:rPr>
              <w:t>，产生量约为0.00</w:t>
            </w:r>
            <w:r>
              <w:rPr>
                <w:rFonts w:hint="eastAsia"/>
                <w:color w:val="auto"/>
                <w:sz w:val="24"/>
                <w:lang w:val="en-US" w:eastAsia="zh-CN"/>
              </w:rPr>
              <w:t>16</w:t>
            </w:r>
            <w:r>
              <w:rPr>
                <w:rFonts w:hint="eastAsia"/>
                <w:color w:val="auto"/>
                <w:sz w:val="24"/>
              </w:rPr>
              <w:t xml:space="preserve"> t/a</w:t>
            </w:r>
            <w:r>
              <w:rPr>
                <w:rFonts w:hint="eastAsia"/>
                <w:color w:val="auto"/>
                <w:sz w:val="24"/>
                <w:lang w:eastAsia="zh-CN"/>
              </w:rPr>
              <w:t>，</w:t>
            </w:r>
            <w:r>
              <w:rPr>
                <w:rFonts w:hint="eastAsia"/>
                <w:color w:val="auto"/>
                <w:sz w:val="24"/>
              </w:rPr>
              <w:t>属于危险废物（编号：HW49（900-041-49）），由企业统一收集后置于危废暂存间，再交由有相关资质单位进行统一处理。</w:t>
            </w:r>
          </w:p>
          <w:p>
            <w:pPr>
              <w:spacing w:line="480" w:lineRule="exact"/>
              <w:ind w:firstLine="480" w:firstLineChars="200"/>
              <w:rPr>
                <w:rFonts w:hint="eastAsia"/>
                <w:color w:val="auto"/>
                <w:sz w:val="24"/>
              </w:rPr>
            </w:pPr>
            <w:r>
              <w:rPr>
                <w:rFonts w:hint="eastAsia"/>
                <w:color w:val="auto"/>
                <w:sz w:val="24"/>
                <w:lang w:val="en-US" w:eastAsia="zh-CN"/>
              </w:rPr>
              <w:t>⑥</w:t>
            </w:r>
            <w:r>
              <w:rPr>
                <w:rFonts w:hint="eastAsia"/>
                <w:color w:val="auto"/>
                <w:sz w:val="24"/>
              </w:rPr>
              <w:t>废含油手套、抹布：</w:t>
            </w:r>
            <w:r>
              <w:rPr>
                <w:rFonts w:hint="eastAsia"/>
                <w:color w:val="auto"/>
                <w:sz w:val="24"/>
                <w:lang w:val="en-US" w:eastAsia="zh-CN"/>
              </w:rPr>
              <w:t>设备保养维护会产生</w:t>
            </w:r>
            <w:r>
              <w:rPr>
                <w:rFonts w:hint="eastAsia"/>
                <w:color w:val="auto"/>
                <w:sz w:val="24"/>
              </w:rPr>
              <w:t>废含油手套、抹布</w:t>
            </w:r>
            <w:r>
              <w:rPr>
                <w:rFonts w:hint="eastAsia"/>
                <w:color w:val="auto"/>
                <w:sz w:val="24"/>
                <w:lang w:eastAsia="zh-CN"/>
              </w:rPr>
              <w:t>，</w:t>
            </w:r>
            <w:r>
              <w:rPr>
                <w:rFonts w:hint="eastAsia"/>
                <w:color w:val="auto"/>
                <w:sz w:val="24"/>
              </w:rPr>
              <w:t>年产生量</w:t>
            </w:r>
            <w:r>
              <w:rPr>
                <w:rFonts w:hint="eastAsia"/>
                <w:color w:val="auto"/>
                <w:sz w:val="24"/>
                <w:lang w:val="en-US" w:eastAsia="zh-CN"/>
              </w:rPr>
              <w:t>约</w:t>
            </w:r>
            <w:r>
              <w:rPr>
                <w:rFonts w:hint="eastAsia"/>
                <w:color w:val="auto"/>
                <w:sz w:val="24"/>
              </w:rPr>
              <w:t>为0.0</w:t>
            </w:r>
            <w:r>
              <w:rPr>
                <w:rFonts w:hint="eastAsia"/>
                <w:color w:val="auto"/>
                <w:sz w:val="24"/>
                <w:lang w:val="en-US" w:eastAsia="zh-CN"/>
              </w:rPr>
              <w:t>0</w:t>
            </w:r>
            <w:r>
              <w:rPr>
                <w:rFonts w:hint="eastAsia"/>
                <w:color w:val="auto"/>
                <w:sz w:val="24"/>
              </w:rPr>
              <w:t>1 t/a，</w:t>
            </w:r>
            <w:r>
              <w:rPr>
                <w:rFonts w:hint="eastAsia"/>
                <w:color w:val="auto"/>
                <w:sz w:val="24"/>
                <w:lang w:val="en-US" w:eastAsia="zh-CN"/>
              </w:rPr>
              <w:t>分为未分类收集和集中收集的。集中收集的量为0.0006</w:t>
            </w:r>
            <w:r>
              <w:rPr>
                <w:rFonts w:hint="eastAsia"/>
                <w:color w:val="auto"/>
                <w:sz w:val="24"/>
              </w:rPr>
              <w:t>t/a</w:t>
            </w:r>
            <w:r>
              <w:rPr>
                <w:rFonts w:hint="eastAsia"/>
                <w:color w:val="auto"/>
                <w:sz w:val="24"/>
                <w:lang w:eastAsia="zh-CN"/>
              </w:rPr>
              <w:t>，</w:t>
            </w:r>
            <w:r>
              <w:rPr>
                <w:rFonts w:hint="eastAsia"/>
                <w:color w:val="auto"/>
                <w:sz w:val="24"/>
              </w:rPr>
              <w:t>属于危险废物（编号：900-041-49），</w:t>
            </w:r>
            <w:r>
              <w:rPr>
                <w:rFonts w:hint="eastAsia"/>
                <w:color w:val="auto"/>
                <w:sz w:val="24"/>
                <w:lang w:val="en-US" w:eastAsia="zh-CN"/>
              </w:rPr>
              <w:t>需交资质单位处理；未分类收集量为0.0004</w:t>
            </w:r>
            <w:r>
              <w:rPr>
                <w:rFonts w:hint="eastAsia"/>
                <w:color w:val="auto"/>
                <w:sz w:val="24"/>
              </w:rPr>
              <w:t>t/a</w:t>
            </w:r>
            <w:r>
              <w:rPr>
                <w:rFonts w:hint="eastAsia"/>
                <w:color w:val="auto"/>
                <w:sz w:val="24"/>
                <w:lang w:eastAsia="zh-CN"/>
              </w:rPr>
              <w:t>，</w:t>
            </w:r>
            <w:r>
              <w:rPr>
                <w:rFonts w:hint="eastAsia"/>
                <w:color w:val="auto"/>
                <w:sz w:val="24"/>
                <w:lang w:val="en-US" w:eastAsia="zh-CN"/>
              </w:rPr>
              <w:t>属于</w:t>
            </w:r>
            <w:r>
              <w:rPr>
                <w:rFonts w:hint="eastAsia"/>
                <w:color w:val="auto"/>
                <w:sz w:val="24"/>
                <w:lang w:eastAsia="zh-CN"/>
              </w:rPr>
              <w:t>“</w:t>
            </w:r>
            <w:r>
              <w:rPr>
                <w:rFonts w:hint="eastAsia"/>
                <w:color w:val="auto"/>
                <w:sz w:val="24"/>
              </w:rPr>
              <w:t>危险废物豁免管理清单</w:t>
            </w:r>
            <w:r>
              <w:rPr>
                <w:rFonts w:hint="eastAsia"/>
                <w:color w:val="auto"/>
                <w:sz w:val="24"/>
                <w:lang w:eastAsia="zh-CN"/>
              </w:rPr>
              <w:t>”</w:t>
            </w:r>
            <w:r>
              <w:rPr>
                <w:rFonts w:hint="eastAsia"/>
                <w:color w:val="auto"/>
                <w:sz w:val="24"/>
                <w:lang w:val="en-US" w:eastAsia="zh-CN"/>
              </w:rPr>
              <w:t>的危险废物</w:t>
            </w:r>
            <w:r>
              <w:rPr>
                <w:rFonts w:hint="eastAsia"/>
                <w:color w:val="auto"/>
                <w:sz w:val="24"/>
              </w:rPr>
              <w:t>，与生活垃圾一</w:t>
            </w:r>
            <w:r>
              <w:rPr>
                <w:rFonts w:hint="eastAsia"/>
                <w:color w:val="auto"/>
                <w:sz w:val="24"/>
                <w:lang w:val="en-US" w:eastAsia="zh-CN"/>
              </w:rPr>
              <w:t>起交由环卫部门</w:t>
            </w:r>
            <w:r>
              <w:rPr>
                <w:rFonts w:hint="eastAsia"/>
                <w:color w:val="auto"/>
                <w:sz w:val="24"/>
              </w:rPr>
              <w:t>处理。</w:t>
            </w:r>
          </w:p>
          <w:p>
            <w:pPr>
              <w:spacing w:line="480" w:lineRule="exact"/>
              <w:ind w:firstLine="480" w:firstLineChars="200"/>
              <w:rPr>
                <w:rFonts w:hint="eastAsia"/>
                <w:color w:val="auto"/>
                <w:sz w:val="24"/>
              </w:rPr>
            </w:pPr>
            <w:r>
              <w:rPr>
                <w:rFonts w:hint="eastAsia"/>
                <w:color w:val="auto"/>
                <w:sz w:val="24"/>
                <w:lang w:val="en-US" w:eastAsia="zh-CN"/>
              </w:rPr>
              <w:t>⑦</w:t>
            </w:r>
            <w:r>
              <w:rPr>
                <w:rFonts w:hint="eastAsia"/>
                <w:color w:val="auto"/>
                <w:sz w:val="24"/>
              </w:rPr>
              <w:t>生活垃圾：本项目定员</w:t>
            </w:r>
            <w:r>
              <w:rPr>
                <w:rFonts w:hint="eastAsia"/>
                <w:color w:val="auto"/>
                <w:sz w:val="24"/>
                <w:lang w:val="en-US" w:eastAsia="zh-CN"/>
              </w:rPr>
              <w:t>15</w:t>
            </w:r>
            <w:r>
              <w:rPr>
                <w:rFonts w:hint="eastAsia"/>
                <w:color w:val="auto"/>
                <w:sz w:val="24"/>
              </w:rPr>
              <w:t>人，人均生活垃圾产生量按0.5kg/d计，则生活垃圾产生量</w:t>
            </w:r>
            <w:r>
              <w:rPr>
                <w:rFonts w:hint="eastAsia"/>
                <w:color w:val="auto"/>
                <w:sz w:val="24"/>
                <w:lang w:val="en-US" w:eastAsia="zh-CN"/>
              </w:rPr>
              <w:t>2.25</w:t>
            </w:r>
            <w:r>
              <w:rPr>
                <w:rFonts w:hint="eastAsia"/>
                <w:color w:val="auto"/>
                <w:sz w:val="24"/>
              </w:rPr>
              <w:t>t/a（年工作日300天），交由环卫部门统一清运。</w:t>
            </w:r>
          </w:p>
          <w:p>
            <w:pPr>
              <w:spacing w:line="480" w:lineRule="exact"/>
              <w:ind w:firstLine="480" w:firstLineChars="200"/>
              <w:rPr>
                <w:rFonts w:hint="eastAsia"/>
                <w:color w:val="auto"/>
                <w:sz w:val="24"/>
              </w:rPr>
            </w:pPr>
            <w:r>
              <w:rPr>
                <w:rFonts w:hint="eastAsia"/>
                <w:color w:val="auto"/>
                <w:sz w:val="24"/>
              </w:rPr>
              <w:t>根据环境保护部2017年第43号公告《建设项目危险废物环境影响评价指南》，针对危险废物列明危险废物的名称、数量、类别、形态、危险特性和污染防治措施等内容，本项目固体废物的产生及排放情况具体见下表。</w:t>
            </w:r>
          </w:p>
          <w:p>
            <w:pPr>
              <w:widowControl/>
              <w:spacing w:before="120" w:beforeLines="50"/>
              <w:jc w:val="center"/>
              <w:rPr>
                <w:b/>
                <w:color w:val="auto"/>
                <w:kern w:val="0"/>
                <w:sz w:val="24"/>
              </w:rPr>
            </w:pPr>
            <w:r>
              <w:rPr>
                <w:b/>
                <w:color w:val="auto"/>
                <w:kern w:val="0"/>
                <w:sz w:val="24"/>
              </w:rPr>
              <w:t>表</w:t>
            </w:r>
            <w:r>
              <w:rPr>
                <w:rFonts w:hint="eastAsia"/>
                <w:b/>
                <w:color w:val="auto"/>
                <w:kern w:val="0"/>
                <w:sz w:val="24"/>
              </w:rPr>
              <w:t>4</w:t>
            </w:r>
            <w:r>
              <w:rPr>
                <w:b/>
                <w:color w:val="auto"/>
                <w:kern w:val="0"/>
                <w:sz w:val="24"/>
              </w:rPr>
              <w:t>-</w:t>
            </w:r>
            <w:r>
              <w:rPr>
                <w:rFonts w:hint="eastAsia"/>
                <w:b/>
                <w:color w:val="auto"/>
                <w:kern w:val="0"/>
                <w:sz w:val="24"/>
                <w:lang w:val="en-US" w:eastAsia="zh-CN"/>
              </w:rPr>
              <w:t xml:space="preserve">7 </w:t>
            </w:r>
            <w:r>
              <w:rPr>
                <w:b/>
                <w:color w:val="auto"/>
                <w:kern w:val="0"/>
                <w:sz w:val="24"/>
              </w:rPr>
              <w:t xml:space="preserve"> 本项目</w:t>
            </w:r>
            <w:r>
              <w:rPr>
                <w:rFonts w:hint="eastAsia"/>
                <w:b/>
                <w:color w:val="auto"/>
                <w:kern w:val="0"/>
                <w:sz w:val="24"/>
              </w:rPr>
              <w:t>固体</w:t>
            </w:r>
            <w:r>
              <w:rPr>
                <w:b/>
                <w:color w:val="auto"/>
                <w:kern w:val="0"/>
                <w:sz w:val="24"/>
              </w:rPr>
              <w:t>废物特性、产生量情况、污染防治措施情况一览表</w:t>
            </w:r>
          </w:p>
          <w:tbl>
            <w:tblPr>
              <w:tblStyle w:val="5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3"/>
              <w:gridCol w:w="915"/>
              <w:gridCol w:w="981"/>
              <w:gridCol w:w="670"/>
              <w:gridCol w:w="898"/>
              <w:gridCol w:w="594"/>
              <w:gridCol w:w="869"/>
              <w:gridCol w:w="594"/>
              <w:gridCol w:w="594"/>
              <w:gridCol w:w="905"/>
              <w:gridCol w:w="9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3" w:type="dxa"/>
                  <w:vAlign w:val="center"/>
                </w:tcPr>
                <w:p>
                  <w:pPr>
                    <w:jc w:val="center"/>
                    <w:rPr>
                      <w:b/>
                      <w:szCs w:val="21"/>
                    </w:rPr>
                  </w:pPr>
                  <w:bookmarkStart w:id="2" w:name="_Toc87096201"/>
                  <w:bookmarkStart w:id="3" w:name="_Toc62011226"/>
                  <w:bookmarkStart w:id="4" w:name="_Toc85978818"/>
                  <w:r>
                    <w:rPr>
                      <w:rFonts w:hint="eastAsia"/>
                      <w:b/>
                      <w:szCs w:val="21"/>
                    </w:rPr>
                    <w:t>序号</w:t>
                  </w:r>
                </w:p>
              </w:tc>
              <w:tc>
                <w:tcPr>
                  <w:tcW w:w="915" w:type="dxa"/>
                  <w:vAlign w:val="center"/>
                </w:tcPr>
                <w:p>
                  <w:pPr>
                    <w:jc w:val="center"/>
                    <w:rPr>
                      <w:b/>
                      <w:szCs w:val="21"/>
                    </w:rPr>
                  </w:pPr>
                  <w:r>
                    <w:rPr>
                      <w:rFonts w:hint="eastAsia"/>
                      <w:b/>
                      <w:szCs w:val="21"/>
                    </w:rPr>
                    <w:t>名称</w:t>
                  </w:r>
                </w:p>
              </w:tc>
              <w:tc>
                <w:tcPr>
                  <w:tcW w:w="981" w:type="dxa"/>
                  <w:vAlign w:val="center"/>
                </w:tcPr>
                <w:p>
                  <w:pPr>
                    <w:jc w:val="center"/>
                    <w:rPr>
                      <w:b/>
                      <w:szCs w:val="21"/>
                    </w:rPr>
                  </w:pPr>
                  <w:r>
                    <w:rPr>
                      <w:rFonts w:hint="eastAsia"/>
                      <w:b/>
                      <w:szCs w:val="21"/>
                    </w:rPr>
                    <w:t>来源</w:t>
                  </w:r>
                </w:p>
              </w:tc>
              <w:tc>
                <w:tcPr>
                  <w:tcW w:w="670" w:type="dxa"/>
                  <w:vAlign w:val="center"/>
                </w:tcPr>
                <w:p>
                  <w:pPr>
                    <w:jc w:val="center"/>
                    <w:rPr>
                      <w:b/>
                      <w:szCs w:val="21"/>
                    </w:rPr>
                  </w:pPr>
                  <w:r>
                    <w:rPr>
                      <w:rFonts w:hint="eastAsia"/>
                      <w:b/>
                      <w:szCs w:val="21"/>
                    </w:rPr>
                    <w:t>废物类别</w:t>
                  </w:r>
                </w:p>
              </w:tc>
              <w:tc>
                <w:tcPr>
                  <w:tcW w:w="898" w:type="dxa"/>
                  <w:vAlign w:val="center"/>
                </w:tcPr>
                <w:p>
                  <w:pPr>
                    <w:jc w:val="center"/>
                    <w:rPr>
                      <w:b/>
                      <w:szCs w:val="21"/>
                    </w:rPr>
                  </w:pPr>
                  <w:r>
                    <w:rPr>
                      <w:rFonts w:hint="eastAsia"/>
                      <w:b/>
                      <w:szCs w:val="21"/>
                    </w:rPr>
                    <w:t>废物代码</w:t>
                  </w:r>
                </w:p>
              </w:tc>
              <w:tc>
                <w:tcPr>
                  <w:tcW w:w="594" w:type="dxa"/>
                  <w:vAlign w:val="center"/>
                </w:tcPr>
                <w:p>
                  <w:pPr>
                    <w:jc w:val="center"/>
                    <w:rPr>
                      <w:b/>
                      <w:szCs w:val="21"/>
                    </w:rPr>
                  </w:pPr>
                  <w:r>
                    <w:rPr>
                      <w:rFonts w:hint="eastAsia"/>
                      <w:b/>
                      <w:szCs w:val="21"/>
                    </w:rPr>
                    <w:t>形态</w:t>
                  </w:r>
                </w:p>
              </w:tc>
              <w:tc>
                <w:tcPr>
                  <w:tcW w:w="869" w:type="dxa"/>
                  <w:vAlign w:val="center"/>
                </w:tcPr>
                <w:p>
                  <w:pPr>
                    <w:jc w:val="center"/>
                    <w:rPr>
                      <w:b/>
                      <w:szCs w:val="21"/>
                    </w:rPr>
                  </w:pPr>
                  <w:r>
                    <w:rPr>
                      <w:rFonts w:hint="eastAsia"/>
                      <w:b/>
                      <w:szCs w:val="21"/>
                    </w:rPr>
                    <w:t>产生量（t/a）</w:t>
                  </w:r>
                </w:p>
              </w:tc>
              <w:tc>
                <w:tcPr>
                  <w:tcW w:w="594" w:type="dxa"/>
                  <w:vAlign w:val="center"/>
                </w:tcPr>
                <w:p>
                  <w:pPr>
                    <w:jc w:val="center"/>
                    <w:rPr>
                      <w:b/>
                      <w:szCs w:val="21"/>
                    </w:rPr>
                  </w:pPr>
                  <w:r>
                    <w:rPr>
                      <w:rFonts w:hint="eastAsia"/>
                      <w:b/>
                      <w:szCs w:val="21"/>
                    </w:rPr>
                    <w:t>主要成分</w:t>
                  </w:r>
                </w:p>
              </w:tc>
              <w:tc>
                <w:tcPr>
                  <w:tcW w:w="594" w:type="dxa"/>
                  <w:vAlign w:val="center"/>
                </w:tcPr>
                <w:p>
                  <w:pPr>
                    <w:jc w:val="center"/>
                    <w:rPr>
                      <w:b/>
                      <w:szCs w:val="21"/>
                    </w:rPr>
                  </w:pPr>
                  <w:r>
                    <w:rPr>
                      <w:rFonts w:hint="eastAsia"/>
                      <w:b/>
                      <w:szCs w:val="21"/>
                    </w:rPr>
                    <w:t>有害成分</w:t>
                  </w:r>
                </w:p>
              </w:tc>
              <w:tc>
                <w:tcPr>
                  <w:tcW w:w="905" w:type="dxa"/>
                  <w:vAlign w:val="center"/>
                </w:tcPr>
                <w:p>
                  <w:pPr>
                    <w:jc w:val="center"/>
                    <w:rPr>
                      <w:b/>
                      <w:szCs w:val="21"/>
                    </w:rPr>
                  </w:pPr>
                  <w:r>
                    <w:rPr>
                      <w:rFonts w:hint="eastAsia"/>
                      <w:b/>
                      <w:szCs w:val="21"/>
                    </w:rPr>
                    <w:t>危险特性</w:t>
                  </w:r>
                </w:p>
              </w:tc>
              <w:tc>
                <w:tcPr>
                  <w:tcW w:w="956" w:type="dxa"/>
                  <w:vAlign w:val="center"/>
                </w:tcPr>
                <w:p>
                  <w:pPr>
                    <w:jc w:val="center"/>
                    <w:rPr>
                      <w:b/>
                      <w:szCs w:val="21"/>
                    </w:rPr>
                  </w:pPr>
                  <w:r>
                    <w:rPr>
                      <w:rFonts w:hint="eastAsia"/>
                      <w:b/>
                      <w:szCs w:val="21"/>
                    </w:rPr>
                    <w:t>拟采取的利用或处置方式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3" w:type="dxa"/>
                  <w:vAlign w:val="center"/>
                </w:tcPr>
                <w:p>
                  <w:pPr>
                    <w:jc w:val="center"/>
                    <w:rPr>
                      <w:szCs w:val="21"/>
                    </w:rPr>
                  </w:pPr>
                  <w:r>
                    <w:rPr>
                      <w:rFonts w:hint="eastAsia"/>
                      <w:szCs w:val="21"/>
                    </w:rPr>
                    <w:t>1</w:t>
                  </w:r>
                </w:p>
              </w:tc>
              <w:tc>
                <w:tcPr>
                  <w:tcW w:w="915" w:type="dxa"/>
                  <w:vAlign w:val="center"/>
                </w:tcPr>
                <w:p>
                  <w:pPr>
                    <w:jc w:val="center"/>
                    <w:rPr>
                      <w:rFonts w:hint="eastAsia" w:eastAsia="宋体"/>
                      <w:szCs w:val="21"/>
                      <w:lang w:eastAsia="zh-CN"/>
                    </w:rPr>
                  </w:pPr>
                  <w:r>
                    <w:rPr>
                      <w:rFonts w:hint="eastAsia"/>
                      <w:szCs w:val="21"/>
                      <w:lang w:val="en-US" w:eastAsia="zh-CN"/>
                    </w:rPr>
                    <w:t>废包装袋</w:t>
                  </w:r>
                </w:p>
              </w:tc>
              <w:tc>
                <w:tcPr>
                  <w:tcW w:w="981" w:type="dxa"/>
                  <w:vAlign w:val="center"/>
                </w:tcPr>
                <w:p>
                  <w:pPr>
                    <w:jc w:val="center"/>
                    <w:rPr>
                      <w:rFonts w:hint="default" w:eastAsia="宋体"/>
                      <w:szCs w:val="21"/>
                      <w:lang w:val="en-US" w:eastAsia="zh-CN"/>
                    </w:rPr>
                  </w:pPr>
                  <w:r>
                    <w:rPr>
                      <w:rFonts w:hint="eastAsia"/>
                      <w:szCs w:val="21"/>
                      <w:lang w:val="en-US" w:eastAsia="zh-CN"/>
                    </w:rPr>
                    <w:t>原料入场及成品包装</w:t>
                  </w:r>
                </w:p>
              </w:tc>
              <w:tc>
                <w:tcPr>
                  <w:tcW w:w="670" w:type="dxa"/>
                  <w:vAlign w:val="center"/>
                </w:tcPr>
                <w:p>
                  <w:pPr>
                    <w:jc w:val="center"/>
                    <w:rPr>
                      <w:szCs w:val="21"/>
                    </w:rPr>
                  </w:pPr>
                  <w:r>
                    <w:rPr>
                      <w:rFonts w:hint="eastAsia"/>
                      <w:szCs w:val="21"/>
                    </w:rPr>
                    <w:t>/</w:t>
                  </w:r>
                </w:p>
              </w:tc>
              <w:tc>
                <w:tcPr>
                  <w:tcW w:w="898" w:type="dxa"/>
                  <w:vAlign w:val="center"/>
                </w:tcPr>
                <w:p>
                  <w:pPr>
                    <w:jc w:val="center"/>
                    <w:rPr>
                      <w:szCs w:val="21"/>
                    </w:rPr>
                  </w:pPr>
                  <w:r>
                    <w:rPr>
                      <w:rFonts w:hint="eastAsia"/>
                      <w:szCs w:val="21"/>
                    </w:rPr>
                    <w:t>/</w:t>
                  </w:r>
                </w:p>
              </w:tc>
              <w:tc>
                <w:tcPr>
                  <w:tcW w:w="594" w:type="dxa"/>
                  <w:vAlign w:val="center"/>
                </w:tcPr>
                <w:p>
                  <w:pPr>
                    <w:jc w:val="center"/>
                    <w:rPr>
                      <w:szCs w:val="21"/>
                    </w:rPr>
                  </w:pPr>
                  <w:r>
                    <w:rPr>
                      <w:rFonts w:hint="eastAsia"/>
                      <w:szCs w:val="21"/>
                    </w:rPr>
                    <w:t>固</w:t>
                  </w:r>
                </w:p>
              </w:tc>
              <w:tc>
                <w:tcPr>
                  <w:tcW w:w="869" w:type="dxa"/>
                  <w:vAlign w:val="center"/>
                </w:tcPr>
                <w:p>
                  <w:pPr>
                    <w:jc w:val="center"/>
                    <w:rPr>
                      <w:rFonts w:hint="default" w:eastAsia="宋体"/>
                      <w:szCs w:val="21"/>
                      <w:lang w:val="en-US" w:eastAsia="zh-CN"/>
                    </w:rPr>
                  </w:pPr>
                  <w:r>
                    <w:rPr>
                      <w:rFonts w:hint="eastAsia"/>
                      <w:szCs w:val="21"/>
                      <w:lang w:val="en-US" w:eastAsia="zh-CN"/>
                    </w:rPr>
                    <w:t>0.5</w:t>
                  </w:r>
                </w:p>
              </w:tc>
              <w:tc>
                <w:tcPr>
                  <w:tcW w:w="594" w:type="dxa"/>
                  <w:vAlign w:val="center"/>
                </w:tcPr>
                <w:p>
                  <w:pPr>
                    <w:jc w:val="center"/>
                    <w:rPr>
                      <w:szCs w:val="21"/>
                    </w:rPr>
                  </w:pPr>
                  <w:r>
                    <w:rPr>
                      <w:rFonts w:hint="eastAsia"/>
                      <w:szCs w:val="21"/>
                    </w:rPr>
                    <w:t>/</w:t>
                  </w:r>
                </w:p>
              </w:tc>
              <w:tc>
                <w:tcPr>
                  <w:tcW w:w="594" w:type="dxa"/>
                  <w:vAlign w:val="center"/>
                </w:tcPr>
                <w:p>
                  <w:pPr>
                    <w:jc w:val="center"/>
                    <w:rPr>
                      <w:szCs w:val="21"/>
                    </w:rPr>
                  </w:pPr>
                  <w:r>
                    <w:rPr>
                      <w:rFonts w:hint="eastAsia"/>
                      <w:szCs w:val="21"/>
                    </w:rPr>
                    <w:t>/</w:t>
                  </w:r>
                </w:p>
              </w:tc>
              <w:tc>
                <w:tcPr>
                  <w:tcW w:w="905" w:type="dxa"/>
                  <w:vAlign w:val="center"/>
                </w:tcPr>
                <w:p>
                  <w:pPr>
                    <w:jc w:val="center"/>
                    <w:rPr>
                      <w:szCs w:val="21"/>
                    </w:rPr>
                  </w:pPr>
                  <w:r>
                    <w:rPr>
                      <w:rFonts w:hint="eastAsia"/>
                      <w:szCs w:val="21"/>
                    </w:rPr>
                    <w:t>/</w:t>
                  </w:r>
                </w:p>
              </w:tc>
              <w:tc>
                <w:tcPr>
                  <w:tcW w:w="956" w:type="dxa"/>
                  <w:vAlign w:val="center"/>
                </w:tcPr>
                <w:p>
                  <w:pPr>
                    <w:jc w:val="center"/>
                    <w:rPr>
                      <w:szCs w:val="21"/>
                    </w:rPr>
                  </w:pPr>
                  <w:r>
                    <w:rPr>
                      <w:rFonts w:hint="eastAsia"/>
                      <w:szCs w:val="21"/>
                    </w:rPr>
                    <w:t>集中收集后外售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3"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2</w:t>
                  </w:r>
                </w:p>
              </w:tc>
              <w:tc>
                <w:tcPr>
                  <w:tcW w:w="915" w:type="dxa"/>
                  <w:vAlign w:val="center"/>
                </w:tcPr>
                <w:p>
                  <w:pPr>
                    <w:jc w:val="center"/>
                    <w:rPr>
                      <w:rFonts w:hint="eastAsia"/>
                      <w:szCs w:val="21"/>
                      <w:lang w:val="en-US" w:eastAsia="zh-CN"/>
                    </w:rPr>
                  </w:pPr>
                  <w:r>
                    <w:rPr>
                      <w:rFonts w:hint="eastAsia"/>
                      <w:color w:val="auto"/>
                      <w:sz w:val="24"/>
                      <w:lang w:val="en-US" w:eastAsia="zh-CN"/>
                    </w:rPr>
                    <w:t>布袋除尘器收集的粉尘</w:t>
                  </w:r>
                </w:p>
              </w:tc>
              <w:tc>
                <w:tcPr>
                  <w:tcW w:w="981" w:type="dxa"/>
                  <w:vAlign w:val="center"/>
                </w:tcPr>
                <w:p>
                  <w:pPr>
                    <w:jc w:val="center"/>
                    <w:rPr>
                      <w:rFonts w:hint="default" w:eastAsia="宋体"/>
                      <w:szCs w:val="21"/>
                      <w:lang w:val="en-US" w:eastAsia="zh-CN"/>
                    </w:rPr>
                  </w:pPr>
                  <w:r>
                    <w:rPr>
                      <w:rFonts w:hint="eastAsia"/>
                      <w:szCs w:val="21"/>
                      <w:lang w:val="en-US" w:eastAsia="zh-CN"/>
                    </w:rPr>
                    <w:t>废气处理</w:t>
                  </w:r>
                </w:p>
              </w:tc>
              <w:tc>
                <w:tcPr>
                  <w:tcW w:w="670"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w:t>
                  </w:r>
                </w:p>
              </w:tc>
              <w:tc>
                <w:tcPr>
                  <w:tcW w:w="898"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w:t>
                  </w:r>
                </w:p>
              </w:tc>
              <w:tc>
                <w:tcPr>
                  <w:tcW w:w="594"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固</w:t>
                  </w:r>
                </w:p>
              </w:tc>
              <w:tc>
                <w:tcPr>
                  <w:tcW w:w="869" w:type="dxa"/>
                  <w:vAlign w:val="center"/>
                </w:tcPr>
                <w:p>
                  <w:pPr>
                    <w:jc w:val="center"/>
                    <w:rPr>
                      <w:rFonts w:hint="default"/>
                      <w:szCs w:val="21"/>
                      <w:lang w:val="en-US" w:eastAsia="zh-CN"/>
                    </w:rPr>
                  </w:pPr>
                  <w:r>
                    <w:rPr>
                      <w:rFonts w:hint="eastAsia"/>
                      <w:szCs w:val="21"/>
                      <w:lang w:val="en-US" w:eastAsia="zh-CN"/>
                    </w:rPr>
                    <w:t>0.046</w:t>
                  </w:r>
                </w:p>
              </w:tc>
              <w:tc>
                <w:tcPr>
                  <w:tcW w:w="594"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w:t>
                  </w:r>
                </w:p>
              </w:tc>
              <w:tc>
                <w:tcPr>
                  <w:tcW w:w="594"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w:t>
                  </w:r>
                </w:p>
              </w:tc>
              <w:tc>
                <w:tcPr>
                  <w:tcW w:w="905"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w:t>
                  </w:r>
                </w:p>
              </w:tc>
              <w:tc>
                <w:tcPr>
                  <w:tcW w:w="956" w:type="dxa"/>
                  <w:vAlign w:val="center"/>
                </w:tcPr>
                <w:p>
                  <w:pPr>
                    <w:jc w:val="center"/>
                    <w:rPr>
                      <w:rFonts w:hint="default" w:eastAsia="宋体"/>
                      <w:szCs w:val="21"/>
                      <w:lang w:val="en-US" w:eastAsia="zh-CN"/>
                    </w:rPr>
                  </w:pPr>
                  <w:r>
                    <w:rPr>
                      <w:rFonts w:hint="eastAsia"/>
                      <w:szCs w:val="21"/>
                      <w:lang w:val="en-US" w:eastAsia="zh-CN"/>
                    </w:rPr>
                    <w:t>集中收集后回用于生产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3"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3</w:t>
                  </w:r>
                </w:p>
              </w:tc>
              <w:tc>
                <w:tcPr>
                  <w:tcW w:w="915" w:type="dxa"/>
                  <w:vAlign w:val="center"/>
                </w:tcPr>
                <w:p>
                  <w:pPr>
                    <w:jc w:val="center"/>
                    <w:rPr>
                      <w:rFonts w:ascii="Times New Roman" w:hAnsi="Times New Roman" w:eastAsia="宋体" w:cs="Times New Roman"/>
                      <w:kern w:val="2"/>
                      <w:sz w:val="21"/>
                      <w:szCs w:val="21"/>
                      <w:lang w:val="en-US" w:eastAsia="zh-CN" w:bidi="ar-SA"/>
                    </w:rPr>
                  </w:pPr>
                  <w:r>
                    <w:rPr>
                      <w:rFonts w:hint="eastAsia"/>
                      <w:szCs w:val="21"/>
                      <w:lang w:val="en-US" w:eastAsia="zh-CN"/>
                    </w:rPr>
                    <w:t>废润滑油</w:t>
                  </w:r>
                </w:p>
              </w:tc>
              <w:tc>
                <w:tcPr>
                  <w:tcW w:w="981" w:type="dxa"/>
                  <w:vAlign w:val="center"/>
                </w:tcPr>
                <w:p>
                  <w:pPr>
                    <w:jc w:val="center"/>
                    <w:rPr>
                      <w:rFonts w:ascii="Times New Roman" w:hAnsi="Times New Roman" w:eastAsia="宋体" w:cs="Times New Roman"/>
                      <w:kern w:val="2"/>
                      <w:sz w:val="21"/>
                      <w:szCs w:val="21"/>
                      <w:lang w:val="en-US" w:eastAsia="zh-CN" w:bidi="ar-SA"/>
                    </w:rPr>
                  </w:pPr>
                  <w:r>
                    <w:rPr>
                      <w:rFonts w:hint="eastAsia"/>
                      <w:szCs w:val="21"/>
                    </w:rPr>
                    <w:t>加工</w:t>
                  </w:r>
                </w:p>
              </w:tc>
              <w:tc>
                <w:tcPr>
                  <w:tcW w:w="670" w:type="dxa"/>
                  <w:vAlign w:val="center"/>
                </w:tcPr>
                <w:p>
                  <w:pPr>
                    <w:jc w:val="center"/>
                    <w:rPr>
                      <w:rFonts w:ascii="Times New Roman" w:hAnsi="Times New Roman" w:eastAsia="宋体" w:cs="Times New Roman"/>
                      <w:kern w:val="2"/>
                      <w:sz w:val="21"/>
                      <w:szCs w:val="21"/>
                      <w:lang w:val="en-US" w:eastAsia="zh-CN" w:bidi="ar-SA"/>
                    </w:rPr>
                  </w:pPr>
                  <w:r>
                    <w:rPr>
                      <w:rFonts w:hint="eastAsia"/>
                      <w:szCs w:val="21"/>
                    </w:rPr>
                    <w:t>/</w:t>
                  </w:r>
                </w:p>
              </w:tc>
              <w:tc>
                <w:tcPr>
                  <w:tcW w:w="898" w:type="dxa"/>
                  <w:vAlign w:val="center"/>
                </w:tcPr>
                <w:p>
                  <w:pPr>
                    <w:jc w:val="center"/>
                    <w:rPr>
                      <w:rFonts w:ascii="Times New Roman" w:hAnsi="Times New Roman" w:eastAsia="宋体" w:cs="Times New Roman"/>
                      <w:kern w:val="2"/>
                      <w:sz w:val="21"/>
                      <w:szCs w:val="21"/>
                      <w:lang w:val="en-US" w:eastAsia="zh-CN" w:bidi="ar-SA"/>
                    </w:rPr>
                  </w:pPr>
                  <w:r>
                    <w:rPr>
                      <w:rFonts w:hint="eastAsia"/>
                      <w:szCs w:val="21"/>
                    </w:rPr>
                    <w:t>/</w:t>
                  </w:r>
                </w:p>
              </w:tc>
              <w:tc>
                <w:tcPr>
                  <w:tcW w:w="594"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固</w:t>
                  </w:r>
                </w:p>
              </w:tc>
              <w:tc>
                <w:tcPr>
                  <w:tcW w:w="869" w:type="dxa"/>
                  <w:vAlign w:val="center"/>
                </w:tcPr>
                <w:p>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0.002</w:t>
                  </w:r>
                </w:p>
              </w:tc>
              <w:tc>
                <w:tcPr>
                  <w:tcW w:w="594" w:type="dxa"/>
                  <w:vAlign w:val="center"/>
                </w:tcPr>
                <w:p>
                  <w:pPr>
                    <w:jc w:val="center"/>
                    <w:rPr>
                      <w:rFonts w:ascii="Times New Roman" w:hAnsi="Times New Roman" w:eastAsia="宋体" w:cs="Times New Roman"/>
                      <w:kern w:val="2"/>
                      <w:sz w:val="21"/>
                      <w:szCs w:val="21"/>
                      <w:lang w:val="en-US" w:eastAsia="zh-CN" w:bidi="ar-SA"/>
                    </w:rPr>
                  </w:pPr>
                  <w:r>
                    <w:rPr>
                      <w:rFonts w:hint="eastAsia"/>
                      <w:szCs w:val="21"/>
                    </w:rPr>
                    <w:t>/</w:t>
                  </w:r>
                </w:p>
              </w:tc>
              <w:tc>
                <w:tcPr>
                  <w:tcW w:w="594" w:type="dxa"/>
                  <w:vAlign w:val="center"/>
                </w:tcPr>
                <w:p>
                  <w:pPr>
                    <w:jc w:val="center"/>
                    <w:rPr>
                      <w:rFonts w:ascii="Times New Roman" w:hAnsi="Times New Roman" w:eastAsia="宋体" w:cs="Times New Roman"/>
                      <w:kern w:val="2"/>
                      <w:sz w:val="21"/>
                      <w:szCs w:val="21"/>
                      <w:lang w:val="en-US" w:eastAsia="zh-CN" w:bidi="ar-SA"/>
                    </w:rPr>
                  </w:pPr>
                  <w:r>
                    <w:rPr>
                      <w:rFonts w:hint="eastAsia"/>
                      <w:szCs w:val="21"/>
                    </w:rPr>
                    <w:t>/</w:t>
                  </w:r>
                </w:p>
              </w:tc>
              <w:tc>
                <w:tcPr>
                  <w:tcW w:w="905"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w:t>
                  </w:r>
                </w:p>
              </w:tc>
              <w:tc>
                <w:tcPr>
                  <w:tcW w:w="956" w:type="dxa"/>
                  <w:vMerge w:val="restart"/>
                  <w:vAlign w:val="center"/>
                </w:tcPr>
                <w:p>
                  <w:pPr>
                    <w:jc w:val="center"/>
                    <w:rPr>
                      <w:szCs w:val="21"/>
                    </w:rPr>
                  </w:pPr>
                  <w:r>
                    <w:rPr>
                      <w:rFonts w:hint="eastAsia"/>
                      <w:szCs w:val="21"/>
                    </w:rPr>
                    <w:t>委托有资质单位处理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3"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4</w:t>
                  </w:r>
                </w:p>
              </w:tc>
              <w:tc>
                <w:tcPr>
                  <w:tcW w:w="915" w:type="dxa"/>
                  <w:vAlign w:val="center"/>
                </w:tcPr>
                <w:p>
                  <w:pPr>
                    <w:jc w:val="center"/>
                    <w:rPr>
                      <w:szCs w:val="21"/>
                    </w:rPr>
                  </w:pPr>
                  <w:r>
                    <w:rPr>
                      <w:szCs w:val="21"/>
                    </w:rPr>
                    <w:t>废</w:t>
                  </w:r>
                  <w:r>
                    <w:rPr>
                      <w:rFonts w:hint="eastAsia"/>
                      <w:szCs w:val="21"/>
                      <w:lang w:val="en-US" w:eastAsia="zh-CN"/>
                    </w:rPr>
                    <w:t>润滑</w:t>
                  </w:r>
                  <w:r>
                    <w:rPr>
                      <w:szCs w:val="21"/>
                    </w:rPr>
                    <w:t>油</w:t>
                  </w:r>
                  <w:r>
                    <w:rPr>
                      <w:rFonts w:hint="eastAsia"/>
                      <w:szCs w:val="21"/>
                    </w:rPr>
                    <w:t>桶</w:t>
                  </w:r>
                </w:p>
              </w:tc>
              <w:tc>
                <w:tcPr>
                  <w:tcW w:w="981" w:type="dxa"/>
                  <w:vAlign w:val="center"/>
                </w:tcPr>
                <w:p>
                  <w:pPr>
                    <w:jc w:val="center"/>
                    <w:rPr>
                      <w:szCs w:val="21"/>
                    </w:rPr>
                  </w:pPr>
                  <w:r>
                    <w:rPr>
                      <w:szCs w:val="21"/>
                    </w:rPr>
                    <w:t>设备维护</w:t>
                  </w:r>
                </w:p>
              </w:tc>
              <w:tc>
                <w:tcPr>
                  <w:tcW w:w="670" w:type="dxa"/>
                  <w:vAlign w:val="center"/>
                </w:tcPr>
                <w:p>
                  <w:pPr>
                    <w:jc w:val="center"/>
                    <w:rPr>
                      <w:szCs w:val="21"/>
                    </w:rPr>
                  </w:pPr>
                  <w:r>
                    <w:rPr>
                      <w:szCs w:val="21"/>
                    </w:rPr>
                    <w:t>HW</w:t>
                  </w:r>
                  <w:r>
                    <w:rPr>
                      <w:rFonts w:hint="eastAsia"/>
                      <w:szCs w:val="21"/>
                    </w:rPr>
                    <w:t>08</w:t>
                  </w:r>
                </w:p>
              </w:tc>
              <w:tc>
                <w:tcPr>
                  <w:tcW w:w="898" w:type="dxa"/>
                  <w:vAlign w:val="center"/>
                </w:tcPr>
                <w:p>
                  <w:pPr>
                    <w:jc w:val="center"/>
                    <w:rPr>
                      <w:szCs w:val="21"/>
                    </w:rPr>
                  </w:pPr>
                  <w:r>
                    <w:rPr>
                      <w:szCs w:val="21"/>
                    </w:rPr>
                    <w:t>900-2</w:t>
                  </w:r>
                  <w:r>
                    <w:rPr>
                      <w:rFonts w:hint="eastAsia"/>
                      <w:szCs w:val="21"/>
                      <w:lang w:val="en-US" w:eastAsia="zh-CN"/>
                    </w:rPr>
                    <w:t>49</w:t>
                  </w:r>
                  <w:r>
                    <w:rPr>
                      <w:szCs w:val="21"/>
                    </w:rPr>
                    <w:t>-</w:t>
                  </w:r>
                  <w:r>
                    <w:rPr>
                      <w:rFonts w:hint="eastAsia"/>
                      <w:szCs w:val="21"/>
                    </w:rPr>
                    <w:t>08</w:t>
                  </w:r>
                </w:p>
              </w:tc>
              <w:tc>
                <w:tcPr>
                  <w:tcW w:w="594" w:type="dxa"/>
                  <w:vAlign w:val="center"/>
                </w:tcPr>
                <w:p>
                  <w:pPr>
                    <w:jc w:val="center"/>
                    <w:rPr>
                      <w:szCs w:val="21"/>
                    </w:rPr>
                  </w:pPr>
                  <w:r>
                    <w:rPr>
                      <w:rFonts w:hint="eastAsia"/>
                      <w:szCs w:val="21"/>
                    </w:rPr>
                    <w:t>液</w:t>
                  </w:r>
                </w:p>
              </w:tc>
              <w:tc>
                <w:tcPr>
                  <w:tcW w:w="869" w:type="dxa"/>
                  <w:vAlign w:val="center"/>
                </w:tcPr>
                <w:p>
                  <w:pPr>
                    <w:jc w:val="center"/>
                    <w:rPr>
                      <w:rFonts w:hint="default" w:eastAsia="宋体"/>
                      <w:szCs w:val="21"/>
                      <w:lang w:val="en-US" w:eastAsia="zh-CN"/>
                    </w:rPr>
                  </w:pPr>
                  <w:r>
                    <w:rPr>
                      <w:rFonts w:hint="eastAsia"/>
                      <w:szCs w:val="21"/>
                      <w:lang w:val="en-US" w:eastAsia="zh-CN"/>
                    </w:rPr>
                    <w:t>0.0016</w:t>
                  </w:r>
                </w:p>
              </w:tc>
              <w:tc>
                <w:tcPr>
                  <w:tcW w:w="594" w:type="dxa"/>
                  <w:vAlign w:val="center"/>
                </w:tcPr>
                <w:p>
                  <w:pPr>
                    <w:jc w:val="center"/>
                    <w:rPr>
                      <w:szCs w:val="21"/>
                    </w:rPr>
                  </w:pPr>
                  <w:r>
                    <w:rPr>
                      <w:szCs w:val="21"/>
                    </w:rPr>
                    <w:t>矿物油</w:t>
                  </w:r>
                </w:p>
              </w:tc>
              <w:tc>
                <w:tcPr>
                  <w:tcW w:w="594" w:type="dxa"/>
                  <w:vAlign w:val="center"/>
                </w:tcPr>
                <w:p>
                  <w:pPr>
                    <w:jc w:val="center"/>
                    <w:rPr>
                      <w:szCs w:val="21"/>
                    </w:rPr>
                  </w:pPr>
                  <w:r>
                    <w:rPr>
                      <w:szCs w:val="21"/>
                    </w:rPr>
                    <w:t>矿物油</w:t>
                  </w:r>
                </w:p>
              </w:tc>
              <w:tc>
                <w:tcPr>
                  <w:tcW w:w="905" w:type="dxa"/>
                  <w:vAlign w:val="center"/>
                </w:tcPr>
                <w:p>
                  <w:pPr>
                    <w:jc w:val="center"/>
                    <w:rPr>
                      <w:szCs w:val="21"/>
                    </w:rPr>
                  </w:pPr>
                  <w:r>
                    <w:rPr>
                      <w:rFonts w:hint="eastAsia"/>
                      <w:szCs w:val="21"/>
                    </w:rPr>
                    <w:t>毒性、易燃性</w:t>
                  </w:r>
                </w:p>
              </w:tc>
              <w:tc>
                <w:tcPr>
                  <w:tcW w:w="956" w:type="dxa"/>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3"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5</w:t>
                  </w:r>
                </w:p>
              </w:tc>
              <w:tc>
                <w:tcPr>
                  <w:tcW w:w="915" w:type="dxa"/>
                  <w:vAlign w:val="center"/>
                </w:tcPr>
                <w:p>
                  <w:pPr>
                    <w:jc w:val="center"/>
                    <w:rPr>
                      <w:rFonts w:hint="eastAsia" w:eastAsia="宋体"/>
                      <w:szCs w:val="21"/>
                      <w:lang w:val="en-US" w:eastAsia="zh-CN"/>
                    </w:rPr>
                  </w:pPr>
                  <w:r>
                    <w:rPr>
                      <w:rFonts w:hint="eastAsia"/>
                      <w:szCs w:val="21"/>
                    </w:rPr>
                    <w:t>废活性炭</w:t>
                  </w:r>
                </w:p>
              </w:tc>
              <w:tc>
                <w:tcPr>
                  <w:tcW w:w="981" w:type="dxa"/>
                  <w:vAlign w:val="center"/>
                </w:tcPr>
                <w:p>
                  <w:pPr>
                    <w:jc w:val="center"/>
                    <w:rPr>
                      <w:szCs w:val="21"/>
                    </w:rPr>
                  </w:pPr>
                  <w:r>
                    <w:rPr>
                      <w:szCs w:val="21"/>
                    </w:rPr>
                    <w:t>设备维护</w:t>
                  </w:r>
                </w:p>
              </w:tc>
              <w:tc>
                <w:tcPr>
                  <w:tcW w:w="670" w:type="dxa"/>
                  <w:vAlign w:val="center"/>
                </w:tcPr>
                <w:p>
                  <w:pPr>
                    <w:jc w:val="center"/>
                    <w:rPr>
                      <w:rFonts w:hint="default" w:eastAsia="宋体"/>
                      <w:szCs w:val="21"/>
                      <w:lang w:val="en-US" w:eastAsia="zh-CN"/>
                    </w:rPr>
                  </w:pPr>
                  <w:r>
                    <w:rPr>
                      <w:szCs w:val="21"/>
                    </w:rPr>
                    <w:t>HW</w:t>
                  </w:r>
                  <w:r>
                    <w:rPr>
                      <w:rFonts w:hint="eastAsia"/>
                      <w:szCs w:val="21"/>
                      <w:lang w:val="en-US" w:eastAsia="zh-CN"/>
                    </w:rPr>
                    <w:t>49</w:t>
                  </w:r>
                </w:p>
              </w:tc>
              <w:tc>
                <w:tcPr>
                  <w:tcW w:w="898" w:type="dxa"/>
                  <w:vAlign w:val="center"/>
                </w:tcPr>
                <w:p>
                  <w:pPr>
                    <w:jc w:val="center"/>
                    <w:rPr>
                      <w:rFonts w:hint="default" w:ascii="Times New Roman" w:hAnsi="Times New Roman" w:eastAsia="宋体" w:cs="Times New Roman"/>
                      <w:kern w:val="2"/>
                      <w:sz w:val="21"/>
                      <w:szCs w:val="21"/>
                      <w:lang w:val="en-US" w:eastAsia="zh-CN" w:bidi="ar-SA"/>
                    </w:rPr>
                  </w:pPr>
                  <w:r>
                    <w:rPr>
                      <w:szCs w:val="21"/>
                    </w:rPr>
                    <w:t>900-</w:t>
                  </w:r>
                  <w:r>
                    <w:rPr>
                      <w:rFonts w:hint="eastAsia"/>
                      <w:szCs w:val="21"/>
                      <w:lang w:val="en-US" w:eastAsia="zh-CN"/>
                    </w:rPr>
                    <w:t>039</w:t>
                  </w:r>
                  <w:r>
                    <w:rPr>
                      <w:szCs w:val="21"/>
                    </w:rPr>
                    <w:t>-</w:t>
                  </w:r>
                  <w:r>
                    <w:rPr>
                      <w:rFonts w:hint="eastAsia"/>
                      <w:szCs w:val="21"/>
                      <w:lang w:val="en-US" w:eastAsia="zh-CN"/>
                    </w:rPr>
                    <w:t>49</w:t>
                  </w:r>
                </w:p>
              </w:tc>
              <w:tc>
                <w:tcPr>
                  <w:tcW w:w="594" w:type="dxa"/>
                  <w:vAlign w:val="center"/>
                </w:tcPr>
                <w:p>
                  <w:pPr>
                    <w:jc w:val="center"/>
                    <w:rPr>
                      <w:rFonts w:ascii="Times New Roman" w:hAnsi="Times New Roman" w:eastAsia="宋体" w:cs="Times New Roman"/>
                      <w:kern w:val="2"/>
                      <w:sz w:val="21"/>
                      <w:szCs w:val="21"/>
                      <w:lang w:val="en-US" w:eastAsia="zh-CN" w:bidi="ar-SA"/>
                    </w:rPr>
                  </w:pPr>
                  <w:r>
                    <w:rPr>
                      <w:rFonts w:hint="eastAsia"/>
                      <w:szCs w:val="21"/>
                    </w:rPr>
                    <w:t>液</w:t>
                  </w:r>
                </w:p>
              </w:tc>
              <w:tc>
                <w:tcPr>
                  <w:tcW w:w="869" w:type="dxa"/>
                  <w:vAlign w:val="center"/>
                </w:tcPr>
                <w:p>
                  <w:pPr>
                    <w:jc w:val="center"/>
                    <w:rPr>
                      <w:rFonts w:hint="default" w:eastAsia="宋体"/>
                      <w:szCs w:val="21"/>
                      <w:lang w:val="en-US" w:eastAsia="zh-CN"/>
                    </w:rPr>
                  </w:pPr>
                  <w:r>
                    <w:rPr>
                      <w:rFonts w:hint="eastAsia"/>
                      <w:color w:val="auto"/>
                      <w:szCs w:val="21"/>
                      <w:lang w:val="en-US" w:eastAsia="zh-CN"/>
                    </w:rPr>
                    <w:t>2.591</w:t>
                  </w:r>
                </w:p>
              </w:tc>
              <w:tc>
                <w:tcPr>
                  <w:tcW w:w="594" w:type="dxa"/>
                  <w:vAlign w:val="center"/>
                </w:tcPr>
                <w:p>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有机废气</w:t>
                  </w:r>
                </w:p>
              </w:tc>
              <w:tc>
                <w:tcPr>
                  <w:tcW w:w="594" w:type="dxa"/>
                  <w:vAlign w:val="center"/>
                </w:tcPr>
                <w:p>
                  <w:pPr>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有机废气</w:t>
                  </w:r>
                </w:p>
              </w:tc>
              <w:tc>
                <w:tcPr>
                  <w:tcW w:w="905" w:type="dxa"/>
                  <w:vAlign w:val="center"/>
                </w:tcPr>
                <w:p>
                  <w:pPr>
                    <w:jc w:val="center"/>
                    <w:rPr>
                      <w:rFonts w:hint="eastAsia"/>
                      <w:szCs w:val="21"/>
                    </w:rPr>
                  </w:pPr>
                  <w:r>
                    <w:rPr>
                      <w:rFonts w:hint="eastAsia"/>
                      <w:szCs w:val="21"/>
                    </w:rPr>
                    <w:t>毒性、易燃性</w:t>
                  </w:r>
                </w:p>
              </w:tc>
              <w:tc>
                <w:tcPr>
                  <w:tcW w:w="956" w:type="dxa"/>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3" w:type="dxa"/>
                  <w:vAlign w:val="center"/>
                </w:tcPr>
                <w:p>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6</w:t>
                  </w:r>
                </w:p>
              </w:tc>
              <w:tc>
                <w:tcPr>
                  <w:tcW w:w="915" w:type="dxa"/>
                  <w:vAlign w:val="center"/>
                </w:tcPr>
                <w:p>
                  <w:pPr>
                    <w:jc w:val="center"/>
                    <w:rPr>
                      <w:rFonts w:hint="eastAsia"/>
                      <w:color w:val="000000"/>
                      <w:szCs w:val="21"/>
                    </w:rPr>
                  </w:pPr>
                  <w:r>
                    <w:rPr>
                      <w:rFonts w:hint="eastAsia"/>
                      <w:color w:val="000000"/>
                      <w:szCs w:val="21"/>
                      <w:lang w:val="en-US" w:eastAsia="zh-CN"/>
                    </w:rPr>
                    <w:t>集中收集的</w:t>
                  </w:r>
                  <w:r>
                    <w:rPr>
                      <w:rFonts w:hint="eastAsia"/>
                      <w:color w:val="000000"/>
                      <w:szCs w:val="21"/>
                    </w:rPr>
                    <w:t>废含油手套、抹布</w:t>
                  </w:r>
                </w:p>
              </w:tc>
              <w:tc>
                <w:tcPr>
                  <w:tcW w:w="981"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w:t>
                  </w:r>
                </w:p>
              </w:tc>
              <w:tc>
                <w:tcPr>
                  <w:tcW w:w="670"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HW49</w:t>
                  </w:r>
                </w:p>
              </w:tc>
              <w:tc>
                <w:tcPr>
                  <w:tcW w:w="898"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900-041-49</w:t>
                  </w:r>
                </w:p>
              </w:tc>
              <w:tc>
                <w:tcPr>
                  <w:tcW w:w="594"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固</w:t>
                  </w:r>
                </w:p>
              </w:tc>
              <w:tc>
                <w:tcPr>
                  <w:tcW w:w="869"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0.00</w:t>
                  </w:r>
                  <w:r>
                    <w:rPr>
                      <w:rFonts w:hint="eastAsia"/>
                      <w:szCs w:val="21"/>
                      <w:lang w:val="en-US" w:eastAsia="zh-CN"/>
                    </w:rPr>
                    <w:t>04</w:t>
                  </w:r>
                </w:p>
              </w:tc>
              <w:tc>
                <w:tcPr>
                  <w:tcW w:w="594" w:type="dxa"/>
                  <w:vAlign w:val="center"/>
                </w:tcPr>
                <w:p>
                  <w:pPr>
                    <w:jc w:val="center"/>
                    <w:rPr>
                      <w:rFonts w:ascii="Times New Roman" w:hAnsi="Times New Roman" w:eastAsia="宋体" w:cs="Times New Roman"/>
                      <w:kern w:val="2"/>
                      <w:sz w:val="21"/>
                      <w:szCs w:val="21"/>
                      <w:lang w:val="en-US" w:eastAsia="zh-CN" w:bidi="ar-SA"/>
                    </w:rPr>
                  </w:pPr>
                  <w:r>
                    <w:rPr>
                      <w:szCs w:val="21"/>
                    </w:rPr>
                    <w:t>矿物油</w:t>
                  </w:r>
                </w:p>
              </w:tc>
              <w:tc>
                <w:tcPr>
                  <w:tcW w:w="594" w:type="dxa"/>
                  <w:vAlign w:val="center"/>
                </w:tcPr>
                <w:p>
                  <w:pPr>
                    <w:jc w:val="center"/>
                    <w:rPr>
                      <w:rFonts w:ascii="Times New Roman" w:hAnsi="Times New Roman" w:eastAsia="宋体" w:cs="Times New Roman"/>
                      <w:kern w:val="2"/>
                      <w:sz w:val="21"/>
                      <w:szCs w:val="21"/>
                      <w:lang w:val="en-US" w:eastAsia="zh-CN" w:bidi="ar-SA"/>
                    </w:rPr>
                  </w:pPr>
                  <w:r>
                    <w:rPr>
                      <w:szCs w:val="21"/>
                    </w:rPr>
                    <w:t>矿物油</w:t>
                  </w:r>
                </w:p>
              </w:tc>
              <w:tc>
                <w:tcPr>
                  <w:tcW w:w="905"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毒性/感染性</w:t>
                  </w:r>
                </w:p>
              </w:tc>
              <w:tc>
                <w:tcPr>
                  <w:tcW w:w="956" w:type="dxa"/>
                  <w:vMerge w:val="continue"/>
                  <w:vAlign w:val="center"/>
                </w:tcPr>
                <w:p>
                  <w:pPr>
                    <w:jc w:val="center"/>
                    <w:rPr>
                      <w:rFonts w:hint="eastAsia"/>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3" w:hRule="atLeast"/>
              </w:trPr>
              <w:tc>
                <w:tcPr>
                  <w:tcW w:w="413" w:type="dxa"/>
                  <w:vAlign w:val="center"/>
                </w:tcPr>
                <w:p>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7</w:t>
                  </w:r>
                </w:p>
              </w:tc>
              <w:tc>
                <w:tcPr>
                  <w:tcW w:w="915" w:type="dxa"/>
                  <w:vAlign w:val="center"/>
                </w:tcPr>
                <w:p>
                  <w:pPr>
                    <w:jc w:val="center"/>
                    <w:rPr>
                      <w:szCs w:val="21"/>
                    </w:rPr>
                  </w:pPr>
                  <w:r>
                    <w:rPr>
                      <w:rFonts w:hint="eastAsia"/>
                      <w:color w:val="000000"/>
                      <w:szCs w:val="21"/>
                      <w:lang w:val="en-US" w:eastAsia="zh-CN"/>
                    </w:rPr>
                    <w:t>未分类收集的</w:t>
                  </w:r>
                  <w:r>
                    <w:rPr>
                      <w:rFonts w:hint="eastAsia"/>
                      <w:color w:val="000000"/>
                      <w:szCs w:val="21"/>
                    </w:rPr>
                    <w:t>废含油手套、抹布</w:t>
                  </w:r>
                </w:p>
              </w:tc>
              <w:tc>
                <w:tcPr>
                  <w:tcW w:w="981" w:type="dxa"/>
                  <w:vAlign w:val="center"/>
                </w:tcPr>
                <w:p>
                  <w:pPr>
                    <w:jc w:val="center"/>
                    <w:rPr>
                      <w:szCs w:val="21"/>
                    </w:rPr>
                  </w:pPr>
                  <w:r>
                    <w:rPr>
                      <w:rFonts w:hint="eastAsia"/>
                      <w:szCs w:val="21"/>
                    </w:rPr>
                    <w:t>/</w:t>
                  </w:r>
                </w:p>
              </w:tc>
              <w:tc>
                <w:tcPr>
                  <w:tcW w:w="670" w:type="dxa"/>
                  <w:vAlign w:val="center"/>
                </w:tcPr>
                <w:p>
                  <w:pPr>
                    <w:jc w:val="center"/>
                    <w:rPr>
                      <w:szCs w:val="21"/>
                    </w:rPr>
                  </w:pPr>
                  <w:r>
                    <w:rPr>
                      <w:rFonts w:hint="eastAsia"/>
                      <w:szCs w:val="21"/>
                    </w:rPr>
                    <w:t>/</w:t>
                  </w:r>
                </w:p>
              </w:tc>
              <w:tc>
                <w:tcPr>
                  <w:tcW w:w="898" w:type="dxa"/>
                  <w:vAlign w:val="center"/>
                </w:tcPr>
                <w:p>
                  <w:pPr>
                    <w:jc w:val="center"/>
                    <w:rPr>
                      <w:szCs w:val="21"/>
                    </w:rPr>
                  </w:pPr>
                  <w:r>
                    <w:rPr>
                      <w:rFonts w:hint="eastAsia"/>
                      <w:szCs w:val="21"/>
                    </w:rPr>
                    <w:t>900-041-49</w:t>
                  </w:r>
                </w:p>
              </w:tc>
              <w:tc>
                <w:tcPr>
                  <w:tcW w:w="594" w:type="dxa"/>
                  <w:vAlign w:val="center"/>
                </w:tcPr>
                <w:p>
                  <w:pPr>
                    <w:jc w:val="center"/>
                    <w:rPr>
                      <w:szCs w:val="21"/>
                    </w:rPr>
                  </w:pPr>
                  <w:r>
                    <w:rPr>
                      <w:rFonts w:hint="eastAsia"/>
                      <w:szCs w:val="21"/>
                    </w:rPr>
                    <w:t>固</w:t>
                  </w:r>
                </w:p>
              </w:tc>
              <w:tc>
                <w:tcPr>
                  <w:tcW w:w="869" w:type="dxa"/>
                  <w:vAlign w:val="center"/>
                </w:tcPr>
                <w:p>
                  <w:pPr>
                    <w:jc w:val="center"/>
                    <w:rPr>
                      <w:rFonts w:hint="default" w:eastAsia="宋体"/>
                      <w:szCs w:val="21"/>
                      <w:lang w:val="en-US" w:eastAsia="zh-CN"/>
                    </w:rPr>
                  </w:pPr>
                  <w:r>
                    <w:rPr>
                      <w:rFonts w:hint="eastAsia"/>
                      <w:szCs w:val="21"/>
                    </w:rPr>
                    <w:t>0.00</w:t>
                  </w:r>
                  <w:r>
                    <w:rPr>
                      <w:rFonts w:hint="eastAsia"/>
                      <w:szCs w:val="21"/>
                      <w:lang w:val="en-US" w:eastAsia="zh-CN"/>
                    </w:rPr>
                    <w:t>06</w:t>
                  </w:r>
                </w:p>
              </w:tc>
              <w:tc>
                <w:tcPr>
                  <w:tcW w:w="594" w:type="dxa"/>
                  <w:vAlign w:val="center"/>
                </w:tcPr>
                <w:p>
                  <w:pPr>
                    <w:jc w:val="center"/>
                    <w:rPr>
                      <w:szCs w:val="21"/>
                    </w:rPr>
                  </w:pPr>
                  <w:r>
                    <w:rPr>
                      <w:szCs w:val="21"/>
                    </w:rPr>
                    <w:t>矿物油</w:t>
                  </w:r>
                </w:p>
              </w:tc>
              <w:tc>
                <w:tcPr>
                  <w:tcW w:w="594" w:type="dxa"/>
                  <w:vAlign w:val="center"/>
                </w:tcPr>
                <w:p>
                  <w:pPr>
                    <w:jc w:val="center"/>
                    <w:rPr>
                      <w:szCs w:val="21"/>
                    </w:rPr>
                  </w:pPr>
                  <w:r>
                    <w:rPr>
                      <w:szCs w:val="21"/>
                    </w:rPr>
                    <w:t>矿物油</w:t>
                  </w:r>
                </w:p>
              </w:tc>
              <w:tc>
                <w:tcPr>
                  <w:tcW w:w="905" w:type="dxa"/>
                  <w:vAlign w:val="center"/>
                </w:tcPr>
                <w:p>
                  <w:pPr>
                    <w:jc w:val="center"/>
                    <w:rPr>
                      <w:rFonts w:hint="eastAsia" w:eastAsia="宋体"/>
                      <w:szCs w:val="21"/>
                      <w:lang w:eastAsia="zh-CN"/>
                    </w:rPr>
                  </w:pPr>
                  <w:r>
                    <w:rPr>
                      <w:rFonts w:hint="eastAsia"/>
                      <w:szCs w:val="21"/>
                    </w:rPr>
                    <w:t>/</w:t>
                  </w:r>
                </w:p>
              </w:tc>
              <w:tc>
                <w:tcPr>
                  <w:tcW w:w="956" w:type="dxa"/>
                  <w:vMerge w:val="restart"/>
                  <w:vAlign w:val="center"/>
                </w:tcPr>
                <w:p>
                  <w:pPr>
                    <w:jc w:val="center"/>
                    <w:rPr>
                      <w:szCs w:val="21"/>
                    </w:rPr>
                  </w:pPr>
                  <w:r>
                    <w:rPr>
                      <w:rFonts w:hint="eastAsia"/>
                      <w:szCs w:val="21"/>
                    </w:rPr>
                    <w:t>环卫部门处理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3" w:type="dxa"/>
                  <w:vAlign w:val="center"/>
                </w:tcPr>
                <w:p>
                  <w:pPr>
                    <w:jc w:val="center"/>
                    <w:rPr>
                      <w:rFonts w:hint="default" w:eastAsia="宋体"/>
                      <w:szCs w:val="21"/>
                      <w:lang w:val="en-US" w:eastAsia="zh-CN"/>
                    </w:rPr>
                  </w:pPr>
                  <w:r>
                    <w:rPr>
                      <w:rFonts w:hint="eastAsia"/>
                      <w:szCs w:val="21"/>
                      <w:lang w:val="en-US" w:eastAsia="zh-CN"/>
                    </w:rPr>
                    <w:t>8</w:t>
                  </w:r>
                </w:p>
              </w:tc>
              <w:tc>
                <w:tcPr>
                  <w:tcW w:w="915" w:type="dxa"/>
                  <w:vAlign w:val="center"/>
                </w:tcPr>
                <w:p>
                  <w:pPr>
                    <w:jc w:val="center"/>
                    <w:rPr>
                      <w:szCs w:val="21"/>
                    </w:rPr>
                  </w:pPr>
                  <w:r>
                    <w:rPr>
                      <w:rFonts w:hint="eastAsia"/>
                      <w:szCs w:val="21"/>
                    </w:rPr>
                    <w:t>员工生活</w:t>
                  </w:r>
                </w:p>
              </w:tc>
              <w:tc>
                <w:tcPr>
                  <w:tcW w:w="981" w:type="dxa"/>
                  <w:vAlign w:val="center"/>
                </w:tcPr>
                <w:p>
                  <w:pPr>
                    <w:jc w:val="center"/>
                    <w:rPr>
                      <w:szCs w:val="21"/>
                    </w:rPr>
                  </w:pPr>
                  <w:r>
                    <w:rPr>
                      <w:rFonts w:hint="eastAsia"/>
                      <w:szCs w:val="21"/>
                    </w:rPr>
                    <w:t>生活垃圾</w:t>
                  </w:r>
                </w:p>
              </w:tc>
              <w:tc>
                <w:tcPr>
                  <w:tcW w:w="670" w:type="dxa"/>
                  <w:vAlign w:val="center"/>
                </w:tcPr>
                <w:p>
                  <w:pPr>
                    <w:jc w:val="center"/>
                    <w:rPr>
                      <w:szCs w:val="21"/>
                    </w:rPr>
                  </w:pPr>
                  <w:r>
                    <w:rPr>
                      <w:rFonts w:hint="eastAsia"/>
                      <w:szCs w:val="21"/>
                    </w:rPr>
                    <w:t>/</w:t>
                  </w:r>
                </w:p>
              </w:tc>
              <w:tc>
                <w:tcPr>
                  <w:tcW w:w="898" w:type="dxa"/>
                  <w:vAlign w:val="center"/>
                </w:tcPr>
                <w:p>
                  <w:pPr>
                    <w:jc w:val="center"/>
                    <w:rPr>
                      <w:szCs w:val="21"/>
                    </w:rPr>
                  </w:pPr>
                  <w:r>
                    <w:rPr>
                      <w:rFonts w:hint="eastAsia"/>
                      <w:szCs w:val="21"/>
                    </w:rPr>
                    <w:t>/</w:t>
                  </w:r>
                </w:p>
              </w:tc>
              <w:tc>
                <w:tcPr>
                  <w:tcW w:w="594" w:type="dxa"/>
                  <w:vAlign w:val="center"/>
                </w:tcPr>
                <w:p>
                  <w:pPr>
                    <w:jc w:val="center"/>
                    <w:rPr>
                      <w:szCs w:val="21"/>
                    </w:rPr>
                  </w:pPr>
                  <w:r>
                    <w:rPr>
                      <w:rFonts w:hint="eastAsia"/>
                      <w:szCs w:val="21"/>
                    </w:rPr>
                    <w:t>固/液</w:t>
                  </w:r>
                </w:p>
              </w:tc>
              <w:tc>
                <w:tcPr>
                  <w:tcW w:w="869" w:type="dxa"/>
                  <w:vAlign w:val="center"/>
                </w:tcPr>
                <w:p>
                  <w:pPr>
                    <w:jc w:val="center"/>
                    <w:rPr>
                      <w:rFonts w:hint="default" w:eastAsia="宋体"/>
                      <w:szCs w:val="21"/>
                      <w:lang w:val="en-US" w:eastAsia="zh-CN"/>
                    </w:rPr>
                  </w:pPr>
                  <w:r>
                    <w:rPr>
                      <w:rFonts w:hint="eastAsia"/>
                      <w:szCs w:val="21"/>
                      <w:lang w:val="en-US" w:eastAsia="zh-CN"/>
                    </w:rPr>
                    <w:t>2.25</w:t>
                  </w:r>
                </w:p>
              </w:tc>
              <w:tc>
                <w:tcPr>
                  <w:tcW w:w="594" w:type="dxa"/>
                  <w:vAlign w:val="center"/>
                </w:tcPr>
                <w:p>
                  <w:pPr>
                    <w:jc w:val="center"/>
                    <w:rPr>
                      <w:szCs w:val="21"/>
                    </w:rPr>
                  </w:pPr>
                  <w:r>
                    <w:rPr>
                      <w:rFonts w:hint="eastAsia"/>
                      <w:szCs w:val="21"/>
                    </w:rPr>
                    <w:t>/</w:t>
                  </w:r>
                </w:p>
              </w:tc>
              <w:tc>
                <w:tcPr>
                  <w:tcW w:w="594" w:type="dxa"/>
                  <w:vAlign w:val="center"/>
                </w:tcPr>
                <w:p>
                  <w:pPr>
                    <w:jc w:val="center"/>
                    <w:rPr>
                      <w:szCs w:val="21"/>
                    </w:rPr>
                  </w:pPr>
                  <w:r>
                    <w:rPr>
                      <w:rFonts w:hint="eastAsia"/>
                      <w:szCs w:val="21"/>
                    </w:rPr>
                    <w:t>/</w:t>
                  </w:r>
                </w:p>
              </w:tc>
              <w:tc>
                <w:tcPr>
                  <w:tcW w:w="905" w:type="dxa"/>
                  <w:vAlign w:val="center"/>
                </w:tcPr>
                <w:p>
                  <w:pPr>
                    <w:jc w:val="center"/>
                    <w:rPr>
                      <w:szCs w:val="21"/>
                    </w:rPr>
                  </w:pPr>
                  <w:r>
                    <w:rPr>
                      <w:rFonts w:hint="eastAsia"/>
                      <w:szCs w:val="21"/>
                    </w:rPr>
                    <w:t>/</w:t>
                  </w:r>
                </w:p>
              </w:tc>
              <w:tc>
                <w:tcPr>
                  <w:tcW w:w="956" w:type="dxa"/>
                  <w:vMerge w:val="continue"/>
                  <w:vAlign w:val="center"/>
                </w:tcPr>
                <w:p>
                  <w:pPr>
                    <w:jc w:val="center"/>
                    <w:rPr>
                      <w:szCs w:val="21"/>
                    </w:rPr>
                  </w:pPr>
                </w:p>
              </w:tc>
            </w:tr>
          </w:tbl>
          <w:p/>
          <w:p>
            <w:pPr>
              <w:snapToGrid w:val="0"/>
              <w:spacing w:before="120" w:beforeLines="50" w:line="360" w:lineRule="auto"/>
              <w:ind w:firstLine="472" w:firstLineChars="196"/>
              <w:outlineLvl w:val="3"/>
              <w:rPr>
                <w:b/>
                <w:color w:val="000000"/>
                <w:sz w:val="24"/>
              </w:rPr>
            </w:pPr>
            <w:r>
              <w:rPr>
                <w:rFonts w:hint="eastAsia"/>
                <w:b/>
                <w:color w:val="000000"/>
                <w:sz w:val="24"/>
              </w:rPr>
              <w:t>2、一般固废</w:t>
            </w:r>
            <w:bookmarkEnd w:id="2"/>
            <w:bookmarkEnd w:id="3"/>
            <w:bookmarkEnd w:id="4"/>
            <w:r>
              <w:rPr>
                <w:rFonts w:hint="eastAsia"/>
                <w:b/>
                <w:color w:val="000000"/>
                <w:sz w:val="24"/>
              </w:rPr>
              <w:t>环境影响分析</w:t>
            </w:r>
            <w:r>
              <w:rPr>
                <w:rFonts w:hint="eastAsia"/>
                <w:b/>
                <w:bCs/>
                <w:color w:val="000000"/>
                <w:sz w:val="24"/>
              </w:rPr>
              <w:t>和保护措施</w:t>
            </w:r>
          </w:p>
          <w:p>
            <w:pPr>
              <w:autoSpaceDE w:val="0"/>
              <w:autoSpaceDN w:val="0"/>
              <w:adjustRightInd w:val="0"/>
              <w:spacing w:line="360" w:lineRule="auto"/>
              <w:ind w:firstLine="480" w:firstLineChars="200"/>
              <w:jc w:val="left"/>
              <w:rPr>
                <w:color w:val="000000"/>
                <w:kern w:val="0"/>
                <w:sz w:val="24"/>
              </w:rPr>
            </w:pPr>
            <w:r>
              <w:rPr>
                <w:color w:val="000000"/>
                <w:kern w:val="0"/>
                <w:sz w:val="24"/>
              </w:rPr>
              <w:t>项目产生的一般工业固废为</w:t>
            </w:r>
            <w:r>
              <w:rPr>
                <w:rFonts w:hint="eastAsia"/>
                <w:color w:val="000000"/>
                <w:kern w:val="0"/>
                <w:sz w:val="24"/>
                <w:lang w:val="en-US" w:eastAsia="zh-CN"/>
              </w:rPr>
              <w:t>废包装袋</w:t>
            </w:r>
            <w:r>
              <w:rPr>
                <w:rFonts w:hint="eastAsia"/>
                <w:color w:val="000000"/>
                <w:kern w:val="0"/>
                <w:sz w:val="24"/>
              </w:rPr>
              <w:t>及布袋除尘器收集的粉尘</w:t>
            </w:r>
            <w:r>
              <w:rPr>
                <w:color w:val="000000"/>
                <w:kern w:val="0"/>
                <w:sz w:val="24"/>
              </w:rPr>
              <w:t>等，暂存于项目一般固废仓库。</w:t>
            </w:r>
          </w:p>
          <w:p>
            <w:pPr>
              <w:autoSpaceDE w:val="0"/>
              <w:autoSpaceDN w:val="0"/>
              <w:adjustRightInd w:val="0"/>
              <w:spacing w:line="360" w:lineRule="auto"/>
              <w:ind w:firstLine="480" w:firstLineChars="200"/>
              <w:jc w:val="left"/>
              <w:rPr>
                <w:color w:val="000000"/>
                <w:kern w:val="0"/>
                <w:sz w:val="24"/>
              </w:rPr>
            </w:pPr>
            <w:r>
              <w:rPr>
                <w:color w:val="000000"/>
                <w:kern w:val="0"/>
                <w:sz w:val="24"/>
              </w:rPr>
              <w:t>一般工业固废临时堆放场应根据</w:t>
            </w:r>
            <w:r>
              <w:rPr>
                <w:color w:val="000000"/>
                <w:sz w:val="24"/>
              </w:rPr>
              <w:t>《一般工业固体废物贮存</w:t>
            </w:r>
            <w:r>
              <w:rPr>
                <w:rFonts w:hint="eastAsia"/>
                <w:color w:val="000000"/>
                <w:sz w:val="24"/>
              </w:rPr>
              <w:t>和填埋</w:t>
            </w:r>
            <w:r>
              <w:rPr>
                <w:color w:val="000000"/>
                <w:sz w:val="24"/>
              </w:rPr>
              <w:t>污染控制标准》（GB18599-2020）</w:t>
            </w:r>
            <w:r>
              <w:rPr>
                <w:color w:val="000000"/>
                <w:kern w:val="0"/>
                <w:sz w:val="24"/>
              </w:rPr>
              <w:t>中的要求规范化建设，固废临时贮存场应满足如下要求：</w:t>
            </w:r>
          </w:p>
          <w:p>
            <w:pPr>
              <w:autoSpaceDE w:val="0"/>
              <w:autoSpaceDN w:val="0"/>
              <w:adjustRightInd w:val="0"/>
              <w:spacing w:line="360" w:lineRule="auto"/>
              <w:ind w:firstLine="480" w:firstLineChars="200"/>
              <w:jc w:val="left"/>
              <w:rPr>
                <w:color w:val="000000"/>
                <w:kern w:val="0"/>
                <w:sz w:val="24"/>
              </w:rPr>
            </w:pPr>
            <w:r>
              <w:rPr>
                <w:rFonts w:hint="eastAsia" w:cs="宋体"/>
                <w:color w:val="000000"/>
                <w:kern w:val="0"/>
                <w:sz w:val="24"/>
              </w:rPr>
              <w:t>①</w:t>
            </w:r>
            <w:r>
              <w:rPr>
                <w:color w:val="000000"/>
                <w:kern w:val="0"/>
                <w:sz w:val="24"/>
              </w:rPr>
              <w:t>临时堆放场应选在防渗性能好的地基上天然基础层地表距地下水位的距离不得小于1.5m。临时堆放场四周应建有围墙，防止固废流失以及造成粉尘污染。</w:t>
            </w:r>
          </w:p>
          <w:p>
            <w:pPr>
              <w:autoSpaceDE w:val="0"/>
              <w:autoSpaceDN w:val="0"/>
              <w:adjustRightInd w:val="0"/>
              <w:spacing w:line="360" w:lineRule="auto"/>
              <w:ind w:firstLine="480" w:firstLineChars="200"/>
              <w:jc w:val="left"/>
              <w:rPr>
                <w:color w:val="000000"/>
                <w:kern w:val="0"/>
                <w:sz w:val="24"/>
              </w:rPr>
            </w:pPr>
            <w:r>
              <w:rPr>
                <w:rFonts w:hint="eastAsia" w:cs="宋体"/>
                <w:color w:val="000000"/>
                <w:kern w:val="0"/>
                <w:sz w:val="24"/>
              </w:rPr>
              <w:t>②</w:t>
            </w:r>
            <w:r>
              <w:rPr>
                <w:color w:val="000000"/>
                <w:kern w:val="0"/>
                <w:sz w:val="24"/>
              </w:rPr>
              <w:t>临时堆放场应建有防雨淋、防渗透措施。本项目储存在钢结构仓库内，地面进行硬化，可以满足防雨淋、防渗透要求。</w:t>
            </w:r>
          </w:p>
          <w:p>
            <w:pPr>
              <w:autoSpaceDE w:val="0"/>
              <w:autoSpaceDN w:val="0"/>
              <w:adjustRightInd w:val="0"/>
              <w:spacing w:line="360" w:lineRule="auto"/>
              <w:ind w:firstLine="480" w:firstLineChars="200"/>
              <w:jc w:val="left"/>
              <w:rPr>
                <w:color w:val="000000"/>
                <w:kern w:val="0"/>
                <w:sz w:val="24"/>
              </w:rPr>
            </w:pPr>
            <w:r>
              <w:rPr>
                <w:rFonts w:hint="eastAsia" w:cs="宋体"/>
                <w:color w:val="000000"/>
                <w:kern w:val="0"/>
                <w:sz w:val="24"/>
              </w:rPr>
              <w:t>③</w:t>
            </w:r>
            <w:r>
              <w:rPr>
                <w:color w:val="000000"/>
                <w:kern w:val="0"/>
                <w:sz w:val="24"/>
              </w:rPr>
              <w:t>为了便于管理，临时堆放场应按GB15562.2-1995《环境保护图形标识—固体废物贮存（处置）场》设置环境保护图形标志。</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企业在生产过程中，应加强现有一般固废库的管理，定点收集堆存，并及时处理，不会对环境造成不利影响。</w:t>
            </w:r>
          </w:p>
          <w:p>
            <w:pPr>
              <w:snapToGrid w:val="0"/>
              <w:spacing w:line="360" w:lineRule="auto"/>
              <w:ind w:firstLine="472" w:firstLineChars="196"/>
              <w:outlineLvl w:val="3"/>
              <w:rPr>
                <w:b/>
                <w:color w:val="000000"/>
                <w:sz w:val="24"/>
              </w:rPr>
            </w:pPr>
            <w:r>
              <w:rPr>
                <w:rFonts w:hint="eastAsia"/>
                <w:b/>
                <w:color w:val="000000"/>
                <w:sz w:val="24"/>
              </w:rPr>
              <w:t>3、危险废物环境影响分析</w:t>
            </w:r>
            <w:r>
              <w:rPr>
                <w:rFonts w:hint="eastAsia"/>
                <w:b/>
                <w:bCs/>
                <w:color w:val="000000"/>
                <w:sz w:val="24"/>
              </w:rPr>
              <w:t>和保护措施</w:t>
            </w:r>
          </w:p>
          <w:p>
            <w:pPr>
              <w:autoSpaceDE w:val="0"/>
              <w:autoSpaceDN w:val="0"/>
              <w:adjustRightInd w:val="0"/>
              <w:spacing w:line="360" w:lineRule="auto"/>
              <w:ind w:firstLine="480" w:firstLineChars="200"/>
              <w:jc w:val="left"/>
              <w:rPr>
                <w:color w:val="000000"/>
                <w:kern w:val="0"/>
                <w:sz w:val="24"/>
              </w:rPr>
            </w:pPr>
            <w:r>
              <w:rPr>
                <w:color w:val="000000"/>
                <w:sz w:val="24"/>
              </w:rPr>
              <w:t>本项目</w:t>
            </w:r>
            <w:r>
              <w:rPr>
                <w:color w:val="262626" w:themeColor="text1" w:themeTint="D9"/>
                <w:sz w:val="24"/>
                <w14:textFill>
                  <w14:solidFill>
                    <w14:schemeClr w14:val="tx1">
                      <w14:lumMod w14:val="85000"/>
                      <w14:lumOff w14:val="15000"/>
                    </w14:schemeClr>
                  </w14:solidFill>
                </w14:textFill>
              </w:rPr>
              <w:t>产生的危险废</w:t>
            </w:r>
            <w:r>
              <w:rPr>
                <w:color w:val="0D0D0D" w:themeColor="text1" w:themeTint="F2"/>
                <w:sz w:val="24"/>
                <w14:textFill>
                  <w14:solidFill>
                    <w14:schemeClr w14:val="tx1">
                      <w14:lumMod w14:val="95000"/>
                      <w14:lumOff w14:val="5000"/>
                    </w14:schemeClr>
                  </w14:solidFill>
                </w14:textFill>
              </w:rPr>
              <w:t>物分别按照废物特性</w:t>
            </w:r>
            <w:r>
              <w:rPr>
                <w:color w:val="0D0D0D" w:themeColor="text1" w:themeTint="F2"/>
                <w:kern w:val="0"/>
                <w:sz w:val="24"/>
                <w14:textFill>
                  <w14:solidFill>
                    <w14:schemeClr w14:val="tx1">
                      <w14:lumMod w14:val="95000"/>
                      <w14:lumOff w14:val="5000"/>
                    </w14:schemeClr>
                  </w14:solidFill>
                </w14:textFill>
              </w:rPr>
              <w:t>采用专门的容器收集后暂存于危废</w:t>
            </w:r>
            <w:r>
              <w:rPr>
                <w:rFonts w:hint="eastAsia"/>
                <w:color w:val="0D0D0D" w:themeColor="text1" w:themeTint="F2"/>
                <w:kern w:val="0"/>
                <w:sz w:val="24"/>
                <w:lang w:val="en-US" w:eastAsia="zh-CN"/>
                <w14:textFill>
                  <w14:solidFill>
                    <w14:schemeClr w14:val="tx1">
                      <w14:lumMod w14:val="95000"/>
                      <w14:lumOff w14:val="5000"/>
                    </w14:schemeClr>
                  </w14:solidFill>
                </w14:textFill>
              </w:rPr>
              <w:t>暂存间</w:t>
            </w:r>
            <w:r>
              <w:rPr>
                <w:color w:val="0D0D0D" w:themeColor="text1" w:themeTint="F2"/>
                <w:kern w:val="0"/>
                <w:sz w:val="24"/>
                <w14:textFill>
                  <w14:solidFill>
                    <w14:schemeClr w14:val="tx1">
                      <w14:lumMod w14:val="95000"/>
                      <w14:lumOff w14:val="5000"/>
                    </w14:schemeClr>
                  </w14:solidFill>
                </w14:textFill>
              </w:rPr>
              <w:t>，定期交资质单位处理。项目</w:t>
            </w:r>
            <w:r>
              <w:rPr>
                <w:rFonts w:hint="eastAsia"/>
                <w:color w:val="0D0D0D" w:themeColor="text1" w:themeTint="F2"/>
                <w:kern w:val="0"/>
                <w:sz w:val="24"/>
                <w14:textFill>
                  <w14:solidFill>
                    <w14:schemeClr w14:val="tx1">
                      <w14:lumMod w14:val="95000"/>
                      <w14:lumOff w14:val="5000"/>
                    </w14:schemeClr>
                  </w14:solidFill>
                </w14:textFill>
              </w:rPr>
              <w:t>新</w:t>
            </w:r>
            <w:r>
              <w:rPr>
                <w:color w:val="0D0D0D" w:themeColor="text1" w:themeTint="F2"/>
                <w:kern w:val="0"/>
                <w:sz w:val="24"/>
                <w14:textFill>
                  <w14:solidFill>
                    <w14:schemeClr w14:val="tx1">
                      <w14:lumMod w14:val="95000"/>
                      <w14:lumOff w14:val="5000"/>
                    </w14:schemeClr>
                  </w14:solidFill>
                </w14:textFill>
              </w:rPr>
              <w:t>建1间危废暂存间，占地面积约</w:t>
            </w:r>
            <w:r>
              <w:rPr>
                <w:rFonts w:hint="eastAsia"/>
                <w:kern w:val="0"/>
                <w:sz w:val="24"/>
              </w:rPr>
              <w:t xml:space="preserve">10 </w:t>
            </w:r>
            <w:r>
              <w:rPr>
                <w:color w:val="0D0D0D" w:themeColor="text1" w:themeTint="F2"/>
                <w:kern w:val="0"/>
                <w:sz w:val="24"/>
                <w14:textFill>
                  <w14:solidFill>
                    <w14:schemeClr w14:val="tx1">
                      <w14:lumMod w14:val="95000"/>
                      <w14:lumOff w14:val="5000"/>
                    </w14:schemeClr>
                  </w14:solidFill>
                </w14:textFill>
              </w:rPr>
              <w:t>m</w:t>
            </w:r>
            <w:r>
              <w:rPr>
                <w:color w:val="0D0D0D" w:themeColor="text1" w:themeTint="F2"/>
                <w:kern w:val="0"/>
                <w:sz w:val="24"/>
                <w:vertAlign w:val="superscript"/>
                <w14:textFill>
                  <w14:solidFill>
                    <w14:schemeClr w14:val="tx1">
                      <w14:lumMod w14:val="95000"/>
                      <w14:lumOff w14:val="5000"/>
                    </w14:schemeClr>
                  </w14:solidFill>
                </w14:textFill>
              </w:rPr>
              <w:t>2</w:t>
            </w:r>
            <w:r>
              <w:rPr>
                <w:color w:val="0D0D0D" w:themeColor="text1" w:themeTint="F2"/>
                <w:kern w:val="0"/>
                <w:sz w:val="24"/>
                <w14:textFill>
                  <w14:solidFill>
                    <w14:schemeClr w14:val="tx1">
                      <w14:lumMod w14:val="95000"/>
                      <w14:lumOff w14:val="5000"/>
                    </w14:schemeClr>
                  </w14:solidFill>
                </w14:textFill>
              </w:rPr>
              <w:t>，建设满足《危险废物贮存污染控制标准》（GB18597-2001）的要求。危险废物按照不同的类别和性质，</w:t>
            </w:r>
            <w:r>
              <w:rPr>
                <w:color w:val="000000"/>
                <w:kern w:val="0"/>
                <w:sz w:val="24"/>
              </w:rPr>
              <w:t>分别存放于专门的容器中。</w:t>
            </w:r>
          </w:p>
          <w:p>
            <w:pPr>
              <w:spacing w:line="360" w:lineRule="auto"/>
              <w:ind w:firstLine="480"/>
              <w:jc w:val="left"/>
              <w:rPr>
                <w:color w:val="auto"/>
                <w:kern w:val="0"/>
                <w:sz w:val="24"/>
              </w:rPr>
            </w:pPr>
            <w:r>
              <w:rPr>
                <w:rFonts w:hint="eastAsia"/>
                <w:color w:val="auto"/>
                <w:kern w:val="0"/>
                <w:sz w:val="24"/>
              </w:rPr>
              <w:t>（1）危险废物贮存环境影响分析</w:t>
            </w:r>
          </w:p>
          <w:p>
            <w:pPr>
              <w:autoSpaceDE w:val="0"/>
              <w:autoSpaceDN w:val="0"/>
              <w:adjustRightInd w:val="0"/>
              <w:spacing w:line="360" w:lineRule="auto"/>
              <w:ind w:firstLine="480" w:firstLineChars="200"/>
              <w:jc w:val="left"/>
              <w:rPr>
                <w:color w:val="000000"/>
                <w:kern w:val="0"/>
                <w:sz w:val="24"/>
              </w:rPr>
            </w:pPr>
            <w:r>
              <w:rPr>
                <w:color w:val="000000"/>
                <w:sz w:val="24"/>
              </w:rPr>
              <w:t>本项目危险废物在厂内贮存时，执行《危险废物贮存污染控制标准》（GB18597-2001）及修改单中相关规定，规范建设危废</w:t>
            </w:r>
            <w:r>
              <w:rPr>
                <w:rFonts w:hint="eastAsia"/>
                <w:color w:val="000000"/>
                <w:sz w:val="24"/>
              </w:rPr>
              <w:t>暂存间</w:t>
            </w:r>
            <w:r>
              <w:rPr>
                <w:color w:val="000000"/>
                <w:sz w:val="24"/>
              </w:rPr>
              <w:t>，具体措施如下：</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1 \* GB3 </w:instrText>
            </w:r>
            <w:r>
              <w:rPr>
                <w:color w:val="000000"/>
                <w:kern w:val="0"/>
                <w:sz w:val="24"/>
              </w:rPr>
              <w:fldChar w:fldCharType="separate"/>
            </w:r>
            <w:r>
              <w:rPr>
                <w:rFonts w:hint="eastAsia" w:cs="宋体"/>
                <w:color w:val="000000"/>
                <w:kern w:val="0"/>
                <w:sz w:val="24"/>
              </w:rPr>
              <w:t>①</w:t>
            </w:r>
            <w:r>
              <w:rPr>
                <w:color w:val="000000"/>
                <w:kern w:val="0"/>
                <w:sz w:val="24"/>
              </w:rPr>
              <w:fldChar w:fldCharType="end"/>
            </w:r>
            <w:r>
              <w:rPr>
                <w:color w:val="000000"/>
                <w:sz w:val="24"/>
              </w:rPr>
              <w:t>危废</w:t>
            </w:r>
            <w:r>
              <w:rPr>
                <w:rFonts w:hint="eastAsia"/>
                <w:color w:val="000000"/>
                <w:sz w:val="24"/>
              </w:rPr>
              <w:t>暂存间</w:t>
            </w:r>
            <w:r>
              <w:rPr>
                <w:color w:val="000000"/>
                <w:kern w:val="0"/>
                <w:sz w:val="24"/>
              </w:rPr>
              <w:t>应建有堵截泄漏的裙脚，地面与裙脚要用坚固、防渗材料建造，地面与裙角所围建的容积不低于总储量的1/5；应有隔离设施和防风、防晒、防雨设施；</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2 \* GB3 </w:instrText>
            </w:r>
            <w:r>
              <w:rPr>
                <w:color w:val="000000"/>
                <w:kern w:val="0"/>
                <w:sz w:val="24"/>
              </w:rPr>
              <w:fldChar w:fldCharType="separate"/>
            </w:r>
            <w:r>
              <w:rPr>
                <w:rFonts w:hint="eastAsia" w:cs="宋体"/>
                <w:color w:val="000000"/>
                <w:kern w:val="0"/>
                <w:sz w:val="24"/>
              </w:rPr>
              <w:t>②</w:t>
            </w:r>
            <w:r>
              <w:rPr>
                <w:color w:val="000000"/>
                <w:kern w:val="0"/>
                <w:sz w:val="24"/>
              </w:rPr>
              <w:fldChar w:fldCharType="end"/>
            </w:r>
            <w:r>
              <w:rPr>
                <w:color w:val="000000"/>
                <w:kern w:val="0"/>
                <w:sz w:val="24"/>
              </w:rPr>
              <w:t>贮存设施基础必须做防渗处理，防渗层为至少1m厚粘土层（渗透系数≤10</w:t>
            </w:r>
            <w:r>
              <w:rPr>
                <w:color w:val="000000"/>
                <w:kern w:val="0"/>
                <w:sz w:val="24"/>
                <w:vertAlign w:val="superscript"/>
              </w:rPr>
              <w:t>-7</w:t>
            </w:r>
            <w:r>
              <w:rPr>
                <w:color w:val="000000"/>
                <w:kern w:val="0"/>
                <w:sz w:val="24"/>
              </w:rPr>
              <w:t>cm/s），或2mm厚高密度聚乙烯，或至少2mm厚的其它人工材料，渗透系数≤10</w:t>
            </w:r>
            <w:r>
              <w:rPr>
                <w:color w:val="000000"/>
                <w:kern w:val="0"/>
                <w:sz w:val="24"/>
                <w:vertAlign w:val="superscript"/>
              </w:rPr>
              <w:t>-10</w:t>
            </w:r>
            <w:r>
              <w:rPr>
                <w:color w:val="000000"/>
                <w:kern w:val="0"/>
                <w:sz w:val="24"/>
              </w:rPr>
              <w:t xml:space="preserve"> cm/s。</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3 \* GB3 </w:instrText>
            </w:r>
            <w:r>
              <w:rPr>
                <w:color w:val="000000"/>
                <w:kern w:val="0"/>
                <w:sz w:val="24"/>
              </w:rPr>
              <w:fldChar w:fldCharType="separate"/>
            </w:r>
            <w:r>
              <w:rPr>
                <w:rFonts w:hint="eastAsia" w:cs="宋体"/>
                <w:color w:val="000000"/>
                <w:kern w:val="0"/>
                <w:sz w:val="24"/>
              </w:rPr>
              <w:t>③</w:t>
            </w:r>
            <w:r>
              <w:rPr>
                <w:color w:val="000000"/>
                <w:kern w:val="0"/>
                <w:sz w:val="24"/>
              </w:rPr>
              <w:fldChar w:fldCharType="end"/>
            </w:r>
            <w:r>
              <w:rPr>
                <w:color w:val="000000"/>
                <w:sz w:val="24"/>
              </w:rPr>
              <w:t>盛装危险废物的容器应根据危险废物的不同特性而设计，采用不易破损、变形、老化且能有效地防止渗漏、扩散的装置，危险废物包装执行《危险货物运输包装通用技术条件》（GB12463-2009）</w:t>
            </w:r>
            <w:r>
              <w:rPr>
                <w:rFonts w:hint="eastAsia"/>
                <w:color w:val="000000"/>
                <w:sz w:val="24"/>
                <w:lang w:eastAsia="zh-CN"/>
              </w:rPr>
              <w:t>、</w:t>
            </w:r>
            <w:r>
              <w:rPr>
                <w:color w:val="000000"/>
                <w:sz w:val="24"/>
              </w:rPr>
              <w:t>《危险货物运输包装标志》（GB190-2009）</w:t>
            </w:r>
            <w:r>
              <w:rPr>
                <w:color w:val="000000"/>
                <w:kern w:val="0"/>
                <w:sz w:val="24"/>
              </w:rPr>
              <w:t>；</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4 \* GB3 </w:instrText>
            </w:r>
            <w:r>
              <w:rPr>
                <w:color w:val="000000"/>
                <w:kern w:val="0"/>
                <w:sz w:val="24"/>
              </w:rPr>
              <w:fldChar w:fldCharType="separate"/>
            </w:r>
            <w:r>
              <w:rPr>
                <w:rFonts w:hint="eastAsia" w:cs="宋体"/>
                <w:color w:val="000000"/>
                <w:kern w:val="0"/>
                <w:sz w:val="24"/>
              </w:rPr>
              <w:t>④</w:t>
            </w:r>
            <w:r>
              <w:rPr>
                <w:color w:val="000000"/>
                <w:kern w:val="0"/>
                <w:sz w:val="24"/>
              </w:rPr>
              <w:fldChar w:fldCharType="end"/>
            </w:r>
            <w:r>
              <w:rPr>
                <w:color w:val="000000"/>
                <w:kern w:val="0"/>
                <w:sz w:val="24"/>
              </w:rPr>
              <w:t>存放危废为液体的仓库内必须有泄漏液体收集装置（例如托盘、导流沟、收集池，导流沟、收集池四周壁及底部同样要求防腐防渗），存放危废为具有挥发性气体的仓库内必须有导出口及气体净化装置；</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5 \* GB3 </w:instrText>
            </w:r>
            <w:r>
              <w:rPr>
                <w:color w:val="000000"/>
                <w:kern w:val="0"/>
                <w:sz w:val="24"/>
              </w:rPr>
              <w:fldChar w:fldCharType="separate"/>
            </w:r>
            <w:r>
              <w:rPr>
                <w:rFonts w:hint="eastAsia" w:cs="宋体"/>
                <w:color w:val="000000"/>
                <w:kern w:val="0"/>
                <w:sz w:val="24"/>
              </w:rPr>
              <w:t>⑤</w:t>
            </w:r>
            <w:r>
              <w:rPr>
                <w:color w:val="000000"/>
                <w:kern w:val="0"/>
                <w:sz w:val="24"/>
              </w:rPr>
              <w:fldChar w:fldCharType="end"/>
            </w:r>
            <w:r>
              <w:rPr>
                <w:color w:val="000000"/>
                <w:kern w:val="0"/>
                <w:sz w:val="24"/>
              </w:rPr>
              <w:t>装载液体、半固体危险废物的容器内须留足够空间，容器顶部与液体表面之间保留100毫米以上的空间。用以存放装载液体、半固体危险废物容器的地方，必须有耐腐蚀的硬化地面，且表面无裂隙。</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6 \* GB3 </w:instrText>
            </w:r>
            <w:r>
              <w:rPr>
                <w:color w:val="000000"/>
                <w:kern w:val="0"/>
                <w:sz w:val="24"/>
              </w:rPr>
              <w:fldChar w:fldCharType="separate"/>
            </w:r>
            <w:r>
              <w:rPr>
                <w:rFonts w:hint="eastAsia" w:cs="宋体"/>
                <w:color w:val="000000"/>
                <w:kern w:val="0"/>
                <w:sz w:val="24"/>
              </w:rPr>
              <w:t>⑥</w:t>
            </w:r>
            <w:r>
              <w:rPr>
                <w:color w:val="000000"/>
                <w:kern w:val="0"/>
                <w:sz w:val="24"/>
              </w:rPr>
              <w:fldChar w:fldCharType="end"/>
            </w:r>
            <w:r>
              <w:rPr>
                <w:color w:val="000000"/>
                <w:kern w:val="0"/>
                <w:sz w:val="24"/>
              </w:rPr>
              <w:t>危险废物要注重“四防”，即防风、防雨、防晒、防渗漏，危废</w:t>
            </w:r>
            <w:r>
              <w:rPr>
                <w:rFonts w:hint="eastAsia"/>
                <w:color w:val="000000"/>
                <w:kern w:val="0"/>
                <w:sz w:val="24"/>
                <w:lang w:val="en-US" w:eastAsia="zh-CN"/>
              </w:rPr>
              <w:t>暂存间</w:t>
            </w:r>
            <w:r>
              <w:rPr>
                <w:color w:val="000000"/>
                <w:kern w:val="0"/>
                <w:sz w:val="24"/>
              </w:rPr>
              <w:t>建设时应采用混凝土、砖或经防腐处理的钢材等作为建材材料建成的相对封闭式场所，并设通风口；外部配套建设雨水导排系统，防止雨水进入危废暂存库内。</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7 \* GB3 </w:instrText>
            </w:r>
            <w:r>
              <w:rPr>
                <w:color w:val="000000"/>
                <w:kern w:val="0"/>
                <w:sz w:val="24"/>
              </w:rPr>
              <w:fldChar w:fldCharType="separate"/>
            </w:r>
            <w:r>
              <w:rPr>
                <w:rFonts w:hint="eastAsia" w:cs="宋体"/>
                <w:color w:val="000000"/>
                <w:kern w:val="0"/>
                <w:sz w:val="24"/>
              </w:rPr>
              <w:t>⑦</w:t>
            </w:r>
            <w:r>
              <w:rPr>
                <w:color w:val="000000"/>
                <w:kern w:val="0"/>
                <w:sz w:val="24"/>
              </w:rPr>
              <w:fldChar w:fldCharType="end"/>
            </w:r>
            <w:r>
              <w:rPr>
                <w:color w:val="000000"/>
                <w:sz w:val="24"/>
              </w:rPr>
              <w:t>危废</w:t>
            </w:r>
            <w:r>
              <w:rPr>
                <w:rFonts w:hint="eastAsia"/>
                <w:color w:val="000000"/>
                <w:sz w:val="24"/>
              </w:rPr>
              <w:t>暂存间</w:t>
            </w:r>
            <w:r>
              <w:rPr>
                <w:color w:val="000000"/>
                <w:kern w:val="0"/>
                <w:sz w:val="24"/>
              </w:rPr>
              <w:t>门上要张贴包含所有危废的标识、标牌，仓库内对应墙上有标志标识，无法装入常用容器的危险废物可用防漏胶袋等盛装，包装桶、袋上有标签，危废仓库管理责任制要上墙。</w:t>
            </w:r>
          </w:p>
          <w:p>
            <w:pPr>
              <w:autoSpaceDE w:val="0"/>
              <w:autoSpaceDN w:val="0"/>
              <w:adjustRightInd w:val="0"/>
              <w:spacing w:line="360" w:lineRule="auto"/>
              <w:ind w:firstLine="480" w:firstLineChars="200"/>
              <w:jc w:val="left"/>
              <w:rPr>
                <w:color w:val="000000"/>
                <w:kern w:val="0"/>
                <w:sz w:val="24"/>
              </w:rPr>
            </w:pPr>
            <w:r>
              <w:rPr>
                <w:color w:val="000000"/>
                <w:sz w:val="24"/>
              </w:rPr>
              <w:fldChar w:fldCharType="begin"/>
            </w:r>
            <w:r>
              <w:rPr>
                <w:color w:val="000000"/>
                <w:sz w:val="24"/>
              </w:rPr>
              <w:instrText xml:space="preserve"> = 8 \* GB3 </w:instrText>
            </w:r>
            <w:r>
              <w:rPr>
                <w:color w:val="000000"/>
                <w:sz w:val="24"/>
              </w:rPr>
              <w:fldChar w:fldCharType="separate"/>
            </w:r>
            <w:r>
              <w:rPr>
                <w:rFonts w:hint="eastAsia" w:cs="宋体"/>
                <w:color w:val="000000"/>
                <w:sz w:val="24"/>
              </w:rPr>
              <w:t>⑧</w:t>
            </w:r>
            <w:r>
              <w:rPr>
                <w:color w:val="000000"/>
                <w:sz w:val="24"/>
              </w:rPr>
              <w:fldChar w:fldCharType="end"/>
            </w:r>
            <w:r>
              <w:rPr>
                <w:color w:val="000000"/>
                <w:sz w:val="24"/>
              </w:rPr>
              <w:t>危废</w:t>
            </w:r>
            <w:r>
              <w:rPr>
                <w:rFonts w:hint="eastAsia"/>
                <w:color w:val="000000"/>
                <w:sz w:val="24"/>
              </w:rPr>
              <w:t>暂存间</w:t>
            </w:r>
            <w:r>
              <w:rPr>
                <w:color w:val="000000"/>
                <w:sz w:val="24"/>
              </w:rPr>
              <w:t>需上锁防盗，制定严格的暂存保管措施，专人负责。</w:t>
            </w:r>
          </w:p>
          <w:p>
            <w:pPr>
              <w:autoSpaceDE w:val="0"/>
              <w:autoSpaceDN w:val="0"/>
              <w:adjustRightInd w:val="0"/>
              <w:spacing w:line="360" w:lineRule="auto"/>
              <w:ind w:firstLine="480" w:firstLineChars="200"/>
              <w:jc w:val="left"/>
              <w:rPr>
                <w:color w:val="000000"/>
                <w:sz w:val="24"/>
              </w:rPr>
            </w:pPr>
            <w:r>
              <w:rPr>
                <w:color w:val="000000"/>
                <w:kern w:val="0"/>
                <w:sz w:val="24"/>
              </w:rPr>
              <w:fldChar w:fldCharType="begin"/>
            </w:r>
            <w:r>
              <w:rPr>
                <w:color w:val="000000"/>
                <w:kern w:val="0"/>
                <w:sz w:val="24"/>
              </w:rPr>
              <w:instrText xml:space="preserve"> = 9 \* GB3 </w:instrText>
            </w:r>
            <w:r>
              <w:rPr>
                <w:color w:val="000000"/>
                <w:kern w:val="0"/>
                <w:sz w:val="24"/>
              </w:rPr>
              <w:fldChar w:fldCharType="separate"/>
            </w:r>
            <w:r>
              <w:rPr>
                <w:rFonts w:hint="eastAsia" w:cs="宋体"/>
                <w:color w:val="000000"/>
                <w:kern w:val="0"/>
                <w:sz w:val="24"/>
              </w:rPr>
              <w:t>⑨</w:t>
            </w:r>
            <w:r>
              <w:rPr>
                <w:color w:val="000000"/>
                <w:kern w:val="0"/>
                <w:sz w:val="24"/>
              </w:rPr>
              <w:fldChar w:fldCharType="end"/>
            </w:r>
            <w:r>
              <w:rPr>
                <w:color w:val="000000"/>
                <w:kern w:val="0"/>
                <w:sz w:val="24"/>
              </w:rPr>
              <w:t>危险废物定期交由有资质的处置单位接收处理，转运过程严格按照有关规定，实行联单制度。</w:t>
            </w:r>
          </w:p>
          <w:p>
            <w:pPr>
              <w:autoSpaceDE w:val="0"/>
              <w:autoSpaceDN w:val="0"/>
              <w:adjustRightInd w:val="0"/>
              <w:spacing w:line="360" w:lineRule="auto"/>
              <w:ind w:firstLine="480" w:firstLineChars="200"/>
              <w:jc w:val="left"/>
              <w:rPr>
                <w:color w:val="000000"/>
                <w:kern w:val="0"/>
                <w:sz w:val="24"/>
              </w:rPr>
            </w:pPr>
            <w:r>
              <w:rPr>
                <w:color w:val="000000"/>
                <w:kern w:val="0"/>
                <w:sz w:val="24"/>
              </w:rPr>
              <w:t>采取上述措施后，能够确保本项目危险废物在厂内贮存时得到有效的处置，对环境影响较小。</w:t>
            </w:r>
          </w:p>
          <w:p>
            <w:pPr>
              <w:spacing w:line="360" w:lineRule="auto"/>
              <w:ind w:firstLine="480"/>
              <w:jc w:val="left"/>
              <w:rPr>
                <w:color w:val="000000"/>
                <w:kern w:val="0"/>
                <w:sz w:val="24"/>
              </w:rPr>
            </w:pPr>
            <w:r>
              <w:rPr>
                <w:rFonts w:hint="eastAsia"/>
                <w:color w:val="000000"/>
                <w:kern w:val="0"/>
                <w:sz w:val="24"/>
              </w:rPr>
              <w:t>（</w:t>
            </w:r>
            <w:r>
              <w:rPr>
                <w:color w:val="000000"/>
                <w:kern w:val="0"/>
                <w:sz w:val="24"/>
              </w:rPr>
              <w:t>2</w:t>
            </w:r>
            <w:r>
              <w:rPr>
                <w:rFonts w:hint="eastAsia"/>
                <w:color w:val="000000"/>
                <w:kern w:val="0"/>
                <w:sz w:val="24"/>
              </w:rPr>
              <w:t>）危险废物运输及转移过程环境影响分析</w:t>
            </w:r>
          </w:p>
          <w:p>
            <w:pPr>
              <w:spacing w:line="360" w:lineRule="auto"/>
              <w:ind w:firstLine="480"/>
              <w:jc w:val="left"/>
              <w:rPr>
                <w:color w:val="000000"/>
                <w:kern w:val="0"/>
                <w:sz w:val="24"/>
              </w:rPr>
            </w:pPr>
            <w:r>
              <w:rPr>
                <w:rFonts w:hint="eastAsia"/>
                <w:color w:val="000000"/>
                <w:kern w:val="0"/>
                <w:sz w:val="24"/>
              </w:rPr>
              <w:t>危险废物外运时严格按照国家环境保护总局令第</w:t>
            </w:r>
            <w:r>
              <w:rPr>
                <w:color w:val="000000"/>
                <w:kern w:val="0"/>
                <w:sz w:val="24"/>
              </w:rPr>
              <w:t>5</w:t>
            </w:r>
            <w:r>
              <w:rPr>
                <w:rFonts w:hint="eastAsia"/>
                <w:color w:val="000000"/>
                <w:kern w:val="0"/>
                <w:sz w:val="24"/>
              </w:rPr>
              <w:t>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pPr>
              <w:spacing w:line="360" w:lineRule="auto"/>
              <w:ind w:firstLine="480"/>
              <w:jc w:val="left"/>
              <w:rPr>
                <w:color w:val="000000"/>
                <w:kern w:val="0"/>
                <w:sz w:val="24"/>
              </w:rPr>
            </w:pPr>
            <w:r>
              <w:rPr>
                <w:rFonts w:hint="eastAsia"/>
                <w:color w:val="000000"/>
                <w:kern w:val="0"/>
                <w:sz w:val="24"/>
              </w:rPr>
              <w:t>综上所述，项目运输过程做好相关工作对外环境的影响是可以控制的。</w:t>
            </w:r>
          </w:p>
          <w:p>
            <w:pPr>
              <w:spacing w:line="360" w:lineRule="auto"/>
              <w:ind w:firstLine="480"/>
              <w:jc w:val="left"/>
              <w:rPr>
                <w:color w:val="000000"/>
                <w:spacing w:val="-2"/>
                <w:kern w:val="0"/>
                <w:sz w:val="24"/>
              </w:rPr>
            </w:pPr>
            <w:r>
              <w:rPr>
                <w:color w:val="000000"/>
                <w:spacing w:val="-2"/>
                <w:kern w:val="0"/>
                <w:sz w:val="24"/>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Pr>
                <w:rFonts w:hint="eastAsia"/>
                <w:color w:val="000000"/>
                <w:spacing w:val="-2"/>
                <w:kern w:val="0"/>
                <w:sz w:val="24"/>
              </w:rPr>
              <w:t>。</w:t>
            </w:r>
            <w:r>
              <w:rPr>
                <w:color w:val="000000"/>
                <w:spacing w:val="-2"/>
                <w:kern w:val="0"/>
                <w:sz w:val="24"/>
              </w:rPr>
              <w:t xml:space="preserve"> </w:t>
            </w:r>
          </w:p>
          <w:p>
            <w:pPr>
              <w:autoSpaceDE w:val="0"/>
              <w:autoSpaceDN w:val="0"/>
              <w:adjustRightInd w:val="0"/>
              <w:spacing w:before="120" w:beforeLines="50" w:line="360" w:lineRule="auto"/>
              <w:ind w:firstLine="480" w:firstLineChars="200"/>
              <w:jc w:val="left"/>
              <w:rPr>
                <w:color w:val="000000"/>
                <w:kern w:val="0"/>
                <w:sz w:val="24"/>
              </w:rPr>
            </w:pPr>
            <w:r>
              <w:rPr>
                <w:rFonts w:hint="eastAsia"/>
                <w:color w:val="000000"/>
                <w:kern w:val="0"/>
                <w:sz w:val="24"/>
              </w:rPr>
              <w:t>（3）委托利用或者处置的环境影响分析</w:t>
            </w:r>
          </w:p>
          <w:p>
            <w:pPr>
              <w:autoSpaceDE w:val="0"/>
              <w:autoSpaceDN w:val="0"/>
              <w:adjustRightInd w:val="0"/>
              <w:spacing w:line="360" w:lineRule="auto"/>
              <w:ind w:firstLine="480" w:firstLineChars="200"/>
              <w:jc w:val="left"/>
              <w:rPr>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根据安徽省环境保护厅公布的《安徽省危险废物经营许可证汇总统计表》，本次评价分析项目产生的危险废物</w:t>
            </w:r>
            <w:r>
              <w:rPr>
                <w:rFonts w:hint="eastAsia"/>
                <w:color w:val="000000"/>
                <w:kern w:val="0"/>
                <w:sz w:val="24"/>
              </w:rPr>
              <w:t>废</w:t>
            </w:r>
            <w:r>
              <w:rPr>
                <w:rFonts w:hint="eastAsia"/>
                <w:color w:val="000000"/>
                <w:kern w:val="0"/>
                <w:sz w:val="24"/>
                <w:lang w:val="en-US" w:eastAsia="zh-CN"/>
              </w:rPr>
              <w:t>润滑</w:t>
            </w:r>
            <w:r>
              <w:rPr>
                <w:rFonts w:hint="eastAsia"/>
                <w:color w:val="000000"/>
                <w:kern w:val="0"/>
                <w:sz w:val="24"/>
              </w:rPr>
              <w:t>油（HW08）、废</w:t>
            </w:r>
            <w:r>
              <w:rPr>
                <w:rFonts w:hint="eastAsia"/>
                <w:color w:val="000000"/>
                <w:kern w:val="0"/>
                <w:sz w:val="24"/>
                <w:lang w:val="en-US" w:eastAsia="zh-CN"/>
              </w:rPr>
              <w:t>润滑</w:t>
            </w:r>
            <w:r>
              <w:rPr>
                <w:rFonts w:hint="eastAsia"/>
                <w:color w:val="000000"/>
                <w:kern w:val="0"/>
                <w:sz w:val="24"/>
              </w:rPr>
              <w:t>油桶（</w:t>
            </w:r>
            <w:r>
              <w:rPr>
                <w:color w:val="000000"/>
                <w:sz w:val="24"/>
              </w:rPr>
              <w:t>HW</w:t>
            </w:r>
            <w:r>
              <w:rPr>
                <w:rFonts w:hint="eastAsia"/>
                <w:color w:val="000000"/>
                <w:sz w:val="24"/>
              </w:rPr>
              <w:t>49</w:t>
            </w:r>
            <w:r>
              <w:rPr>
                <w:rFonts w:hint="eastAsia"/>
                <w:color w:val="000000"/>
                <w:kern w:val="0"/>
                <w:sz w:val="24"/>
              </w:rPr>
              <w:t>）及</w:t>
            </w:r>
            <w:r>
              <w:rPr>
                <w:rFonts w:hint="eastAsia"/>
                <w:sz w:val="24"/>
              </w:rPr>
              <w:t>废活性炭</w:t>
            </w:r>
            <w:r>
              <w:rPr>
                <w:rFonts w:hint="eastAsia"/>
                <w:color w:val="000000"/>
                <w:kern w:val="0"/>
                <w:sz w:val="24"/>
              </w:rPr>
              <w:t>（</w:t>
            </w:r>
            <w:r>
              <w:rPr>
                <w:color w:val="000000"/>
                <w:sz w:val="24"/>
              </w:rPr>
              <w:t>HW</w:t>
            </w:r>
            <w:r>
              <w:rPr>
                <w:rFonts w:hint="eastAsia"/>
                <w:color w:val="000000"/>
                <w:sz w:val="24"/>
              </w:rPr>
              <w:t>49</w:t>
            </w:r>
            <w:r>
              <w:rPr>
                <w:rFonts w:hint="eastAsia"/>
                <w:color w:val="000000"/>
                <w:kern w:val="0"/>
                <w:sz w:val="24"/>
              </w:rPr>
              <w:t>）</w:t>
            </w:r>
            <w:r>
              <w:rPr>
                <w:rFonts w:hint="eastAsia"/>
                <w:color w:val="000000"/>
                <w:kern w:val="0"/>
                <w:sz w:val="24"/>
                <w:lang w:eastAsia="zh-CN"/>
              </w:rPr>
              <w:t>、</w:t>
            </w:r>
            <w:r>
              <w:rPr>
                <w:rFonts w:hint="eastAsia"/>
                <w:color w:val="0D0D0D" w:themeColor="text1" w:themeTint="F2"/>
                <w:kern w:val="0"/>
                <w:sz w:val="24"/>
                <w14:textFill>
                  <w14:solidFill>
                    <w14:schemeClr w14:val="tx1">
                      <w14:lumMod w14:val="95000"/>
                      <w14:lumOff w14:val="5000"/>
                    </w14:schemeClr>
                  </w14:solidFill>
                </w14:textFill>
              </w:rPr>
              <w:t>废含油手套、抹布</w:t>
            </w:r>
            <w:r>
              <w:rPr>
                <w:rFonts w:hint="eastAsia"/>
                <w:color w:val="000000"/>
                <w:kern w:val="0"/>
                <w:sz w:val="24"/>
              </w:rPr>
              <w:t>（</w:t>
            </w:r>
            <w:r>
              <w:rPr>
                <w:color w:val="000000"/>
                <w:sz w:val="24"/>
              </w:rPr>
              <w:t>HW</w:t>
            </w:r>
            <w:r>
              <w:rPr>
                <w:rFonts w:hint="eastAsia"/>
                <w:color w:val="000000"/>
                <w:sz w:val="24"/>
              </w:rPr>
              <w:t>49</w:t>
            </w:r>
            <w:r>
              <w:rPr>
                <w:rFonts w:hint="eastAsia"/>
                <w:color w:val="000000"/>
                <w:kern w:val="0"/>
                <w:sz w:val="24"/>
              </w:rPr>
              <w:t>）</w:t>
            </w:r>
            <w:r>
              <w:rPr>
                <w:rFonts w:hint="eastAsia"/>
                <w:color w:val="0D0D0D" w:themeColor="text1" w:themeTint="F2"/>
                <w:kern w:val="0"/>
                <w:sz w:val="24"/>
                <w14:textFill>
                  <w14:solidFill>
                    <w14:schemeClr w14:val="tx1">
                      <w14:lumMod w14:val="95000"/>
                      <w14:lumOff w14:val="5000"/>
                    </w14:schemeClr>
                  </w14:solidFill>
                </w14:textFill>
              </w:rPr>
              <w:t>有资质单位有能力接纳并利用、处置的部分单位如下：</w:t>
            </w:r>
          </w:p>
          <w:p>
            <w:pPr>
              <w:jc w:val="center"/>
              <w:rPr>
                <w:b/>
                <w:color w:val="000000"/>
                <w:sz w:val="24"/>
              </w:rPr>
            </w:pPr>
            <w:r>
              <w:rPr>
                <w:rFonts w:hint="eastAsia"/>
                <w:b/>
                <w:color w:val="000000"/>
                <w:sz w:val="24"/>
              </w:rPr>
              <w:t>表4-</w:t>
            </w:r>
            <w:r>
              <w:rPr>
                <w:rFonts w:hint="eastAsia"/>
                <w:b/>
                <w:color w:val="000000"/>
                <w:sz w:val="24"/>
                <w:lang w:val="en-US" w:eastAsia="zh-CN"/>
              </w:rPr>
              <w:t xml:space="preserve">8 </w:t>
            </w:r>
            <w:r>
              <w:rPr>
                <w:rFonts w:hint="eastAsia"/>
                <w:b/>
                <w:color w:val="000000"/>
                <w:sz w:val="24"/>
              </w:rPr>
              <w:t xml:space="preserve"> 危险废物处置单位一览表</w:t>
            </w:r>
          </w:p>
          <w:tbl>
            <w:tblPr>
              <w:tblStyle w:val="58"/>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495"/>
              <w:gridCol w:w="1128"/>
              <w:gridCol w:w="508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trPr>
              <w:tc>
                <w:tcPr>
                  <w:tcW w:w="687" w:type="dxa"/>
                  <w:shd w:val="clear" w:color="auto" w:fill="auto"/>
                  <w:vAlign w:val="center"/>
                </w:tcPr>
                <w:p>
                  <w:pPr>
                    <w:pStyle w:val="1038"/>
                    <w:widowControl w:val="0"/>
                    <w:adjustRightInd w:val="0"/>
                    <w:snapToGrid w:val="0"/>
                    <w:ind w:left="-63" w:leftChars="-30" w:right="-63" w:rightChars="-30" w:firstLine="0" w:firstLineChars="0"/>
                    <w:jc w:val="center"/>
                    <w:rPr>
                      <w:b/>
                      <w:bCs/>
                      <w:sz w:val="21"/>
                      <w:szCs w:val="21"/>
                    </w:rPr>
                  </w:pPr>
                  <w:r>
                    <w:rPr>
                      <w:rFonts w:hint="eastAsia"/>
                      <w:b/>
                      <w:bCs/>
                      <w:sz w:val="21"/>
                      <w:szCs w:val="21"/>
                    </w:rPr>
                    <w:t>市县</w:t>
                  </w:r>
                </w:p>
              </w:tc>
              <w:tc>
                <w:tcPr>
                  <w:tcW w:w="1495" w:type="dxa"/>
                  <w:shd w:val="clear" w:color="auto" w:fill="auto"/>
                  <w:vAlign w:val="center"/>
                </w:tcPr>
                <w:p>
                  <w:pPr>
                    <w:pStyle w:val="1038"/>
                    <w:widowControl w:val="0"/>
                    <w:adjustRightInd w:val="0"/>
                    <w:snapToGrid w:val="0"/>
                    <w:ind w:left="-63" w:leftChars="-30" w:right="-63" w:rightChars="-30" w:firstLine="0" w:firstLineChars="0"/>
                    <w:jc w:val="center"/>
                    <w:rPr>
                      <w:b/>
                      <w:bCs/>
                      <w:sz w:val="21"/>
                      <w:szCs w:val="21"/>
                    </w:rPr>
                  </w:pPr>
                  <w:r>
                    <w:rPr>
                      <w:rFonts w:hint="eastAsia"/>
                      <w:b/>
                      <w:bCs/>
                      <w:sz w:val="21"/>
                      <w:szCs w:val="21"/>
                    </w:rPr>
                    <w:t>企业名称</w:t>
                  </w:r>
                </w:p>
              </w:tc>
              <w:tc>
                <w:tcPr>
                  <w:tcW w:w="1128" w:type="dxa"/>
                  <w:shd w:val="clear" w:color="auto" w:fill="auto"/>
                  <w:vAlign w:val="center"/>
                </w:tcPr>
                <w:p>
                  <w:pPr>
                    <w:pStyle w:val="1038"/>
                    <w:widowControl w:val="0"/>
                    <w:adjustRightInd w:val="0"/>
                    <w:snapToGrid w:val="0"/>
                    <w:ind w:left="-63" w:leftChars="-30" w:right="-63" w:rightChars="-30" w:firstLine="0" w:firstLineChars="0"/>
                    <w:jc w:val="center"/>
                    <w:rPr>
                      <w:b/>
                      <w:bCs/>
                      <w:sz w:val="21"/>
                      <w:szCs w:val="21"/>
                    </w:rPr>
                  </w:pPr>
                  <w:r>
                    <w:rPr>
                      <w:rFonts w:hint="eastAsia"/>
                      <w:b/>
                      <w:bCs/>
                      <w:sz w:val="21"/>
                      <w:szCs w:val="21"/>
                    </w:rPr>
                    <w:t>许可证编号</w:t>
                  </w:r>
                </w:p>
              </w:tc>
              <w:tc>
                <w:tcPr>
                  <w:tcW w:w="5080" w:type="dxa"/>
                  <w:shd w:val="clear" w:color="auto" w:fill="auto"/>
                  <w:vAlign w:val="center"/>
                </w:tcPr>
                <w:p>
                  <w:pPr>
                    <w:pStyle w:val="1038"/>
                    <w:widowControl w:val="0"/>
                    <w:adjustRightInd w:val="0"/>
                    <w:snapToGrid w:val="0"/>
                    <w:ind w:left="-63" w:leftChars="-30" w:right="-63" w:rightChars="-30" w:firstLine="0" w:firstLineChars="0"/>
                    <w:jc w:val="center"/>
                    <w:rPr>
                      <w:b/>
                      <w:bCs/>
                      <w:sz w:val="21"/>
                      <w:szCs w:val="21"/>
                    </w:rPr>
                  </w:pPr>
                  <w:r>
                    <w:rPr>
                      <w:rFonts w:hint="eastAsia"/>
                      <w:b/>
                      <w:bCs/>
                      <w:sz w:val="21"/>
                      <w:szCs w:val="21"/>
                    </w:rPr>
                    <w:t>核准经营范围、类别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1038"/>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95" w:type="dxa"/>
                  <w:shd w:val="clear" w:color="auto" w:fill="auto"/>
                  <w:vAlign w:val="center"/>
                </w:tcPr>
                <w:p>
                  <w:pPr>
                    <w:pStyle w:val="1038"/>
                    <w:widowControl w:val="0"/>
                    <w:adjustRightInd w:val="0"/>
                    <w:snapToGrid w:val="0"/>
                    <w:ind w:left="-63" w:leftChars="-30" w:right="-63" w:rightChars="-30" w:firstLine="0" w:firstLineChars="0"/>
                    <w:jc w:val="center"/>
                    <w:rPr>
                      <w:sz w:val="21"/>
                      <w:szCs w:val="21"/>
                    </w:rPr>
                  </w:pPr>
                  <w:r>
                    <w:rPr>
                      <w:rFonts w:hint="eastAsia"/>
                      <w:sz w:val="21"/>
                      <w:szCs w:val="21"/>
                    </w:rPr>
                    <w:t>芜湖致源环保科技有限公司</w:t>
                  </w:r>
                </w:p>
              </w:tc>
              <w:tc>
                <w:tcPr>
                  <w:tcW w:w="1128" w:type="dxa"/>
                  <w:shd w:val="clear" w:color="auto" w:fill="auto"/>
                  <w:vAlign w:val="center"/>
                </w:tcPr>
                <w:p>
                  <w:pPr>
                    <w:pStyle w:val="1038"/>
                    <w:widowControl w:val="0"/>
                    <w:adjustRightInd w:val="0"/>
                    <w:snapToGrid w:val="0"/>
                    <w:ind w:left="-63" w:leftChars="-30" w:right="-63" w:rightChars="-30" w:firstLine="0" w:firstLineChars="0"/>
                    <w:jc w:val="center"/>
                    <w:rPr>
                      <w:sz w:val="21"/>
                      <w:szCs w:val="21"/>
                    </w:rPr>
                  </w:pPr>
                  <w:r>
                    <w:rPr>
                      <w:sz w:val="21"/>
                      <w:szCs w:val="21"/>
                    </w:rPr>
                    <w:t>340203002</w:t>
                  </w:r>
                </w:p>
              </w:tc>
              <w:tc>
                <w:tcPr>
                  <w:tcW w:w="5080" w:type="dxa"/>
                  <w:shd w:val="clear" w:color="auto" w:fill="auto"/>
                  <w:vAlign w:val="center"/>
                </w:tcPr>
                <w:p>
                  <w:pPr>
                    <w:pStyle w:val="1038"/>
                    <w:widowControl w:val="0"/>
                    <w:adjustRightInd w:val="0"/>
                    <w:snapToGrid w:val="0"/>
                    <w:ind w:left="-63" w:leftChars="-30" w:right="-63" w:rightChars="-30" w:firstLine="0" w:firstLineChars="0"/>
                    <w:jc w:val="center"/>
                    <w:rPr>
                      <w:sz w:val="21"/>
                      <w:szCs w:val="21"/>
                    </w:rPr>
                  </w:pPr>
                  <w:r>
                    <w:rPr>
                      <w:rFonts w:hint="eastAsia"/>
                      <w:sz w:val="21"/>
                      <w:szCs w:val="21"/>
                    </w:rPr>
                    <w:t>HW08废矿物油与含矿物油废物、HW09油水烃水混合物或乳化液，HW12染料涂料废物，HW17表面处理废物，HW49其他废物。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1038"/>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95" w:type="dxa"/>
                  <w:shd w:val="clear" w:color="auto" w:fill="auto"/>
                  <w:vAlign w:val="center"/>
                </w:tcPr>
                <w:p>
                  <w:pPr>
                    <w:pStyle w:val="1038"/>
                    <w:widowControl w:val="0"/>
                    <w:adjustRightInd w:val="0"/>
                    <w:snapToGrid w:val="0"/>
                    <w:ind w:left="-63" w:leftChars="-30" w:right="-63" w:rightChars="-30" w:firstLine="0" w:firstLineChars="0"/>
                    <w:jc w:val="center"/>
                    <w:rPr>
                      <w:sz w:val="21"/>
                      <w:szCs w:val="21"/>
                    </w:rPr>
                  </w:pPr>
                  <w:r>
                    <w:rPr>
                      <w:rFonts w:hint="eastAsia"/>
                      <w:sz w:val="21"/>
                      <w:szCs w:val="21"/>
                    </w:rPr>
                    <w:t>芜湖海创环保科技有限责任公司</w:t>
                  </w:r>
                </w:p>
              </w:tc>
              <w:tc>
                <w:tcPr>
                  <w:tcW w:w="1128" w:type="dxa"/>
                  <w:shd w:val="clear" w:color="auto" w:fill="auto"/>
                  <w:vAlign w:val="center"/>
                </w:tcPr>
                <w:p>
                  <w:pPr>
                    <w:pStyle w:val="1038"/>
                    <w:widowControl w:val="0"/>
                    <w:adjustRightInd w:val="0"/>
                    <w:snapToGrid w:val="0"/>
                    <w:ind w:left="-63" w:leftChars="-30" w:right="-63" w:rightChars="-30" w:firstLine="0" w:firstLineChars="0"/>
                    <w:jc w:val="center"/>
                    <w:rPr>
                      <w:sz w:val="21"/>
                      <w:szCs w:val="21"/>
                    </w:rPr>
                  </w:pPr>
                  <w:r>
                    <w:rPr>
                      <w:sz w:val="21"/>
                      <w:szCs w:val="21"/>
                    </w:rPr>
                    <w:t>340222002</w:t>
                  </w:r>
                </w:p>
              </w:tc>
              <w:tc>
                <w:tcPr>
                  <w:tcW w:w="5080" w:type="dxa"/>
                  <w:shd w:val="clear" w:color="auto" w:fill="auto"/>
                  <w:vAlign w:val="center"/>
                </w:tcPr>
                <w:p>
                  <w:pPr>
                    <w:pStyle w:val="1038"/>
                    <w:widowControl w:val="0"/>
                    <w:adjustRightInd w:val="0"/>
                    <w:snapToGrid w:val="0"/>
                    <w:ind w:left="-63" w:leftChars="-30" w:right="-63" w:rightChars="-30" w:firstLine="0" w:firstLineChars="0"/>
                    <w:jc w:val="center"/>
                    <w:rPr>
                      <w:sz w:val="21"/>
                      <w:szCs w:val="21"/>
                    </w:rPr>
                  </w:pPr>
                  <w:r>
                    <w:rPr>
                      <w:rFonts w:hint="eastAsia"/>
                      <w:sz w:val="21"/>
                      <w:szCs w:val="21"/>
                    </w:rPr>
                    <w:t>HW02、HW04、HW06、HW08、HW09、HW11、HW12、HW13、HW17、HW18、HW22 、HW31、HW34、HW39、HW45、HW48、HW49等17大类，283小类。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1038"/>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95" w:type="dxa"/>
                  <w:shd w:val="clear" w:color="auto" w:fill="auto"/>
                  <w:vAlign w:val="center"/>
                </w:tcPr>
                <w:p>
                  <w:pPr>
                    <w:pStyle w:val="1038"/>
                    <w:widowControl w:val="0"/>
                    <w:adjustRightInd w:val="0"/>
                    <w:snapToGrid w:val="0"/>
                    <w:ind w:left="-63" w:leftChars="-30" w:right="-63" w:rightChars="-30" w:firstLine="0" w:firstLineChars="0"/>
                    <w:jc w:val="center"/>
                    <w:rPr>
                      <w:sz w:val="21"/>
                      <w:szCs w:val="21"/>
                    </w:rPr>
                  </w:pPr>
                  <w:r>
                    <w:rPr>
                      <w:rFonts w:hint="eastAsia"/>
                      <w:sz w:val="21"/>
                      <w:szCs w:val="21"/>
                    </w:rPr>
                    <w:t>安徽优环再生资源利用有限公司</w:t>
                  </w:r>
                </w:p>
              </w:tc>
              <w:tc>
                <w:tcPr>
                  <w:tcW w:w="1128" w:type="dxa"/>
                  <w:shd w:val="clear" w:color="auto" w:fill="auto"/>
                  <w:vAlign w:val="center"/>
                </w:tcPr>
                <w:p>
                  <w:pPr>
                    <w:pStyle w:val="1038"/>
                    <w:widowControl w:val="0"/>
                    <w:adjustRightInd w:val="0"/>
                    <w:snapToGrid w:val="0"/>
                    <w:ind w:left="-63" w:leftChars="-30" w:right="-63" w:rightChars="-30" w:firstLine="0" w:firstLineChars="0"/>
                    <w:jc w:val="center"/>
                    <w:rPr>
                      <w:sz w:val="21"/>
                      <w:szCs w:val="21"/>
                    </w:rPr>
                  </w:pPr>
                  <w:r>
                    <w:rPr>
                      <w:sz w:val="21"/>
                      <w:szCs w:val="21"/>
                    </w:rPr>
                    <w:t>340271001</w:t>
                  </w:r>
                </w:p>
              </w:tc>
              <w:tc>
                <w:tcPr>
                  <w:tcW w:w="5080" w:type="dxa"/>
                  <w:shd w:val="clear" w:color="auto" w:fill="auto"/>
                  <w:vAlign w:val="center"/>
                </w:tcPr>
                <w:p>
                  <w:pPr>
                    <w:pStyle w:val="1038"/>
                    <w:widowControl w:val="0"/>
                    <w:adjustRightInd w:val="0"/>
                    <w:snapToGrid w:val="0"/>
                    <w:ind w:left="-63" w:leftChars="-30" w:right="-63" w:rightChars="-30" w:firstLine="0" w:firstLineChars="0"/>
                    <w:jc w:val="center"/>
                    <w:rPr>
                      <w:sz w:val="21"/>
                      <w:szCs w:val="21"/>
                    </w:rPr>
                  </w:pPr>
                  <w:r>
                    <w:rPr>
                      <w:rFonts w:hint="eastAsia"/>
                      <w:sz w:val="21"/>
                      <w:szCs w:val="21"/>
                    </w:rPr>
                    <w:t>HW06、HW08、HW09、HW11、HW12、HW13、HW16、HW17、HW18、HW22、HW32 、HW34、HW35、HW48、HW49、HW50等16大类、108小类。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1038"/>
                    <w:widowControl w:val="0"/>
                    <w:adjustRightInd w:val="0"/>
                    <w:snapToGrid w:val="0"/>
                    <w:ind w:left="-63" w:leftChars="-30" w:right="-63" w:rightChars="-30" w:firstLine="0" w:firstLineChars="0"/>
                    <w:jc w:val="center"/>
                    <w:rPr>
                      <w:sz w:val="21"/>
                      <w:szCs w:val="21"/>
                    </w:rPr>
                  </w:pPr>
                  <w:r>
                    <w:rPr>
                      <w:rFonts w:hint="eastAsia"/>
                      <w:sz w:val="21"/>
                      <w:szCs w:val="21"/>
                    </w:rPr>
                    <w:t>马鞍山市</w:t>
                  </w:r>
                </w:p>
              </w:tc>
              <w:tc>
                <w:tcPr>
                  <w:tcW w:w="1495" w:type="dxa"/>
                  <w:shd w:val="clear" w:color="auto" w:fill="auto"/>
                  <w:vAlign w:val="center"/>
                </w:tcPr>
                <w:p>
                  <w:pPr>
                    <w:pStyle w:val="1038"/>
                    <w:widowControl w:val="0"/>
                    <w:adjustRightInd w:val="0"/>
                    <w:snapToGrid w:val="0"/>
                    <w:ind w:left="-63" w:leftChars="-30" w:right="-63" w:rightChars="-30" w:firstLine="0" w:firstLineChars="0"/>
                    <w:jc w:val="center"/>
                    <w:rPr>
                      <w:sz w:val="21"/>
                      <w:szCs w:val="21"/>
                    </w:rPr>
                  </w:pPr>
                  <w:r>
                    <w:rPr>
                      <w:rFonts w:hint="eastAsia"/>
                      <w:sz w:val="21"/>
                      <w:szCs w:val="21"/>
                    </w:rPr>
                    <w:t>马鞍山澳新环保科技有限公司</w:t>
                  </w:r>
                </w:p>
              </w:tc>
              <w:tc>
                <w:tcPr>
                  <w:tcW w:w="1128" w:type="dxa"/>
                  <w:shd w:val="clear" w:color="auto" w:fill="auto"/>
                  <w:vAlign w:val="center"/>
                </w:tcPr>
                <w:p>
                  <w:pPr>
                    <w:pStyle w:val="1038"/>
                    <w:widowControl w:val="0"/>
                    <w:adjustRightInd w:val="0"/>
                    <w:snapToGrid w:val="0"/>
                    <w:ind w:left="-63" w:leftChars="-30" w:right="-63" w:rightChars="-30" w:firstLine="0" w:firstLineChars="0"/>
                    <w:jc w:val="center"/>
                    <w:rPr>
                      <w:sz w:val="21"/>
                      <w:szCs w:val="21"/>
                    </w:rPr>
                  </w:pPr>
                  <w:r>
                    <w:rPr>
                      <w:sz w:val="21"/>
                      <w:szCs w:val="21"/>
                    </w:rPr>
                    <w:t>340504001</w:t>
                  </w:r>
                </w:p>
              </w:tc>
              <w:tc>
                <w:tcPr>
                  <w:tcW w:w="5080" w:type="dxa"/>
                  <w:shd w:val="clear" w:color="auto" w:fill="auto"/>
                  <w:vAlign w:val="center"/>
                </w:tcPr>
                <w:p>
                  <w:pPr>
                    <w:pStyle w:val="1038"/>
                    <w:widowControl w:val="0"/>
                    <w:adjustRightInd w:val="0"/>
                    <w:snapToGrid w:val="0"/>
                    <w:ind w:left="-63" w:leftChars="-30" w:right="-63" w:rightChars="-30" w:firstLine="412"/>
                    <w:jc w:val="center"/>
                    <w:rPr>
                      <w:sz w:val="21"/>
                      <w:szCs w:val="21"/>
                    </w:rPr>
                  </w:pPr>
                  <w:r>
                    <w:rPr>
                      <w:rFonts w:hint="eastAsia"/>
                      <w:sz w:val="21"/>
                      <w:szCs w:val="21"/>
                    </w:rPr>
                    <w:t>HW01-HW06、HW08、HW09、HW11-HW14、HW16-HW18、HW21-HW23、HW29、 HW31-HW40、HW45、HW46、HW48-HW50焚烧10000吨/年（含医疗废物1000吨）、物化处理13000吨/年、固化、稳定化及安全填埋10100吨/年。</w:t>
                  </w:r>
                </w:p>
              </w:tc>
            </w:tr>
          </w:tbl>
          <w:p>
            <w:pPr>
              <w:autoSpaceDE w:val="0"/>
              <w:autoSpaceDN w:val="0"/>
              <w:adjustRightInd w:val="0"/>
              <w:spacing w:line="360" w:lineRule="auto"/>
              <w:ind w:firstLine="480" w:firstLineChars="200"/>
              <w:jc w:val="left"/>
              <w:rPr>
                <w:color w:val="000000"/>
                <w:kern w:val="0"/>
                <w:sz w:val="24"/>
              </w:rPr>
            </w:pP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从上表可以看出，建设单位产生的危险废物在安徽省内有多家适合的资质单位进行处理处置。</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综上所述，本评价认为，在落实上述危险废物管理要求后，项目各类危废从收集、转运、运输、处理处置环节均可以得到有效的控制，能够确保妥善处置，不会对区域环境造成较大不利影响</w:t>
            </w:r>
            <w:r>
              <w:rPr>
                <w:color w:val="00000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tcPr>
          <w:p>
            <w:pPr>
              <w:tabs>
                <w:tab w:val="left" w:pos="1077"/>
              </w:tabs>
              <w:rPr>
                <w:rFonts w:cs="宋体"/>
                <w:color w:val="000000"/>
                <w:sz w:val="24"/>
              </w:rPr>
            </w:pPr>
          </w:p>
        </w:tc>
        <w:tc>
          <w:tcPr>
            <w:tcW w:w="8605" w:type="dxa"/>
            <w:shd w:val="clear" w:color="auto" w:fill="auto"/>
          </w:tcPr>
          <w:p>
            <w:pPr>
              <w:keepNext/>
              <w:keepLines/>
              <w:spacing w:before="120" w:beforeLines="50" w:line="360" w:lineRule="auto"/>
              <w:ind w:firstLine="354" w:firstLineChars="147"/>
              <w:outlineLvl w:val="2"/>
              <w:rPr>
                <w:rFonts w:hint="eastAsia" w:ascii="Times New Roman" w:hAnsi="Times New Roman" w:cs="Times New Roman"/>
                <w:b/>
                <w:bCs/>
                <w:color w:val="auto"/>
                <w:sz w:val="24"/>
                <w:szCs w:val="32"/>
              </w:rPr>
            </w:pPr>
            <w:r>
              <w:rPr>
                <w:rFonts w:hint="eastAsia" w:ascii="Times New Roman" w:hAnsi="Times New Roman" w:cs="Times New Roman"/>
                <w:b/>
                <w:bCs/>
                <w:color w:val="auto"/>
                <w:sz w:val="24"/>
                <w:szCs w:val="32"/>
              </w:rPr>
              <w:t>五、地下水、土壤环境影响和保护措施</w:t>
            </w:r>
          </w:p>
          <w:p>
            <w:pPr>
              <w:keepNext/>
              <w:keepLines/>
              <w:spacing w:before="120" w:beforeLines="50" w:line="360" w:lineRule="auto"/>
              <w:ind w:firstLine="354" w:firstLineChars="147"/>
              <w:outlineLvl w:val="2"/>
              <w:rPr>
                <w:rFonts w:hint="eastAsia" w:ascii="Times New Roman" w:hAnsi="Times New Roman" w:cs="Times New Roman"/>
                <w:b/>
                <w:bCs/>
                <w:color w:val="auto"/>
                <w:sz w:val="24"/>
                <w:szCs w:val="32"/>
              </w:rPr>
            </w:pPr>
            <w:bookmarkStart w:id="5" w:name="_Toc364165777"/>
            <w:bookmarkStart w:id="6" w:name="_Toc355948545"/>
            <w:bookmarkStart w:id="7" w:name="_Toc350338948"/>
            <w:r>
              <w:rPr>
                <w:rFonts w:hint="eastAsia" w:ascii="Times New Roman" w:hAnsi="Times New Roman" w:cs="Times New Roman"/>
                <w:b/>
                <w:bCs/>
                <w:color w:val="auto"/>
                <w:sz w:val="24"/>
                <w:szCs w:val="32"/>
              </w:rPr>
              <w:t>1、污染源及污染途径</w:t>
            </w:r>
          </w:p>
          <w:p>
            <w:pPr>
              <w:autoSpaceDE w:val="0"/>
              <w:autoSpaceDN w:val="0"/>
              <w:adjustRightInd w:val="0"/>
              <w:spacing w:line="360" w:lineRule="auto"/>
              <w:ind w:firstLine="480" w:firstLineChars="200"/>
              <w:jc w:val="left"/>
              <w:rPr>
                <w:rFonts w:hint="eastAsia" w:ascii="Times New Roman" w:hAnsi="Times New Roman" w:cs="Times New Roman"/>
                <w:color w:val="000000"/>
                <w:kern w:val="0"/>
                <w:sz w:val="24"/>
              </w:rPr>
            </w:pPr>
            <w:r>
              <w:rPr>
                <w:rFonts w:hint="eastAsia" w:ascii="Times New Roman" w:hAnsi="Times New Roman" w:cs="Times New Roman"/>
                <w:color w:val="000000"/>
                <w:kern w:val="0"/>
                <w:sz w:val="24"/>
              </w:rPr>
              <w:t>本项目建设完整的“雨污分流、清污分流、污污分流”排水系统，雨水排入雨水管网。生活污水经化粪池处理后接入市政管网，冷却水循环使用不外排。正常情况下，不会形成地表漫流，对土壤环境的潜在影响主要是垂直入渗透。</w:t>
            </w:r>
          </w:p>
          <w:p>
            <w:pPr>
              <w:autoSpaceDE w:val="0"/>
              <w:autoSpaceDN w:val="0"/>
              <w:adjustRightInd w:val="0"/>
              <w:spacing w:line="360" w:lineRule="auto"/>
              <w:ind w:firstLine="480" w:firstLineChars="200"/>
              <w:jc w:val="left"/>
              <w:rPr>
                <w:rFonts w:hint="eastAsia" w:ascii="Times New Roman" w:hAnsi="Times New Roman" w:cs="Times New Roman"/>
                <w:color w:val="000000"/>
                <w:kern w:val="0"/>
                <w:sz w:val="24"/>
              </w:rPr>
            </w:pPr>
            <w:r>
              <w:rPr>
                <w:rFonts w:hint="eastAsia" w:ascii="Times New Roman" w:hAnsi="Times New Roman" w:cs="Times New Roman"/>
                <w:color w:val="000000"/>
                <w:kern w:val="0"/>
                <w:sz w:val="24"/>
              </w:rPr>
              <w:t>本项目运营期对土壤环境影响途径为主要受大气沉降影响、垂直入渗影响，拟建项目不会造成土壤酸化、碱化、盐化，该项目涉及的大气污染物因子非甲烷总烃、</w:t>
            </w:r>
            <w:r>
              <w:rPr>
                <w:rFonts w:hint="eastAsia" w:ascii="Times New Roman" w:hAnsi="Times New Roman" w:cs="Times New Roman"/>
                <w:color w:val="000000"/>
                <w:kern w:val="0"/>
                <w:sz w:val="24"/>
                <w:lang w:val="en-US" w:eastAsia="zh-CN"/>
              </w:rPr>
              <w:t>苯乙烯、</w:t>
            </w:r>
            <w:r>
              <w:rPr>
                <w:rFonts w:hint="eastAsia" w:ascii="Times New Roman" w:hAnsi="Times New Roman" w:cs="Times New Roman"/>
                <w:color w:val="000000"/>
                <w:kern w:val="0"/>
                <w:sz w:val="24"/>
              </w:rPr>
              <w:t>颗粒物达标排放，大气排放量小。因此基本不会对土壤产生明显的污染，改变土壤的环境质量，在采取保护措施后环境影响可行。</w:t>
            </w:r>
          </w:p>
          <w:p>
            <w:pPr>
              <w:keepNext/>
              <w:keepLines/>
              <w:spacing w:before="120" w:beforeLines="50" w:line="360" w:lineRule="auto"/>
              <w:ind w:firstLine="354" w:firstLineChars="147"/>
              <w:outlineLvl w:val="2"/>
              <w:rPr>
                <w:rFonts w:hint="eastAsia" w:ascii="Times New Roman" w:hAnsi="Times New Roman" w:cs="Times New Roman"/>
                <w:b/>
                <w:bCs/>
                <w:color w:val="auto"/>
                <w:sz w:val="24"/>
                <w:szCs w:val="32"/>
              </w:rPr>
            </w:pPr>
            <w:r>
              <w:rPr>
                <w:rFonts w:hint="eastAsia" w:ascii="Times New Roman" w:hAnsi="Times New Roman" w:cs="Times New Roman"/>
                <w:b/>
                <w:bCs/>
                <w:color w:val="auto"/>
                <w:sz w:val="24"/>
                <w:szCs w:val="32"/>
              </w:rPr>
              <w:t>2、污染防治措施</w:t>
            </w:r>
          </w:p>
          <w:p>
            <w:pPr>
              <w:autoSpaceDE w:val="0"/>
              <w:autoSpaceDN w:val="0"/>
              <w:adjustRightInd w:val="0"/>
              <w:spacing w:line="360" w:lineRule="auto"/>
              <w:ind w:firstLine="480" w:firstLineChars="200"/>
              <w:jc w:val="left"/>
              <w:rPr>
                <w:rFonts w:hint="eastAsia" w:ascii="Times New Roman" w:hAnsi="Times New Roman" w:cs="Times New Roman"/>
                <w:color w:val="000000"/>
                <w:kern w:val="0"/>
                <w:sz w:val="24"/>
              </w:rPr>
            </w:pPr>
            <w:r>
              <w:rPr>
                <w:rFonts w:hint="eastAsia" w:ascii="Times New Roman" w:hAnsi="Times New Roman" w:cs="Times New Roman"/>
                <w:color w:val="000000"/>
                <w:kern w:val="0"/>
                <w:sz w:val="24"/>
              </w:rPr>
              <w:t>（1）源头控制措施</w:t>
            </w:r>
          </w:p>
          <w:p>
            <w:pPr>
              <w:autoSpaceDE w:val="0"/>
              <w:autoSpaceDN w:val="0"/>
              <w:adjustRightInd w:val="0"/>
              <w:spacing w:line="360" w:lineRule="auto"/>
              <w:ind w:firstLine="480" w:firstLineChars="200"/>
              <w:jc w:val="left"/>
              <w:rPr>
                <w:rFonts w:hint="eastAsia" w:ascii="Times New Roman" w:hAnsi="Times New Roman" w:cs="Times New Roman"/>
                <w:color w:val="000000"/>
                <w:kern w:val="0"/>
                <w:sz w:val="24"/>
              </w:rPr>
            </w:pPr>
            <w:r>
              <w:rPr>
                <w:rFonts w:hint="eastAsia" w:ascii="Times New Roman" w:hAnsi="Times New Roman" w:cs="Times New Roman"/>
                <w:color w:val="000000"/>
                <w:kern w:val="0"/>
                <w:sz w:val="24"/>
              </w:rPr>
              <w:fldChar w:fldCharType="begin"/>
            </w:r>
            <w:r>
              <w:rPr>
                <w:rFonts w:hint="eastAsia" w:ascii="Times New Roman" w:hAnsi="Times New Roman" w:cs="Times New Roman"/>
                <w:color w:val="000000"/>
                <w:kern w:val="0"/>
                <w:sz w:val="24"/>
              </w:rPr>
              <w:instrText xml:space="preserve"> = 1 \* GB3 </w:instrText>
            </w:r>
            <w:r>
              <w:rPr>
                <w:rFonts w:hint="eastAsia" w:ascii="Times New Roman" w:hAnsi="Times New Roman" w:cs="Times New Roman"/>
                <w:color w:val="000000"/>
                <w:kern w:val="0"/>
                <w:sz w:val="24"/>
              </w:rPr>
              <w:fldChar w:fldCharType="separate"/>
            </w:r>
            <w:r>
              <w:rPr>
                <w:rFonts w:hint="eastAsia" w:ascii="Times New Roman" w:hAnsi="Times New Roman" w:cs="Times New Roman"/>
                <w:color w:val="000000"/>
                <w:kern w:val="0"/>
                <w:sz w:val="24"/>
              </w:rPr>
              <w:t>①</w:t>
            </w:r>
            <w:r>
              <w:rPr>
                <w:rFonts w:hint="eastAsia" w:ascii="Times New Roman" w:hAnsi="Times New Roman" w:cs="Times New Roman"/>
                <w:color w:val="000000"/>
                <w:kern w:val="0"/>
                <w:sz w:val="24"/>
              </w:rPr>
              <w:fldChar w:fldCharType="end"/>
            </w:r>
            <w:r>
              <w:rPr>
                <w:rFonts w:hint="eastAsia" w:ascii="Times New Roman" w:hAnsi="Times New Roman" w:cs="Times New Roman"/>
                <w:color w:val="000000"/>
                <w:kern w:val="0"/>
                <w:sz w:val="24"/>
              </w:rPr>
              <w:t>严格按照国家相关规范要求，对厂区内各污水处理设备等采取相应措施，以防止和降低污染物的跑、冒、滴、漏，将污染物泄漏的环境风险事故降到最低程度。</w:t>
            </w:r>
          </w:p>
          <w:p>
            <w:pPr>
              <w:autoSpaceDE w:val="0"/>
              <w:autoSpaceDN w:val="0"/>
              <w:adjustRightInd w:val="0"/>
              <w:spacing w:line="360" w:lineRule="auto"/>
              <w:ind w:firstLine="480" w:firstLineChars="200"/>
              <w:jc w:val="left"/>
            </w:pPr>
            <w:r>
              <w:rPr>
                <w:rFonts w:hint="eastAsia" w:ascii="Times New Roman" w:hAnsi="Times New Roman" w:cs="Times New Roman"/>
                <w:color w:val="000000"/>
                <w:kern w:val="0"/>
                <w:sz w:val="24"/>
              </w:rPr>
              <w:fldChar w:fldCharType="begin"/>
            </w:r>
            <w:r>
              <w:rPr>
                <w:rFonts w:hint="eastAsia" w:ascii="Times New Roman" w:hAnsi="Times New Roman" w:cs="Times New Roman"/>
                <w:color w:val="000000"/>
                <w:kern w:val="0"/>
                <w:sz w:val="24"/>
              </w:rPr>
              <w:instrText xml:space="preserve"> = 2 \* GB3 </w:instrText>
            </w:r>
            <w:r>
              <w:rPr>
                <w:rFonts w:hint="eastAsia" w:ascii="Times New Roman" w:hAnsi="Times New Roman" w:cs="Times New Roman"/>
                <w:color w:val="000000"/>
                <w:kern w:val="0"/>
                <w:sz w:val="24"/>
              </w:rPr>
              <w:fldChar w:fldCharType="separate"/>
            </w:r>
            <w:r>
              <w:rPr>
                <w:rFonts w:hint="eastAsia" w:ascii="Times New Roman" w:hAnsi="Times New Roman" w:cs="Times New Roman"/>
                <w:color w:val="000000"/>
                <w:kern w:val="0"/>
                <w:sz w:val="24"/>
              </w:rPr>
              <w:t>②</w:t>
            </w:r>
            <w:r>
              <w:rPr>
                <w:rFonts w:hint="eastAsia" w:ascii="Times New Roman" w:hAnsi="Times New Roman" w:cs="Times New Roman"/>
                <w:color w:val="000000"/>
                <w:kern w:val="0"/>
                <w:sz w:val="24"/>
              </w:rPr>
              <w:fldChar w:fldCharType="end"/>
            </w:r>
            <w:r>
              <w:rPr>
                <w:rFonts w:hint="eastAsia" w:ascii="Times New Roman" w:hAnsi="Times New Roman" w:cs="Times New Roman"/>
                <w:color w:val="000000"/>
                <w:kern w:val="0"/>
                <w:sz w:val="24"/>
              </w:rPr>
              <w:t>设备和管线尽量采用“可视化”原则，即尽可能地上敷设和放置，做到污染物“早发现、早处理”，以减少由于埋地泄漏而可能造成的地下水污染。对地下管道、管道内外均采用防腐</w:t>
            </w:r>
            <w:r>
              <w:t>处理，定期对管道进行检漏，对出现泄漏处的土壤进行换土。</w:t>
            </w:r>
          </w:p>
          <w:p>
            <w:pPr>
              <w:autoSpaceDE w:val="0"/>
              <w:autoSpaceDN w:val="0"/>
              <w:adjustRightInd w:val="0"/>
              <w:spacing w:line="360" w:lineRule="auto"/>
              <w:ind w:firstLine="480" w:firstLineChars="200"/>
              <w:jc w:val="left"/>
              <w:rPr>
                <w:rFonts w:hint="eastAsia" w:ascii="Times New Roman" w:hAnsi="Times New Roman" w:cs="Times New Roman"/>
                <w:color w:val="000000"/>
                <w:kern w:val="0"/>
                <w:sz w:val="24"/>
              </w:rPr>
            </w:pPr>
            <w:r>
              <w:rPr>
                <w:rFonts w:hint="eastAsia" w:ascii="Times New Roman" w:hAnsi="Times New Roman" w:cs="Times New Roman"/>
                <w:color w:val="000000"/>
                <w:kern w:val="0"/>
                <w:sz w:val="24"/>
              </w:rPr>
              <w:fldChar w:fldCharType="begin"/>
            </w:r>
            <w:r>
              <w:rPr>
                <w:rFonts w:hint="eastAsia" w:ascii="Times New Roman" w:hAnsi="Times New Roman" w:cs="Times New Roman"/>
                <w:color w:val="000000"/>
                <w:kern w:val="0"/>
                <w:sz w:val="24"/>
              </w:rPr>
              <w:instrText xml:space="preserve"> = 3 \* GB3 </w:instrText>
            </w:r>
            <w:r>
              <w:rPr>
                <w:rFonts w:hint="eastAsia" w:ascii="Times New Roman" w:hAnsi="Times New Roman" w:cs="Times New Roman"/>
                <w:color w:val="000000"/>
                <w:kern w:val="0"/>
                <w:sz w:val="24"/>
              </w:rPr>
              <w:fldChar w:fldCharType="separate"/>
            </w:r>
            <w:r>
              <w:rPr>
                <w:rFonts w:hint="eastAsia" w:ascii="Times New Roman" w:hAnsi="Times New Roman" w:cs="Times New Roman"/>
                <w:color w:val="000000"/>
                <w:kern w:val="0"/>
                <w:sz w:val="24"/>
              </w:rPr>
              <w:t>③</w:t>
            </w:r>
            <w:r>
              <w:rPr>
                <w:rFonts w:hint="eastAsia" w:ascii="Times New Roman" w:hAnsi="Times New Roman" w:cs="Times New Roman"/>
                <w:color w:val="000000"/>
                <w:kern w:val="0"/>
                <w:sz w:val="24"/>
              </w:rPr>
              <w:fldChar w:fldCharType="end"/>
            </w:r>
            <w:r>
              <w:rPr>
                <w:rFonts w:hint="eastAsia" w:ascii="Times New Roman" w:hAnsi="Times New Roman" w:cs="Times New Roman"/>
                <w:color w:val="000000"/>
                <w:kern w:val="0"/>
                <w:sz w:val="24"/>
              </w:rPr>
              <w:t>严格固体废物管理，不接触外界降水，使其不产生淋滤液，严防污染物泄漏到地下水中。</w:t>
            </w:r>
          </w:p>
          <w:p>
            <w:pPr>
              <w:autoSpaceDE w:val="0"/>
              <w:autoSpaceDN w:val="0"/>
              <w:adjustRightInd w:val="0"/>
              <w:spacing w:line="360" w:lineRule="auto"/>
              <w:ind w:firstLine="480" w:firstLineChars="200"/>
              <w:jc w:val="left"/>
              <w:rPr>
                <w:rFonts w:hint="eastAsia" w:ascii="Times New Roman" w:hAnsi="Times New Roman" w:cs="Times New Roman"/>
                <w:color w:val="000000"/>
                <w:kern w:val="0"/>
                <w:sz w:val="24"/>
              </w:rPr>
            </w:pPr>
            <w:r>
              <w:rPr>
                <w:rFonts w:hint="eastAsia" w:ascii="Times New Roman" w:hAnsi="Times New Roman" w:cs="Times New Roman"/>
                <w:color w:val="000000"/>
                <w:kern w:val="0"/>
                <w:sz w:val="24"/>
              </w:rPr>
              <w:t>（2）分区防渗措施</w:t>
            </w:r>
          </w:p>
          <w:p>
            <w:pPr>
              <w:autoSpaceDE w:val="0"/>
              <w:autoSpaceDN w:val="0"/>
              <w:adjustRightInd w:val="0"/>
              <w:spacing w:line="360" w:lineRule="auto"/>
              <w:ind w:firstLine="480" w:firstLineChars="200"/>
              <w:jc w:val="left"/>
              <w:rPr>
                <w:rFonts w:hint="eastAsia" w:ascii="Times New Roman" w:hAnsi="Times New Roman" w:cs="Times New Roman"/>
                <w:color w:val="000000"/>
                <w:kern w:val="0"/>
                <w:sz w:val="24"/>
              </w:rPr>
            </w:pPr>
            <w:r>
              <w:rPr>
                <w:rFonts w:hint="eastAsia" w:ascii="Times New Roman" w:hAnsi="Times New Roman" w:cs="Times New Roman"/>
                <w:color w:val="000000"/>
                <w:kern w:val="0"/>
                <w:sz w:val="24"/>
              </w:rPr>
              <w:t>针对可能对地下水造成影响的各环节，按照“考虑重点，辐射全面”的防腐防渗原则，按照《环境影响评价技术导则 地下水环境》（HJ610-2016）中提出的根据建设项目场地天然包气带防污性能、污染控制难易程度和污染物特性，防渗技术要求进行划分。项目厂内不同区域实施分区防治，污染区划分为一般防渗区、重点防渗区、简单防渗区，对项目厂区防渗分区情况进行统计，见4-</w:t>
            </w:r>
            <w:r>
              <w:rPr>
                <w:rFonts w:hint="eastAsia" w:cs="Times New Roman"/>
                <w:color w:val="000000"/>
                <w:kern w:val="0"/>
                <w:sz w:val="24"/>
                <w:lang w:val="en-US" w:eastAsia="zh-CN"/>
              </w:rPr>
              <w:t>9</w:t>
            </w:r>
            <w:r>
              <w:rPr>
                <w:rFonts w:hint="eastAsia" w:ascii="Times New Roman" w:hAnsi="Times New Roman" w:cs="Times New Roman"/>
                <w:color w:val="000000"/>
                <w:kern w:val="0"/>
                <w:sz w:val="24"/>
              </w:rPr>
              <w:t>。</w:t>
            </w:r>
          </w:p>
          <w:p>
            <w:pPr>
              <w:jc w:val="center"/>
              <w:rPr>
                <w:rFonts w:hint="eastAsia" w:ascii="Times New Roman" w:hAnsi="Times New Roman" w:cs="Times New Roman"/>
                <w:b/>
                <w:color w:val="000000"/>
                <w:sz w:val="24"/>
              </w:rPr>
            </w:pPr>
            <w:r>
              <w:rPr>
                <w:rFonts w:hint="eastAsia" w:ascii="Times New Roman" w:hAnsi="Times New Roman" w:cs="Times New Roman"/>
                <w:b/>
                <w:color w:val="000000"/>
                <w:sz w:val="24"/>
              </w:rPr>
              <w:t>表4-</w:t>
            </w:r>
            <w:r>
              <w:rPr>
                <w:rFonts w:hint="eastAsia" w:cs="Times New Roman"/>
                <w:b/>
                <w:color w:val="000000"/>
                <w:sz w:val="24"/>
                <w:lang w:val="en-US" w:eastAsia="zh-CN"/>
              </w:rPr>
              <w:t xml:space="preserve">9 </w:t>
            </w:r>
            <w:r>
              <w:rPr>
                <w:rFonts w:hint="eastAsia" w:ascii="Times New Roman" w:hAnsi="Times New Roman" w:cs="Times New Roman"/>
                <w:b/>
                <w:color w:val="000000"/>
                <w:sz w:val="24"/>
                <w:lang w:val="en-US" w:eastAsia="zh-CN"/>
              </w:rPr>
              <w:t xml:space="preserve"> </w:t>
            </w:r>
            <w:r>
              <w:rPr>
                <w:rFonts w:hint="eastAsia" w:ascii="Times New Roman" w:hAnsi="Times New Roman" w:cs="Times New Roman"/>
                <w:b/>
                <w:color w:val="000000"/>
                <w:sz w:val="24"/>
              </w:rPr>
              <w:t>地下水污染防治分区</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71"/>
              <w:gridCol w:w="898"/>
              <w:gridCol w:w="1278"/>
              <w:gridCol w:w="1661"/>
              <w:gridCol w:w="13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90" w:type="pct"/>
                  <w:vAlign w:val="center"/>
                </w:tcPr>
                <w:p>
                  <w:pPr>
                    <w:adjustRightInd w:val="0"/>
                    <w:jc w:val="center"/>
                  </w:pPr>
                  <w:r>
                    <w:t>场区内建构筑物</w:t>
                  </w:r>
                </w:p>
              </w:tc>
              <w:tc>
                <w:tcPr>
                  <w:tcW w:w="535" w:type="pct"/>
                  <w:vAlign w:val="center"/>
                </w:tcPr>
                <w:p>
                  <w:pPr>
                    <w:adjustRightInd w:val="0"/>
                    <w:ind w:left="-105" w:leftChars="-50" w:right="-105" w:rightChars="-50"/>
                    <w:jc w:val="center"/>
                  </w:pPr>
                  <w:r>
                    <w:t>包气带防</w:t>
                  </w:r>
                </w:p>
                <w:p>
                  <w:pPr>
                    <w:adjustRightInd w:val="0"/>
                    <w:ind w:left="-105" w:leftChars="-50" w:right="-105" w:rightChars="-50"/>
                    <w:jc w:val="center"/>
                  </w:pPr>
                  <w:r>
                    <w:t>污性能</w:t>
                  </w:r>
                </w:p>
              </w:tc>
              <w:tc>
                <w:tcPr>
                  <w:tcW w:w="762" w:type="pct"/>
                  <w:vAlign w:val="center"/>
                </w:tcPr>
                <w:p>
                  <w:pPr>
                    <w:adjustRightInd w:val="0"/>
                    <w:ind w:left="-105" w:leftChars="-50" w:right="-105" w:rightChars="-50"/>
                    <w:jc w:val="center"/>
                  </w:pPr>
                  <w:r>
                    <w:t>污染控制</w:t>
                  </w:r>
                </w:p>
                <w:p>
                  <w:pPr>
                    <w:adjustRightInd w:val="0"/>
                    <w:ind w:left="-105" w:leftChars="-50" w:right="-105" w:rightChars="-50"/>
                    <w:jc w:val="center"/>
                  </w:pPr>
                  <w:r>
                    <w:t>难易程度</w:t>
                  </w:r>
                </w:p>
              </w:tc>
              <w:tc>
                <w:tcPr>
                  <w:tcW w:w="990" w:type="pct"/>
                  <w:vAlign w:val="center"/>
                </w:tcPr>
                <w:p>
                  <w:pPr>
                    <w:adjustRightInd w:val="0"/>
                    <w:ind w:left="-105" w:leftChars="-50" w:right="-105" w:rightChars="-50"/>
                    <w:jc w:val="center"/>
                  </w:pPr>
                  <w:r>
                    <w:t>污染物类型</w:t>
                  </w:r>
                </w:p>
              </w:tc>
              <w:tc>
                <w:tcPr>
                  <w:tcW w:w="823" w:type="pct"/>
                  <w:vAlign w:val="center"/>
                </w:tcPr>
                <w:p>
                  <w:pPr>
                    <w:adjustRightInd w:val="0"/>
                    <w:jc w:val="center"/>
                  </w:pPr>
                  <w:r>
                    <w:t>防渗分区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90" w:type="pct"/>
                  <w:vAlign w:val="center"/>
                </w:tcPr>
                <w:p>
                  <w:pPr>
                    <w:adjustRightInd w:val="0"/>
                    <w:jc w:val="center"/>
                    <w:rPr>
                      <w:rFonts w:hint="default"/>
                      <w:lang w:val="en-US" w:eastAsia="zh-CN"/>
                    </w:rPr>
                  </w:pPr>
                  <w:r>
                    <w:rPr>
                      <w:rFonts w:hint="eastAsia"/>
                    </w:rPr>
                    <w:t>生产区</w:t>
                  </w:r>
                  <w:r>
                    <w:rPr>
                      <w:rFonts w:hint="eastAsia"/>
                      <w:lang w:eastAsia="zh-CN"/>
                    </w:rPr>
                    <w:t>、</w:t>
                  </w:r>
                  <w:r>
                    <w:rPr>
                      <w:rFonts w:hint="eastAsia"/>
                      <w:lang w:val="en-US" w:eastAsia="zh-CN"/>
                    </w:rPr>
                    <w:t>一般固废库</w:t>
                  </w:r>
                </w:p>
              </w:tc>
              <w:tc>
                <w:tcPr>
                  <w:tcW w:w="535" w:type="pct"/>
                  <w:vAlign w:val="center"/>
                </w:tcPr>
                <w:p>
                  <w:pPr>
                    <w:adjustRightInd w:val="0"/>
                    <w:jc w:val="center"/>
                  </w:pPr>
                  <w:r>
                    <w:t>中</w:t>
                  </w:r>
                </w:p>
              </w:tc>
              <w:tc>
                <w:tcPr>
                  <w:tcW w:w="762" w:type="pct"/>
                  <w:vAlign w:val="center"/>
                </w:tcPr>
                <w:p>
                  <w:pPr>
                    <w:adjustRightInd w:val="0"/>
                    <w:jc w:val="center"/>
                  </w:pPr>
                  <w:r>
                    <w:t>易</w:t>
                  </w:r>
                </w:p>
              </w:tc>
              <w:tc>
                <w:tcPr>
                  <w:tcW w:w="990" w:type="pct"/>
                  <w:vAlign w:val="center"/>
                </w:tcPr>
                <w:p>
                  <w:pPr>
                    <w:adjustRightInd w:val="0"/>
                    <w:jc w:val="center"/>
                  </w:pPr>
                  <w:r>
                    <w:t>其他类型</w:t>
                  </w:r>
                </w:p>
              </w:tc>
              <w:tc>
                <w:tcPr>
                  <w:tcW w:w="823" w:type="pct"/>
                  <w:vAlign w:val="center"/>
                </w:tcPr>
                <w:p>
                  <w:pPr>
                    <w:adjustRightInd w:val="0"/>
                    <w:jc w:val="center"/>
                  </w:pPr>
                  <w:r>
                    <w:t>一般防渗区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90" w:type="pct"/>
                  <w:vAlign w:val="center"/>
                </w:tcPr>
                <w:p>
                  <w:pPr>
                    <w:adjustRightInd w:val="0"/>
                    <w:jc w:val="center"/>
                    <w:rPr>
                      <w:rFonts w:hint="eastAsia"/>
                      <w:lang w:eastAsia="zh-CN"/>
                    </w:rPr>
                  </w:pPr>
                  <w:r>
                    <w:rPr>
                      <w:rFonts w:hint="eastAsia"/>
                    </w:rPr>
                    <w:t>危废暂存间</w:t>
                  </w:r>
                </w:p>
              </w:tc>
              <w:tc>
                <w:tcPr>
                  <w:tcW w:w="535" w:type="pct"/>
                  <w:vAlign w:val="center"/>
                </w:tcPr>
                <w:p>
                  <w:pPr>
                    <w:adjustRightInd w:val="0"/>
                    <w:jc w:val="center"/>
                  </w:pPr>
                  <w:r>
                    <w:t>中</w:t>
                  </w:r>
                </w:p>
              </w:tc>
              <w:tc>
                <w:tcPr>
                  <w:tcW w:w="762" w:type="pct"/>
                  <w:vAlign w:val="center"/>
                </w:tcPr>
                <w:p>
                  <w:pPr>
                    <w:adjustRightInd w:val="0"/>
                    <w:jc w:val="center"/>
                  </w:pPr>
                  <w:r>
                    <w:t>难</w:t>
                  </w:r>
                </w:p>
              </w:tc>
              <w:tc>
                <w:tcPr>
                  <w:tcW w:w="990" w:type="pct"/>
                  <w:vAlign w:val="center"/>
                </w:tcPr>
                <w:p>
                  <w:pPr>
                    <w:adjustRightInd w:val="0"/>
                    <w:ind w:left="-105" w:leftChars="-50" w:right="-105" w:rightChars="-50"/>
                    <w:jc w:val="center"/>
                  </w:pPr>
                  <w:r>
                    <w:t>持久性有机污染物</w:t>
                  </w:r>
                </w:p>
              </w:tc>
              <w:tc>
                <w:tcPr>
                  <w:tcW w:w="823" w:type="pct"/>
                  <w:vAlign w:val="center"/>
                </w:tcPr>
                <w:p>
                  <w:pPr>
                    <w:adjustRightInd w:val="0"/>
                    <w:jc w:val="center"/>
                  </w:pPr>
                  <w:r>
                    <w:t>重点防渗区</w:t>
                  </w:r>
                </w:p>
              </w:tc>
            </w:tr>
          </w:tbl>
          <w:p/>
          <w:p>
            <w:pPr>
              <w:autoSpaceDE w:val="0"/>
              <w:autoSpaceDN w:val="0"/>
              <w:adjustRightInd w:val="0"/>
              <w:spacing w:line="360" w:lineRule="auto"/>
              <w:ind w:firstLine="480" w:firstLineChars="200"/>
              <w:jc w:val="left"/>
              <w:rPr>
                <w:rFonts w:hint="eastAsia" w:ascii="Times New Roman" w:hAnsi="Times New Roman" w:cs="Times New Roman"/>
                <w:color w:val="000000"/>
                <w:kern w:val="0"/>
                <w:sz w:val="24"/>
              </w:rPr>
            </w:pPr>
            <w:r>
              <w:rPr>
                <w:rFonts w:hint="eastAsia" w:ascii="Times New Roman" w:hAnsi="Times New Roman" w:cs="Times New Roman"/>
                <w:color w:val="000000"/>
                <w:kern w:val="0"/>
                <w:sz w:val="24"/>
              </w:rPr>
              <w:fldChar w:fldCharType="begin"/>
            </w:r>
            <w:r>
              <w:rPr>
                <w:rFonts w:hint="eastAsia" w:ascii="Times New Roman" w:hAnsi="Times New Roman" w:cs="Times New Roman"/>
                <w:color w:val="000000"/>
                <w:kern w:val="0"/>
                <w:sz w:val="24"/>
              </w:rPr>
              <w:instrText xml:space="preserve"> = 1 \* GB3 </w:instrText>
            </w:r>
            <w:r>
              <w:rPr>
                <w:rFonts w:hint="eastAsia" w:ascii="Times New Roman" w:hAnsi="Times New Roman" w:cs="Times New Roman"/>
                <w:color w:val="000000"/>
                <w:kern w:val="0"/>
                <w:sz w:val="24"/>
              </w:rPr>
              <w:fldChar w:fldCharType="separate"/>
            </w:r>
            <w:r>
              <w:rPr>
                <w:rFonts w:hint="eastAsia" w:ascii="Times New Roman" w:hAnsi="Times New Roman" w:cs="Times New Roman"/>
                <w:color w:val="000000"/>
                <w:kern w:val="0"/>
                <w:sz w:val="24"/>
              </w:rPr>
              <w:t>①</w:t>
            </w:r>
            <w:r>
              <w:rPr>
                <w:rFonts w:hint="eastAsia" w:ascii="Times New Roman" w:hAnsi="Times New Roman" w:cs="Times New Roman"/>
                <w:color w:val="000000"/>
                <w:kern w:val="0"/>
                <w:sz w:val="24"/>
              </w:rPr>
              <w:fldChar w:fldCharType="end"/>
            </w:r>
            <w:r>
              <w:rPr>
                <w:rFonts w:hint="eastAsia" w:ascii="Times New Roman" w:hAnsi="Times New Roman" w:cs="Times New Roman"/>
                <w:color w:val="000000"/>
                <w:kern w:val="0"/>
                <w:sz w:val="24"/>
              </w:rPr>
              <w:t>重点防渗区</w:t>
            </w:r>
          </w:p>
          <w:p>
            <w:pPr>
              <w:autoSpaceDE w:val="0"/>
              <w:autoSpaceDN w:val="0"/>
              <w:adjustRightInd w:val="0"/>
              <w:spacing w:line="360" w:lineRule="auto"/>
              <w:ind w:firstLine="480" w:firstLineChars="200"/>
              <w:jc w:val="left"/>
              <w:rPr>
                <w:rFonts w:hint="eastAsia" w:ascii="Times New Roman" w:hAnsi="Times New Roman" w:cs="Times New Roman"/>
                <w:color w:val="000000"/>
                <w:kern w:val="0"/>
                <w:sz w:val="24"/>
              </w:rPr>
            </w:pPr>
            <w:r>
              <w:rPr>
                <w:rFonts w:hint="eastAsia" w:ascii="Times New Roman" w:hAnsi="Times New Roman" w:cs="Times New Roman"/>
                <w:color w:val="000000"/>
                <w:kern w:val="0"/>
                <w:sz w:val="24"/>
              </w:rPr>
              <w:t>重点污染防治区主要为危废暂存间，防渗措施：底部采用10cm厚三合土处理，上层再用10-15cm水泥硬化，表层涂环氧树脂，以达到防腐、防渗漏目的，等效黏土防渗层Mb≥6.0m，渗透系数≤1.0×10-7cm/s。</w:t>
            </w:r>
          </w:p>
          <w:p>
            <w:pPr>
              <w:autoSpaceDE w:val="0"/>
              <w:autoSpaceDN w:val="0"/>
              <w:adjustRightInd w:val="0"/>
              <w:spacing w:line="360" w:lineRule="auto"/>
              <w:ind w:firstLine="480" w:firstLineChars="200"/>
              <w:jc w:val="left"/>
              <w:rPr>
                <w:rFonts w:hint="eastAsia" w:ascii="Times New Roman" w:hAnsi="Times New Roman" w:cs="Times New Roman"/>
                <w:color w:val="000000"/>
                <w:kern w:val="0"/>
                <w:sz w:val="24"/>
              </w:rPr>
            </w:pPr>
            <w:r>
              <w:rPr>
                <w:rFonts w:hint="eastAsia" w:ascii="Times New Roman" w:hAnsi="Times New Roman" w:cs="Times New Roman"/>
                <w:color w:val="000000"/>
                <w:kern w:val="0"/>
                <w:sz w:val="24"/>
              </w:rPr>
              <w:t>②一般防渗区</w:t>
            </w:r>
          </w:p>
          <w:p>
            <w:pPr>
              <w:autoSpaceDE w:val="0"/>
              <w:autoSpaceDN w:val="0"/>
              <w:adjustRightInd w:val="0"/>
              <w:spacing w:line="360" w:lineRule="auto"/>
              <w:ind w:firstLine="480" w:firstLineChars="200"/>
              <w:jc w:val="left"/>
              <w:rPr>
                <w:rFonts w:hint="eastAsia" w:ascii="Times New Roman" w:hAnsi="Times New Roman" w:cs="Times New Roman"/>
                <w:color w:val="000000"/>
                <w:kern w:val="0"/>
                <w:sz w:val="24"/>
              </w:rPr>
            </w:pPr>
            <w:r>
              <w:rPr>
                <w:rFonts w:hint="eastAsia" w:ascii="Times New Roman" w:hAnsi="Times New Roman" w:cs="Times New Roman"/>
                <w:color w:val="000000"/>
                <w:kern w:val="0"/>
                <w:sz w:val="24"/>
              </w:rPr>
              <w:t>主要包括生产区</w:t>
            </w:r>
            <w:r>
              <w:rPr>
                <w:rFonts w:hint="eastAsia" w:ascii="Times New Roman" w:hAnsi="Times New Roman" w:cs="Times New Roman"/>
                <w:color w:val="000000"/>
                <w:kern w:val="0"/>
                <w:sz w:val="24"/>
                <w:lang w:eastAsia="zh-CN"/>
              </w:rPr>
              <w:t>、</w:t>
            </w:r>
            <w:r>
              <w:rPr>
                <w:rFonts w:hint="eastAsia" w:ascii="Times New Roman" w:hAnsi="Times New Roman" w:cs="Times New Roman"/>
                <w:color w:val="000000"/>
                <w:kern w:val="0"/>
                <w:sz w:val="24"/>
                <w:lang w:val="en-US" w:eastAsia="zh-CN"/>
              </w:rPr>
              <w:t>一般固废库</w:t>
            </w:r>
            <w:r>
              <w:rPr>
                <w:rFonts w:hint="eastAsia" w:ascii="Times New Roman" w:hAnsi="Times New Roman" w:cs="Times New Roman"/>
                <w:color w:val="000000"/>
                <w:kern w:val="0"/>
                <w:sz w:val="24"/>
              </w:rPr>
              <w:t>，防渗措施：水泥硬化处理，采取10cm厚三合土铺底，再铺15~20cm的水泥进行硬化。</w:t>
            </w:r>
          </w:p>
          <w:p>
            <w:pPr>
              <w:autoSpaceDE w:val="0"/>
              <w:autoSpaceDN w:val="0"/>
              <w:adjustRightInd w:val="0"/>
              <w:spacing w:line="360" w:lineRule="auto"/>
              <w:ind w:firstLine="480" w:firstLineChars="200"/>
              <w:jc w:val="left"/>
              <w:rPr>
                <w:rFonts w:hint="eastAsia" w:ascii="Times New Roman" w:hAnsi="Times New Roman" w:cs="Times New Roman"/>
                <w:color w:val="000000"/>
                <w:kern w:val="0"/>
                <w:sz w:val="24"/>
              </w:rPr>
            </w:pPr>
            <w:r>
              <w:rPr>
                <w:rFonts w:hint="eastAsia" w:ascii="Times New Roman" w:hAnsi="Times New Roman" w:cs="Times New Roman"/>
                <w:color w:val="000000"/>
                <w:kern w:val="0"/>
                <w:sz w:val="24"/>
              </w:rPr>
              <w:t>本项目地下水分区防渗措施见表4-</w:t>
            </w:r>
            <w:r>
              <w:rPr>
                <w:rFonts w:hint="eastAsia" w:cs="Times New Roman"/>
                <w:color w:val="000000"/>
                <w:kern w:val="0"/>
                <w:sz w:val="24"/>
                <w:lang w:val="en-US" w:eastAsia="zh-CN"/>
              </w:rPr>
              <w:t>10</w:t>
            </w:r>
            <w:r>
              <w:rPr>
                <w:rFonts w:hint="eastAsia" w:ascii="Times New Roman" w:hAnsi="Times New Roman" w:cs="Times New Roman"/>
                <w:color w:val="000000"/>
                <w:kern w:val="0"/>
                <w:sz w:val="24"/>
              </w:rPr>
              <w:t>。</w:t>
            </w:r>
          </w:p>
          <w:p>
            <w:pPr>
              <w:autoSpaceDE w:val="0"/>
              <w:autoSpaceDN w:val="0"/>
              <w:adjustRightInd w:val="0"/>
              <w:spacing w:before="120" w:beforeLines="50"/>
              <w:jc w:val="center"/>
            </w:pPr>
            <w:r>
              <w:rPr>
                <w:rFonts w:hint="eastAsia" w:ascii="Times New Roman" w:hAnsi="Times New Roman" w:cs="Times New Roman"/>
                <w:b/>
                <w:color w:val="000000"/>
                <w:sz w:val="24"/>
              </w:rPr>
              <w:t>表4-</w:t>
            </w:r>
            <w:r>
              <w:rPr>
                <w:rFonts w:hint="eastAsia" w:cs="Times New Roman"/>
                <w:b/>
                <w:color w:val="000000"/>
                <w:sz w:val="24"/>
                <w:lang w:val="en-US" w:eastAsia="zh-CN"/>
              </w:rPr>
              <w:t>10</w:t>
            </w:r>
            <w:r>
              <w:rPr>
                <w:rFonts w:hint="eastAsia" w:ascii="Times New Roman" w:hAnsi="Times New Roman" w:cs="Times New Roman"/>
                <w:b/>
                <w:color w:val="000000"/>
                <w:sz w:val="24"/>
                <w:lang w:val="en-US" w:eastAsia="zh-CN"/>
              </w:rPr>
              <w:t xml:space="preserve">  </w:t>
            </w:r>
            <w:r>
              <w:rPr>
                <w:rFonts w:hint="eastAsia" w:ascii="Times New Roman" w:hAnsi="Times New Roman" w:cs="Times New Roman"/>
                <w:b/>
                <w:color w:val="000000"/>
                <w:sz w:val="24"/>
              </w:rPr>
              <w:t>地下水分区防渗措施一览表</w:t>
            </w:r>
          </w:p>
          <w:tbl>
            <w:tblPr>
              <w:tblStyle w:val="5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648"/>
              <w:gridCol w:w="3869"/>
              <w:gridCol w:w="218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1" w:type="dxa"/>
                  <w:shd w:val="clear" w:color="auto" w:fill="auto"/>
                  <w:noWrap/>
                  <w:vAlign w:val="center"/>
                </w:tcPr>
                <w:p>
                  <w:pPr>
                    <w:widowControl/>
                    <w:ind w:left="-105" w:leftChars="-50" w:right="-105" w:rightChars="-50"/>
                    <w:jc w:val="center"/>
                  </w:pPr>
                  <w:r>
                    <w:t>污染区</w:t>
                  </w:r>
                </w:p>
              </w:tc>
              <w:tc>
                <w:tcPr>
                  <w:tcW w:w="1648" w:type="dxa"/>
                  <w:shd w:val="clear" w:color="auto" w:fill="auto"/>
                  <w:noWrap/>
                  <w:vAlign w:val="center"/>
                </w:tcPr>
                <w:p>
                  <w:pPr>
                    <w:widowControl/>
                    <w:ind w:left="-50" w:right="-50"/>
                    <w:jc w:val="center"/>
                  </w:pPr>
                  <w:r>
                    <w:t>构筑物名称</w:t>
                  </w:r>
                </w:p>
              </w:tc>
              <w:tc>
                <w:tcPr>
                  <w:tcW w:w="3869" w:type="dxa"/>
                  <w:shd w:val="clear" w:color="auto" w:fill="auto"/>
                  <w:noWrap/>
                  <w:vAlign w:val="center"/>
                </w:tcPr>
                <w:p>
                  <w:pPr>
                    <w:widowControl/>
                    <w:ind w:left="-50" w:right="-50"/>
                    <w:jc w:val="center"/>
                  </w:pPr>
                  <w:r>
                    <w:t>防腐防渗措施</w:t>
                  </w:r>
                </w:p>
              </w:tc>
              <w:tc>
                <w:tcPr>
                  <w:tcW w:w="2181" w:type="dxa"/>
                  <w:vAlign w:val="center"/>
                </w:tcPr>
                <w:p>
                  <w:pPr>
                    <w:widowControl/>
                    <w:ind w:left="-50" w:right="-50"/>
                    <w:jc w:val="center"/>
                  </w:pPr>
                  <w:r>
                    <w:t>防渗技术要求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1" w:type="dxa"/>
                  <w:shd w:val="clear" w:color="auto" w:fill="auto"/>
                  <w:noWrap/>
                  <w:vAlign w:val="center"/>
                </w:tcPr>
                <w:p>
                  <w:pPr>
                    <w:widowControl/>
                    <w:ind w:left="-105" w:leftChars="-50" w:right="-105" w:rightChars="-50"/>
                    <w:jc w:val="center"/>
                  </w:pPr>
                  <w:r>
                    <w:t>一般</w:t>
                  </w:r>
                </w:p>
                <w:p>
                  <w:pPr>
                    <w:widowControl/>
                    <w:ind w:left="-105" w:leftChars="-50" w:right="-105" w:rightChars="-50"/>
                    <w:jc w:val="center"/>
                  </w:pPr>
                  <w:r>
                    <w:t>防渗区</w:t>
                  </w:r>
                </w:p>
              </w:tc>
              <w:tc>
                <w:tcPr>
                  <w:tcW w:w="1648" w:type="dxa"/>
                  <w:shd w:val="clear" w:color="auto" w:fill="auto"/>
                  <w:noWrap/>
                  <w:vAlign w:val="center"/>
                </w:tcPr>
                <w:p>
                  <w:pPr>
                    <w:adjustRightInd w:val="0"/>
                    <w:ind w:left="-50" w:right="-50"/>
                    <w:jc w:val="center"/>
                    <w:rPr>
                      <w:rFonts w:hint="default"/>
                      <w:lang w:val="en-US" w:eastAsia="zh-CN"/>
                    </w:rPr>
                  </w:pPr>
                  <w:r>
                    <w:rPr>
                      <w:rFonts w:hint="eastAsia"/>
                    </w:rPr>
                    <w:t>生产区</w:t>
                  </w:r>
                  <w:r>
                    <w:rPr>
                      <w:rFonts w:hint="eastAsia"/>
                      <w:lang w:eastAsia="zh-CN"/>
                    </w:rPr>
                    <w:t>、</w:t>
                  </w:r>
                  <w:r>
                    <w:rPr>
                      <w:rFonts w:hint="eastAsia"/>
                      <w:lang w:val="en-US" w:eastAsia="zh-CN"/>
                    </w:rPr>
                    <w:t>一般固废库</w:t>
                  </w:r>
                </w:p>
              </w:tc>
              <w:tc>
                <w:tcPr>
                  <w:tcW w:w="3869" w:type="dxa"/>
                  <w:shd w:val="clear" w:color="auto" w:fill="auto"/>
                  <w:noWrap/>
                  <w:vAlign w:val="center"/>
                </w:tcPr>
                <w:p>
                  <w:pPr>
                    <w:widowControl/>
                    <w:ind w:left="-105" w:leftChars="-50" w:right="-105" w:rightChars="-50"/>
                    <w:jc w:val="center"/>
                  </w:pPr>
                  <w:r>
                    <w:t>水泥硬化处理，采取10cm后三合土铺底，再铺15</w:t>
                  </w:r>
                  <w:r>
                    <w:rPr>
                      <w:rFonts w:hint="eastAsia"/>
                    </w:rPr>
                    <w:t>~</w:t>
                  </w:r>
                  <w:r>
                    <w:t>20cm的水泥进行硬化</w:t>
                  </w:r>
                </w:p>
              </w:tc>
              <w:tc>
                <w:tcPr>
                  <w:tcW w:w="2181" w:type="dxa"/>
                  <w:vAlign w:val="center"/>
                </w:tcPr>
                <w:p>
                  <w:pPr>
                    <w:widowControl/>
                    <w:ind w:left="-105" w:leftChars="-50" w:right="-105" w:rightChars="-50"/>
                    <w:jc w:val="center"/>
                  </w:pPr>
                  <w:r>
                    <w:t>等效黏土防渗层Mb≥1.5m，K≤10-7cm/s；或参照GB16889执行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691" w:type="dxa"/>
                  <w:shd w:val="clear" w:color="auto" w:fill="auto"/>
                  <w:noWrap/>
                  <w:vAlign w:val="center"/>
                </w:tcPr>
                <w:p>
                  <w:pPr>
                    <w:ind w:left="-105" w:leftChars="-50" w:right="-105" w:rightChars="-50"/>
                    <w:jc w:val="center"/>
                  </w:pPr>
                  <w:r>
                    <w:t>重点</w:t>
                  </w:r>
                </w:p>
                <w:p>
                  <w:pPr>
                    <w:ind w:left="-105" w:leftChars="-50" w:right="-105" w:rightChars="-50"/>
                    <w:jc w:val="center"/>
                  </w:pPr>
                  <w:r>
                    <w:t>防渗区</w:t>
                  </w:r>
                </w:p>
              </w:tc>
              <w:tc>
                <w:tcPr>
                  <w:tcW w:w="1648" w:type="dxa"/>
                  <w:shd w:val="clear" w:color="auto" w:fill="auto"/>
                  <w:noWrap/>
                  <w:vAlign w:val="center"/>
                </w:tcPr>
                <w:p>
                  <w:pPr>
                    <w:adjustRightInd w:val="0"/>
                    <w:ind w:left="-50" w:right="-50"/>
                    <w:jc w:val="center"/>
                    <w:rPr>
                      <w:rFonts w:hint="eastAsia"/>
                      <w:lang w:eastAsia="zh-CN"/>
                    </w:rPr>
                  </w:pPr>
                  <w:r>
                    <w:rPr>
                      <w:rFonts w:hint="eastAsia"/>
                    </w:rPr>
                    <w:t>危废</w:t>
                  </w:r>
                  <w:r>
                    <w:t>暂存间</w:t>
                  </w:r>
                </w:p>
              </w:tc>
              <w:tc>
                <w:tcPr>
                  <w:tcW w:w="3869" w:type="dxa"/>
                  <w:shd w:val="clear" w:color="auto" w:fill="auto"/>
                  <w:noWrap/>
                  <w:vAlign w:val="center"/>
                </w:tcPr>
                <w:p>
                  <w:pPr>
                    <w:adjustRightInd w:val="0"/>
                    <w:ind w:left="-50" w:right="-50"/>
                    <w:jc w:val="center"/>
                  </w:pPr>
                  <w:r>
                    <w:t>底部采用10cm厚三合土处理，上层再用10</w:t>
                  </w:r>
                  <w:r>
                    <w:rPr>
                      <w:rFonts w:hint="eastAsia"/>
                    </w:rPr>
                    <w:t>~</w:t>
                  </w:r>
                  <w:r>
                    <w:t>15cm水泥硬化，表层涂环氧树脂</w:t>
                  </w:r>
                </w:p>
              </w:tc>
              <w:tc>
                <w:tcPr>
                  <w:tcW w:w="2181" w:type="dxa"/>
                  <w:vAlign w:val="center"/>
                </w:tcPr>
                <w:p>
                  <w:pPr>
                    <w:ind w:left="-50" w:right="-50"/>
                    <w:jc w:val="center"/>
                  </w:pPr>
                  <w:r>
                    <w:t>等效黏土防渗层Mb≥6.0m，K≤10-7cm/s；或参照GB18598执行</w:t>
                  </w:r>
                </w:p>
              </w:tc>
            </w:tr>
          </w:tbl>
          <w:p/>
          <w:p>
            <w:pPr>
              <w:autoSpaceDE w:val="0"/>
              <w:autoSpaceDN w:val="0"/>
              <w:adjustRightInd w:val="0"/>
              <w:spacing w:line="360" w:lineRule="auto"/>
              <w:ind w:firstLine="480" w:firstLineChars="200"/>
              <w:jc w:val="left"/>
              <w:rPr>
                <w:rFonts w:hint="eastAsia" w:ascii="Times New Roman" w:hAnsi="Times New Roman" w:cs="Times New Roman"/>
                <w:color w:val="000000"/>
                <w:kern w:val="0"/>
                <w:sz w:val="24"/>
              </w:rPr>
            </w:pPr>
            <w:r>
              <w:rPr>
                <w:rFonts w:hint="eastAsia" w:ascii="Times New Roman" w:hAnsi="Times New Roman" w:cs="Times New Roman"/>
                <w:color w:val="000000"/>
                <w:kern w:val="0"/>
                <w:sz w:val="24"/>
              </w:rPr>
              <w:t>在采取以上分区防渗措施后，可有效预防项目对地下水和土壤污染的发生。</w:t>
            </w:r>
            <w:bookmarkEnd w:id="5"/>
            <w:bookmarkEnd w:id="6"/>
            <w:bookmarkEnd w:id="7"/>
          </w:p>
          <w:p>
            <w:pPr>
              <w:autoSpaceDE w:val="0"/>
              <w:autoSpaceDN w:val="0"/>
              <w:adjustRightInd w:val="0"/>
              <w:spacing w:line="360" w:lineRule="auto"/>
              <w:ind w:firstLine="480" w:firstLineChars="200"/>
              <w:jc w:val="left"/>
              <w:rPr>
                <w:rFonts w:hint="eastAsia" w:ascii="Times New Roman" w:hAnsi="Times New Roman" w:cs="Times New Roman"/>
                <w:color w:val="000000"/>
                <w:kern w:val="0"/>
                <w:sz w:val="24"/>
              </w:rPr>
            </w:pPr>
            <w:r>
              <w:rPr>
                <w:rFonts w:hint="eastAsia" w:ascii="Times New Roman" w:hAnsi="Times New Roman" w:cs="Times New Roman"/>
                <w:color w:val="000000"/>
                <w:kern w:val="0"/>
                <w:sz w:val="24"/>
              </w:rPr>
              <w:t>（</w:t>
            </w:r>
            <w:r>
              <w:rPr>
                <w:rFonts w:hint="eastAsia" w:ascii="Times New Roman" w:hAnsi="Times New Roman" w:cs="Times New Roman"/>
                <w:color w:val="000000"/>
                <w:kern w:val="0"/>
                <w:sz w:val="24"/>
                <w:lang w:val="en-US" w:eastAsia="zh-CN"/>
              </w:rPr>
              <w:t>3</w:t>
            </w:r>
            <w:r>
              <w:rPr>
                <w:rFonts w:hint="eastAsia" w:ascii="Times New Roman" w:hAnsi="Times New Roman" w:cs="Times New Roman"/>
                <w:color w:val="000000"/>
                <w:kern w:val="0"/>
                <w:sz w:val="24"/>
              </w:rPr>
              <w:t>）跟踪监测</w:t>
            </w:r>
          </w:p>
          <w:p>
            <w:pPr>
              <w:autoSpaceDE w:val="0"/>
              <w:autoSpaceDN w:val="0"/>
              <w:adjustRightInd w:val="0"/>
              <w:spacing w:line="360" w:lineRule="auto"/>
              <w:ind w:firstLine="480" w:firstLineChars="200"/>
              <w:jc w:val="left"/>
              <w:rPr>
                <w:rFonts w:hint="eastAsia" w:ascii="Times New Roman" w:hAnsi="Times New Roman" w:cs="Times New Roman"/>
                <w:color w:val="000000"/>
                <w:kern w:val="0"/>
                <w:sz w:val="24"/>
              </w:rPr>
            </w:pPr>
            <w:r>
              <w:rPr>
                <w:rFonts w:hint="eastAsia" w:ascii="Times New Roman" w:hAnsi="Times New Roman" w:cs="Times New Roman"/>
                <w:color w:val="000000"/>
                <w:kern w:val="0"/>
                <w:sz w:val="24"/>
              </w:rPr>
              <w:t>根据《环境影响评价技术导则-地下水环境》（HJ610-2016）附录A，本项目为“N轻工，116、塑料制品制造”中的“其他”，属于Ⅳ类项目，Ⅳ类建设项目不开展地下水环境影响评价。</w:t>
            </w:r>
          </w:p>
          <w:p>
            <w:pPr>
              <w:autoSpaceDE w:val="0"/>
              <w:autoSpaceDN w:val="0"/>
              <w:adjustRightInd w:val="0"/>
              <w:spacing w:line="360" w:lineRule="auto"/>
              <w:ind w:firstLine="480" w:firstLineChars="200"/>
              <w:jc w:val="left"/>
              <w:rPr>
                <w:rFonts w:hint="eastAsia" w:ascii="Times New Roman" w:hAnsi="Times New Roman" w:cs="Times New Roman"/>
                <w:color w:val="000000"/>
                <w:kern w:val="0"/>
                <w:sz w:val="24"/>
              </w:rPr>
            </w:pPr>
            <w:r>
              <w:rPr>
                <w:rFonts w:hint="eastAsia" w:ascii="Times New Roman" w:hAnsi="Times New Roman" w:cs="Times New Roman"/>
                <w:color w:val="000000"/>
                <w:kern w:val="0"/>
                <w:sz w:val="24"/>
              </w:rPr>
              <w:t>根据《环境影响评价技术导则-土壤环境（试行）》（HJ964-2018）附录A，本项目属于“其他行业”，属于Ⅳ类项目，可不开展土壤环境影响评价工作。</w:t>
            </w:r>
          </w:p>
          <w:p>
            <w:pPr>
              <w:autoSpaceDE w:val="0"/>
              <w:autoSpaceDN w:val="0"/>
              <w:adjustRightInd w:val="0"/>
              <w:spacing w:line="360" w:lineRule="auto"/>
              <w:ind w:firstLine="480" w:firstLineChars="200"/>
              <w:jc w:val="left"/>
            </w:pPr>
            <w:r>
              <w:rPr>
                <w:rFonts w:hint="eastAsia" w:ascii="Times New Roman" w:hAnsi="Times New Roman" w:cs="Times New Roman"/>
                <w:color w:val="000000"/>
                <w:kern w:val="0"/>
                <w:sz w:val="24"/>
              </w:rPr>
              <w:t>所以本项目不用进行地下水及土壤的跟踪评价。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tcPr>
          <w:p>
            <w:pPr>
              <w:tabs>
                <w:tab w:val="left" w:pos="1077"/>
              </w:tabs>
              <w:rPr>
                <w:rFonts w:cs="宋体"/>
                <w:color w:val="000000"/>
                <w:sz w:val="24"/>
              </w:rPr>
            </w:pPr>
          </w:p>
        </w:tc>
        <w:tc>
          <w:tcPr>
            <w:tcW w:w="8605" w:type="dxa"/>
            <w:shd w:val="clear" w:color="auto" w:fill="auto"/>
          </w:tcPr>
          <w:p>
            <w:pPr>
              <w:widowControl/>
              <w:spacing w:before="120" w:beforeLines="50" w:line="360" w:lineRule="auto"/>
              <w:ind w:firstLine="482" w:firstLineChars="200"/>
              <w:rPr>
                <w:b/>
                <w:color w:val="0D0D0D" w:themeColor="text1" w:themeTint="F2"/>
                <w:kern w:val="0"/>
                <w:sz w:val="24"/>
                <w14:textFill>
                  <w14:solidFill>
                    <w14:schemeClr w14:val="tx1">
                      <w14:lumMod w14:val="95000"/>
                      <w14:lumOff w14:val="5000"/>
                    </w14:schemeClr>
                  </w14:solidFill>
                </w14:textFill>
              </w:rPr>
            </w:pPr>
            <w:r>
              <w:rPr>
                <w:rFonts w:hint="eastAsia" w:cs="宋体"/>
                <w:b/>
                <w:bCs/>
                <w:color w:val="0D0D0D" w:themeColor="text1" w:themeTint="F2"/>
                <w:sz w:val="24"/>
                <w14:textFill>
                  <w14:solidFill>
                    <w14:schemeClr w14:val="tx1">
                      <w14:lumMod w14:val="95000"/>
                      <w14:lumOff w14:val="5000"/>
                    </w14:schemeClr>
                  </w14:solidFill>
                </w14:textFill>
              </w:rPr>
              <w:t>六、</w:t>
            </w:r>
            <w:r>
              <w:rPr>
                <w:rFonts w:hint="eastAsia"/>
                <w:b/>
                <w:color w:val="0D0D0D" w:themeColor="text1" w:themeTint="F2"/>
                <w:kern w:val="0"/>
                <w:sz w:val="24"/>
                <w14:textFill>
                  <w14:solidFill>
                    <w14:schemeClr w14:val="tx1">
                      <w14:lumMod w14:val="95000"/>
                      <w14:lumOff w14:val="5000"/>
                    </w14:schemeClr>
                  </w14:solidFill>
                </w14:textFill>
              </w:rPr>
              <w:t>环境风险分析</w:t>
            </w:r>
          </w:p>
          <w:p>
            <w:pPr>
              <w:spacing w:line="360" w:lineRule="auto"/>
              <w:ind w:firstLine="480" w:firstLineChars="200"/>
              <w:rPr>
                <w:sz w:val="24"/>
              </w:rPr>
            </w:pPr>
            <w:r>
              <w:rPr>
                <w:rFonts w:hint="eastAsia"/>
                <w:sz w:val="24"/>
              </w:rPr>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pPr>
              <w:spacing w:line="360" w:lineRule="auto"/>
              <w:ind w:firstLine="480" w:firstLineChars="200"/>
              <w:rPr>
                <w:sz w:val="24"/>
              </w:rPr>
            </w:pPr>
            <w:r>
              <w:rPr>
                <w:rFonts w:hint="eastAsia"/>
                <w:sz w:val="24"/>
              </w:rPr>
              <w:t>根据《建设项目环境风险评价技术导则》（HJ 169-2018），计算所涉及的每种危险物质在厂界内的最大存在总量与其在附录B中对应临界量的比值Q。</w:t>
            </w:r>
          </w:p>
          <w:p>
            <w:pPr>
              <w:spacing w:line="360" w:lineRule="auto"/>
              <w:ind w:firstLine="480" w:firstLineChars="200"/>
              <w:rPr>
                <w:sz w:val="24"/>
              </w:rPr>
            </w:pPr>
            <w:r>
              <w:rPr>
                <w:rFonts w:hint="eastAsia"/>
                <w:sz w:val="24"/>
              </w:rPr>
              <w:t>当只涉及一种危险物质时，计算该物质的总量与其临界量比值，即为Q；</w:t>
            </w:r>
          </w:p>
          <w:p>
            <w:pPr>
              <w:spacing w:line="360" w:lineRule="auto"/>
              <w:ind w:firstLine="480" w:firstLineChars="200"/>
              <w:rPr>
                <w:sz w:val="24"/>
              </w:rPr>
            </w:pPr>
            <w:r>
              <w:rPr>
                <w:rFonts w:hint="eastAsia"/>
                <w:sz w:val="24"/>
              </w:rPr>
              <w:t>当存在多种危险物质时，则按下式计算物质总量与其临界量比值(Q)：</w:t>
            </w:r>
          </w:p>
          <w:p>
            <w:pPr>
              <w:spacing w:before="60" w:after="60" w:line="360" w:lineRule="auto"/>
              <w:jc w:val="center"/>
            </w:pPr>
            <m:oMathPara>
              <m:oMath>
                <m:r>
                  <m:rPr>
                    <m:sty m:val="p"/>
                  </m:rPr>
                  <w:rPr>
                    <w:rFonts w:ascii="Cambria Math" w:hAnsi="Cambria Math"/>
                    <w:color w:val="000000"/>
                  </w:rPr>
                  <m:t>Q=</m:t>
                </m:r>
                <m:f>
                  <m:fPr>
                    <m:ctrlPr>
                      <w:rPr>
                        <w:rFonts w:ascii="Cambria Math" w:hAnsi="Cambria Math"/>
                        <w:color w:val="000000"/>
                      </w:rPr>
                    </m:ctrlPr>
                  </m:fPr>
                  <m:num>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1</m:t>
                        </m:r>
                        <m:ctrlPr>
                          <w:rPr>
                            <w:rFonts w:ascii="Cambria Math" w:hAnsi="Cambria Math"/>
                            <w:i/>
                            <w:color w:val="000000"/>
                          </w:rPr>
                        </m:ctrlPr>
                      </m:sub>
                    </m:sSub>
                    <m:ctrlPr>
                      <w:rPr>
                        <w:rFonts w:ascii="Cambria Math" w:hAnsi="Cambria Math"/>
                        <w:color w:val="000000"/>
                      </w:rPr>
                    </m:ctrlPr>
                  </m:num>
                  <m:den>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1</m:t>
                        </m:r>
                        <m:ctrlPr>
                          <w:rPr>
                            <w:rFonts w:ascii="Cambria Math" w:hAnsi="Cambria Math"/>
                            <w:i/>
                            <w:color w:val="000000"/>
                          </w:rPr>
                        </m:ctrlPr>
                      </m:sub>
                    </m:sSub>
                    <m:ctrlPr>
                      <w:rPr>
                        <w:rFonts w:ascii="Cambria Math" w:hAnsi="Cambria Math"/>
                        <w:color w:val="000000"/>
                      </w:rPr>
                    </m:ctrlPr>
                  </m:den>
                </m:f>
                <m:r>
                  <m:rP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2</m:t>
                        </m:r>
                        <m:ctrlPr>
                          <w:rPr>
                            <w:rFonts w:ascii="Cambria Math" w:hAnsi="Cambria Math"/>
                            <w:i/>
                            <w:color w:val="000000"/>
                          </w:rPr>
                        </m:ctrlPr>
                      </m:sub>
                    </m:sSub>
                    <m:ctrlPr>
                      <w:rPr>
                        <w:rFonts w:ascii="Cambria Math" w:hAnsi="Cambria Math"/>
                        <w:color w:val="000000"/>
                      </w:rPr>
                    </m:ctrlPr>
                  </m:num>
                  <m:den>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2</m:t>
                        </m:r>
                        <m:ctrlPr>
                          <w:rPr>
                            <w:rFonts w:ascii="Cambria Math" w:hAnsi="Cambria Math"/>
                            <w:i/>
                            <w:color w:val="000000"/>
                          </w:rPr>
                        </m:ctrlPr>
                      </m:sub>
                    </m:sSub>
                    <m:ctrlPr>
                      <w:rPr>
                        <w:rFonts w:ascii="Cambria Math" w:hAnsi="Cambria Math"/>
                        <w:color w:val="000000"/>
                      </w:rPr>
                    </m:ctrlPr>
                  </m:den>
                </m:f>
                <m:r>
                  <m:rP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n</m:t>
                        </m:r>
                        <m:ctrlPr>
                          <w:rPr>
                            <w:rFonts w:ascii="Cambria Math" w:hAnsi="Cambria Math"/>
                            <w:i/>
                            <w:color w:val="000000"/>
                          </w:rPr>
                        </m:ctrlPr>
                      </m:sub>
                    </m:sSub>
                    <m:ctrlPr>
                      <w:rPr>
                        <w:rFonts w:ascii="Cambria Math" w:hAnsi="Cambria Math"/>
                        <w:color w:val="000000"/>
                      </w:rPr>
                    </m:ctrlPr>
                  </m:num>
                  <m:den>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n</m:t>
                        </m:r>
                        <m:ctrlPr>
                          <w:rPr>
                            <w:rFonts w:ascii="Cambria Math" w:hAnsi="Cambria Math"/>
                            <w:i/>
                            <w:color w:val="000000"/>
                          </w:rPr>
                        </m:ctrlPr>
                      </m:sub>
                    </m:sSub>
                    <m:ctrlPr>
                      <w:rPr>
                        <w:rFonts w:ascii="Cambria Math" w:hAnsi="Cambria Math"/>
                        <w:color w:val="000000"/>
                      </w:rPr>
                    </m:ctrlPr>
                  </m:den>
                </m:f>
              </m:oMath>
            </m:oMathPara>
          </w:p>
          <w:p>
            <w:pPr>
              <w:spacing w:line="360" w:lineRule="auto"/>
              <w:ind w:firstLine="482"/>
              <w:rPr>
                <w:sz w:val="24"/>
                <w:szCs w:val="18"/>
              </w:rPr>
            </w:pPr>
            <w:r>
              <w:rPr>
                <w:sz w:val="24"/>
                <w:szCs w:val="18"/>
              </w:rPr>
              <w:t>式中，q</w:t>
            </w:r>
            <w:r>
              <w:rPr>
                <w:sz w:val="24"/>
                <w:szCs w:val="18"/>
                <w:vertAlign w:val="subscript"/>
              </w:rPr>
              <w:t>1</w:t>
            </w:r>
            <w:r>
              <w:rPr>
                <w:sz w:val="24"/>
                <w:szCs w:val="18"/>
              </w:rPr>
              <w:t>，q</w:t>
            </w:r>
            <w:r>
              <w:rPr>
                <w:sz w:val="24"/>
                <w:szCs w:val="18"/>
                <w:vertAlign w:val="subscript"/>
              </w:rPr>
              <w:t>2</w:t>
            </w:r>
            <w:r>
              <w:rPr>
                <w:sz w:val="24"/>
                <w:szCs w:val="18"/>
              </w:rPr>
              <w:t>…q</w:t>
            </w:r>
            <w:r>
              <w:rPr>
                <w:sz w:val="24"/>
                <w:szCs w:val="18"/>
                <w:vertAlign w:val="subscript"/>
              </w:rPr>
              <w:t>n</w:t>
            </w:r>
            <w:r>
              <w:rPr>
                <w:sz w:val="24"/>
                <w:szCs w:val="18"/>
              </w:rPr>
              <w:t>——每种危险物质的最大存在总量，t。</w:t>
            </w:r>
          </w:p>
          <w:p>
            <w:pPr>
              <w:spacing w:line="360" w:lineRule="auto"/>
              <w:ind w:firstLine="1200" w:firstLineChars="500"/>
              <w:rPr>
                <w:sz w:val="24"/>
                <w:szCs w:val="18"/>
              </w:rPr>
            </w:pPr>
            <w:r>
              <w:rPr>
                <w:sz w:val="24"/>
                <w:szCs w:val="18"/>
              </w:rPr>
              <w:t>Q</w:t>
            </w:r>
            <w:r>
              <w:rPr>
                <w:sz w:val="24"/>
                <w:szCs w:val="18"/>
                <w:vertAlign w:val="subscript"/>
              </w:rPr>
              <w:t>1</w:t>
            </w:r>
            <w:r>
              <w:rPr>
                <w:sz w:val="24"/>
                <w:szCs w:val="18"/>
              </w:rPr>
              <w:t>，Q</w:t>
            </w:r>
            <w:r>
              <w:rPr>
                <w:sz w:val="24"/>
                <w:szCs w:val="18"/>
                <w:vertAlign w:val="subscript"/>
              </w:rPr>
              <w:t>2</w:t>
            </w:r>
            <w:r>
              <w:rPr>
                <w:sz w:val="24"/>
                <w:szCs w:val="18"/>
              </w:rPr>
              <w:t>…Q</w:t>
            </w:r>
            <w:r>
              <w:rPr>
                <w:sz w:val="24"/>
                <w:szCs w:val="18"/>
                <w:vertAlign w:val="subscript"/>
              </w:rPr>
              <w:t>n</w:t>
            </w:r>
            <w:r>
              <w:rPr>
                <w:sz w:val="24"/>
                <w:szCs w:val="18"/>
              </w:rPr>
              <w:t>——每种危险物质的临界量，t。</w:t>
            </w:r>
          </w:p>
          <w:p>
            <w:pPr>
              <w:spacing w:line="360" w:lineRule="auto"/>
              <w:ind w:firstLine="482"/>
              <w:rPr>
                <w:sz w:val="24"/>
                <w:szCs w:val="18"/>
              </w:rPr>
            </w:pPr>
            <w:r>
              <w:rPr>
                <w:sz w:val="24"/>
                <w:szCs w:val="18"/>
              </w:rPr>
              <w:t>当Q＜1时，该项目环境风险潜势为</w:t>
            </w:r>
            <w:r>
              <w:rPr>
                <w:rFonts w:hint="eastAsia" w:ascii="宋体" w:hAnsi="宋体" w:cs="宋体"/>
                <w:sz w:val="24"/>
                <w:szCs w:val="18"/>
              </w:rPr>
              <w:t>Ⅰ</w:t>
            </w:r>
            <w:r>
              <w:rPr>
                <w:sz w:val="24"/>
                <w:szCs w:val="18"/>
              </w:rPr>
              <w:t>。</w:t>
            </w:r>
          </w:p>
          <w:p>
            <w:pPr>
              <w:spacing w:line="360" w:lineRule="auto"/>
              <w:ind w:firstLine="482"/>
              <w:rPr>
                <w:sz w:val="24"/>
                <w:szCs w:val="18"/>
              </w:rPr>
            </w:pPr>
            <w:r>
              <w:rPr>
                <w:sz w:val="24"/>
                <w:szCs w:val="18"/>
              </w:rPr>
              <w:t>当Q≥1时，将Q值划分为：（1）1≤Q＜10；（2）10≤Q＜100；（3）Q≥100。</w:t>
            </w:r>
          </w:p>
          <w:p>
            <w:pPr>
              <w:spacing w:line="360" w:lineRule="auto"/>
              <w:ind w:firstLine="480" w:firstLineChars="200"/>
              <w:rPr>
                <w:sz w:val="24"/>
              </w:rPr>
            </w:pPr>
            <w:r>
              <w:rPr>
                <w:rFonts w:hint="eastAsia" w:hAnsi="宋体"/>
                <w:sz w:val="24"/>
                <w:shd w:val="clear" w:color="auto" w:fill="FFFFFF"/>
              </w:rPr>
              <w:t>汇总统计出建设项目环境风险物质临界量、储存及分布情况</w:t>
            </w:r>
            <w:r>
              <w:rPr>
                <w:rFonts w:hint="eastAsia" w:ascii="ﾋﾎﾌ・" w:eastAsia="ﾋﾎﾌ・" w:cs="ﾋﾎﾌ・"/>
                <w:sz w:val="24"/>
              </w:rPr>
              <w:t>。</w:t>
            </w:r>
          </w:p>
          <w:p>
            <w:pPr>
              <w:autoSpaceDE w:val="0"/>
              <w:autoSpaceDN w:val="0"/>
              <w:adjustRightInd w:val="0"/>
              <w:spacing w:before="120" w:beforeLines="50"/>
              <w:jc w:val="center"/>
              <w:rPr>
                <w:rFonts w:hAnsi="宋体"/>
                <w:b/>
                <w:sz w:val="24"/>
              </w:rPr>
            </w:pPr>
            <w:r>
              <w:rPr>
                <w:rFonts w:hint="eastAsia" w:hAnsi="宋体"/>
                <w:b/>
                <w:sz w:val="24"/>
              </w:rPr>
              <w:t>表4-1</w:t>
            </w:r>
            <w:r>
              <w:rPr>
                <w:rFonts w:hint="eastAsia" w:hAnsi="宋体"/>
                <w:b/>
                <w:sz w:val="24"/>
                <w:lang w:val="en-US" w:eastAsia="zh-CN"/>
              </w:rPr>
              <w:t xml:space="preserve">1  </w:t>
            </w:r>
            <w:r>
              <w:rPr>
                <w:rFonts w:hint="eastAsia" w:hAnsi="宋体"/>
                <w:b/>
                <w:sz w:val="24"/>
              </w:rPr>
              <w:t>项目主要物质风险识别结果一览表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1241"/>
              <w:gridCol w:w="1648"/>
              <w:gridCol w:w="1381"/>
              <w:gridCol w:w="1545"/>
              <w:gridCol w:w="14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04" w:type="dxa"/>
                  <w:vAlign w:val="center"/>
                </w:tcPr>
                <w:p>
                  <w:pPr>
                    <w:autoSpaceDE w:val="0"/>
                    <w:autoSpaceDN w:val="0"/>
                    <w:adjustRightInd w:val="0"/>
                    <w:jc w:val="center"/>
                    <w:rPr>
                      <w:b/>
                      <w:szCs w:val="21"/>
                    </w:rPr>
                  </w:pPr>
                  <w:r>
                    <w:rPr>
                      <w:rFonts w:hint="eastAsia"/>
                      <w:b/>
                      <w:szCs w:val="21"/>
                    </w:rPr>
                    <w:t>类别</w:t>
                  </w:r>
                </w:p>
              </w:tc>
              <w:tc>
                <w:tcPr>
                  <w:tcW w:w="1241" w:type="dxa"/>
                  <w:vAlign w:val="center"/>
                </w:tcPr>
                <w:p>
                  <w:pPr>
                    <w:autoSpaceDE w:val="0"/>
                    <w:autoSpaceDN w:val="0"/>
                    <w:adjustRightInd w:val="0"/>
                    <w:jc w:val="center"/>
                    <w:rPr>
                      <w:b/>
                      <w:szCs w:val="21"/>
                    </w:rPr>
                  </w:pPr>
                  <w:r>
                    <w:rPr>
                      <w:rFonts w:hint="eastAsia"/>
                      <w:b/>
                      <w:szCs w:val="21"/>
                    </w:rPr>
                    <w:t>事故类型</w:t>
                  </w:r>
                </w:p>
              </w:tc>
              <w:tc>
                <w:tcPr>
                  <w:tcW w:w="1648" w:type="dxa"/>
                  <w:vAlign w:val="center"/>
                </w:tcPr>
                <w:p>
                  <w:pPr>
                    <w:autoSpaceDE w:val="0"/>
                    <w:autoSpaceDN w:val="0"/>
                    <w:adjustRightInd w:val="0"/>
                    <w:jc w:val="center"/>
                    <w:rPr>
                      <w:b/>
                      <w:szCs w:val="21"/>
                    </w:rPr>
                  </w:pPr>
                  <w:r>
                    <w:rPr>
                      <w:rFonts w:hint="eastAsia"/>
                      <w:b/>
                      <w:szCs w:val="21"/>
                    </w:rPr>
                    <w:t>风险</w:t>
                  </w:r>
                  <w:r>
                    <w:rPr>
                      <w:b/>
                      <w:szCs w:val="21"/>
                    </w:rPr>
                    <w:t>物质</w:t>
                  </w:r>
                </w:p>
              </w:tc>
              <w:tc>
                <w:tcPr>
                  <w:tcW w:w="1381" w:type="dxa"/>
                  <w:vAlign w:val="center"/>
                </w:tcPr>
                <w:p>
                  <w:pPr>
                    <w:autoSpaceDE w:val="0"/>
                    <w:autoSpaceDN w:val="0"/>
                    <w:adjustRightIn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分布</w:t>
                  </w:r>
                </w:p>
              </w:tc>
              <w:tc>
                <w:tcPr>
                  <w:tcW w:w="1545" w:type="dxa"/>
                  <w:vAlign w:val="center"/>
                </w:tcPr>
                <w:p>
                  <w:pPr>
                    <w:autoSpaceDE w:val="0"/>
                    <w:autoSpaceDN w:val="0"/>
                    <w:adjustRightIn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最大储存量</w:t>
                  </w:r>
                </w:p>
              </w:tc>
              <w:tc>
                <w:tcPr>
                  <w:tcW w:w="1470" w:type="dxa"/>
                  <w:vAlign w:val="center"/>
                </w:tcPr>
                <w:p>
                  <w:pPr>
                    <w:autoSpaceDE w:val="0"/>
                    <w:autoSpaceDN w:val="0"/>
                    <w:adjustRightInd w:val="0"/>
                    <w:jc w:val="center"/>
                    <w:rPr>
                      <w:b/>
                      <w:szCs w:val="21"/>
                    </w:rPr>
                  </w:pPr>
                  <w:r>
                    <w:rPr>
                      <w:rFonts w:hint="eastAsia"/>
                      <w:b/>
                      <w:szCs w:val="21"/>
                    </w:rPr>
                    <w:t>临界量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04" w:type="dxa"/>
                  <w:vAlign w:val="center"/>
                </w:tcPr>
                <w:p>
                  <w:pPr>
                    <w:autoSpaceDE w:val="0"/>
                    <w:autoSpaceDN w:val="0"/>
                    <w:adjustRightInd w:val="0"/>
                    <w:jc w:val="center"/>
                    <w:rPr>
                      <w:szCs w:val="21"/>
                    </w:rPr>
                  </w:pPr>
                  <w:r>
                    <w:rPr>
                      <w:rFonts w:hint="eastAsia"/>
                      <w:szCs w:val="21"/>
                    </w:rPr>
                    <w:t>原辅料</w:t>
                  </w:r>
                </w:p>
              </w:tc>
              <w:tc>
                <w:tcPr>
                  <w:tcW w:w="1241" w:type="dxa"/>
                  <w:vAlign w:val="center"/>
                </w:tcPr>
                <w:p>
                  <w:pPr>
                    <w:jc w:val="center"/>
                    <w:rPr>
                      <w:szCs w:val="21"/>
                    </w:rPr>
                  </w:pPr>
                  <w:r>
                    <w:rPr>
                      <w:rFonts w:hint="eastAsia"/>
                    </w:rPr>
                    <w:t>泄露</w:t>
                  </w:r>
                </w:p>
              </w:tc>
              <w:tc>
                <w:tcPr>
                  <w:tcW w:w="1648" w:type="dxa"/>
                  <w:vAlign w:val="center"/>
                </w:tcPr>
                <w:p>
                  <w:pPr>
                    <w:jc w:val="center"/>
                    <w:rPr>
                      <w:rFonts w:hint="default" w:eastAsia="宋体"/>
                      <w:szCs w:val="21"/>
                      <w:lang w:val="en-US" w:eastAsia="zh-CN"/>
                    </w:rPr>
                  </w:pPr>
                  <w:r>
                    <w:rPr>
                      <w:rFonts w:hint="eastAsia"/>
                      <w:szCs w:val="21"/>
                      <w:lang w:val="en-US" w:eastAsia="zh-CN"/>
                    </w:rPr>
                    <w:t>润滑</w:t>
                  </w:r>
                  <w:r>
                    <w:rPr>
                      <w:rFonts w:hint="eastAsia"/>
                      <w:szCs w:val="21"/>
                    </w:rPr>
                    <w:t>油、</w:t>
                  </w:r>
                  <w:r>
                    <w:rPr>
                      <w:rFonts w:hint="eastAsia"/>
                      <w:szCs w:val="21"/>
                      <w:lang w:val="en-US" w:eastAsia="zh-CN"/>
                    </w:rPr>
                    <w:t>废</w:t>
                  </w:r>
                  <w:r>
                    <w:rPr>
                      <w:rFonts w:hint="eastAsia"/>
                      <w:szCs w:val="21"/>
                    </w:rPr>
                    <w:t>润滑油</w:t>
                  </w:r>
                </w:p>
              </w:tc>
              <w:tc>
                <w:tcPr>
                  <w:tcW w:w="1381" w:type="dxa"/>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仓库</w:t>
                  </w:r>
                </w:p>
              </w:tc>
              <w:tc>
                <w:tcPr>
                  <w:tcW w:w="1545" w:type="dxa"/>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auto"/>
                      <w:kern w:val="0"/>
                      <w:szCs w:val="21"/>
                    </w:rPr>
                    <w:t>0.</w:t>
                  </w:r>
                  <w:r>
                    <w:rPr>
                      <w:rFonts w:hint="eastAsia"/>
                      <w:color w:val="auto"/>
                      <w:kern w:val="0"/>
                      <w:szCs w:val="21"/>
                      <w:lang w:val="en-US" w:eastAsia="zh-CN"/>
                    </w:rPr>
                    <w:t>262</w:t>
                  </w:r>
                  <w:r>
                    <w:rPr>
                      <w:rFonts w:hint="eastAsia"/>
                      <w:color w:val="auto"/>
                      <w:kern w:val="0"/>
                      <w:szCs w:val="21"/>
                    </w:rPr>
                    <w:t xml:space="preserve"> </w:t>
                  </w:r>
                  <w:r>
                    <w:rPr>
                      <w:rFonts w:hint="eastAsia"/>
                      <w:color w:val="auto"/>
                      <w:szCs w:val="21"/>
                    </w:rPr>
                    <w:t>t</w:t>
                  </w:r>
                </w:p>
              </w:tc>
              <w:tc>
                <w:tcPr>
                  <w:tcW w:w="1470" w:type="dxa"/>
                  <w:vAlign w:val="center"/>
                </w:tcPr>
                <w:p>
                  <w:pPr>
                    <w:jc w:val="center"/>
                    <w:rPr>
                      <w:szCs w:val="21"/>
                    </w:rPr>
                  </w:pPr>
                  <w:r>
                    <w:rPr>
                      <w:rFonts w:hint="eastAsia"/>
                      <w:szCs w:val="21"/>
                    </w:rPr>
                    <w:t>2</w:t>
                  </w:r>
                  <w:r>
                    <w:rPr>
                      <w:szCs w:val="21"/>
                    </w:rPr>
                    <w:t>500</w:t>
                  </w:r>
                  <w:r>
                    <w:rPr>
                      <w:rFonts w:hint="eastAsia"/>
                      <w:szCs w:val="21"/>
                    </w:rPr>
                    <w:t xml:space="preserve"> t</w:t>
                  </w:r>
                </w:p>
              </w:tc>
            </w:tr>
          </w:tbl>
          <w:p/>
          <w:p>
            <w:pPr>
              <w:autoSpaceDE w:val="0"/>
              <w:autoSpaceDN w:val="0"/>
              <w:adjustRightInd w:val="0"/>
              <w:spacing w:line="360" w:lineRule="auto"/>
              <w:ind w:firstLine="480" w:firstLineChars="200"/>
              <w:rPr>
                <w:color w:val="0D0D0D" w:themeColor="text1" w:themeTint="F2"/>
                <w:sz w:val="24"/>
                <w14:textFill>
                  <w14:solidFill>
                    <w14:schemeClr w14:val="tx1">
                      <w14:lumMod w14:val="95000"/>
                      <w14:lumOff w14:val="5000"/>
                    </w14:schemeClr>
                  </w14:solidFill>
                </w14:textFill>
              </w:rPr>
            </w:pPr>
            <w:r>
              <w:rPr>
                <w:rFonts w:hint="eastAsia" w:hAnsi="宋体"/>
                <w:sz w:val="24"/>
              </w:rPr>
              <w:t>根据</w:t>
            </w:r>
            <w:r>
              <w:rPr>
                <w:rFonts w:hint="eastAsia"/>
                <w:sz w:val="24"/>
              </w:rPr>
              <w:t>导则计算</w:t>
            </w:r>
            <w:r>
              <w:rPr>
                <w:rFonts w:hint="eastAsia" w:hAnsi="宋体"/>
                <w:sz w:val="24"/>
              </w:rPr>
              <w:t>危险物质数量与</w:t>
            </w:r>
            <w:r>
              <w:rPr>
                <w:rFonts w:hint="eastAsia" w:hAnsi="宋体"/>
                <w:color w:val="0D0D0D" w:themeColor="text1" w:themeTint="F2"/>
                <w:sz w:val="24"/>
                <w14:textFill>
                  <w14:solidFill>
                    <w14:schemeClr w14:val="tx1">
                      <w14:lumMod w14:val="95000"/>
                      <w14:lumOff w14:val="5000"/>
                    </w14:schemeClr>
                  </w14:solidFill>
                </w14:textFill>
              </w:rPr>
              <w:t>临界量比值：</w:t>
            </w:r>
            <w:r>
              <w:rPr>
                <w:rFonts w:hAnsi="宋体"/>
                <w:color w:val="0D0D0D" w:themeColor="text1" w:themeTint="F2"/>
                <w:sz w:val="24"/>
                <w14:textFill>
                  <w14:solidFill>
                    <w14:schemeClr w14:val="tx1">
                      <w14:lumMod w14:val="95000"/>
                      <w14:lumOff w14:val="5000"/>
                    </w14:schemeClr>
                  </w14:solidFill>
                </w14:textFill>
              </w:rPr>
              <w:t>Q</w:t>
            </w:r>
            <w:r>
              <w:rPr>
                <w:rFonts w:hint="eastAsia" w:hAnsi="宋体"/>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Σqi/Qi</w:t>
            </w:r>
            <w:r>
              <w:rPr>
                <w:rFonts w:hint="eastAsia"/>
                <w:color w:val="0D0D0D" w:themeColor="text1" w:themeTint="F2"/>
                <w:sz w:val="24"/>
                <w14:textFill>
                  <w14:solidFill>
                    <w14:schemeClr w14:val="tx1">
                      <w14:lumMod w14:val="95000"/>
                      <w14:lumOff w14:val="5000"/>
                    </w14:schemeClr>
                  </w14:solidFill>
                </w14:textFill>
              </w:rPr>
              <w:t>=0.</w:t>
            </w:r>
            <w:r>
              <w:rPr>
                <w:rFonts w:hint="eastAsia"/>
                <w:color w:val="0D0D0D" w:themeColor="text1" w:themeTint="F2"/>
                <w:sz w:val="24"/>
                <w:lang w:val="en-US" w:eastAsia="zh-CN"/>
                <w14:textFill>
                  <w14:solidFill>
                    <w14:schemeClr w14:val="tx1">
                      <w14:lumMod w14:val="95000"/>
                      <w14:lumOff w14:val="5000"/>
                    </w14:schemeClr>
                  </w14:solidFill>
                </w14:textFill>
              </w:rPr>
              <w:t>262</w:t>
            </w:r>
            <w:r>
              <w:rPr>
                <w:rFonts w:hint="eastAsia"/>
                <w:color w:val="0D0D0D" w:themeColor="text1" w:themeTint="F2"/>
                <w:sz w:val="24"/>
                <w14:textFill>
                  <w14:solidFill>
                    <w14:schemeClr w14:val="tx1">
                      <w14:lumMod w14:val="95000"/>
                      <w14:lumOff w14:val="5000"/>
                    </w14:schemeClr>
                  </w14:solidFill>
                </w14:textFill>
              </w:rPr>
              <w:t>/2500=0.000</w:t>
            </w:r>
            <w:r>
              <w:rPr>
                <w:rFonts w:hint="eastAsia"/>
                <w:color w:val="0D0D0D" w:themeColor="text1" w:themeTint="F2"/>
                <w:sz w:val="24"/>
                <w:lang w:val="en-US" w:eastAsia="zh-CN"/>
                <w14:textFill>
                  <w14:solidFill>
                    <w14:schemeClr w14:val="tx1">
                      <w14:lumMod w14:val="95000"/>
                      <w14:lumOff w14:val="5000"/>
                    </w14:schemeClr>
                  </w14:solidFill>
                </w14:textFill>
              </w:rPr>
              <w:t>105</w:t>
            </w:r>
            <w:r>
              <w:rPr>
                <w:rFonts w:hint="eastAsia"/>
                <w:color w:val="0D0D0D" w:themeColor="text1" w:themeTint="F2"/>
                <w:sz w:val="24"/>
                <w14:textFill>
                  <w14:solidFill>
                    <w14:schemeClr w14:val="tx1">
                      <w14:lumMod w14:val="95000"/>
                      <w14:lumOff w14:val="5000"/>
                    </w14:schemeClr>
                  </w14:solidFill>
                </w14:textFill>
              </w:rPr>
              <w:t>＜1，本项目环境风险潜势为</w:t>
            </w:r>
            <w:r>
              <w:rPr>
                <w:color w:val="0D0D0D" w:themeColor="text1" w:themeTint="F2"/>
                <w:sz w:val="24"/>
                <w14:textFill>
                  <w14:solidFill>
                    <w14:schemeClr w14:val="tx1">
                      <w14:lumMod w14:val="95000"/>
                      <w14:lumOff w14:val="5000"/>
                    </w14:schemeClr>
                  </w14:solidFill>
                </w14:textFill>
              </w:rPr>
              <w:fldChar w:fldCharType="begin"/>
            </w:r>
            <w:r>
              <w:rPr>
                <w:color w:val="0D0D0D" w:themeColor="text1" w:themeTint="F2"/>
                <w:sz w:val="24"/>
                <w14:textFill>
                  <w14:solidFill>
                    <w14:schemeClr w14:val="tx1">
                      <w14:lumMod w14:val="95000"/>
                      <w14:lumOff w14:val="5000"/>
                    </w14:schemeClr>
                  </w14:solidFill>
                </w14:textFill>
              </w:rPr>
              <w:instrText xml:space="preserve"> </w:instrText>
            </w:r>
            <w:r>
              <w:rPr>
                <w:rFonts w:hint="eastAsia"/>
                <w:color w:val="0D0D0D" w:themeColor="text1" w:themeTint="F2"/>
                <w:sz w:val="24"/>
                <w14:textFill>
                  <w14:solidFill>
                    <w14:schemeClr w14:val="tx1">
                      <w14:lumMod w14:val="95000"/>
                      <w14:lumOff w14:val="5000"/>
                    </w14:schemeClr>
                  </w14:solidFill>
                </w14:textFill>
              </w:rPr>
              <w:instrText xml:space="preserve">= 1 \* ROMAN</w:instrText>
            </w:r>
            <w:r>
              <w:rPr>
                <w:color w:val="0D0D0D" w:themeColor="text1" w:themeTint="F2"/>
                <w:sz w:val="24"/>
                <w14:textFill>
                  <w14:solidFill>
                    <w14:schemeClr w14:val="tx1">
                      <w14:lumMod w14:val="95000"/>
                      <w14:lumOff w14:val="5000"/>
                    </w14:schemeClr>
                  </w14:solidFill>
                </w14:textFill>
              </w:rPr>
              <w:instrText xml:space="preserve"> </w:instrText>
            </w:r>
            <w:r>
              <w:rPr>
                <w:color w:val="0D0D0D" w:themeColor="text1" w:themeTint="F2"/>
                <w:sz w:val="24"/>
                <w14:textFill>
                  <w14:solidFill>
                    <w14:schemeClr w14:val="tx1">
                      <w14:lumMod w14:val="95000"/>
                      <w14:lumOff w14:val="5000"/>
                    </w14:schemeClr>
                  </w14:solidFill>
                </w14:textFill>
              </w:rPr>
              <w:fldChar w:fldCharType="separate"/>
            </w:r>
            <w:r>
              <w:rPr>
                <w:color w:val="0D0D0D" w:themeColor="text1" w:themeTint="F2"/>
                <w:sz w:val="24"/>
                <w14:textFill>
                  <w14:solidFill>
                    <w14:schemeClr w14:val="tx1">
                      <w14:lumMod w14:val="95000"/>
                      <w14:lumOff w14:val="5000"/>
                    </w14:schemeClr>
                  </w14:solidFill>
                </w14:textFill>
              </w:rPr>
              <w:t>I</w:t>
            </w:r>
            <w:r>
              <w:rPr>
                <w:color w:val="0D0D0D" w:themeColor="text1" w:themeTint="F2"/>
                <w:sz w:val="24"/>
                <w14:textFill>
                  <w14:solidFill>
                    <w14:schemeClr w14:val="tx1">
                      <w14:lumMod w14:val="95000"/>
                      <w14:lumOff w14:val="5000"/>
                    </w14:schemeClr>
                  </w14:solidFill>
                </w14:textFill>
              </w:rPr>
              <w:fldChar w:fldCharType="end"/>
            </w:r>
            <w:r>
              <w:rPr>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因此，项目风险评价等级定为低于三级，根据导则要求，环境风险评价作简单分析</w:t>
            </w:r>
            <w:r>
              <w:rPr>
                <w:rFonts w:hAnsi="宋体"/>
                <w:color w:val="0D0D0D" w:themeColor="text1" w:themeTint="F2"/>
                <w:sz w:val="24"/>
                <w14:textFill>
                  <w14:solidFill>
                    <w14:schemeClr w14:val="tx1">
                      <w14:lumMod w14:val="95000"/>
                      <w14:lumOff w14:val="5000"/>
                    </w14:schemeClr>
                  </w14:solidFill>
                </w14:textFill>
              </w:rPr>
              <w:t>。</w:t>
            </w:r>
          </w:p>
          <w:p>
            <w:pPr>
              <w:spacing w:line="360" w:lineRule="auto"/>
              <w:ind w:firstLine="480" w:firstLineChars="200"/>
              <w:rPr>
                <w:color w:val="FF0000"/>
                <w:sz w:val="24"/>
                <w:szCs w:val="22"/>
              </w:rPr>
            </w:pPr>
            <w:r>
              <w:rPr>
                <w:rFonts w:hint="eastAsia"/>
                <w:sz w:val="24"/>
                <w:szCs w:val="22"/>
              </w:rPr>
              <w:t>项目化学品使用量相对较少，且根据同类型国内企业实际运行情况，项目运行中此类危险物质泄漏风险事故概率较低。润滑油由专门的密闭容器包装，暂存量较小，使用过程中采取了收集处理措施，且都处于车间内，自然挥发对周边空气环境空气影响较小。项目针对危废</w:t>
            </w:r>
            <w:r>
              <w:rPr>
                <w:rFonts w:hint="eastAsia"/>
                <w:sz w:val="24"/>
                <w:szCs w:val="22"/>
                <w:lang w:val="en-US" w:eastAsia="zh-CN"/>
              </w:rPr>
              <w:t>暂存间</w:t>
            </w:r>
            <w:r>
              <w:rPr>
                <w:rFonts w:hint="eastAsia"/>
                <w:sz w:val="24"/>
                <w:szCs w:val="22"/>
              </w:rPr>
              <w:t>采取防渗措施，故正常运营过程中不会发生泄漏，对周边地表水、地下水或土壤环境影响较小。</w:t>
            </w:r>
          </w:p>
          <w:p>
            <w:pPr>
              <w:spacing w:line="360" w:lineRule="auto"/>
              <w:ind w:firstLine="480" w:firstLineChars="200"/>
              <w:rPr>
                <w:kern w:val="24"/>
                <w:sz w:val="24"/>
              </w:rPr>
            </w:pPr>
            <w:r>
              <w:rPr>
                <w:rFonts w:hint="eastAsia"/>
                <w:kern w:val="24"/>
                <w:sz w:val="24"/>
              </w:rPr>
              <w:t>建设单位应加强厂区防火管理、完善事故应急预案，采取妥善的风险防范措施，本项目环境风险在可接受的范围内。</w:t>
            </w:r>
          </w:p>
          <w:p>
            <w:pPr>
              <w:spacing w:before="120" w:beforeLines="50"/>
              <w:jc w:val="center"/>
              <w:rPr>
                <w:rFonts w:hint="eastAsia" w:hAnsi="宋体"/>
                <w:b/>
                <w:color w:val="000000"/>
                <w:sz w:val="24"/>
              </w:rPr>
            </w:pPr>
          </w:p>
          <w:p>
            <w:pPr>
              <w:spacing w:before="120" w:beforeLines="50"/>
              <w:jc w:val="center"/>
              <w:rPr>
                <w:rFonts w:hAnsi="宋体"/>
                <w:b/>
                <w:color w:val="000000"/>
                <w:sz w:val="24"/>
              </w:rPr>
            </w:pPr>
            <w:r>
              <w:rPr>
                <w:rFonts w:hint="eastAsia" w:hAnsi="宋体"/>
                <w:b/>
                <w:color w:val="000000"/>
                <w:sz w:val="24"/>
              </w:rPr>
              <w:t>表4-1</w:t>
            </w:r>
            <w:r>
              <w:rPr>
                <w:rFonts w:hint="eastAsia" w:hAnsi="宋体"/>
                <w:b/>
                <w:color w:val="000000"/>
                <w:sz w:val="24"/>
                <w:lang w:val="en-US" w:eastAsia="zh-CN"/>
              </w:rPr>
              <w:t xml:space="preserve">2  </w:t>
            </w:r>
            <w:r>
              <w:rPr>
                <w:rFonts w:hint="eastAsia" w:hAnsi="宋体"/>
                <w:b/>
                <w:color w:val="000000"/>
                <w:sz w:val="24"/>
              </w:rPr>
              <w:t>建设环境风险简单分析内容一览表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29"/>
              <w:gridCol w:w="992"/>
              <w:gridCol w:w="1090"/>
              <w:gridCol w:w="1006"/>
              <w:gridCol w:w="881"/>
              <w:gridCol w:w="28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29"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建设项目名称</w:t>
                  </w:r>
                </w:p>
              </w:tc>
              <w:tc>
                <w:tcPr>
                  <w:tcW w:w="6860" w:type="dxa"/>
                  <w:gridSpan w:val="5"/>
                  <w:shd w:val="clear" w:color="auto" w:fill="auto"/>
                  <w:vAlign w:val="center"/>
                </w:tcPr>
                <w:p>
                  <w:pPr>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汽车内、外饰智能化生产线项目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29"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建设地点</w:t>
                  </w:r>
                </w:p>
              </w:tc>
              <w:tc>
                <w:tcPr>
                  <w:tcW w:w="992" w:type="dxa"/>
                  <w:shd w:val="clear" w:color="auto" w:fill="auto"/>
                  <w:vAlign w:val="center"/>
                </w:tcPr>
                <w:p>
                  <w:pPr>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安徽省</w:t>
                  </w:r>
                </w:p>
              </w:tc>
              <w:tc>
                <w:tcPr>
                  <w:tcW w:w="1090" w:type="dxa"/>
                  <w:shd w:val="clear" w:color="auto" w:fill="auto"/>
                  <w:vAlign w:val="center"/>
                </w:tcPr>
                <w:p>
                  <w:pPr>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芜湖市</w:t>
                  </w:r>
                </w:p>
              </w:tc>
              <w:tc>
                <w:tcPr>
                  <w:tcW w:w="1887" w:type="dxa"/>
                  <w:gridSpan w:val="2"/>
                  <w:shd w:val="clear" w:color="auto" w:fill="auto"/>
                  <w:vAlign w:val="center"/>
                </w:tcPr>
                <w:p>
                  <w:pPr>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中国（安徽）自由贸易试验区</w:t>
                  </w:r>
                </w:p>
              </w:tc>
              <w:tc>
                <w:tcPr>
                  <w:tcW w:w="2891" w:type="dxa"/>
                  <w:shd w:val="clear" w:color="auto" w:fill="auto"/>
                  <w:vAlign w:val="center"/>
                </w:tcPr>
                <w:p>
                  <w:pPr>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芜湖片区官陡门路101号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29"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地理坐标</w:t>
                  </w:r>
                </w:p>
              </w:tc>
              <w:tc>
                <w:tcPr>
                  <w:tcW w:w="3088" w:type="dxa"/>
                  <w:gridSpan w:val="3"/>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东经E118°26′41.402″</w:t>
                  </w:r>
                </w:p>
              </w:tc>
              <w:tc>
                <w:tcPr>
                  <w:tcW w:w="3772" w:type="dxa"/>
                  <w:gridSpan w:val="2"/>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s="宋体"/>
                      <w:bCs/>
                      <w:sz w:val="24"/>
                    </w:rPr>
                    <w:t>北纬N31°</w:t>
                  </w:r>
                  <w:r>
                    <w:rPr>
                      <w:rFonts w:hint="eastAsia" w:cs="宋体"/>
                      <w:bCs/>
                      <w:sz w:val="24"/>
                      <w:lang w:val="en-US" w:eastAsia="zh-CN"/>
                    </w:rPr>
                    <w:t>23</w:t>
                  </w:r>
                  <w:r>
                    <w:rPr>
                      <w:rFonts w:hint="eastAsia" w:cs="宋体"/>
                      <w:bCs/>
                      <w:sz w:val="24"/>
                    </w:rPr>
                    <w:t>′</w:t>
                  </w:r>
                  <w:r>
                    <w:rPr>
                      <w:rFonts w:hint="eastAsia" w:cs="宋体"/>
                      <w:bCs/>
                      <w:sz w:val="24"/>
                      <w:lang w:val="en-US" w:eastAsia="zh-CN"/>
                    </w:rPr>
                    <w:t>28.070</w:t>
                  </w:r>
                  <w:r>
                    <w:rPr>
                      <w:rFonts w:hint="eastAsia" w:cs="宋体"/>
                      <w:bCs/>
                      <w:sz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529" w:type="dxa"/>
                  <w:shd w:val="clear" w:color="auto" w:fill="auto"/>
                  <w:vAlign w:val="center"/>
                </w:tcPr>
                <w:p>
                  <w:pPr>
                    <w:snapToGrid w:val="0"/>
                    <w:ind w:left="-105" w:leftChars="-50" w:right="-105" w:rightChars="-5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主要危险物质及分布</w:t>
                  </w:r>
                </w:p>
              </w:tc>
              <w:tc>
                <w:tcPr>
                  <w:tcW w:w="6860" w:type="dxa"/>
                  <w:gridSpan w:val="5"/>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润滑油分布于生产车间，</w:t>
                  </w:r>
                  <w:r>
                    <w:rPr>
                      <w:rFonts w:hint="eastAsia" w:hAnsi="宋体"/>
                      <w:color w:val="0D0D0D" w:themeColor="text1" w:themeTint="F2"/>
                      <w:szCs w:val="21"/>
                      <w14:textFill>
                        <w14:solidFill>
                          <w14:schemeClr w14:val="tx1">
                            <w14:lumMod w14:val="95000"/>
                            <w14:lumOff w14:val="5000"/>
                          </w14:schemeClr>
                        </w14:solidFill>
                      </w14:textFill>
                    </w:rPr>
                    <w:t>最大储存量</w:t>
                  </w:r>
                  <w:r>
                    <w:rPr>
                      <w:rFonts w:hint="eastAsia" w:hAnsi="宋体"/>
                      <w:szCs w:val="21"/>
                    </w:rPr>
                    <w:t>为0.</w:t>
                  </w:r>
                  <w:r>
                    <w:rPr>
                      <w:rFonts w:hint="eastAsia" w:hAnsi="宋体"/>
                      <w:szCs w:val="21"/>
                      <w:lang w:val="en-US" w:eastAsia="zh-CN"/>
                    </w:rPr>
                    <w:t>26</w:t>
                  </w:r>
                  <w:r>
                    <w:rPr>
                      <w:rFonts w:hint="eastAsia" w:hAnsi="宋体"/>
                      <w:szCs w:val="21"/>
                    </w:rPr>
                    <w:t>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29"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环境影响途径及危害后果（大气、地表水、地下水等）</w:t>
                  </w:r>
                </w:p>
              </w:tc>
              <w:tc>
                <w:tcPr>
                  <w:tcW w:w="6860" w:type="dxa"/>
                  <w:gridSpan w:val="5"/>
                  <w:shd w:val="clear" w:color="auto" w:fill="auto"/>
                  <w:vAlign w:val="center"/>
                </w:tcPr>
                <w:p>
                  <w:pPr>
                    <w:autoSpaceDE w:val="0"/>
                    <w:autoSpaceDN w:val="0"/>
                    <w:snapToGrid w:val="0"/>
                    <w:rPr>
                      <w:rFonts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污染大气环境：车间发生火灾、爆炸事故时，燃烧产生的</w:t>
                  </w:r>
                  <w:r>
                    <w:rPr>
                      <w:rFonts w:hAnsi="宋体"/>
                      <w:color w:val="0D0D0D" w:themeColor="text1" w:themeTint="F2"/>
                      <w:szCs w:val="21"/>
                      <w14:textFill>
                        <w14:solidFill>
                          <w14:schemeClr w14:val="tx1">
                            <w14:lumMod w14:val="95000"/>
                            <w14:lumOff w14:val="5000"/>
                          </w14:schemeClr>
                        </w14:solidFill>
                      </w14:textFill>
                    </w:rPr>
                    <w:t>CO</w:t>
                  </w:r>
                  <w:r>
                    <w:rPr>
                      <w:rFonts w:hint="eastAsia" w:hAnsi="宋体"/>
                      <w:color w:val="0D0D0D" w:themeColor="text1" w:themeTint="F2"/>
                      <w:szCs w:val="21"/>
                      <w14:textFill>
                        <w14:solidFill>
                          <w14:schemeClr w14:val="tx1">
                            <w14:lumMod w14:val="95000"/>
                            <w14:lumOff w14:val="5000"/>
                          </w14:schemeClr>
                        </w14:solidFill>
                      </w14:textFill>
                    </w:rPr>
                    <w:t>、烟尘产物等进入大气，将对空气环境造成影响。</w:t>
                  </w:r>
                </w:p>
                <w:p>
                  <w:pPr>
                    <w:autoSpaceDE w:val="0"/>
                    <w:autoSpaceDN w:val="0"/>
                    <w:snapToGrid w:val="0"/>
                    <w:rPr>
                      <w:rFonts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污染地表水环境：</w:t>
                  </w:r>
                  <w:r>
                    <w:rPr>
                      <w:rFonts w:hint="eastAsia" w:ascii="宋体" w:cs="宋体"/>
                      <w:color w:val="0D0D0D" w:themeColor="text1" w:themeTint="F2"/>
                      <w:szCs w:val="21"/>
                      <w14:textFill>
                        <w14:solidFill>
                          <w14:schemeClr w14:val="tx1">
                            <w14:lumMod w14:val="95000"/>
                            <w14:lumOff w14:val="5000"/>
                          </w14:schemeClr>
                        </w14:solidFill>
                      </w14:textFill>
                    </w:rPr>
                    <w:t>车间发生火灾会产生大量的消防废水，消防废水或泄漏物料如不及时进行收集，可能通过雨水管网，进入厂界外环境，</w:t>
                  </w:r>
                  <w:r>
                    <w:rPr>
                      <w:rFonts w:hint="eastAsia" w:hAnsi="宋体"/>
                      <w:color w:val="0D0D0D" w:themeColor="text1" w:themeTint="F2"/>
                      <w:szCs w:val="21"/>
                      <w14:textFill>
                        <w14:solidFill>
                          <w14:schemeClr w14:val="tx1">
                            <w14:lumMod w14:val="95000"/>
                            <w14:lumOff w14:val="5000"/>
                          </w14:schemeClr>
                        </w14:solidFill>
                      </w14:textFill>
                    </w:rPr>
                    <w:t>将对周边水体造成影响。</w:t>
                  </w:r>
                </w:p>
                <w:p>
                  <w:pPr>
                    <w:autoSpaceDE w:val="0"/>
                    <w:autoSpaceDN w:val="0"/>
                    <w:snapToGrid w:val="0"/>
                    <w:rPr>
                      <w:rFonts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污染地下水环境：有毒有害物质在储存或厂内转移过程中由于操作不当、防渗材料破裂等原因将对地下水环境造成影响。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29"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风险防范</w:t>
                  </w:r>
                  <w:r>
                    <w:rPr>
                      <w:rFonts w:hint="eastAsia"/>
                      <w:b/>
                      <w:color w:val="0D0D0D" w:themeColor="text1" w:themeTint="F2"/>
                      <w:szCs w:val="21"/>
                      <w14:textFill>
                        <w14:solidFill>
                          <w14:schemeClr w14:val="tx1">
                            <w14:lumMod w14:val="95000"/>
                            <w14:lumOff w14:val="5000"/>
                          </w14:schemeClr>
                        </w14:solidFill>
                      </w14:textFill>
                    </w:rPr>
                    <w:t>要求</w:t>
                  </w:r>
                </w:p>
              </w:tc>
              <w:tc>
                <w:tcPr>
                  <w:tcW w:w="6860" w:type="dxa"/>
                  <w:gridSpan w:val="5"/>
                  <w:shd w:val="clear" w:color="auto" w:fill="auto"/>
                  <w:vAlign w:val="center"/>
                </w:tcPr>
                <w:p>
                  <w:pPr>
                    <w:snapToGrid w:val="0"/>
                    <w:jc w:val="left"/>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总图及建筑风险防范，建设火灾报警系统，加强生产管理。并配备风险防范物资，制定突发环境事件应急预案并定期</w:t>
                  </w:r>
                  <w:r>
                    <w:rPr>
                      <w:color w:val="0D0D0D" w:themeColor="text1" w:themeTint="F2"/>
                      <w:szCs w:val="21"/>
                      <w14:textFill>
                        <w14:solidFill>
                          <w14:schemeClr w14:val="tx1">
                            <w14:lumMod w14:val="95000"/>
                            <w14:lumOff w14:val="5000"/>
                          </w14:schemeClr>
                        </w14:solidFill>
                      </w14:textFill>
                    </w:rPr>
                    <w:t>演练</w:t>
                  </w:r>
                </w:p>
              </w:tc>
            </w:tr>
          </w:tbl>
          <w:p>
            <w:pPr>
              <w:spacing w:line="360" w:lineRule="auto"/>
              <w:ind w:firstLine="480"/>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tcPr>
          <w:p>
            <w:pPr>
              <w:tabs>
                <w:tab w:val="left" w:pos="1077"/>
              </w:tabs>
              <w:rPr>
                <w:rFonts w:cs="宋体"/>
                <w:color w:val="000000"/>
                <w:sz w:val="24"/>
              </w:rPr>
            </w:pPr>
          </w:p>
        </w:tc>
        <w:tc>
          <w:tcPr>
            <w:tcW w:w="8605" w:type="dxa"/>
            <w:shd w:val="clear" w:color="auto" w:fill="auto"/>
          </w:tcPr>
          <w:p>
            <w:pPr>
              <w:spacing w:before="120" w:beforeLines="50" w:line="360" w:lineRule="auto"/>
              <w:ind w:firstLine="482" w:firstLineChars="200"/>
              <w:rPr>
                <w:b/>
                <w:color w:val="000000"/>
                <w:sz w:val="24"/>
                <w:szCs w:val="20"/>
              </w:rPr>
            </w:pPr>
            <w:r>
              <w:rPr>
                <w:rFonts w:hint="eastAsia"/>
                <w:b/>
                <w:color w:val="000000"/>
                <w:sz w:val="24"/>
                <w:szCs w:val="20"/>
              </w:rPr>
              <w:t>七、</w:t>
            </w:r>
            <w:r>
              <w:rPr>
                <w:b/>
                <w:color w:val="000000"/>
                <w:sz w:val="24"/>
                <w:szCs w:val="20"/>
              </w:rPr>
              <w:t>环境</w:t>
            </w:r>
            <w:r>
              <w:rPr>
                <w:rFonts w:hint="eastAsia"/>
                <w:b/>
                <w:color w:val="000000"/>
                <w:sz w:val="24"/>
                <w:szCs w:val="20"/>
              </w:rPr>
              <w:t>管理</w:t>
            </w:r>
          </w:p>
          <w:p>
            <w:pPr>
              <w:widowControl/>
              <w:spacing w:line="360" w:lineRule="auto"/>
              <w:ind w:firstLine="482" w:firstLineChars="200"/>
              <w:jc w:val="left"/>
              <w:rPr>
                <w:b/>
                <w:color w:val="0D0D0D"/>
                <w:kern w:val="0"/>
                <w:sz w:val="24"/>
              </w:rPr>
            </w:pPr>
            <w:r>
              <w:rPr>
                <w:rFonts w:hint="eastAsia"/>
                <w:b/>
                <w:color w:val="0D0D0D"/>
                <w:kern w:val="0"/>
                <w:sz w:val="24"/>
              </w:rPr>
              <w:t>1、环境管理监测计划</w:t>
            </w:r>
          </w:p>
          <w:p>
            <w:pPr>
              <w:spacing w:line="360" w:lineRule="auto"/>
              <w:ind w:firstLine="480" w:firstLineChars="200"/>
              <w:rPr>
                <w:kern w:val="24"/>
                <w:sz w:val="24"/>
                <w:szCs w:val="20"/>
              </w:rPr>
            </w:pPr>
            <w:bookmarkStart w:id="8" w:name="_Toc5007454"/>
            <w:bookmarkStart w:id="9" w:name="_Toc474855834"/>
            <w:bookmarkStart w:id="10" w:name="_Toc350352180"/>
            <w:r>
              <w:rPr>
                <w:rFonts w:hint="eastAsia"/>
                <w:kern w:val="24"/>
                <w:sz w:val="24"/>
                <w:szCs w:val="20"/>
                <w:lang w:eastAsia="zh-CN"/>
              </w:rPr>
              <w:t>（</w:t>
            </w:r>
            <w:r>
              <w:rPr>
                <w:rFonts w:hint="eastAsia"/>
                <w:kern w:val="24"/>
                <w:sz w:val="24"/>
                <w:szCs w:val="20"/>
              </w:rPr>
              <w:t>1</w:t>
            </w:r>
            <w:r>
              <w:rPr>
                <w:rFonts w:hint="eastAsia"/>
                <w:kern w:val="24"/>
                <w:sz w:val="24"/>
                <w:szCs w:val="20"/>
                <w:lang w:eastAsia="zh-CN"/>
              </w:rPr>
              <w:t>）</w:t>
            </w:r>
            <w:r>
              <w:rPr>
                <w:rFonts w:hint="eastAsia"/>
                <w:kern w:val="24"/>
                <w:sz w:val="24"/>
                <w:szCs w:val="20"/>
              </w:rPr>
              <w:t>环境管理</w:t>
            </w:r>
            <w:bookmarkEnd w:id="8"/>
            <w:bookmarkEnd w:id="9"/>
            <w:bookmarkEnd w:id="10"/>
          </w:p>
          <w:p>
            <w:pPr>
              <w:spacing w:line="360" w:lineRule="auto"/>
              <w:ind w:firstLine="480" w:firstLineChars="200"/>
              <w:rPr>
                <w:kern w:val="24"/>
                <w:sz w:val="24"/>
                <w:szCs w:val="20"/>
              </w:rPr>
            </w:pPr>
            <w:r>
              <w:rPr>
                <w:rFonts w:hint="eastAsia"/>
                <w:kern w:val="24"/>
                <w:sz w:val="24"/>
                <w:szCs w:val="20"/>
              </w:rPr>
              <w:t>根据该项目建设规模和环境管理的任务，工程建成营运后应设专职环境监督人员</w:t>
            </w:r>
            <w:r>
              <w:rPr>
                <w:kern w:val="24"/>
                <w:sz w:val="24"/>
                <w:szCs w:val="20"/>
              </w:rPr>
              <w:t>1</w:t>
            </w:r>
            <w:r>
              <w:rPr>
                <w:rFonts w:hint="eastAsia"/>
                <w:kern w:val="24"/>
                <w:sz w:val="24"/>
                <w:szCs w:val="20"/>
              </w:rPr>
              <w:t>～</w:t>
            </w:r>
            <w:r>
              <w:rPr>
                <w:kern w:val="24"/>
                <w:sz w:val="24"/>
                <w:szCs w:val="20"/>
              </w:rPr>
              <w:t>2</w:t>
            </w:r>
            <w:r>
              <w:rPr>
                <w:rFonts w:hint="eastAsia"/>
                <w:kern w:val="24"/>
                <w:sz w:val="24"/>
                <w:szCs w:val="20"/>
              </w:rPr>
              <w:t>名，负责本项目的环境保护监督管理及各项环保设施的运行管理工作，污染源和环境质量监测可委托有资质的环境监测单位承担。</w:t>
            </w:r>
          </w:p>
          <w:p>
            <w:pPr>
              <w:spacing w:line="360" w:lineRule="auto"/>
              <w:ind w:firstLine="480" w:firstLineChars="200"/>
              <w:rPr>
                <w:kern w:val="24"/>
                <w:sz w:val="24"/>
                <w:szCs w:val="20"/>
              </w:rPr>
            </w:pPr>
            <w:r>
              <w:rPr>
                <w:rFonts w:hint="eastAsia"/>
                <w:kern w:val="24"/>
                <w:sz w:val="24"/>
                <w:szCs w:val="20"/>
                <w:lang w:eastAsia="zh-CN"/>
              </w:rPr>
              <w:t>（</w:t>
            </w:r>
            <w:r>
              <w:rPr>
                <w:rFonts w:hint="eastAsia"/>
                <w:kern w:val="24"/>
                <w:sz w:val="24"/>
                <w:szCs w:val="20"/>
                <w:lang w:val="en-US" w:eastAsia="zh-CN"/>
              </w:rPr>
              <w:t>2</w:t>
            </w:r>
            <w:r>
              <w:rPr>
                <w:rFonts w:hint="eastAsia"/>
                <w:kern w:val="24"/>
                <w:sz w:val="24"/>
                <w:szCs w:val="20"/>
                <w:lang w:eastAsia="zh-CN"/>
              </w:rPr>
              <w:t>）</w:t>
            </w:r>
            <w:r>
              <w:rPr>
                <w:rFonts w:hint="eastAsia"/>
                <w:kern w:val="24"/>
                <w:sz w:val="24"/>
                <w:szCs w:val="20"/>
              </w:rPr>
              <w:t>环境管理内容</w:t>
            </w:r>
          </w:p>
          <w:p>
            <w:pPr>
              <w:spacing w:line="360" w:lineRule="auto"/>
              <w:ind w:firstLine="480" w:firstLineChars="200"/>
              <w:rPr>
                <w:kern w:val="24"/>
                <w:sz w:val="24"/>
                <w:szCs w:val="20"/>
              </w:rPr>
            </w:pPr>
            <w:r>
              <w:rPr>
                <w:rFonts w:hint="eastAsia"/>
                <w:kern w:val="24"/>
                <w:sz w:val="24"/>
                <w:szCs w:val="20"/>
              </w:rPr>
              <w:t>项目在生产运行过程中为保证环境管理系统的有效运行应制定环境管理方案，环境管理方案主要包括下列内容：</w:t>
            </w:r>
          </w:p>
          <w:p>
            <w:pPr>
              <w:spacing w:line="360" w:lineRule="auto"/>
              <w:ind w:firstLine="480" w:firstLineChars="200"/>
              <w:rPr>
                <w:kern w:val="24"/>
                <w:sz w:val="24"/>
                <w:szCs w:val="20"/>
              </w:rPr>
            </w:pPr>
            <w:r>
              <w:rPr>
                <w:kern w:val="24"/>
                <w:sz w:val="24"/>
                <w:szCs w:val="20"/>
              </w:rPr>
              <w:fldChar w:fldCharType="begin"/>
            </w:r>
            <w:r>
              <w:rPr>
                <w:kern w:val="24"/>
                <w:sz w:val="24"/>
                <w:szCs w:val="20"/>
              </w:rPr>
              <w:instrText xml:space="preserve"> </w:instrText>
            </w:r>
            <w:r>
              <w:rPr>
                <w:rFonts w:hint="eastAsia"/>
                <w:kern w:val="24"/>
                <w:sz w:val="24"/>
                <w:szCs w:val="20"/>
              </w:rPr>
              <w:instrText xml:space="preserve">= 1 \* GB3</w:instrText>
            </w:r>
            <w:r>
              <w:rPr>
                <w:kern w:val="24"/>
                <w:sz w:val="24"/>
                <w:szCs w:val="20"/>
              </w:rPr>
              <w:instrText xml:space="preserve"> </w:instrText>
            </w:r>
            <w:r>
              <w:rPr>
                <w:kern w:val="24"/>
                <w:sz w:val="24"/>
                <w:szCs w:val="20"/>
              </w:rPr>
              <w:fldChar w:fldCharType="separate"/>
            </w:r>
            <w:r>
              <w:rPr>
                <w:rFonts w:hint="eastAsia"/>
                <w:kern w:val="24"/>
                <w:sz w:val="24"/>
                <w:szCs w:val="20"/>
              </w:rPr>
              <w:t>①</w:t>
            </w:r>
            <w:r>
              <w:rPr>
                <w:kern w:val="24"/>
                <w:sz w:val="24"/>
                <w:szCs w:val="20"/>
              </w:rPr>
              <w:fldChar w:fldCharType="end"/>
            </w:r>
            <w:r>
              <w:rPr>
                <w:rFonts w:hint="eastAsia"/>
                <w:kern w:val="24"/>
                <w:sz w:val="24"/>
                <w:szCs w:val="20"/>
              </w:rPr>
              <w:t>组织贯彻国家及地方的有关环保方针、政策法令和条例，搞好环境教育和技术培训，提高公司职工的环保意识和技术水平，提高污染控制的责任心。</w:t>
            </w:r>
          </w:p>
          <w:p>
            <w:pPr>
              <w:spacing w:line="360" w:lineRule="auto"/>
              <w:ind w:firstLine="480" w:firstLineChars="200"/>
              <w:rPr>
                <w:kern w:val="24"/>
                <w:sz w:val="24"/>
                <w:szCs w:val="20"/>
              </w:rPr>
            </w:pPr>
            <w:r>
              <w:rPr>
                <w:kern w:val="24"/>
                <w:sz w:val="24"/>
                <w:szCs w:val="20"/>
              </w:rPr>
              <w:fldChar w:fldCharType="begin"/>
            </w:r>
            <w:r>
              <w:rPr>
                <w:kern w:val="24"/>
                <w:sz w:val="24"/>
                <w:szCs w:val="20"/>
              </w:rPr>
              <w:instrText xml:space="preserve"> </w:instrText>
            </w:r>
            <w:r>
              <w:rPr>
                <w:rFonts w:hint="eastAsia"/>
                <w:kern w:val="24"/>
                <w:sz w:val="24"/>
                <w:szCs w:val="20"/>
              </w:rPr>
              <w:instrText xml:space="preserve">= 2 \* GB3</w:instrText>
            </w:r>
            <w:r>
              <w:rPr>
                <w:kern w:val="24"/>
                <w:sz w:val="24"/>
                <w:szCs w:val="20"/>
              </w:rPr>
              <w:instrText xml:space="preserve"> </w:instrText>
            </w:r>
            <w:r>
              <w:rPr>
                <w:kern w:val="24"/>
                <w:sz w:val="24"/>
                <w:szCs w:val="20"/>
              </w:rPr>
              <w:fldChar w:fldCharType="separate"/>
            </w:r>
            <w:r>
              <w:rPr>
                <w:rFonts w:hint="eastAsia"/>
                <w:kern w:val="24"/>
                <w:sz w:val="24"/>
                <w:szCs w:val="20"/>
              </w:rPr>
              <w:t>②</w:t>
            </w:r>
            <w:r>
              <w:rPr>
                <w:kern w:val="24"/>
                <w:sz w:val="24"/>
                <w:szCs w:val="20"/>
              </w:rPr>
              <w:fldChar w:fldCharType="end"/>
            </w:r>
            <w:r>
              <w:rPr>
                <w:rFonts w:hint="eastAsia"/>
                <w:kern w:val="24"/>
                <w:sz w:val="24"/>
                <w:szCs w:val="20"/>
              </w:rPr>
              <w:t>制定并实施公司环境保护工作的长期规划及年度污染治理计划；定期检查环保设施的运行状况及对设备的维修与管理，严格控制“三废”的排放。</w:t>
            </w:r>
          </w:p>
          <w:p>
            <w:pPr>
              <w:spacing w:line="360" w:lineRule="auto"/>
              <w:ind w:firstLine="480" w:firstLineChars="200"/>
              <w:rPr>
                <w:kern w:val="24"/>
                <w:sz w:val="24"/>
                <w:szCs w:val="20"/>
              </w:rPr>
            </w:pPr>
            <w:r>
              <w:rPr>
                <w:kern w:val="24"/>
                <w:sz w:val="24"/>
                <w:szCs w:val="20"/>
              </w:rPr>
              <w:fldChar w:fldCharType="begin"/>
            </w:r>
            <w:r>
              <w:rPr>
                <w:kern w:val="24"/>
                <w:sz w:val="24"/>
                <w:szCs w:val="20"/>
              </w:rPr>
              <w:instrText xml:space="preserve"> </w:instrText>
            </w:r>
            <w:r>
              <w:rPr>
                <w:rFonts w:hint="eastAsia"/>
                <w:kern w:val="24"/>
                <w:sz w:val="24"/>
                <w:szCs w:val="20"/>
              </w:rPr>
              <w:instrText xml:space="preserve">= 3 \* GB3</w:instrText>
            </w:r>
            <w:r>
              <w:rPr>
                <w:kern w:val="24"/>
                <w:sz w:val="24"/>
                <w:szCs w:val="20"/>
              </w:rPr>
              <w:instrText xml:space="preserve"> </w:instrText>
            </w:r>
            <w:r>
              <w:rPr>
                <w:kern w:val="24"/>
                <w:sz w:val="24"/>
                <w:szCs w:val="20"/>
              </w:rPr>
              <w:fldChar w:fldCharType="separate"/>
            </w:r>
            <w:r>
              <w:rPr>
                <w:rFonts w:hint="eastAsia"/>
                <w:kern w:val="24"/>
                <w:sz w:val="24"/>
                <w:szCs w:val="20"/>
              </w:rPr>
              <w:t>③</w:t>
            </w:r>
            <w:r>
              <w:rPr>
                <w:kern w:val="24"/>
                <w:sz w:val="24"/>
                <w:szCs w:val="20"/>
              </w:rPr>
              <w:fldChar w:fldCharType="end"/>
            </w:r>
            <w:r>
              <w:rPr>
                <w:rFonts w:hint="eastAsia"/>
                <w:kern w:val="24"/>
                <w:sz w:val="24"/>
                <w:szCs w:val="20"/>
              </w:rPr>
              <w:t>掌握公司内部污染物排放状况，编制公司内部环境状况报告。</w:t>
            </w:r>
          </w:p>
          <w:p>
            <w:pPr>
              <w:spacing w:line="360" w:lineRule="auto"/>
              <w:ind w:firstLine="480" w:firstLineChars="200"/>
              <w:rPr>
                <w:kern w:val="24"/>
                <w:sz w:val="24"/>
                <w:szCs w:val="20"/>
              </w:rPr>
            </w:pPr>
            <w:r>
              <w:rPr>
                <w:kern w:val="24"/>
                <w:sz w:val="24"/>
                <w:szCs w:val="20"/>
              </w:rPr>
              <w:fldChar w:fldCharType="begin"/>
            </w:r>
            <w:r>
              <w:rPr>
                <w:kern w:val="24"/>
                <w:sz w:val="24"/>
                <w:szCs w:val="20"/>
              </w:rPr>
              <w:instrText xml:space="preserve"> </w:instrText>
            </w:r>
            <w:r>
              <w:rPr>
                <w:rFonts w:hint="eastAsia"/>
                <w:kern w:val="24"/>
                <w:sz w:val="24"/>
                <w:szCs w:val="20"/>
              </w:rPr>
              <w:instrText xml:space="preserve">= 4 \* GB3</w:instrText>
            </w:r>
            <w:r>
              <w:rPr>
                <w:kern w:val="24"/>
                <w:sz w:val="24"/>
                <w:szCs w:val="20"/>
              </w:rPr>
              <w:instrText xml:space="preserve"> </w:instrText>
            </w:r>
            <w:r>
              <w:rPr>
                <w:kern w:val="24"/>
                <w:sz w:val="24"/>
                <w:szCs w:val="20"/>
              </w:rPr>
              <w:fldChar w:fldCharType="separate"/>
            </w:r>
            <w:r>
              <w:rPr>
                <w:rFonts w:hint="eastAsia"/>
                <w:kern w:val="24"/>
                <w:sz w:val="24"/>
                <w:szCs w:val="20"/>
              </w:rPr>
              <w:t>④</w:t>
            </w:r>
            <w:r>
              <w:rPr>
                <w:kern w:val="24"/>
                <w:sz w:val="24"/>
                <w:szCs w:val="20"/>
              </w:rPr>
              <w:fldChar w:fldCharType="end"/>
            </w:r>
            <w:r>
              <w:rPr>
                <w:rFonts w:hint="eastAsia"/>
                <w:kern w:val="24"/>
                <w:sz w:val="24"/>
                <w:szCs w:val="20"/>
              </w:rPr>
              <w:t>负责环保专项资金的平衡与控制及办理环保超标缴费工作。</w:t>
            </w:r>
          </w:p>
          <w:p>
            <w:pPr>
              <w:spacing w:line="360" w:lineRule="auto"/>
              <w:ind w:firstLine="480" w:firstLineChars="200"/>
              <w:rPr>
                <w:kern w:val="24"/>
                <w:sz w:val="24"/>
                <w:szCs w:val="20"/>
              </w:rPr>
            </w:pPr>
            <w:r>
              <w:rPr>
                <w:kern w:val="24"/>
                <w:sz w:val="24"/>
                <w:szCs w:val="20"/>
              </w:rPr>
              <w:fldChar w:fldCharType="begin"/>
            </w:r>
            <w:r>
              <w:rPr>
                <w:kern w:val="24"/>
                <w:sz w:val="24"/>
                <w:szCs w:val="20"/>
              </w:rPr>
              <w:instrText xml:space="preserve"> </w:instrText>
            </w:r>
            <w:r>
              <w:rPr>
                <w:rFonts w:hint="eastAsia"/>
                <w:kern w:val="24"/>
                <w:sz w:val="24"/>
                <w:szCs w:val="20"/>
              </w:rPr>
              <w:instrText xml:space="preserve">= 5 \* GB3</w:instrText>
            </w:r>
            <w:r>
              <w:rPr>
                <w:kern w:val="24"/>
                <w:sz w:val="24"/>
                <w:szCs w:val="20"/>
              </w:rPr>
              <w:instrText xml:space="preserve"> </w:instrText>
            </w:r>
            <w:r>
              <w:rPr>
                <w:kern w:val="24"/>
                <w:sz w:val="24"/>
                <w:szCs w:val="20"/>
              </w:rPr>
              <w:fldChar w:fldCharType="separate"/>
            </w:r>
            <w:r>
              <w:rPr>
                <w:rFonts w:hint="eastAsia"/>
                <w:kern w:val="24"/>
                <w:sz w:val="24"/>
                <w:szCs w:val="20"/>
              </w:rPr>
              <w:t>⑤</w:t>
            </w:r>
            <w:r>
              <w:rPr>
                <w:kern w:val="24"/>
                <w:sz w:val="24"/>
                <w:szCs w:val="20"/>
              </w:rPr>
              <w:fldChar w:fldCharType="end"/>
            </w:r>
            <w:r>
              <w:rPr>
                <w:rFonts w:hint="eastAsia"/>
                <w:kern w:val="24"/>
                <w:sz w:val="24"/>
                <w:szCs w:val="20"/>
              </w:rPr>
              <w:t>协同有关环境保护主管部门组织落实“三同时”，参与有关方案的审定及竣工验收。</w:t>
            </w:r>
          </w:p>
          <w:p>
            <w:pPr>
              <w:spacing w:line="360" w:lineRule="auto"/>
              <w:ind w:firstLine="480" w:firstLineChars="200"/>
              <w:rPr>
                <w:kern w:val="24"/>
                <w:sz w:val="24"/>
                <w:szCs w:val="20"/>
              </w:rPr>
            </w:pPr>
            <w:r>
              <w:rPr>
                <w:kern w:val="24"/>
                <w:sz w:val="24"/>
                <w:szCs w:val="20"/>
              </w:rPr>
              <w:fldChar w:fldCharType="begin"/>
            </w:r>
            <w:r>
              <w:rPr>
                <w:kern w:val="24"/>
                <w:sz w:val="24"/>
                <w:szCs w:val="20"/>
              </w:rPr>
              <w:instrText xml:space="preserve"> </w:instrText>
            </w:r>
            <w:r>
              <w:rPr>
                <w:rFonts w:hint="eastAsia"/>
                <w:kern w:val="24"/>
                <w:sz w:val="24"/>
                <w:szCs w:val="20"/>
              </w:rPr>
              <w:instrText xml:space="preserve">= 6 \* GB3</w:instrText>
            </w:r>
            <w:r>
              <w:rPr>
                <w:kern w:val="24"/>
                <w:sz w:val="24"/>
                <w:szCs w:val="20"/>
              </w:rPr>
              <w:instrText xml:space="preserve"> </w:instrText>
            </w:r>
            <w:r>
              <w:rPr>
                <w:kern w:val="24"/>
                <w:sz w:val="24"/>
                <w:szCs w:val="20"/>
              </w:rPr>
              <w:fldChar w:fldCharType="separate"/>
            </w:r>
            <w:r>
              <w:rPr>
                <w:rFonts w:hint="eastAsia"/>
                <w:kern w:val="24"/>
                <w:sz w:val="24"/>
                <w:szCs w:val="20"/>
              </w:rPr>
              <w:t>⑥</w:t>
            </w:r>
            <w:r>
              <w:rPr>
                <w:kern w:val="24"/>
                <w:sz w:val="24"/>
                <w:szCs w:val="20"/>
              </w:rPr>
              <w:fldChar w:fldCharType="end"/>
            </w:r>
            <w:r>
              <w:rPr>
                <w:rFonts w:hint="eastAsia"/>
                <w:kern w:val="24"/>
                <w:sz w:val="24"/>
                <w:szCs w:val="20"/>
              </w:rPr>
              <w:t>组织环境监测，检查公司环境状况，并及时将环境监测信息向环保部门通报。</w:t>
            </w:r>
          </w:p>
          <w:p>
            <w:pPr>
              <w:spacing w:line="360" w:lineRule="auto"/>
              <w:ind w:firstLine="480" w:firstLineChars="200"/>
              <w:rPr>
                <w:kern w:val="24"/>
                <w:sz w:val="24"/>
                <w:szCs w:val="20"/>
              </w:rPr>
            </w:pPr>
            <w:r>
              <w:rPr>
                <w:kern w:val="24"/>
                <w:sz w:val="24"/>
                <w:szCs w:val="20"/>
              </w:rPr>
              <w:fldChar w:fldCharType="begin"/>
            </w:r>
            <w:r>
              <w:rPr>
                <w:kern w:val="24"/>
                <w:sz w:val="24"/>
                <w:szCs w:val="20"/>
              </w:rPr>
              <w:instrText xml:space="preserve"> </w:instrText>
            </w:r>
            <w:r>
              <w:rPr>
                <w:rFonts w:hint="eastAsia"/>
                <w:kern w:val="24"/>
                <w:sz w:val="24"/>
                <w:szCs w:val="20"/>
              </w:rPr>
              <w:instrText xml:space="preserve">= 7 \* GB3</w:instrText>
            </w:r>
            <w:r>
              <w:rPr>
                <w:kern w:val="24"/>
                <w:sz w:val="24"/>
                <w:szCs w:val="20"/>
              </w:rPr>
              <w:instrText xml:space="preserve"> </w:instrText>
            </w:r>
            <w:r>
              <w:rPr>
                <w:kern w:val="24"/>
                <w:sz w:val="24"/>
                <w:szCs w:val="20"/>
              </w:rPr>
              <w:fldChar w:fldCharType="separate"/>
            </w:r>
            <w:r>
              <w:rPr>
                <w:rFonts w:hint="eastAsia"/>
                <w:kern w:val="24"/>
                <w:sz w:val="24"/>
                <w:szCs w:val="20"/>
              </w:rPr>
              <w:t>⑦</w:t>
            </w:r>
            <w:r>
              <w:rPr>
                <w:kern w:val="24"/>
                <w:sz w:val="24"/>
                <w:szCs w:val="20"/>
              </w:rPr>
              <w:fldChar w:fldCharType="end"/>
            </w:r>
            <w:r>
              <w:rPr>
                <w:rFonts w:hint="eastAsia"/>
                <w:kern w:val="24"/>
                <w:sz w:val="24"/>
                <w:szCs w:val="20"/>
              </w:rPr>
              <w:t>调查处理公司内污染事故和污染纠纷；组织“三废”处理利用技术的实验和研究；建立污染突发事故分类分级档案和处理制度。</w:t>
            </w:r>
          </w:p>
          <w:p>
            <w:pPr>
              <w:spacing w:line="360" w:lineRule="auto"/>
              <w:ind w:firstLine="480" w:firstLineChars="200"/>
              <w:rPr>
                <w:kern w:val="24"/>
                <w:sz w:val="24"/>
                <w:szCs w:val="20"/>
              </w:rPr>
            </w:pPr>
            <w:r>
              <w:rPr>
                <w:kern w:val="24"/>
                <w:sz w:val="24"/>
                <w:szCs w:val="20"/>
              </w:rPr>
              <w:fldChar w:fldCharType="begin"/>
            </w:r>
            <w:r>
              <w:rPr>
                <w:kern w:val="24"/>
                <w:sz w:val="24"/>
                <w:szCs w:val="20"/>
              </w:rPr>
              <w:instrText xml:space="preserve"> </w:instrText>
            </w:r>
            <w:r>
              <w:rPr>
                <w:rFonts w:hint="eastAsia"/>
                <w:kern w:val="24"/>
                <w:sz w:val="24"/>
                <w:szCs w:val="20"/>
              </w:rPr>
              <w:instrText xml:space="preserve">= 8 \* GB3</w:instrText>
            </w:r>
            <w:r>
              <w:rPr>
                <w:kern w:val="24"/>
                <w:sz w:val="24"/>
                <w:szCs w:val="20"/>
              </w:rPr>
              <w:instrText xml:space="preserve"> </w:instrText>
            </w:r>
            <w:r>
              <w:rPr>
                <w:kern w:val="24"/>
                <w:sz w:val="24"/>
                <w:szCs w:val="20"/>
              </w:rPr>
              <w:fldChar w:fldCharType="separate"/>
            </w:r>
            <w:r>
              <w:rPr>
                <w:rFonts w:hint="eastAsia"/>
                <w:kern w:val="24"/>
                <w:sz w:val="24"/>
                <w:szCs w:val="20"/>
              </w:rPr>
              <w:t>⑧</w:t>
            </w:r>
            <w:r>
              <w:rPr>
                <w:kern w:val="24"/>
                <w:sz w:val="24"/>
                <w:szCs w:val="20"/>
              </w:rPr>
              <w:fldChar w:fldCharType="end"/>
            </w:r>
            <w:r>
              <w:rPr>
                <w:rFonts w:hint="eastAsia"/>
                <w:kern w:val="24"/>
                <w:sz w:val="24"/>
                <w:szCs w:val="20"/>
              </w:rPr>
              <w:t>努力建立建全公司的EMS(环境管理系统)，以达到ISO14000的要求。</w:t>
            </w:r>
          </w:p>
          <w:p>
            <w:pPr>
              <w:spacing w:line="360" w:lineRule="auto"/>
              <w:ind w:firstLine="480" w:firstLineChars="200"/>
              <w:rPr>
                <w:kern w:val="24"/>
                <w:sz w:val="24"/>
                <w:szCs w:val="20"/>
              </w:rPr>
            </w:pPr>
            <w:r>
              <w:rPr>
                <w:kern w:val="24"/>
                <w:sz w:val="24"/>
                <w:szCs w:val="20"/>
              </w:rPr>
              <w:fldChar w:fldCharType="begin"/>
            </w:r>
            <w:r>
              <w:rPr>
                <w:kern w:val="24"/>
                <w:sz w:val="24"/>
                <w:szCs w:val="20"/>
              </w:rPr>
              <w:instrText xml:space="preserve"> </w:instrText>
            </w:r>
            <w:r>
              <w:rPr>
                <w:rFonts w:hint="eastAsia"/>
                <w:kern w:val="24"/>
                <w:sz w:val="24"/>
                <w:szCs w:val="20"/>
              </w:rPr>
              <w:instrText xml:space="preserve">= 9 \* GB3</w:instrText>
            </w:r>
            <w:r>
              <w:rPr>
                <w:kern w:val="24"/>
                <w:sz w:val="24"/>
                <w:szCs w:val="20"/>
              </w:rPr>
              <w:instrText xml:space="preserve"> </w:instrText>
            </w:r>
            <w:r>
              <w:rPr>
                <w:kern w:val="24"/>
                <w:sz w:val="24"/>
                <w:szCs w:val="20"/>
              </w:rPr>
              <w:fldChar w:fldCharType="separate"/>
            </w:r>
            <w:r>
              <w:rPr>
                <w:rFonts w:hint="eastAsia"/>
                <w:kern w:val="24"/>
                <w:sz w:val="24"/>
                <w:szCs w:val="20"/>
              </w:rPr>
              <w:t>⑨</w:t>
            </w:r>
            <w:r>
              <w:rPr>
                <w:kern w:val="24"/>
                <w:sz w:val="24"/>
                <w:szCs w:val="20"/>
              </w:rPr>
              <w:fldChar w:fldCharType="end"/>
            </w:r>
            <w:r>
              <w:rPr>
                <w:rFonts w:hint="eastAsia"/>
                <w:kern w:val="24"/>
                <w:sz w:val="24"/>
                <w:szCs w:val="20"/>
              </w:rPr>
              <w:t>建立清洁生产审计计划，体现“以防为主”的方针，实现环境效益和经济效益的统一。</w:t>
            </w:r>
          </w:p>
          <w:p>
            <w:pPr>
              <w:spacing w:line="360" w:lineRule="auto"/>
              <w:ind w:firstLine="480" w:firstLineChars="200"/>
              <w:rPr>
                <w:kern w:val="24"/>
                <w:sz w:val="24"/>
                <w:szCs w:val="20"/>
              </w:rPr>
            </w:pPr>
            <w:r>
              <w:rPr>
                <w:rFonts w:hint="eastAsia"/>
                <w:kern w:val="24"/>
                <w:sz w:val="24"/>
                <w:szCs w:val="20"/>
                <w:lang w:eastAsia="zh-CN"/>
              </w:rPr>
              <w:t>（</w:t>
            </w:r>
            <w:r>
              <w:rPr>
                <w:rFonts w:hint="eastAsia"/>
                <w:kern w:val="24"/>
                <w:sz w:val="24"/>
                <w:szCs w:val="20"/>
                <w:lang w:val="en-US" w:eastAsia="zh-CN"/>
              </w:rPr>
              <w:t>3</w:t>
            </w:r>
            <w:r>
              <w:rPr>
                <w:rFonts w:hint="eastAsia"/>
                <w:kern w:val="24"/>
                <w:sz w:val="24"/>
                <w:szCs w:val="20"/>
                <w:lang w:eastAsia="zh-CN"/>
              </w:rPr>
              <w:t>）</w:t>
            </w:r>
            <w:r>
              <w:rPr>
                <w:rFonts w:hint="eastAsia"/>
                <w:kern w:val="24"/>
                <w:sz w:val="24"/>
                <w:szCs w:val="20"/>
              </w:rPr>
              <w:t>环境监测计划</w:t>
            </w:r>
          </w:p>
          <w:p>
            <w:pPr>
              <w:spacing w:line="360" w:lineRule="auto"/>
              <w:ind w:firstLine="450"/>
              <w:rPr>
                <w:color w:val="000000"/>
                <w:sz w:val="24"/>
              </w:rPr>
            </w:pPr>
            <w:r>
              <w:rPr>
                <w:rFonts w:hint="eastAsia"/>
                <w:color w:val="000000"/>
                <w:sz w:val="24"/>
              </w:rPr>
              <w:t>厂内应定期进行环境监测，</w:t>
            </w:r>
            <w:r>
              <w:rPr>
                <w:color w:val="000000"/>
                <w:sz w:val="24"/>
              </w:rPr>
              <w:t>参照</w:t>
            </w:r>
            <w:r>
              <w:rPr>
                <w:rFonts w:hint="eastAsia"/>
                <w:color w:val="000000"/>
                <w:sz w:val="24"/>
              </w:rPr>
              <w:t>《排污单位自行监测技术指南 总则》（HJ819-2017）、《排污许可证核发技术指南 橡胶和塑料制品工业》（HJ 1122-2020）</w:t>
            </w:r>
            <w:r>
              <w:rPr>
                <w:color w:val="000000"/>
                <w:sz w:val="24"/>
              </w:rPr>
              <w:t>的相关要求，排污单位可自行或委托第三方监测机构开展监测工作，并安排专人专职对监测数据进行记录、整理、统计和分析。排污单位对监测结果的真实性、准确性、完整性负责。</w:t>
            </w:r>
          </w:p>
          <w:p>
            <w:pPr>
              <w:autoSpaceDE w:val="0"/>
              <w:autoSpaceDN w:val="0"/>
              <w:adjustRightInd w:val="0"/>
              <w:spacing w:before="120" w:beforeLines="50"/>
              <w:jc w:val="center"/>
              <w:rPr>
                <w:b/>
                <w:bCs/>
                <w:color w:val="0D0D0D" w:themeColor="text1" w:themeTint="F2"/>
                <w:kern w:val="0"/>
                <w:sz w:val="24"/>
                <w:szCs w:val="20"/>
                <w:lang w:val="zh-CN"/>
                <w14:textFill>
                  <w14:solidFill>
                    <w14:schemeClr w14:val="tx1">
                      <w14:lumMod w14:val="95000"/>
                      <w14:lumOff w14:val="5000"/>
                    </w14:schemeClr>
                  </w14:solidFill>
                </w14:textFill>
              </w:rPr>
            </w:pPr>
            <w:r>
              <w:rPr>
                <w:b/>
                <w:bCs/>
                <w:color w:val="0D0D0D" w:themeColor="text1" w:themeTint="F2"/>
                <w:kern w:val="0"/>
                <w:sz w:val="24"/>
                <w:szCs w:val="20"/>
                <w:lang w:val="zh-CN"/>
                <w14:textFill>
                  <w14:solidFill>
                    <w14:schemeClr w14:val="tx1">
                      <w14:lumMod w14:val="95000"/>
                      <w14:lumOff w14:val="5000"/>
                    </w14:schemeClr>
                  </w14:solidFill>
                </w14:textFill>
              </w:rPr>
              <w:t>表</w:t>
            </w:r>
            <w:r>
              <w:rPr>
                <w:rFonts w:hint="eastAsia"/>
                <w:b/>
                <w:bCs/>
                <w:color w:val="0D0D0D" w:themeColor="text1" w:themeTint="F2"/>
                <w:kern w:val="0"/>
                <w:sz w:val="24"/>
                <w:szCs w:val="20"/>
                <w:lang w:val="zh-CN"/>
                <w14:textFill>
                  <w14:solidFill>
                    <w14:schemeClr w14:val="tx1">
                      <w14:lumMod w14:val="95000"/>
                      <w14:lumOff w14:val="5000"/>
                    </w14:schemeClr>
                  </w14:solidFill>
                </w14:textFill>
              </w:rPr>
              <w:t>4</w:t>
            </w:r>
            <w:r>
              <w:rPr>
                <w:rFonts w:hint="eastAsia"/>
                <w:b/>
                <w:bCs/>
                <w:color w:val="0D0D0D" w:themeColor="text1" w:themeTint="F2"/>
                <w:kern w:val="0"/>
                <w:sz w:val="24"/>
                <w:szCs w:val="20"/>
                <w14:textFill>
                  <w14:solidFill>
                    <w14:schemeClr w14:val="tx1">
                      <w14:lumMod w14:val="95000"/>
                      <w14:lumOff w14:val="5000"/>
                    </w14:schemeClr>
                  </w14:solidFill>
                </w14:textFill>
              </w:rPr>
              <w:t>-1</w:t>
            </w:r>
            <w:r>
              <w:rPr>
                <w:rFonts w:hint="eastAsia"/>
                <w:b/>
                <w:bCs/>
                <w:color w:val="0D0D0D" w:themeColor="text1" w:themeTint="F2"/>
                <w:kern w:val="0"/>
                <w:sz w:val="24"/>
                <w:szCs w:val="20"/>
                <w:lang w:val="en-US" w:eastAsia="zh-CN"/>
                <w14:textFill>
                  <w14:solidFill>
                    <w14:schemeClr w14:val="tx1">
                      <w14:lumMod w14:val="95000"/>
                      <w14:lumOff w14:val="5000"/>
                    </w14:schemeClr>
                  </w14:solidFill>
                </w14:textFill>
              </w:rPr>
              <w:t xml:space="preserve">3  </w:t>
            </w:r>
            <w:r>
              <w:rPr>
                <w:rFonts w:hint="eastAsia"/>
                <w:b/>
                <w:bCs/>
                <w:color w:val="0D0D0D" w:themeColor="text1" w:themeTint="F2"/>
                <w:kern w:val="0"/>
                <w:sz w:val="24"/>
                <w:szCs w:val="20"/>
                <w:lang w:val="zh-CN"/>
                <w14:textFill>
                  <w14:solidFill>
                    <w14:schemeClr w14:val="tx1">
                      <w14:lumMod w14:val="95000"/>
                      <w14:lumOff w14:val="5000"/>
                    </w14:schemeClr>
                  </w14:solidFill>
                </w14:textFill>
              </w:rPr>
              <w:t>公司污染源监测计划一览表</w:t>
            </w:r>
          </w:p>
          <w:tbl>
            <w:tblPr>
              <w:tblStyle w:val="58"/>
              <w:tblW w:w="466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2"/>
              <w:gridCol w:w="1862"/>
              <w:gridCol w:w="1862"/>
              <w:gridCol w:w="2396"/>
              <w:gridCol w:w="79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582" w:type="pct"/>
                  <w:shd w:val="clear" w:color="auto" w:fill="auto"/>
                  <w:vAlign w:val="center"/>
                </w:tcPr>
                <w:p>
                  <w:pPr>
                    <w:widowControl/>
                    <w:snapToGrid w:val="0"/>
                    <w:ind w:left="-105" w:leftChars="-50" w:right="-105" w:rightChars="-50"/>
                    <w:jc w:val="center"/>
                    <w:rPr>
                      <w:rFonts w:eastAsia="黑体"/>
                      <w:b/>
                      <w:color w:val="0D0D0D" w:themeColor="text1" w:themeTint="F2"/>
                      <w:kern w:val="0"/>
                      <w:szCs w:val="21"/>
                      <w14:textFill>
                        <w14:solidFill>
                          <w14:schemeClr w14:val="tx1">
                            <w14:lumMod w14:val="95000"/>
                            <w14:lumOff w14:val="5000"/>
                          </w14:schemeClr>
                        </w14:solidFill>
                      </w14:textFill>
                    </w:rPr>
                  </w:pPr>
                  <w:r>
                    <w:rPr>
                      <w:rFonts w:hint="eastAsia" w:cs="宋体"/>
                      <w:b/>
                      <w:color w:val="0D0D0D" w:themeColor="text1" w:themeTint="F2"/>
                      <w:kern w:val="0"/>
                      <w:szCs w:val="21"/>
                      <w14:textFill>
                        <w14:solidFill>
                          <w14:schemeClr w14:val="tx1">
                            <w14:lumMod w14:val="95000"/>
                            <w14:lumOff w14:val="5000"/>
                          </w14:schemeClr>
                        </w14:solidFill>
                      </w14:textFill>
                    </w:rPr>
                    <w:t>类别</w:t>
                  </w:r>
                </w:p>
              </w:tc>
              <w:tc>
                <w:tcPr>
                  <w:tcW w:w="1189" w:type="pct"/>
                  <w:shd w:val="clear" w:color="auto" w:fill="auto"/>
                  <w:vAlign w:val="center"/>
                </w:tcPr>
                <w:p>
                  <w:pPr>
                    <w:widowControl/>
                    <w:snapToGrid w:val="0"/>
                    <w:jc w:val="center"/>
                    <w:rPr>
                      <w:rFonts w:cs="宋体"/>
                      <w:b/>
                      <w:color w:val="0D0D0D" w:themeColor="text1" w:themeTint="F2"/>
                      <w:kern w:val="0"/>
                      <w:szCs w:val="21"/>
                      <w14:textFill>
                        <w14:solidFill>
                          <w14:schemeClr w14:val="tx1">
                            <w14:lumMod w14:val="95000"/>
                            <w14:lumOff w14:val="5000"/>
                          </w14:schemeClr>
                        </w14:solidFill>
                      </w14:textFill>
                    </w:rPr>
                  </w:pPr>
                  <w:r>
                    <w:rPr>
                      <w:rFonts w:hint="eastAsia" w:cs="宋体"/>
                      <w:b/>
                      <w:color w:val="0D0D0D" w:themeColor="text1" w:themeTint="F2"/>
                      <w:kern w:val="0"/>
                      <w:szCs w:val="21"/>
                      <w14:textFill>
                        <w14:solidFill>
                          <w14:schemeClr w14:val="tx1">
                            <w14:lumMod w14:val="95000"/>
                            <w14:lumOff w14:val="5000"/>
                          </w14:schemeClr>
                        </w14:solidFill>
                      </w14:textFill>
                    </w:rPr>
                    <w:t>排放口类型</w:t>
                  </w:r>
                </w:p>
              </w:tc>
              <w:tc>
                <w:tcPr>
                  <w:tcW w:w="1189" w:type="pct"/>
                  <w:shd w:val="clear" w:color="auto" w:fill="auto"/>
                  <w:vAlign w:val="center"/>
                </w:tcPr>
                <w:p>
                  <w:pPr>
                    <w:widowControl/>
                    <w:snapToGrid w:val="0"/>
                    <w:jc w:val="center"/>
                    <w:rPr>
                      <w:rFonts w:eastAsia="黑体"/>
                      <w:b/>
                      <w:color w:val="0D0D0D" w:themeColor="text1" w:themeTint="F2"/>
                      <w:kern w:val="0"/>
                      <w:szCs w:val="21"/>
                      <w14:textFill>
                        <w14:solidFill>
                          <w14:schemeClr w14:val="tx1">
                            <w14:lumMod w14:val="95000"/>
                            <w14:lumOff w14:val="5000"/>
                          </w14:schemeClr>
                        </w14:solidFill>
                      </w14:textFill>
                    </w:rPr>
                  </w:pPr>
                  <w:r>
                    <w:rPr>
                      <w:rFonts w:hint="eastAsia" w:cs="宋体"/>
                      <w:b/>
                      <w:color w:val="0D0D0D" w:themeColor="text1" w:themeTint="F2"/>
                      <w:kern w:val="0"/>
                      <w:szCs w:val="21"/>
                      <w14:textFill>
                        <w14:solidFill>
                          <w14:schemeClr w14:val="tx1">
                            <w14:lumMod w14:val="95000"/>
                            <w14:lumOff w14:val="5000"/>
                          </w14:schemeClr>
                        </w14:solidFill>
                      </w14:textFill>
                    </w:rPr>
                    <w:t>监测点位</w:t>
                  </w:r>
                </w:p>
              </w:tc>
              <w:tc>
                <w:tcPr>
                  <w:tcW w:w="1531" w:type="pct"/>
                  <w:shd w:val="clear" w:color="auto" w:fill="auto"/>
                  <w:vAlign w:val="center"/>
                </w:tcPr>
                <w:p>
                  <w:pPr>
                    <w:widowControl/>
                    <w:snapToGrid w:val="0"/>
                    <w:jc w:val="center"/>
                    <w:rPr>
                      <w:rFonts w:eastAsia="黑体"/>
                      <w:b/>
                      <w:color w:val="0D0D0D" w:themeColor="text1" w:themeTint="F2"/>
                      <w:kern w:val="0"/>
                      <w:szCs w:val="21"/>
                      <w14:textFill>
                        <w14:solidFill>
                          <w14:schemeClr w14:val="tx1">
                            <w14:lumMod w14:val="95000"/>
                            <w14:lumOff w14:val="5000"/>
                          </w14:schemeClr>
                        </w14:solidFill>
                      </w14:textFill>
                    </w:rPr>
                  </w:pPr>
                  <w:r>
                    <w:rPr>
                      <w:rFonts w:hint="eastAsia" w:cs="宋体"/>
                      <w:b/>
                      <w:color w:val="0D0D0D" w:themeColor="text1" w:themeTint="F2"/>
                      <w:kern w:val="0"/>
                      <w:szCs w:val="21"/>
                      <w14:textFill>
                        <w14:solidFill>
                          <w14:schemeClr w14:val="tx1">
                            <w14:lumMod w14:val="95000"/>
                            <w14:lumOff w14:val="5000"/>
                          </w14:schemeClr>
                        </w14:solidFill>
                      </w14:textFill>
                    </w:rPr>
                    <w:t>监测项目</w:t>
                  </w:r>
                </w:p>
              </w:tc>
              <w:tc>
                <w:tcPr>
                  <w:tcW w:w="506" w:type="pct"/>
                  <w:shd w:val="clear" w:color="auto" w:fill="auto"/>
                  <w:vAlign w:val="center"/>
                </w:tcPr>
                <w:p>
                  <w:pPr>
                    <w:widowControl/>
                    <w:snapToGrid w:val="0"/>
                    <w:jc w:val="center"/>
                    <w:rPr>
                      <w:rFonts w:eastAsia="黑体"/>
                      <w:b/>
                      <w:color w:val="0D0D0D" w:themeColor="text1" w:themeTint="F2"/>
                      <w:kern w:val="0"/>
                      <w:szCs w:val="21"/>
                      <w14:textFill>
                        <w14:solidFill>
                          <w14:schemeClr w14:val="tx1">
                            <w14:lumMod w14:val="95000"/>
                            <w14:lumOff w14:val="5000"/>
                          </w14:schemeClr>
                        </w14:solidFill>
                      </w14:textFill>
                    </w:rPr>
                  </w:pPr>
                  <w:r>
                    <w:rPr>
                      <w:rFonts w:hint="eastAsia" w:cs="宋体"/>
                      <w:b/>
                      <w:color w:val="0D0D0D" w:themeColor="text1" w:themeTint="F2"/>
                      <w:kern w:val="0"/>
                      <w:szCs w:val="21"/>
                      <w14:textFill>
                        <w14:solidFill>
                          <w14:schemeClr w14:val="tx1">
                            <w14:lumMod w14:val="95000"/>
                            <w14:lumOff w14:val="5000"/>
                          </w14:schemeClr>
                        </w14:solidFill>
                      </w14:textFill>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582" w:type="pct"/>
                  <w:shd w:val="clear" w:color="auto" w:fill="auto"/>
                  <w:vAlign w:val="center"/>
                </w:tcPr>
                <w:p>
                  <w:pPr>
                    <w:widowControl/>
                    <w:autoSpaceDE w:val="0"/>
                    <w:autoSpaceDN w:val="0"/>
                    <w:adjustRightInd w:val="0"/>
                    <w:snapToGrid w:val="0"/>
                    <w:ind w:left="-105" w:leftChars="-50" w:right="-105" w:rightChars="-50"/>
                    <w:jc w:val="center"/>
                    <w:rPr>
                      <w:rFonts w:cs="宋体"/>
                      <w:color w:val="0D0D0D" w:themeColor="text1" w:themeTint="F2"/>
                      <w:kern w:val="0"/>
                      <w:szCs w:val="21"/>
                      <w14:textFill>
                        <w14:solidFill>
                          <w14:schemeClr w14:val="tx1">
                            <w14:lumMod w14:val="95000"/>
                            <w14:lumOff w14:val="5000"/>
                          </w14:schemeClr>
                        </w14:solidFill>
                      </w14:textFill>
                    </w:rPr>
                  </w:pPr>
                  <w:r>
                    <w:rPr>
                      <w:rFonts w:hint="eastAsia" w:cs="宋体"/>
                      <w:color w:val="0D0D0D" w:themeColor="text1" w:themeTint="F2"/>
                      <w:kern w:val="0"/>
                      <w:szCs w:val="21"/>
                      <w14:textFill>
                        <w14:solidFill>
                          <w14:schemeClr w14:val="tx1">
                            <w14:lumMod w14:val="95000"/>
                            <w14:lumOff w14:val="5000"/>
                          </w14:schemeClr>
                        </w14:solidFill>
                      </w14:textFill>
                    </w:rPr>
                    <w:t>废水</w:t>
                  </w:r>
                </w:p>
              </w:tc>
              <w:tc>
                <w:tcPr>
                  <w:tcW w:w="1189" w:type="pct"/>
                  <w:shd w:val="clear" w:color="auto" w:fill="auto"/>
                  <w:vAlign w:val="center"/>
                </w:tcPr>
                <w:p>
                  <w:pPr>
                    <w:widowControl/>
                    <w:autoSpaceDE w:val="0"/>
                    <w:autoSpaceDN w:val="0"/>
                    <w:adjustRightInd w:val="0"/>
                    <w:jc w:val="center"/>
                    <w:rPr>
                      <w:rFonts w:ascii="Times New Roman" w:hAnsi="Times New Roman" w:eastAsia="宋体" w:cs="Times New Roman"/>
                      <w:color w:val="000000"/>
                      <w:kern w:val="0"/>
                      <w:sz w:val="21"/>
                      <w:szCs w:val="21"/>
                      <w:lang w:val="en-US" w:eastAsia="zh-CN" w:bidi="ar-SA"/>
                    </w:rPr>
                  </w:pPr>
                  <w:r>
                    <w:rPr>
                      <w:color w:val="000000"/>
                      <w:kern w:val="0"/>
                      <w:szCs w:val="21"/>
                    </w:rPr>
                    <w:t>一般排放口</w:t>
                  </w:r>
                </w:p>
              </w:tc>
              <w:tc>
                <w:tcPr>
                  <w:tcW w:w="1189" w:type="pct"/>
                  <w:shd w:val="clear" w:color="auto" w:fill="auto"/>
                  <w:vAlign w:val="center"/>
                </w:tcPr>
                <w:p>
                  <w:pPr>
                    <w:widowControl/>
                    <w:autoSpaceDE w:val="0"/>
                    <w:autoSpaceDN w:val="0"/>
                    <w:adjustRightInd w:val="0"/>
                    <w:jc w:val="center"/>
                    <w:rPr>
                      <w:rFonts w:ascii="Times New Roman" w:hAnsi="Times New Roman" w:eastAsia="宋体" w:cs="Times New Roman"/>
                      <w:color w:val="000000"/>
                      <w:kern w:val="0"/>
                      <w:sz w:val="21"/>
                      <w:szCs w:val="21"/>
                      <w:lang w:val="en-US" w:eastAsia="zh-CN" w:bidi="ar-SA"/>
                    </w:rPr>
                  </w:pPr>
                  <w:r>
                    <w:rPr>
                      <w:rFonts w:hint="eastAsia"/>
                      <w:color w:val="000000"/>
                      <w:kern w:val="0"/>
                      <w:szCs w:val="21"/>
                    </w:rPr>
                    <w:t>总</w:t>
                  </w:r>
                  <w:r>
                    <w:rPr>
                      <w:color w:val="000000"/>
                      <w:kern w:val="0"/>
                      <w:szCs w:val="21"/>
                    </w:rPr>
                    <w:t>排口</w:t>
                  </w:r>
                </w:p>
              </w:tc>
              <w:tc>
                <w:tcPr>
                  <w:tcW w:w="1531" w:type="pct"/>
                  <w:shd w:val="clear" w:color="auto" w:fill="auto"/>
                  <w:vAlign w:val="center"/>
                </w:tcPr>
                <w:p>
                  <w:pPr>
                    <w:widowControl/>
                    <w:jc w:val="center"/>
                    <w:rPr>
                      <w:rFonts w:ascii="Times New Roman" w:hAnsi="Times New Roman" w:eastAsia="宋体" w:cs="Times New Roman"/>
                      <w:color w:val="000000"/>
                      <w:kern w:val="0"/>
                      <w:sz w:val="21"/>
                      <w:szCs w:val="21"/>
                      <w:lang w:val="en-US" w:eastAsia="zh-CN" w:bidi="ar-SA"/>
                    </w:rPr>
                  </w:pPr>
                  <w:r>
                    <w:rPr>
                      <w:rFonts w:hint="eastAsia" w:eastAsia="TimesNewRomanPSMT" w:cs="TimesNewRomanPSMT"/>
                      <w:color w:val="0D0D0D" w:themeColor="text1" w:themeTint="F2"/>
                      <w:kern w:val="0"/>
                      <w:szCs w:val="21"/>
                      <w14:textFill>
                        <w14:solidFill>
                          <w14:schemeClr w14:val="tx1">
                            <w14:lumMod w14:val="95000"/>
                            <w14:lumOff w14:val="5000"/>
                          </w14:schemeClr>
                        </w14:solidFill>
                      </w14:textFill>
                    </w:rPr>
                    <w:t>pH</w:t>
                  </w:r>
                  <w:r>
                    <w:rPr>
                      <w:rFonts w:hint="eastAsia" w:ascii="宋体" w:hAnsi="宋体" w:cs="宋体"/>
                      <w:color w:val="0D0D0D" w:themeColor="text1" w:themeTint="F2"/>
                      <w:kern w:val="0"/>
                      <w:szCs w:val="21"/>
                      <w14:textFill>
                        <w14:solidFill>
                          <w14:schemeClr w14:val="tx1">
                            <w14:lumMod w14:val="95000"/>
                            <w14:lumOff w14:val="5000"/>
                          </w14:schemeClr>
                        </w14:solidFill>
                      </w14:textFill>
                    </w:rPr>
                    <w:t>、</w:t>
                  </w:r>
                  <w:r>
                    <w:rPr>
                      <w:rFonts w:eastAsia="TimesNewRomanPSMT" w:cs="TimesNewRomanPSMT"/>
                      <w:color w:val="0D0D0D" w:themeColor="text1" w:themeTint="F2"/>
                      <w:kern w:val="0"/>
                      <w:szCs w:val="21"/>
                      <w14:textFill>
                        <w14:solidFill>
                          <w14:schemeClr w14:val="tx1">
                            <w14:lumMod w14:val="95000"/>
                            <w14:lumOff w14:val="5000"/>
                          </w14:schemeClr>
                        </w14:solidFill>
                      </w14:textFill>
                    </w:rPr>
                    <w:t>COD</w:t>
                  </w:r>
                  <w:r>
                    <w:rPr>
                      <w:rFonts w:hint="eastAsia" w:cs="宋体"/>
                      <w:color w:val="0D0D0D" w:themeColor="text1" w:themeTint="F2"/>
                      <w:kern w:val="0"/>
                      <w:szCs w:val="21"/>
                      <w14:textFill>
                        <w14:solidFill>
                          <w14:schemeClr w14:val="tx1">
                            <w14:lumMod w14:val="95000"/>
                            <w14:lumOff w14:val="5000"/>
                          </w14:schemeClr>
                        </w14:solidFill>
                      </w14:textFill>
                    </w:rPr>
                    <w:t>、BOD</w:t>
                  </w:r>
                  <w:r>
                    <w:rPr>
                      <w:rFonts w:hint="eastAsia" w:cs="宋体"/>
                      <w:color w:val="0D0D0D" w:themeColor="text1" w:themeTint="F2"/>
                      <w:kern w:val="0"/>
                      <w:szCs w:val="21"/>
                      <w:vertAlign w:val="subscript"/>
                      <w14:textFill>
                        <w14:solidFill>
                          <w14:schemeClr w14:val="tx1">
                            <w14:lumMod w14:val="95000"/>
                            <w14:lumOff w14:val="5000"/>
                          </w14:schemeClr>
                        </w14:solidFill>
                      </w14:textFill>
                    </w:rPr>
                    <w:t>5</w:t>
                  </w:r>
                  <w:r>
                    <w:rPr>
                      <w:rFonts w:hint="eastAsia" w:cs="宋体"/>
                      <w:color w:val="0D0D0D" w:themeColor="text1" w:themeTint="F2"/>
                      <w:kern w:val="0"/>
                      <w:szCs w:val="21"/>
                      <w14:textFill>
                        <w14:solidFill>
                          <w14:schemeClr w14:val="tx1">
                            <w14:lumMod w14:val="95000"/>
                            <w14:lumOff w14:val="5000"/>
                          </w14:schemeClr>
                        </w14:solidFill>
                      </w14:textFill>
                    </w:rPr>
                    <w:t>、</w:t>
                  </w:r>
                  <w:r>
                    <w:rPr>
                      <w:rFonts w:eastAsia="TimesNewRomanPSMT" w:cs="TimesNewRomanPSMT"/>
                      <w:color w:val="0D0D0D" w:themeColor="text1" w:themeTint="F2"/>
                      <w:kern w:val="0"/>
                      <w:szCs w:val="21"/>
                      <w14:textFill>
                        <w14:solidFill>
                          <w14:schemeClr w14:val="tx1">
                            <w14:lumMod w14:val="95000"/>
                            <w14:lumOff w14:val="5000"/>
                          </w14:schemeClr>
                        </w14:solidFill>
                      </w14:textFill>
                    </w:rPr>
                    <w:t>SS</w:t>
                  </w:r>
                  <w:r>
                    <w:rPr>
                      <w:rFonts w:hint="eastAsia" w:cs="宋体"/>
                      <w:color w:val="0D0D0D" w:themeColor="text1" w:themeTint="F2"/>
                      <w:kern w:val="0"/>
                      <w:szCs w:val="21"/>
                      <w14:textFill>
                        <w14:solidFill>
                          <w14:schemeClr w14:val="tx1">
                            <w14:lumMod w14:val="95000"/>
                            <w14:lumOff w14:val="5000"/>
                          </w14:schemeClr>
                        </w14:solidFill>
                      </w14:textFill>
                    </w:rPr>
                    <w:t>、氨氮</w:t>
                  </w:r>
                </w:p>
              </w:tc>
              <w:tc>
                <w:tcPr>
                  <w:tcW w:w="506" w:type="pct"/>
                  <w:shd w:val="clear" w:color="auto" w:fill="auto"/>
                  <w:vAlign w:val="center"/>
                </w:tcPr>
                <w:p>
                  <w:pPr>
                    <w:jc w:val="center"/>
                    <w:rPr>
                      <w:rFonts w:ascii="Times New Roman" w:hAnsi="Times New Roman" w:eastAsia="宋体" w:cs="Times New Roman"/>
                      <w:color w:val="000000"/>
                      <w:kern w:val="0"/>
                      <w:sz w:val="21"/>
                      <w:szCs w:val="21"/>
                      <w:lang w:val="en-US" w:eastAsia="zh-CN" w:bidi="ar-SA"/>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582" w:type="pct"/>
                  <w:vMerge w:val="restart"/>
                  <w:shd w:val="clear" w:color="auto" w:fill="auto"/>
                  <w:vAlign w:val="center"/>
                </w:tcPr>
                <w:p>
                  <w:pPr>
                    <w:widowControl/>
                    <w:autoSpaceDE w:val="0"/>
                    <w:autoSpaceDN w:val="0"/>
                    <w:adjustRightInd w:val="0"/>
                    <w:snapToGrid w:val="0"/>
                    <w:ind w:left="-105" w:leftChars="-50" w:right="-105" w:rightChars="-50"/>
                    <w:jc w:val="center"/>
                    <w:rPr>
                      <w:rFonts w:cs="宋体"/>
                      <w:color w:val="0D0D0D" w:themeColor="text1" w:themeTint="F2"/>
                      <w:kern w:val="0"/>
                      <w:szCs w:val="21"/>
                      <w14:textFill>
                        <w14:solidFill>
                          <w14:schemeClr w14:val="tx1">
                            <w14:lumMod w14:val="95000"/>
                            <w14:lumOff w14:val="5000"/>
                          </w14:schemeClr>
                        </w14:solidFill>
                      </w14:textFill>
                    </w:rPr>
                  </w:pPr>
                  <w:r>
                    <w:rPr>
                      <w:rFonts w:hint="eastAsia" w:cs="宋体"/>
                      <w:color w:val="0D0D0D" w:themeColor="text1" w:themeTint="F2"/>
                      <w:kern w:val="0"/>
                      <w:szCs w:val="21"/>
                      <w14:textFill>
                        <w14:solidFill>
                          <w14:schemeClr w14:val="tx1">
                            <w14:lumMod w14:val="95000"/>
                            <w14:lumOff w14:val="5000"/>
                          </w14:schemeClr>
                        </w14:solidFill>
                      </w14:textFill>
                    </w:rPr>
                    <w:t>废气</w:t>
                  </w:r>
                </w:p>
              </w:tc>
              <w:tc>
                <w:tcPr>
                  <w:tcW w:w="1189" w:type="pct"/>
                  <w:shd w:val="clear" w:color="auto" w:fill="auto"/>
                  <w:vAlign w:val="center"/>
                </w:tcPr>
                <w:p>
                  <w:pPr>
                    <w:widowControl/>
                    <w:jc w:val="center"/>
                    <w:rPr>
                      <w:rFonts w:ascii="Times New Roman" w:hAnsi="Times New Roman" w:eastAsia="宋体" w:cs="Times New Roman"/>
                      <w:color w:val="000000"/>
                      <w:kern w:val="0"/>
                      <w:sz w:val="21"/>
                      <w:szCs w:val="21"/>
                      <w:lang w:val="en-US" w:eastAsia="zh-CN" w:bidi="ar-SA"/>
                    </w:rPr>
                  </w:pPr>
                  <w:r>
                    <w:rPr>
                      <w:color w:val="000000"/>
                      <w:kern w:val="0"/>
                      <w:szCs w:val="21"/>
                    </w:rPr>
                    <w:t>一般排放口</w:t>
                  </w:r>
                </w:p>
              </w:tc>
              <w:tc>
                <w:tcPr>
                  <w:tcW w:w="1189" w:type="pct"/>
                  <w:shd w:val="clear" w:color="auto" w:fill="auto"/>
                  <w:vAlign w:val="center"/>
                </w:tcPr>
                <w:p>
                  <w:pPr>
                    <w:widowControl/>
                    <w:jc w:val="center"/>
                    <w:rPr>
                      <w:rFonts w:ascii="Times New Roman" w:hAnsi="Times New Roman" w:eastAsia="宋体" w:cs="Times New Roman"/>
                      <w:color w:val="000000"/>
                      <w:kern w:val="0"/>
                      <w:sz w:val="21"/>
                      <w:szCs w:val="21"/>
                      <w:lang w:val="en-US" w:eastAsia="zh-CN" w:bidi="ar-SA"/>
                    </w:rPr>
                  </w:pPr>
                  <w:r>
                    <w:rPr>
                      <w:rFonts w:hint="eastAsia"/>
                      <w:color w:val="000000"/>
                      <w:kern w:val="0"/>
                      <w:szCs w:val="21"/>
                    </w:rPr>
                    <w:t>注塑</w:t>
                  </w:r>
                  <w:r>
                    <w:rPr>
                      <w:color w:val="000000"/>
                      <w:kern w:val="0"/>
                      <w:szCs w:val="21"/>
                    </w:rPr>
                    <w:t>废气净化设施进口、出口（DA001）</w:t>
                  </w:r>
                </w:p>
              </w:tc>
              <w:tc>
                <w:tcPr>
                  <w:tcW w:w="1531" w:type="pct"/>
                  <w:shd w:val="clear" w:color="auto" w:fill="auto"/>
                  <w:vAlign w:val="center"/>
                </w:tcPr>
                <w:p>
                  <w:pPr>
                    <w:widowControl/>
                    <w:jc w:val="center"/>
                    <w:rPr>
                      <w:rFonts w:ascii="Times New Roman" w:hAnsi="Times New Roman" w:eastAsia="宋体" w:cs="Times New Roman"/>
                      <w:color w:val="000000"/>
                      <w:kern w:val="0"/>
                      <w:sz w:val="21"/>
                      <w:szCs w:val="21"/>
                      <w:lang w:val="en-US" w:eastAsia="zh-CN" w:bidi="ar-SA"/>
                    </w:rPr>
                  </w:pPr>
                  <w:r>
                    <w:rPr>
                      <w:rFonts w:hint="eastAsia"/>
                      <w:color w:val="000000"/>
                      <w:kern w:val="0"/>
                      <w:szCs w:val="21"/>
                    </w:rPr>
                    <w:t>非甲烷总烃</w:t>
                  </w:r>
                </w:p>
              </w:tc>
              <w:tc>
                <w:tcPr>
                  <w:tcW w:w="506" w:type="pct"/>
                  <w:shd w:val="clear" w:color="auto" w:fill="auto"/>
                  <w:vAlign w:val="center"/>
                </w:tcPr>
                <w:p>
                  <w:pPr>
                    <w:widowControl/>
                    <w:jc w:val="center"/>
                    <w:rPr>
                      <w:rFonts w:ascii="Times New Roman" w:hAnsi="Times New Roman" w:eastAsia="宋体" w:cs="Times New Roman"/>
                      <w:color w:val="000000"/>
                      <w:kern w:val="0"/>
                      <w:sz w:val="21"/>
                      <w:szCs w:val="21"/>
                      <w:lang w:val="en-US" w:eastAsia="zh-CN" w:bidi="ar-SA"/>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582" w:type="pct"/>
                  <w:vMerge w:val="continue"/>
                  <w:shd w:val="clear" w:color="auto" w:fill="auto"/>
                  <w:vAlign w:val="center"/>
                </w:tcPr>
                <w:p>
                  <w:pPr>
                    <w:widowControl/>
                    <w:autoSpaceDE w:val="0"/>
                    <w:autoSpaceDN w:val="0"/>
                    <w:adjustRightInd w:val="0"/>
                    <w:snapToGrid w:val="0"/>
                    <w:ind w:left="-105" w:leftChars="-50" w:right="-105" w:rightChars="-50"/>
                    <w:jc w:val="center"/>
                    <w:rPr>
                      <w:rFonts w:cs="宋体"/>
                      <w:color w:val="0D0D0D" w:themeColor="text1" w:themeTint="F2"/>
                      <w:kern w:val="0"/>
                      <w:szCs w:val="21"/>
                      <w14:textFill>
                        <w14:solidFill>
                          <w14:schemeClr w14:val="tx1">
                            <w14:lumMod w14:val="95000"/>
                            <w14:lumOff w14:val="5000"/>
                          </w14:schemeClr>
                        </w14:solidFill>
                      </w14:textFill>
                    </w:rPr>
                  </w:pPr>
                </w:p>
              </w:tc>
              <w:tc>
                <w:tcPr>
                  <w:tcW w:w="1189" w:type="pct"/>
                  <w:shd w:val="clear" w:color="auto" w:fill="auto"/>
                  <w:vAlign w:val="center"/>
                </w:tcPr>
                <w:p>
                  <w:pPr>
                    <w:widowControl/>
                    <w:autoSpaceDE w:val="0"/>
                    <w:autoSpaceDN w:val="0"/>
                    <w:ind w:left="-105" w:leftChars="-50" w:right="-105" w:rightChars="-50"/>
                    <w:jc w:val="center"/>
                    <w:rPr>
                      <w:rFonts w:ascii="Times New Roman" w:hAnsi="Times New Roman" w:eastAsia="宋体" w:cs="Times New Roman"/>
                      <w:color w:val="000000"/>
                      <w:kern w:val="0"/>
                      <w:sz w:val="21"/>
                      <w:szCs w:val="21"/>
                      <w:lang w:val="en-US" w:eastAsia="zh-CN" w:bidi="ar-SA"/>
                    </w:rPr>
                  </w:pPr>
                  <w:r>
                    <w:rPr>
                      <w:color w:val="000000"/>
                      <w:kern w:val="0"/>
                      <w:szCs w:val="21"/>
                    </w:rPr>
                    <w:t>一般排放口</w:t>
                  </w:r>
                </w:p>
              </w:tc>
              <w:tc>
                <w:tcPr>
                  <w:tcW w:w="1189" w:type="pct"/>
                  <w:shd w:val="clear" w:color="auto" w:fill="auto"/>
                  <w:vAlign w:val="center"/>
                </w:tcPr>
                <w:p>
                  <w:pPr>
                    <w:widowControl/>
                    <w:autoSpaceDE w:val="0"/>
                    <w:autoSpaceDN w:val="0"/>
                    <w:ind w:left="-105" w:leftChars="-50" w:right="-105" w:rightChars="-50"/>
                    <w:jc w:val="center"/>
                    <w:rPr>
                      <w:rFonts w:ascii="Times New Roman" w:hAnsi="Times New Roman" w:eastAsia="宋体" w:cs="Times New Roman"/>
                      <w:color w:val="000000"/>
                      <w:kern w:val="0"/>
                      <w:sz w:val="21"/>
                      <w:szCs w:val="21"/>
                      <w:lang w:val="en-US" w:eastAsia="zh-CN" w:bidi="ar-SA"/>
                    </w:rPr>
                  </w:pPr>
                  <w:r>
                    <w:rPr>
                      <w:rFonts w:hint="eastAsia"/>
                      <w:color w:val="000000"/>
                      <w:kern w:val="0"/>
                      <w:szCs w:val="21"/>
                    </w:rPr>
                    <w:t>破碎粉尘</w:t>
                  </w:r>
                  <w:r>
                    <w:rPr>
                      <w:color w:val="000000"/>
                      <w:kern w:val="0"/>
                      <w:szCs w:val="21"/>
                    </w:rPr>
                    <w:t>净化设施进口、出口（DA00</w:t>
                  </w:r>
                  <w:r>
                    <w:rPr>
                      <w:rFonts w:hint="eastAsia"/>
                      <w:color w:val="000000"/>
                      <w:kern w:val="0"/>
                      <w:szCs w:val="21"/>
                    </w:rPr>
                    <w:t>2</w:t>
                  </w:r>
                  <w:r>
                    <w:rPr>
                      <w:color w:val="000000"/>
                      <w:kern w:val="0"/>
                      <w:szCs w:val="21"/>
                    </w:rPr>
                    <w:t>）</w:t>
                  </w:r>
                </w:p>
              </w:tc>
              <w:tc>
                <w:tcPr>
                  <w:tcW w:w="1531" w:type="pct"/>
                  <w:shd w:val="clear" w:color="auto" w:fill="auto"/>
                  <w:vAlign w:val="center"/>
                </w:tcPr>
                <w:p>
                  <w:pPr>
                    <w:autoSpaceDE w:val="0"/>
                    <w:autoSpaceDN w:val="0"/>
                    <w:ind w:left="-105" w:leftChars="-50" w:right="-105" w:rightChars="-50"/>
                    <w:jc w:val="center"/>
                    <w:rPr>
                      <w:rFonts w:ascii="Times New Roman" w:hAnsi="Times New Roman" w:eastAsia="宋体" w:cs="Times New Roman"/>
                      <w:color w:val="000000"/>
                      <w:kern w:val="0"/>
                      <w:sz w:val="21"/>
                      <w:szCs w:val="21"/>
                      <w:lang w:val="en-US" w:eastAsia="zh-CN" w:bidi="ar-SA"/>
                    </w:rPr>
                  </w:pPr>
                  <w:r>
                    <w:rPr>
                      <w:color w:val="000000"/>
                      <w:kern w:val="0"/>
                      <w:szCs w:val="21"/>
                    </w:rPr>
                    <w:t>颗粒物</w:t>
                  </w:r>
                </w:p>
              </w:tc>
              <w:tc>
                <w:tcPr>
                  <w:tcW w:w="506" w:type="pct"/>
                  <w:shd w:val="clear" w:color="auto" w:fill="auto"/>
                  <w:vAlign w:val="center"/>
                </w:tcPr>
                <w:p>
                  <w:pPr>
                    <w:widowControl/>
                    <w:jc w:val="center"/>
                    <w:rPr>
                      <w:rFonts w:ascii="Times New Roman" w:hAnsi="Times New Roman" w:eastAsia="宋体" w:cs="Times New Roman"/>
                      <w:color w:val="000000"/>
                      <w:kern w:val="0"/>
                      <w:sz w:val="21"/>
                      <w:szCs w:val="21"/>
                      <w:lang w:val="en-US" w:eastAsia="zh-CN" w:bidi="ar-SA"/>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582" w:type="pct"/>
                  <w:vMerge w:val="continue"/>
                  <w:shd w:val="clear" w:color="auto" w:fill="auto"/>
                  <w:vAlign w:val="center"/>
                </w:tcPr>
                <w:p>
                  <w:pPr>
                    <w:widowControl/>
                    <w:autoSpaceDE w:val="0"/>
                    <w:autoSpaceDN w:val="0"/>
                    <w:adjustRightInd w:val="0"/>
                    <w:snapToGrid w:val="0"/>
                    <w:ind w:left="-105" w:leftChars="-50" w:right="-105" w:rightChars="-50"/>
                    <w:jc w:val="center"/>
                    <w:rPr>
                      <w:rFonts w:cs="宋体"/>
                      <w:color w:val="0D0D0D" w:themeColor="text1" w:themeTint="F2"/>
                      <w:kern w:val="0"/>
                      <w:szCs w:val="21"/>
                      <w14:textFill>
                        <w14:solidFill>
                          <w14:schemeClr w14:val="tx1">
                            <w14:lumMod w14:val="95000"/>
                            <w14:lumOff w14:val="5000"/>
                          </w14:schemeClr>
                        </w14:solidFill>
                      </w14:textFill>
                    </w:rPr>
                  </w:pPr>
                </w:p>
              </w:tc>
              <w:tc>
                <w:tcPr>
                  <w:tcW w:w="1189" w:type="pct"/>
                  <w:shd w:val="clear" w:color="auto" w:fill="auto"/>
                  <w:vAlign w:val="center"/>
                </w:tcPr>
                <w:p>
                  <w:pPr>
                    <w:widowControl/>
                    <w:jc w:val="center"/>
                    <w:rPr>
                      <w:rFonts w:ascii="Times New Roman" w:hAnsi="Times New Roman" w:eastAsia="宋体" w:cs="Times New Roman"/>
                      <w:color w:val="000000"/>
                      <w:kern w:val="0"/>
                      <w:sz w:val="21"/>
                      <w:szCs w:val="21"/>
                      <w:lang w:val="en-US" w:eastAsia="zh-CN" w:bidi="ar-SA"/>
                    </w:rPr>
                  </w:pPr>
                  <w:r>
                    <w:rPr>
                      <w:color w:val="000000"/>
                      <w:kern w:val="0"/>
                      <w:szCs w:val="21"/>
                    </w:rPr>
                    <w:t>无组织废气</w:t>
                  </w:r>
                </w:p>
              </w:tc>
              <w:tc>
                <w:tcPr>
                  <w:tcW w:w="1189" w:type="pct"/>
                  <w:shd w:val="clear" w:color="auto" w:fill="auto"/>
                  <w:vAlign w:val="center"/>
                </w:tcPr>
                <w:p>
                  <w:pPr>
                    <w:widowControl/>
                    <w:jc w:val="center"/>
                    <w:rPr>
                      <w:rFonts w:ascii="Times New Roman" w:hAnsi="Times New Roman" w:eastAsia="宋体" w:cs="Times New Roman"/>
                      <w:color w:val="000000"/>
                      <w:kern w:val="0"/>
                      <w:sz w:val="21"/>
                      <w:szCs w:val="21"/>
                      <w:lang w:val="en-US" w:eastAsia="zh-CN" w:bidi="ar-SA"/>
                    </w:rPr>
                  </w:pPr>
                  <w:r>
                    <w:rPr>
                      <w:color w:val="000000"/>
                      <w:kern w:val="0"/>
                      <w:szCs w:val="21"/>
                    </w:rPr>
                    <w:t>厂界无组织监控点</w:t>
                  </w:r>
                </w:p>
              </w:tc>
              <w:tc>
                <w:tcPr>
                  <w:tcW w:w="1531" w:type="pct"/>
                  <w:shd w:val="clear" w:color="auto" w:fill="auto"/>
                  <w:vAlign w:val="center"/>
                </w:tcPr>
                <w:p>
                  <w:pPr>
                    <w:widowControl/>
                    <w:jc w:val="center"/>
                    <w:rPr>
                      <w:rFonts w:ascii="Times New Roman" w:hAnsi="Times New Roman" w:eastAsia="宋体" w:cs="Times New Roman"/>
                      <w:color w:val="000000"/>
                      <w:kern w:val="0"/>
                      <w:sz w:val="21"/>
                      <w:szCs w:val="21"/>
                      <w:lang w:val="en-US" w:eastAsia="zh-CN" w:bidi="ar-SA"/>
                    </w:rPr>
                  </w:pPr>
                  <w:r>
                    <w:rPr>
                      <w:color w:val="000000"/>
                      <w:kern w:val="0"/>
                      <w:szCs w:val="21"/>
                    </w:rPr>
                    <w:t>非甲烷总烃</w:t>
                  </w:r>
                  <w:r>
                    <w:rPr>
                      <w:rFonts w:hint="eastAsia"/>
                      <w:color w:val="000000"/>
                      <w:kern w:val="0"/>
                      <w:szCs w:val="21"/>
                    </w:rPr>
                    <w:t>、</w:t>
                  </w:r>
                  <w:r>
                    <w:rPr>
                      <w:rFonts w:hint="eastAsia"/>
                      <w:color w:val="000000"/>
                      <w:kern w:val="0"/>
                      <w:szCs w:val="21"/>
                      <w:lang w:val="en-US" w:eastAsia="zh-CN"/>
                    </w:rPr>
                    <w:t>苯乙烯、</w:t>
                  </w:r>
                  <w:r>
                    <w:rPr>
                      <w:color w:val="000000"/>
                      <w:kern w:val="0"/>
                      <w:szCs w:val="21"/>
                    </w:rPr>
                    <w:t>颗粒物</w:t>
                  </w:r>
                </w:p>
              </w:tc>
              <w:tc>
                <w:tcPr>
                  <w:tcW w:w="506" w:type="pct"/>
                  <w:shd w:val="clear" w:color="auto" w:fill="auto"/>
                  <w:vAlign w:val="center"/>
                </w:tcPr>
                <w:p>
                  <w:pPr>
                    <w:widowControl/>
                    <w:jc w:val="center"/>
                    <w:rPr>
                      <w:rFonts w:ascii="Times New Roman" w:hAnsi="Times New Roman" w:eastAsia="宋体" w:cs="Times New Roman"/>
                      <w:color w:val="000000"/>
                      <w:kern w:val="0"/>
                      <w:sz w:val="21"/>
                      <w:szCs w:val="21"/>
                      <w:lang w:val="en-US" w:eastAsia="zh-CN" w:bidi="ar-SA"/>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582" w:type="pct"/>
                  <w:vMerge w:val="continue"/>
                  <w:shd w:val="clear" w:color="auto" w:fill="auto"/>
                  <w:vAlign w:val="center"/>
                </w:tcPr>
                <w:p>
                  <w:pPr>
                    <w:widowControl/>
                    <w:autoSpaceDE w:val="0"/>
                    <w:autoSpaceDN w:val="0"/>
                    <w:adjustRightInd w:val="0"/>
                    <w:snapToGrid w:val="0"/>
                    <w:ind w:left="-105" w:leftChars="-50" w:right="-105" w:rightChars="-50"/>
                    <w:jc w:val="center"/>
                    <w:rPr>
                      <w:rFonts w:cs="宋体"/>
                      <w:color w:val="0D0D0D" w:themeColor="text1" w:themeTint="F2"/>
                      <w:kern w:val="0"/>
                      <w:szCs w:val="21"/>
                      <w14:textFill>
                        <w14:solidFill>
                          <w14:schemeClr w14:val="tx1">
                            <w14:lumMod w14:val="95000"/>
                            <w14:lumOff w14:val="5000"/>
                          </w14:schemeClr>
                        </w14:solidFill>
                      </w14:textFill>
                    </w:rPr>
                  </w:pPr>
                </w:p>
              </w:tc>
              <w:tc>
                <w:tcPr>
                  <w:tcW w:w="1189" w:type="pct"/>
                  <w:shd w:val="clear" w:color="auto" w:fill="auto"/>
                  <w:vAlign w:val="center"/>
                </w:tcPr>
                <w:p>
                  <w:pPr>
                    <w:widowControl/>
                    <w:autoSpaceDE w:val="0"/>
                    <w:autoSpaceDN w:val="0"/>
                    <w:adjustRightInd w:val="0"/>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无组织废气</w:t>
                  </w:r>
                </w:p>
              </w:tc>
              <w:tc>
                <w:tcPr>
                  <w:tcW w:w="1189" w:type="pct"/>
                  <w:shd w:val="clear" w:color="auto" w:fill="auto"/>
                  <w:vAlign w:val="center"/>
                </w:tcPr>
                <w:p>
                  <w:pPr>
                    <w:widowControl/>
                    <w:jc w:val="center"/>
                    <w:rPr>
                      <w:rFonts w:ascii="Times New Roman" w:hAnsi="Times New Roman" w:eastAsia="宋体" w:cs="Times New Roman"/>
                      <w:color w:val="000000"/>
                      <w:kern w:val="0"/>
                      <w:sz w:val="21"/>
                      <w:szCs w:val="21"/>
                      <w:lang w:val="en-US" w:eastAsia="zh-CN" w:bidi="ar-SA"/>
                    </w:rPr>
                  </w:pPr>
                  <w:r>
                    <w:rPr>
                      <w:color w:val="000000"/>
                      <w:kern w:val="0"/>
                      <w:szCs w:val="21"/>
                    </w:rPr>
                    <w:t>厂</w:t>
                  </w:r>
                  <w:r>
                    <w:rPr>
                      <w:rFonts w:hint="eastAsia"/>
                      <w:color w:val="000000"/>
                      <w:kern w:val="0"/>
                      <w:szCs w:val="21"/>
                    </w:rPr>
                    <w:t>房外</w:t>
                  </w:r>
                  <w:r>
                    <w:rPr>
                      <w:color w:val="000000"/>
                      <w:kern w:val="0"/>
                      <w:szCs w:val="21"/>
                    </w:rPr>
                    <w:t>无组织监控点</w:t>
                  </w:r>
                </w:p>
              </w:tc>
              <w:tc>
                <w:tcPr>
                  <w:tcW w:w="1531" w:type="pct"/>
                  <w:shd w:val="clear" w:color="auto" w:fill="auto"/>
                  <w:vAlign w:val="center"/>
                </w:tcPr>
                <w:p>
                  <w:pPr>
                    <w:widowControl/>
                    <w:jc w:val="center"/>
                    <w:rPr>
                      <w:rFonts w:ascii="Times New Roman" w:hAnsi="Times New Roman" w:eastAsia="宋体" w:cs="Times New Roman"/>
                      <w:color w:val="000000"/>
                      <w:kern w:val="0"/>
                      <w:sz w:val="21"/>
                      <w:szCs w:val="21"/>
                      <w:lang w:val="en-US" w:eastAsia="zh-CN" w:bidi="ar-SA"/>
                    </w:rPr>
                  </w:pPr>
                  <w:r>
                    <w:rPr>
                      <w:color w:val="000000"/>
                      <w:kern w:val="0"/>
                      <w:szCs w:val="21"/>
                    </w:rPr>
                    <w:t>非甲烷总烃</w:t>
                  </w:r>
                </w:p>
              </w:tc>
              <w:tc>
                <w:tcPr>
                  <w:tcW w:w="506" w:type="pct"/>
                  <w:shd w:val="clear" w:color="auto" w:fill="auto"/>
                  <w:vAlign w:val="center"/>
                </w:tcPr>
                <w:p>
                  <w:pPr>
                    <w:widowControl/>
                    <w:jc w:val="center"/>
                    <w:rPr>
                      <w:rFonts w:ascii="Times New Roman" w:hAnsi="Times New Roman" w:eastAsia="宋体" w:cs="Times New Roman"/>
                      <w:color w:val="000000"/>
                      <w:kern w:val="0"/>
                      <w:sz w:val="21"/>
                      <w:szCs w:val="21"/>
                      <w:lang w:val="en-US" w:eastAsia="zh-CN" w:bidi="ar-SA"/>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582" w:type="pct"/>
                  <w:shd w:val="clear" w:color="auto" w:fill="auto"/>
                  <w:vAlign w:val="center"/>
                </w:tcPr>
                <w:p>
                  <w:pPr>
                    <w:widowControl/>
                    <w:snapToGrid w:val="0"/>
                    <w:ind w:left="-105" w:leftChars="-50" w:right="-105" w:rightChars="-50"/>
                    <w:jc w:val="center"/>
                    <w:rPr>
                      <w:rFonts w:eastAsia="黑体"/>
                      <w:color w:val="0D0D0D" w:themeColor="text1" w:themeTint="F2"/>
                      <w:kern w:val="0"/>
                      <w:szCs w:val="21"/>
                      <w14:textFill>
                        <w14:solidFill>
                          <w14:schemeClr w14:val="tx1">
                            <w14:lumMod w14:val="95000"/>
                            <w14:lumOff w14:val="5000"/>
                          </w14:schemeClr>
                        </w14:solidFill>
                      </w14:textFill>
                    </w:rPr>
                  </w:pPr>
                  <w:r>
                    <w:rPr>
                      <w:rFonts w:hint="eastAsia" w:cs="宋体"/>
                      <w:color w:val="0D0D0D" w:themeColor="text1" w:themeTint="F2"/>
                      <w:kern w:val="0"/>
                      <w:szCs w:val="21"/>
                      <w14:textFill>
                        <w14:solidFill>
                          <w14:schemeClr w14:val="tx1">
                            <w14:lumMod w14:val="95000"/>
                            <w14:lumOff w14:val="5000"/>
                          </w14:schemeClr>
                        </w14:solidFill>
                      </w14:textFill>
                    </w:rPr>
                    <w:t>噪声</w:t>
                  </w:r>
                </w:p>
              </w:tc>
              <w:tc>
                <w:tcPr>
                  <w:tcW w:w="1189" w:type="pct"/>
                  <w:shd w:val="clear" w:color="auto" w:fill="auto"/>
                  <w:vAlign w:val="center"/>
                </w:tcPr>
                <w:p>
                  <w:pPr>
                    <w:widowControl/>
                    <w:snapToGrid w:val="0"/>
                    <w:jc w:val="center"/>
                    <w:rPr>
                      <w:rFonts w:cs="宋体"/>
                      <w:color w:val="0D0D0D" w:themeColor="text1" w:themeTint="F2"/>
                      <w:kern w:val="0"/>
                      <w:szCs w:val="21"/>
                      <w14:textFill>
                        <w14:solidFill>
                          <w14:schemeClr w14:val="tx1">
                            <w14:lumMod w14:val="95000"/>
                            <w14:lumOff w14:val="5000"/>
                          </w14:schemeClr>
                        </w14:solidFill>
                      </w14:textFill>
                    </w:rPr>
                  </w:pPr>
                  <w:r>
                    <w:rPr>
                      <w:rFonts w:hint="eastAsia" w:cs="宋体"/>
                      <w:color w:val="0D0D0D" w:themeColor="text1" w:themeTint="F2"/>
                      <w:kern w:val="0"/>
                      <w:szCs w:val="21"/>
                      <w14:textFill>
                        <w14:solidFill>
                          <w14:schemeClr w14:val="tx1">
                            <w14:lumMod w14:val="95000"/>
                            <w14:lumOff w14:val="5000"/>
                          </w14:schemeClr>
                        </w14:solidFill>
                      </w14:textFill>
                    </w:rPr>
                    <w:t>/</w:t>
                  </w:r>
                </w:p>
              </w:tc>
              <w:tc>
                <w:tcPr>
                  <w:tcW w:w="1189" w:type="pct"/>
                  <w:shd w:val="clear" w:color="auto" w:fill="auto"/>
                  <w:vAlign w:val="center"/>
                </w:tcPr>
                <w:p>
                  <w:pPr>
                    <w:widowControl/>
                    <w:snapToGrid w:val="0"/>
                    <w:jc w:val="center"/>
                    <w:rPr>
                      <w:rFonts w:eastAsia="黑体"/>
                      <w:color w:val="0D0D0D" w:themeColor="text1" w:themeTint="F2"/>
                      <w:kern w:val="0"/>
                      <w:szCs w:val="21"/>
                      <w14:textFill>
                        <w14:solidFill>
                          <w14:schemeClr w14:val="tx1">
                            <w14:lumMod w14:val="95000"/>
                            <w14:lumOff w14:val="5000"/>
                          </w14:schemeClr>
                        </w14:solidFill>
                      </w14:textFill>
                    </w:rPr>
                  </w:pPr>
                  <w:r>
                    <w:rPr>
                      <w:rFonts w:hint="eastAsia" w:cs="宋体"/>
                      <w:color w:val="0D0D0D" w:themeColor="text1" w:themeTint="F2"/>
                      <w:kern w:val="0"/>
                      <w:szCs w:val="21"/>
                      <w14:textFill>
                        <w14:solidFill>
                          <w14:schemeClr w14:val="tx1">
                            <w14:lumMod w14:val="95000"/>
                            <w14:lumOff w14:val="5000"/>
                          </w14:schemeClr>
                        </w14:solidFill>
                      </w14:textFill>
                    </w:rPr>
                    <w:t>项目四周厂界</w:t>
                  </w:r>
                </w:p>
              </w:tc>
              <w:tc>
                <w:tcPr>
                  <w:tcW w:w="1531" w:type="pct"/>
                  <w:shd w:val="clear" w:color="auto" w:fill="auto"/>
                  <w:vAlign w:val="center"/>
                </w:tcPr>
                <w:p>
                  <w:pPr>
                    <w:widowControl/>
                    <w:snapToGrid w:val="0"/>
                    <w:jc w:val="center"/>
                    <w:rPr>
                      <w:rFonts w:eastAsia="黑体"/>
                      <w:color w:val="0D0D0D" w:themeColor="text1" w:themeTint="F2"/>
                      <w:kern w:val="0"/>
                      <w:szCs w:val="21"/>
                      <w14:textFill>
                        <w14:solidFill>
                          <w14:schemeClr w14:val="tx1">
                            <w14:lumMod w14:val="95000"/>
                            <w14:lumOff w14:val="5000"/>
                          </w14:schemeClr>
                        </w14:solidFill>
                      </w14:textFill>
                    </w:rPr>
                  </w:pPr>
                  <w:r>
                    <w:rPr>
                      <w:rFonts w:hint="eastAsia" w:cs="宋体"/>
                      <w:color w:val="0D0D0D" w:themeColor="text1" w:themeTint="F2"/>
                      <w:kern w:val="0"/>
                      <w:szCs w:val="21"/>
                      <w14:textFill>
                        <w14:solidFill>
                          <w14:schemeClr w14:val="tx1">
                            <w14:lumMod w14:val="95000"/>
                            <w14:lumOff w14:val="5000"/>
                          </w14:schemeClr>
                        </w14:solidFill>
                      </w14:textFill>
                    </w:rPr>
                    <w:t>连续等效</w:t>
                  </w:r>
                  <w:r>
                    <w:rPr>
                      <w:rFonts w:eastAsia="TimesNewRomanPSMT" w:cs="TimesNewRomanPSMT"/>
                      <w:color w:val="0D0D0D" w:themeColor="text1" w:themeTint="F2"/>
                      <w:kern w:val="0"/>
                      <w:szCs w:val="21"/>
                      <w14:textFill>
                        <w14:solidFill>
                          <w14:schemeClr w14:val="tx1">
                            <w14:lumMod w14:val="95000"/>
                            <w14:lumOff w14:val="5000"/>
                          </w14:schemeClr>
                        </w14:solidFill>
                      </w14:textFill>
                    </w:rPr>
                    <w:t>A</w:t>
                  </w:r>
                  <w:r>
                    <w:rPr>
                      <w:rFonts w:hint="eastAsia" w:cs="宋体"/>
                      <w:color w:val="0D0D0D" w:themeColor="text1" w:themeTint="F2"/>
                      <w:kern w:val="0"/>
                      <w:szCs w:val="21"/>
                      <w14:textFill>
                        <w14:solidFill>
                          <w14:schemeClr w14:val="tx1">
                            <w14:lumMod w14:val="95000"/>
                            <w14:lumOff w14:val="5000"/>
                          </w14:schemeClr>
                        </w14:solidFill>
                      </w14:textFill>
                    </w:rPr>
                    <w:t>声级</w:t>
                  </w:r>
                </w:p>
              </w:tc>
              <w:tc>
                <w:tcPr>
                  <w:tcW w:w="506" w:type="pct"/>
                  <w:shd w:val="clear" w:color="auto" w:fill="auto"/>
                  <w:vAlign w:val="center"/>
                </w:tcPr>
                <w:p>
                  <w:pPr>
                    <w:widowControl/>
                    <w:snapToGrid w:val="0"/>
                    <w:jc w:val="center"/>
                    <w:rPr>
                      <w:rFonts w:eastAsia="黑体"/>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每季度一次</w:t>
                  </w:r>
                </w:p>
              </w:tc>
            </w:tr>
          </w:tbl>
          <w:p>
            <w:pPr>
              <w:spacing w:line="100" w:lineRule="exact"/>
            </w:pPr>
            <w:bookmarkStart w:id="11" w:name="_Ref368512661"/>
          </w:p>
          <w:p>
            <w:pPr>
              <w:spacing w:before="120" w:beforeLines="50" w:line="360" w:lineRule="auto"/>
              <w:ind w:firstLine="482" w:firstLineChars="200"/>
              <w:jc w:val="left"/>
              <w:rPr>
                <w:b/>
                <w:bCs/>
                <w:color w:val="auto"/>
                <w:sz w:val="24"/>
              </w:rPr>
            </w:pPr>
            <w:r>
              <w:rPr>
                <w:rFonts w:hint="eastAsia"/>
                <w:b/>
                <w:bCs/>
                <w:color w:val="auto"/>
                <w:sz w:val="24"/>
              </w:rPr>
              <w:t>2、排污口规范化设置</w:t>
            </w:r>
          </w:p>
          <w:p>
            <w:pPr>
              <w:spacing w:line="360" w:lineRule="auto"/>
              <w:ind w:firstLine="600" w:firstLineChars="250"/>
              <w:rPr>
                <w:color w:val="0D0D0D"/>
                <w:sz w:val="24"/>
              </w:rPr>
            </w:pPr>
            <w:r>
              <w:rPr>
                <w:rFonts w:hint="eastAsia"/>
                <w:color w:val="0D0D0D"/>
                <w:sz w:val="24"/>
              </w:rPr>
              <w:t>（1）废水排放口</w:t>
            </w:r>
          </w:p>
          <w:p>
            <w:pPr>
              <w:spacing w:line="360" w:lineRule="auto"/>
              <w:ind w:firstLine="600" w:firstLineChars="250"/>
              <w:rPr>
                <w:color w:val="000000"/>
                <w:sz w:val="24"/>
              </w:rPr>
            </w:pPr>
            <w:r>
              <w:rPr>
                <w:color w:val="000000"/>
                <w:sz w:val="24"/>
              </w:rPr>
              <w:t>建设项目厂区的排水体制必须实施“清污分流、雨污分流”制，设雨水排放口1个，污水接管口</w:t>
            </w:r>
            <w:r>
              <w:rPr>
                <w:rFonts w:hint="eastAsia"/>
                <w:color w:val="000000"/>
                <w:sz w:val="24"/>
              </w:rPr>
              <w:t>1</w:t>
            </w:r>
            <w:r>
              <w:rPr>
                <w:color w:val="000000"/>
                <w:sz w:val="24"/>
              </w:rPr>
              <w:t>个</w:t>
            </w:r>
            <w:r>
              <w:rPr>
                <w:rFonts w:hint="eastAsia"/>
                <w:color w:val="000000"/>
                <w:sz w:val="24"/>
              </w:rPr>
              <w:t>。</w:t>
            </w:r>
          </w:p>
          <w:p>
            <w:pPr>
              <w:spacing w:line="360" w:lineRule="auto"/>
              <w:ind w:firstLine="600" w:firstLineChars="250"/>
              <w:rPr>
                <w:color w:val="0D0D0D"/>
                <w:sz w:val="24"/>
              </w:rPr>
            </w:pPr>
            <w:r>
              <w:rPr>
                <w:rFonts w:hint="eastAsia"/>
                <w:color w:val="0D0D0D"/>
                <w:sz w:val="24"/>
              </w:rPr>
              <w:t>（2）废气排放口</w:t>
            </w:r>
          </w:p>
          <w:p>
            <w:pPr>
              <w:spacing w:line="360" w:lineRule="auto"/>
              <w:ind w:firstLine="480" w:firstLineChars="200"/>
              <w:jc w:val="left"/>
              <w:rPr>
                <w:color w:val="0D0D0D" w:themeColor="text1" w:themeTint="F2"/>
                <w:sz w:val="24"/>
                <w14:textFill>
                  <w14:solidFill>
                    <w14:schemeClr w14:val="tx1">
                      <w14:lumMod w14:val="95000"/>
                      <w14:lumOff w14:val="5000"/>
                    </w14:schemeClr>
                  </w14:solidFill>
                </w14:textFill>
              </w:rPr>
            </w:pPr>
            <w:r>
              <w:rPr>
                <w:rFonts w:hint="eastAsia"/>
                <w:color w:val="0D0D0D"/>
                <w:sz w:val="24"/>
              </w:rPr>
              <w:t>①厂区</w:t>
            </w:r>
            <w:r>
              <w:rPr>
                <w:color w:val="0D0D0D"/>
                <w:sz w:val="24"/>
              </w:rPr>
              <w:t>共</w:t>
            </w:r>
            <w:r>
              <w:rPr>
                <w:rFonts w:hint="eastAsia"/>
                <w:color w:val="0D0D0D"/>
                <w:sz w:val="24"/>
              </w:rPr>
              <w:t>设置有组织</w:t>
            </w:r>
            <w:r>
              <w:rPr>
                <w:color w:val="0D0D0D" w:themeColor="text1" w:themeTint="F2"/>
                <w:sz w:val="24"/>
                <w14:textFill>
                  <w14:solidFill>
                    <w14:schemeClr w14:val="tx1">
                      <w14:lumMod w14:val="95000"/>
                      <w14:lumOff w14:val="5000"/>
                    </w14:schemeClr>
                  </w14:solidFill>
                </w14:textFill>
              </w:rPr>
              <w:t>排气筒</w:t>
            </w:r>
            <w:r>
              <w:rPr>
                <w:rFonts w:hint="eastAsia"/>
                <w:color w:val="0D0D0D" w:themeColor="text1" w:themeTint="F2"/>
                <w:sz w:val="24"/>
                <w14:textFill>
                  <w14:solidFill>
                    <w14:schemeClr w14:val="tx1">
                      <w14:lumMod w14:val="95000"/>
                      <w14:lumOff w14:val="5000"/>
                    </w14:schemeClr>
                  </w14:solidFill>
                </w14:textFill>
              </w:rPr>
              <w:t>2</w:t>
            </w:r>
            <w:r>
              <w:rPr>
                <w:color w:val="0D0D0D" w:themeColor="text1" w:themeTint="F2"/>
                <w:sz w:val="24"/>
                <w14:textFill>
                  <w14:solidFill>
                    <w14:schemeClr w14:val="tx1">
                      <w14:lumMod w14:val="95000"/>
                      <w14:lumOff w14:val="5000"/>
                    </w14:schemeClr>
                  </w14:solidFill>
                </w14:textFill>
              </w:rPr>
              <w:t>个</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在排气筒附近醒目位置设置环保图形标志牌，标明排气筒高度、出口内径、排放污染物种类等；</w:t>
            </w:r>
          </w:p>
          <w:p>
            <w:pPr>
              <w:autoSpaceDE w:val="0"/>
              <w:autoSpaceDN w:val="0"/>
              <w:adjustRightInd w:val="0"/>
              <w:spacing w:line="360" w:lineRule="auto"/>
              <w:ind w:firstLine="480" w:firstLineChars="200"/>
              <w:jc w:val="left"/>
              <w:rPr>
                <w:rFonts w:hAnsi="宋体"/>
                <w:kern w:val="0"/>
                <w:sz w:val="24"/>
              </w:rPr>
            </w:pPr>
            <w:r>
              <w:rPr>
                <w:rFonts w:hint="eastAsia" w:ascii="宋体" w:hAnsi="宋体"/>
                <w:color w:val="0D0D0D" w:themeColor="text1" w:themeTint="F2"/>
                <w:kern w:val="0"/>
                <w:sz w:val="24"/>
                <w14:textFill>
                  <w14:solidFill>
                    <w14:schemeClr w14:val="tx1">
                      <w14:lumMod w14:val="95000"/>
                      <w14:lumOff w14:val="5000"/>
                    </w14:schemeClr>
                  </w14:solidFill>
                </w14:textFill>
              </w:rPr>
              <w:t>②</w:t>
            </w:r>
            <w:r>
              <w:rPr>
                <w:rFonts w:hAnsi="宋体"/>
                <w:color w:val="0D0D0D" w:themeColor="text1" w:themeTint="F2"/>
                <w:kern w:val="0"/>
                <w:sz w:val="24"/>
                <w14:textFill>
                  <w14:solidFill>
                    <w14:schemeClr w14:val="tx1">
                      <w14:lumMod w14:val="95000"/>
                      <w14:lumOff w14:val="5000"/>
                    </w14:schemeClr>
                  </w14:solidFill>
                </w14:textFill>
              </w:rPr>
              <w:t>企业应在排气筒预留采样</w:t>
            </w:r>
            <w:r>
              <w:rPr>
                <w:rFonts w:hAnsi="宋体"/>
                <w:color w:val="0D0D0D"/>
                <w:kern w:val="0"/>
                <w:sz w:val="24"/>
              </w:rPr>
              <w:t>位置，采样位置优先选择在垂直管段，避开弯头、阀门、变径管等部件下游方向不小于6倍直径，上游方向不</w:t>
            </w:r>
            <w:r>
              <w:rPr>
                <w:rFonts w:hAnsi="宋体"/>
                <w:kern w:val="0"/>
                <w:sz w:val="24"/>
              </w:rPr>
              <w:t>小于3倍直径，采样位置应避开对测试人员操作有危险的场所；</w:t>
            </w:r>
          </w:p>
          <w:p>
            <w:pPr>
              <w:autoSpaceDE w:val="0"/>
              <w:autoSpaceDN w:val="0"/>
              <w:adjustRightInd w:val="0"/>
              <w:spacing w:line="360" w:lineRule="auto"/>
              <w:ind w:firstLine="480" w:firstLineChars="200"/>
              <w:jc w:val="left"/>
              <w:rPr>
                <w:rFonts w:hAnsi="宋体"/>
                <w:kern w:val="0"/>
                <w:sz w:val="24"/>
              </w:rPr>
            </w:pPr>
            <w:r>
              <w:rPr>
                <w:rFonts w:hint="eastAsia" w:hAnsi="宋体"/>
                <w:kern w:val="0"/>
                <w:sz w:val="24"/>
              </w:rPr>
              <w:t>（3）工业固体废弃物厂内暂贮处</w:t>
            </w:r>
          </w:p>
          <w:p>
            <w:pPr>
              <w:spacing w:line="360" w:lineRule="auto"/>
              <w:ind w:firstLine="480" w:firstLineChars="200"/>
              <w:rPr>
                <w:sz w:val="24"/>
              </w:rPr>
            </w:pPr>
            <w:r>
              <w:rPr>
                <w:rFonts w:hint="eastAsia"/>
                <w:sz w:val="24"/>
              </w:rPr>
              <w:t>本项目设置危险固废暂</w:t>
            </w:r>
            <w:r>
              <w:rPr>
                <w:rFonts w:hint="eastAsia"/>
                <w:sz w:val="24"/>
                <w:lang w:val="en-US" w:eastAsia="zh-CN"/>
              </w:rPr>
              <w:t>存间</w:t>
            </w:r>
            <w:r>
              <w:rPr>
                <w:rFonts w:hint="eastAsia"/>
                <w:sz w:val="24"/>
              </w:rPr>
              <w:t>。</w:t>
            </w:r>
            <w:r>
              <w:rPr>
                <w:sz w:val="24"/>
              </w:rPr>
              <w:t>固体废物堆放场所必须有防火、防</w:t>
            </w:r>
            <w:r>
              <w:rPr>
                <w:rFonts w:hint="eastAsia"/>
                <w:sz w:val="24"/>
              </w:rPr>
              <w:t>腐蚀、防流失等措施，并应设置标志牌。</w:t>
            </w:r>
          </w:p>
          <w:p>
            <w:pPr>
              <w:spacing w:line="360" w:lineRule="auto"/>
              <w:ind w:firstLine="480" w:firstLineChars="200"/>
              <w:rPr>
                <w:sz w:val="24"/>
              </w:rPr>
            </w:pPr>
            <w:r>
              <w:rPr>
                <w:rFonts w:hint="eastAsia"/>
                <w:sz w:val="24"/>
              </w:rPr>
              <w:t>项目建设完成后，应对所有污染排放口的名称、位置、数量，以及排放污染物名称、数量等内容进行统计，并登记上报当地环保部门，以便进行验收和排放口的规范化管理。</w:t>
            </w:r>
            <w:bookmarkEnd w:id="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Merge w:val="continue"/>
            <w:shd w:val="clear" w:color="auto" w:fill="auto"/>
          </w:tcPr>
          <w:p>
            <w:pPr>
              <w:tabs>
                <w:tab w:val="left" w:pos="1077"/>
              </w:tabs>
              <w:rPr>
                <w:rFonts w:cs="宋体"/>
                <w:color w:val="000000"/>
                <w:sz w:val="24"/>
              </w:rPr>
            </w:pPr>
          </w:p>
        </w:tc>
        <w:tc>
          <w:tcPr>
            <w:tcW w:w="8605" w:type="dxa"/>
            <w:shd w:val="clear" w:color="auto" w:fill="auto"/>
          </w:tcPr>
          <w:p>
            <w:pPr>
              <w:widowControl/>
              <w:spacing w:line="480" w:lineRule="exact"/>
              <w:ind w:firstLine="482" w:firstLineChars="200"/>
              <w:jc w:val="left"/>
              <w:rPr>
                <w:b/>
                <w:color w:val="0D0D0D" w:themeColor="text1" w:themeTint="F2"/>
                <w:kern w:val="0"/>
                <w:sz w:val="24"/>
                <w14:textFill>
                  <w14:solidFill>
                    <w14:schemeClr w14:val="tx1">
                      <w14:lumMod w14:val="95000"/>
                      <w14:lumOff w14:val="5000"/>
                    </w14:schemeClr>
                  </w14:solidFill>
                </w14:textFill>
              </w:rPr>
            </w:pPr>
            <w:r>
              <w:rPr>
                <w:rFonts w:hint="eastAsia"/>
                <w:b/>
                <w:color w:val="0D0D0D" w:themeColor="text1" w:themeTint="F2"/>
                <w:kern w:val="0"/>
                <w:sz w:val="24"/>
                <w14:textFill>
                  <w14:solidFill>
                    <w14:schemeClr w14:val="tx1">
                      <w14:lumMod w14:val="95000"/>
                      <w14:lumOff w14:val="5000"/>
                    </w14:schemeClr>
                  </w14:solidFill>
                </w14:textFill>
              </w:rPr>
              <w:t>八、环保投资估算</w:t>
            </w:r>
          </w:p>
          <w:p>
            <w:pPr>
              <w:widowControl/>
              <w:spacing w:line="480" w:lineRule="exact"/>
              <w:ind w:firstLine="480" w:firstLineChars="200"/>
              <w:jc w:val="left"/>
              <w:rPr>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本项目环保投资约</w:t>
            </w:r>
            <w:r>
              <w:rPr>
                <w:rFonts w:hint="eastAsia"/>
                <w:color w:val="auto"/>
                <w:kern w:val="0"/>
                <w:sz w:val="24"/>
                <w:lang w:val="en-US" w:eastAsia="zh-CN"/>
              </w:rPr>
              <w:t>61</w:t>
            </w:r>
            <w:r>
              <w:rPr>
                <w:rFonts w:hint="eastAsia"/>
                <w:color w:val="0D0D0D" w:themeColor="text1" w:themeTint="F2"/>
                <w:kern w:val="0"/>
                <w:sz w:val="24"/>
                <w14:textFill>
                  <w14:solidFill>
                    <w14:schemeClr w14:val="tx1">
                      <w14:lumMod w14:val="95000"/>
                      <w14:lumOff w14:val="5000"/>
                    </w14:schemeClr>
                  </w14:solidFill>
                </w14:textFill>
              </w:rPr>
              <w:t>万元，环境保护投资估算详见表4-1</w:t>
            </w:r>
            <w:r>
              <w:rPr>
                <w:rFonts w:hint="eastAsia"/>
                <w:color w:val="0D0D0D" w:themeColor="text1" w:themeTint="F2"/>
                <w:kern w:val="0"/>
                <w:sz w:val="24"/>
                <w:lang w:val="en-US" w:eastAsia="zh-CN"/>
                <w14:textFill>
                  <w14:solidFill>
                    <w14:schemeClr w14:val="tx1">
                      <w14:lumMod w14:val="95000"/>
                      <w14:lumOff w14:val="5000"/>
                    </w14:schemeClr>
                  </w14:solidFill>
                </w14:textFill>
              </w:rPr>
              <w:t>4</w:t>
            </w:r>
            <w:r>
              <w:rPr>
                <w:rFonts w:hint="eastAsia"/>
                <w:color w:val="0D0D0D" w:themeColor="text1" w:themeTint="F2"/>
                <w:kern w:val="0"/>
                <w:sz w:val="24"/>
                <w14:textFill>
                  <w14:solidFill>
                    <w14:schemeClr w14:val="tx1">
                      <w14:lumMod w14:val="95000"/>
                      <w14:lumOff w14:val="5000"/>
                    </w14:schemeClr>
                  </w14:solidFill>
                </w14:textFill>
              </w:rPr>
              <w:t>。</w:t>
            </w:r>
          </w:p>
          <w:p>
            <w:pPr>
              <w:widowControl/>
              <w:adjustRightInd w:val="0"/>
              <w:snapToGrid w:val="0"/>
              <w:spacing w:before="100" w:beforeAutospacing="1"/>
              <w:jc w:val="center"/>
              <w:rPr>
                <w:b/>
                <w:color w:val="0D0D0D" w:themeColor="text1" w:themeTint="F2"/>
                <w:kern w:val="0"/>
                <w:sz w:val="24"/>
                <w:szCs w:val="20"/>
                <w14:textFill>
                  <w14:solidFill>
                    <w14:schemeClr w14:val="tx1">
                      <w14:lumMod w14:val="95000"/>
                      <w14:lumOff w14:val="5000"/>
                    </w14:schemeClr>
                  </w14:solidFill>
                </w14:textFill>
              </w:rPr>
            </w:pPr>
            <w:r>
              <w:rPr>
                <w:b/>
                <w:color w:val="0D0D0D" w:themeColor="text1" w:themeTint="F2"/>
                <w:kern w:val="0"/>
                <w:sz w:val="24"/>
                <w:szCs w:val="20"/>
                <w14:textFill>
                  <w14:solidFill>
                    <w14:schemeClr w14:val="tx1">
                      <w14:lumMod w14:val="95000"/>
                      <w14:lumOff w14:val="5000"/>
                    </w14:schemeClr>
                  </w14:solidFill>
                </w14:textFill>
              </w:rPr>
              <w:t>表</w:t>
            </w:r>
            <w:r>
              <w:rPr>
                <w:rFonts w:hint="eastAsia"/>
                <w:b/>
                <w:color w:val="0D0D0D" w:themeColor="text1" w:themeTint="F2"/>
                <w:kern w:val="0"/>
                <w:sz w:val="24"/>
                <w:szCs w:val="20"/>
                <w14:textFill>
                  <w14:solidFill>
                    <w14:schemeClr w14:val="tx1">
                      <w14:lumMod w14:val="95000"/>
                      <w14:lumOff w14:val="5000"/>
                    </w14:schemeClr>
                  </w14:solidFill>
                </w14:textFill>
              </w:rPr>
              <w:t>4</w:t>
            </w:r>
            <w:r>
              <w:rPr>
                <w:b/>
                <w:color w:val="0D0D0D" w:themeColor="text1" w:themeTint="F2"/>
                <w:kern w:val="0"/>
                <w:sz w:val="24"/>
                <w:szCs w:val="20"/>
                <w14:textFill>
                  <w14:solidFill>
                    <w14:schemeClr w14:val="tx1">
                      <w14:lumMod w14:val="95000"/>
                      <w14:lumOff w14:val="5000"/>
                    </w14:schemeClr>
                  </w14:solidFill>
                </w14:textFill>
              </w:rPr>
              <w:t>-</w:t>
            </w:r>
            <w:r>
              <w:rPr>
                <w:rFonts w:hint="eastAsia"/>
                <w:b/>
                <w:color w:val="0D0D0D" w:themeColor="text1" w:themeTint="F2"/>
                <w:kern w:val="0"/>
                <w:sz w:val="24"/>
                <w:szCs w:val="20"/>
                <w14:textFill>
                  <w14:solidFill>
                    <w14:schemeClr w14:val="tx1">
                      <w14:lumMod w14:val="95000"/>
                      <w14:lumOff w14:val="5000"/>
                    </w14:schemeClr>
                  </w14:solidFill>
                </w14:textFill>
              </w:rPr>
              <w:t>1</w:t>
            </w:r>
            <w:r>
              <w:rPr>
                <w:rFonts w:hint="eastAsia"/>
                <w:b/>
                <w:color w:val="0D0D0D" w:themeColor="text1" w:themeTint="F2"/>
                <w:kern w:val="0"/>
                <w:sz w:val="24"/>
                <w:szCs w:val="20"/>
                <w:lang w:val="en-US" w:eastAsia="zh-CN"/>
                <w14:textFill>
                  <w14:solidFill>
                    <w14:schemeClr w14:val="tx1">
                      <w14:lumMod w14:val="95000"/>
                      <w14:lumOff w14:val="5000"/>
                    </w14:schemeClr>
                  </w14:solidFill>
                </w14:textFill>
              </w:rPr>
              <w:t xml:space="preserve">4  </w:t>
            </w:r>
            <w:r>
              <w:rPr>
                <w:b/>
                <w:color w:val="0D0D0D" w:themeColor="text1" w:themeTint="F2"/>
                <w:kern w:val="0"/>
                <w:sz w:val="24"/>
                <w:szCs w:val="20"/>
                <w14:textFill>
                  <w14:solidFill>
                    <w14:schemeClr w14:val="tx1">
                      <w14:lumMod w14:val="95000"/>
                      <w14:lumOff w14:val="5000"/>
                    </w14:schemeClr>
                  </w14:solidFill>
                </w14:textFill>
              </w:rPr>
              <w:t>本项目污染防治措施及投资估算一览表</w:t>
            </w:r>
            <w:r>
              <w:rPr>
                <w:rFonts w:hint="eastAsia"/>
                <w:b/>
                <w:color w:val="0D0D0D" w:themeColor="text1" w:themeTint="F2"/>
                <w:kern w:val="0"/>
                <w:sz w:val="24"/>
                <w:szCs w:val="20"/>
                <w14:textFill>
                  <w14:solidFill>
                    <w14:schemeClr w14:val="tx1">
                      <w14:lumMod w14:val="95000"/>
                      <w14:lumOff w14:val="5000"/>
                    </w14:schemeClr>
                  </w14:solidFill>
                </w14:textFill>
              </w:rPr>
              <w:t xml:space="preserve">  单位：</w:t>
            </w:r>
            <w:r>
              <w:rPr>
                <w:b/>
                <w:color w:val="0D0D0D" w:themeColor="text1" w:themeTint="F2"/>
                <w:kern w:val="0"/>
                <w:sz w:val="24"/>
                <w:szCs w:val="20"/>
                <w14:textFill>
                  <w14:solidFill>
                    <w14:schemeClr w14:val="tx1">
                      <w14:lumMod w14:val="95000"/>
                      <w14:lumOff w14:val="5000"/>
                    </w14:schemeClr>
                  </w14:solidFill>
                </w14:textFill>
              </w:rPr>
              <w:t>万元</w:t>
            </w:r>
          </w:p>
          <w:tbl>
            <w:tblPr>
              <w:tblStyle w:val="58"/>
              <w:tblW w:w="4492"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65"/>
              <w:gridCol w:w="297"/>
              <w:gridCol w:w="1140"/>
              <w:gridCol w:w="2703"/>
              <w:gridCol w:w="2217"/>
              <w:gridCol w:w="61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40" w:hRule="atLeast"/>
                <w:tblHeader/>
                <w:jc w:val="center"/>
              </w:trPr>
              <w:tc>
                <w:tcPr>
                  <w:tcW w:w="374" w:type="pct"/>
                  <w:vAlign w:val="center"/>
                </w:tcPr>
                <w:p>
                  <w:pPr>
                    <w:widowControl/>
                    <w:adjustRightInd w:val="0"/>
                    <w:snapToGrid w:val="0"/>
                    <w:ind w:left="-105" w:leftChars="-50" w:right="-105" w:rightChars="-50"/>
                    <w:jc w:val="center"/>
                    <w:rPr>
                      <w:b/>
                      <w:color w:val="0D0D0D" w:themeColor="text1" w:themeTint="F2"/>
                      <w:kern w:val="0"/>
                      <w:szCs w:val="21"/>
                      <w14:textFill>
                        <w14:solidFill>
                          <w14:schemeClr w14:val="tx1">
                            <w14:lumMod w14:val="95000"/>
                            <w14:lumOff w14:val="5000"/>
                          </w14:schemeClr>
                        </w14:solidFill>
                      </w14:textFill>
                    </w:rPr>
                  </w:pPr>
                  <w:r>
                    <w:rPr>
                      <w:b/>
                      <w:color w:val="0D0D0D" w:themeColor="text1" w:themeTint="F2"/>
                      <w:kern w:val="0"/>
                      <w:szCs w:val="21"/>
                      <w14:textFill>
                        <w14:solidFill>
                          <w14:schemeClr w14:val="tx1">
                            <w14:lumMod w14:val="95000"/>
                            <w14:lumOff w14:val="5000"/>
                          </w14:schemeClr>
                        </w14:solidFill>
                      </w14:textFill>
                    </w:rPr>
                    <w:t>分类</w:t>
                  </w:r>
                </w:p>
              </w:tc>
              <w:tc>
                <w:tcPr>
                  <w:tcW w:w="953" w:type="pct"/>
                  <w:gridSpan w:val="2"/>
                  <w:vAlign w:val="center"/>
                </w:tcPr>
                <w:p>
                  <w:pPr>
                    <w:widowControl/>
                    <w:ind w:left="-105" w:leftChars="-50" w:right="-105" w:rightChars="-50"/>
                    <w:jc w:val="center"/>
                    <w:rPr>
                      <w:b/>
                      <w:color w:val="0D0D0D" w:themeColor="text1" w:themeTint="F2"/>
                      <w:kern w:val="0"/>
                      <w:szCs w:val="21"/>
                      <w14:textFill>
                        <w14:solidFill>
                          <w14:schemeClr w14:val="tx1">
                            <w14:lumMod w14:val="95000"/>
                            <w14:lumOff w14:val="5000"/>
                          </w14:schemeClr>
                        </w14:solidFill>
                      </w14:textFill>
                    </w:rPr>
                  </w:pPr>
                  <w:r>
                    <w:rPr>
                      <w:b/>
                      <w:color w:val="0D0D0D" w:themeColor="text1" w:themeTint="F2"/>
                      <w:kern w:val="0"/>
                      <w:szCs w:val="21"/>
                      <w14:textFill>
                        <w14:solidFill>
                          <w14:schemeClr w14:val="tx1">
                            <w14:lumMod w14:val="95000"/>
                            <w14:lumOff w14:val="5000"/>
                          </w14:schemeClr>
                        </w14:solidFill>
                      </w14:textFill>
                    </w:rPr>
                    <w:t>治理对象</w:t>
                  </w:r>
                </w:p>
              </w:tc>
              <w:tc>
                <w:tcPr>
                  <w:tcW w:w="1793" w:type="pct"/>
                  <w:vAlign w:val="center"/>
                </w:tcPr>
                <w:p>
                  <w:pPr>
                    <w:widowControl/>
                    <w:adjustRightInd w:val="0"/>
                    <w:snapToGrid w:val="0"/>
                    <w:ind w:left="-105" w:leftChars="-50" w:right="-105" w:rightChars="-50"/>
                    <w:jc w:val="center"/>
                    <w:rPr>
                      <w:b/>
                      <w:color w:val="0D0D0D" w:themeColor="text1" w:themeTint="F2"/>
                      <w:kern w:val="0"/>
                      <w:szCs w:val="21"/>
                      <w14:textFill>
                        <w14:solidFill>
                          <w14:schemeClr w14:val="tx1">
                            <w14:lumMod w14:val="95000"/>
                            <w14:lumOff w14:val="5000"/>
                          </w14:schemeClr>
                        </w14:solidFill>
                      </w14:textFill>
                    </w:rPr>
                  </w:pPr>
                  <w:r>
                    <w:rPr>
                      <w:b/>
                      <w:color w:val="0D0D0D" w:themeColor="text1" w:themeTint="F2"/>
                      <w:kern w:val="0"/>
                      <w:szCs w:val="21"/>
                      <w14:textFill>
                        <w14:solidFill>
                          <w14:schemeClr w14:val="tx1">
                            <w14:lumMod w14:val="95000"/>
                            <w14:lumOff w14:val="5000"/>
                          </w14:schemeClr>
                        </w14:solidFill>
                      </w14:textFill>
                    </w:rPr>
                    <w:t>污染防治措施</w:t>
                  </w:r>
                </w:p>
              </w:tc>
              <w:tc>
                <w:tcPr>
                  <w:tcW w:w="1470" w:type="pct"/>
                  <w:vAlign w:val="center"/>
                </w:tcPr>
                <w:p>
                  <w:pPr>
                    <w:widowControl/>
                    <w:adjustRightInd w:val="0"/>
                    <w:snapToGrid w:val="0"/>
                    <w:ind w:left="-105" w:leftChars="-50" w:right="-105" w:rightChars="-50"/>
                    <w:jc w:val="center"/>
                    <w:rPr>
                      <w:b/>
                      <w:color w:val="0D0D0D" w:themeColor="text1" w:themeTint="F2"/>
                      <w:kern w:val="0"/>
                      <w:szCs w:val="21"/>
                      <w14:textFill>
                        <w14:solidFill>
                          <w14:schemeClr w14:val="tx1">
                            <w14:lumMod w14:val="95000"/>
                            <w14:lumOff w14:val="5000"/>
                          </w14:schemeClr>
                        </w14:solidFill>
                      </w14:textFill>
                    </w:rPr>
                  </w:pPr>
                  <w:r>
                    <w:rPr>
                      <w:b/>
                      <w:color w:val="0D0D0D" w:themeColor="text1" w:themeTint="F2"/>
                      <w:kern w:val="0"/>
                      <w:szCs w:val="21"/>
                      <w14:textFill>
                        <w14:solidFill>
                          <w14:schemeClr w14:val="tx1">
                            <w14:lumMod w14:val="95000"/>
                            <w14:lumOff w14:val="5000"/>
                          </w14:schemeClr>
                        </w14:solidFill>
                      </w14:textFill>
                    </w:rPr>
                    <w:t>预期治理效果</w:t>
                  </w:r>
                </w:p>
              </w:tc>
              <w:tc>
                <w:tcPr>
                  <w:tcW w:w="407" w:type="pct"/>
                  <w:vAlign w:val="center"/>
                </w:tcPr>
                <w:p>
                  <w:pPr>
                    <w:widowControl/>
                    <w:adjustRightInd w:val="0"/>
                    <w:snapToGrid w:val="0"/>
                    <w:ind w:left="-105" w:leftChars="-50" w:right="-105" w:rightChars="-50"/>
                    <w:jc w:val="center"/>
                    <w:rPr>
                      <w:b/>
                      <w:color w:val="0D0D0D" w:themeColor="text1" w:themeTint="F2"/>
                      <w:kern w:val="0"/>
                      <w:szCs w:val="21"/>
                      <w14:textFill>
                        <w14:solidFill>
                          <w14:schemeClr w14:val="tx1">
                            <w14:lumMod w14:val="95000"/>
                            <w14:lumOff w14:val="5000"/>
                          </w14:schemeClr>
                        </w14:solidFill>
                      </w14:textFill>
                    </w:rPr>
                  </w:pPr>
                  <w:r>
                    <w:rPr>
                      <w:b/>
                      <w:color w:val="0D0D0D" w:themeColor="text1" w:themeTint="F2"/>
                      <w:kern w:val="0"/>
                      <w:szCs w:val="21"/>
                      <w14:textFill>
                        <w14:solidFill>
                          <w14:schemeClr w14:val="tx1">
                            <w14:lumMod w14:val="95000"/>
                            <w14:lumOff w14:val="5000"/>
                          </w14:schemeClr>
                        </w14:solidFill>
                      </w14:textFill>
                    </w:rPr>
                    <w:t>投资</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86" w:hRule="atLeast"/>
                <w:jc w:val="center"/>
              </w:trPr>
              <w:tc>
                <w:tcPr>
                  <w:tcW w:w="374" w:type="pct"/>
                  <w:vAlign w:val="center"/>
                </w:tcPr>
                <w:p>
                  <w:pPr>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废水</w:t>
                  </w:r>
                </w:p>
              </w:tc>
              <w:tc>
                <w:tcPr>
                  <w:tcW w:w="953" w:type="pct"/>
                  <w:gridSpan w:val="2"/>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snapToGrid w:val="0"/>
                      <w:color w:val="0D0D0D" w:themeColor="text1" w:themeTint="F2"/>
                      <w:spacing w:val="6"/>
                      <w:kern w:val="0"/>
                      <w:szCs w:val="21"/>
                      <w14:textFill>
                        <w14:solidFill>
                          <w14:schemeClr w14:val="tx1">
                            <w14:lumMod w14:val="95000"/>
                            <w14:lumOff w14:val="5000"/>
                          </w14:schemeClr>
                        </w14:solidFill>
                      </w14:textFill>
                    </w:rPr>
                    <w:t>生活废水</w:t>
                  </w:r>
                </w:p>
              </w:tc>
              <w:tc>
                <w:tcPr>
                  <w:tcW w:w="1793" w:type="pct"/>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化粪池</w:t>
                  </w:r>
                </w:p>
              </w:tc>
              <w:tc>
                <w:tcPr>
                  <w:tcW w:w="1470" w:type="pct"/>
                  <w:vAlign w:val="center"/>
                </w:tcPr>
                <w:p>
                  <w:pPr>
                    <w:widowControl/>
                    <w:jc w:val="left"/>
                    <w:rPr>
                      <w:color w:val="0D0D0D" w:themeColor="text1" w:themeTint="F2"/>
                      <w:kern w:val="0"/>
                      <w:szCs w:val="21"/>
                      <w14:textFill>
                        <w14:solidFill>
                          <w14:schemeClr w14:val="tx1">
                            <w14:lumMod w14:val="95000"/>
                            <w14:lumOff w14:val="5000"/>
                          </w14:schemeClr>
                        </w14:solidFill>
                      </w14:textFill>
                    </w:rPr>
                  </w:pPr>
                  <w:r>
                    <w:rPr>
                      <w:rFonts w:hint="eastAsia"/>
                      <w:kern w:val="0"/>
                      <w:szCs w:val="21"/>
                    </w:rPr>
                    <w:t>满足《污水综合排放标准》 （</w:t>
                  </w:r>
                  <w:r>
                    <w:rPr>
                      <w:kern w:val="0"/>
                      <w:szCs w:val="21"/>
                    </w:rPr>
                    <w:t>GB8978-1996</w:t>
                  </w:r>
                  <w:r>
                    <w:rPr>
                      <w:rFonts w:hint="eastAsia"/>
                      <w:kern w:val="0"/>
                      <w:szCs w:val="21"/>
                    </w:rPr>
                    <w:t>）中的三级标准</w:t>
                  </w:r>
                </w:p>
              </w:tc>
              <w:tc>
                <w:tcPr>
                  <w:tcW w:w="407" w:type="pct"/>
                  <w:vAlign w:val="center"/>
                </w:tcPr>
                <w:p>
                  <w:pPr>
                    <w:widowControl/>
                    <w:adjustRightInd w:val="0"/>
                    <w:snapToGrid w:val="0"/>
                    <w:ind w:left="-50" w:right="-5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依托原有(0)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32" w:hRule="atLeast"/>
                <w:jc w:val="center"/>
              </w:trPr>
              <w:tc>
                <w:tcPr>
                  <w:tcW w:w="374" w:type="pct"/>
                  <w:vMerge w:val="restart"/>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废气</w:t>
                  </w:r>
                </w:p>
              </w:tc>
              <w:tc>
                <w:tcPr>
                  <w:tcW w:w="953" w:type="pct"/>
                  <w:gridSpan w:val="2"/>
                  <w:vAlign w:val="center"/>
                </w:tcPr>
                <w:p>
                  <w:pPr>
                    <w:widowControl/>
                    <w:autoSpaceDE w:val="0"/>
                    <w:autoSpaceDN w:val="0"/>
                    <w:snapToGrid w:val="0"/>
                    <w:ind w:left="-105" w:leftChars="-50" w:right="-105" w:rightChars="-50"/>
                    <w:jc w:val="center"/>
                    <w:rPr>
                      <w:rFonts w:hint="default" w:eastAsia="宋体"/>
                      <w:kern w:val="0"/>
                      <w:szCs w:val="21"/>
                      <w:lang w:val="en-US" w:eastAsia="zh-CN"/>
                    </w:rPr>
                  </w:pPr>
                  <w:r>
                    <w:rPr>
                      <w:rFonts w:hint="eastAsia"/>
                      <w:kern w:val="0"/>
                      <w:szCs w:val="21"/>
                      <w:lang w:val="en-US" w:eastAsia="zh-CN"/>
                    </w:rPr>
                    <w:t>注塑废气</w:t>
                  </w:r>
                </w:p>
              </w:tc>
              <w:tc>
                <w:tcPr>
                  <w:tcW w:w="1793" w:type="pct"/>
                  <w:vAlign w:val="center"/>
                </w:tcPr>
                <w:p>
                  <w:pPr>
                    <w:widowControl/>
                    <w:autoSpaceDE w:val="0"/>
                    <w:autoSpaceDN w:val="0"/>
                    <w:snapToGrid w:val="0"/>
                    <w:ind w:left="-105" w:leftChars="-50" w:right="-105" w:rightChars="-50"/>
                    <w:jc w:val="center"/>
                    <w:rPr>
                      <w:kern w:val="0"/>
                      <w:szCs w:val="21"/>
                      <w:lang w:val="zh-CN"/>
                    </w:rPr>
                  </w:pPr>
                  <w:r>
                    <w:rPr>
                      <w:rFonts w:hint="eastAsia"/>
                      <w:kern w:val="0"/>
                      <w:szCs w:val="21"/>
                      <w:lang w:val="en-US" w:eastAsia="zh-CN"/>
                    </w:rPr>
                    <w:t>两级活性炭</w:t>
                  </w:r>
                  <w:r>
                    <w:rPr>
                      <w:rFonts w:hint="eastAsia"/>
                      <w:kern w:val="0"/>
                      <w:szCs w:val="21"/>
                      <w:lang w:val="zh-CN"/>
                    </w:rPr>
                    <w:t>+15米高排气筒</w:t>
                  </w:r>
                </w:p>
              </w:tc>
              <w:tc>
                <w:tcPr>
                  <w:tcW w:w="1470" w:type="pct"/>
                  <w:vMerge w:val="restart"/>
                  <w:vAlign w:val="center"/>
                </w:tcPr>
                <w:p>
                  <w:pPr>
                    <w:widowControl/>
                    <w:adjustRightInd w:val="0"/>
                    <w:snapToGrid w:val="0"/>
                    <w:ind w:left="-50" w:right="-50"/>
                    <w:jc w:val="center"/>
                    <w:rPr>
                      <w:kern w:val="0"/>
                      <w:szCs w:val="21"/>
                    </w:rPr>
                  </w:pPr>
                  <w:r>
                    <w:rPr>
                      <w:rFonts w:hint="eastAsia"/>
                      <w:color w:val="0D0D0D" w:themeColor="text1" w:themeTint="F2"/>
                      <w:kern w:val="0"/>
                      <w:szCs w:val="21"/>
                      <w:lang w:val="en-US" w:eastAsia="zh-CN"/>
                      <w14:textFill>
                        <w14:solidFill>
                          <w14:schemeClr w14:val="tx1">
                            <w14:lumMod w14:val="95000"/>
                            <w14:lumOff w14:val="5000"/>
                          </w14:schemeClr>
                        </w14:solidFill>
                      </w14:textFill>
                    </w:rPr>
                    <w:t>有组织废气</w:t>
                  </w:r>
                  <w:r>
                    <w:rPr>
                      <w:color w:val="0D0D0D" w:themeColor="text1" w:themeTint="F2"/>
                      <w:kern w:val="0"/>
                      <w:szCs w:val="21"/>
                      <w14:textFill>
                        <w14:solidFill>
                          <w14:schemeClr w14:val="tx1">
                            <w14:lumMod w14:val="95000"/>
                            <w14:lumOff w14:val="5000"/>
                          </w14:schemeClr>
                        </w14:solidFill>
                      </w14:textFill>
                    </w:rPr>
                    <w:t>执行《</w:t>
                  </w:r>
                  <w:r>
                    <w:rPr>
                      <w:rFonts w:hint="eastAsia"/>
                      <w:color w:val="0D0D0D" w:themeColor="text1" w:themeTint="F2"/>
                      <w:kern w:val="0"/>
                      <w:szCs w:val="21"/>
                      <w14:textFill>
                        <w14:solidFill>
                          <w14:schemeClr w14:val="tx1">
                            <w14:lumMod w14:val="95000"/>
                            <w14:lumOff w14:val="5000"/>
                          </w14:schemeClr>
                        </w14:solidFill>
                      </w14:textFill>
                    </w:rPr>
                    <w:t>合成树脂工业污染物排放</w:t>
                  </w:r>
                  <w:r>
                    <w:rPr>
                      <w:color w:val="0D0D0D" w:themeColor="text1" w:themeTint="F2"/>
                      <w:kern w:val="0"/>
                      <w:szCs w:val="21"/>
                      <w14:textFill>
                        <w14:solidFill>
                          <w14:schemeClr w14:val="tx1">
                            <w14:lumMod w14:val="95000"/>
                            <w14:lumOff w14:val="5000"/>
                          </w14:schemeClr>
                        </w14:solidFill>
                      </w14:textFill>
                    </w:rPr>
                    <w:t>标准》(</w:t>
                  </w:r>
                  <w:r>
                    <w:rPr>
                      <w:rFonts w:hint="eastAsia"/>
                      <w:color w:val="0D0D0D" w:themeColor="text1" w:themeTint="F2"/>
                      <w:kern w:val="0"/>
                      <w:szCs w:val="21"/>
                      <w14:textFill>
                        <w14:solidFill>
                          <w14:schemeClr w14:val="tx1">
                            <w14:lumMod w14:val="95000"/>
                            <w14:lumOff w14:val="5000"/>
                          </w14:schemeClr>
                        </w14:solidFill>
                      </w14:textFill>
                    </w:rPr>
                    <w:t>GB31572</w:t>
                  </w:r>
                  <w:r>
                    <w:rPr>
                      <w:color w:val="0D0D0D" w:themeColor="text1" w:themeTint="F2"/>
                      <w:kern w:val="0"/>
                      <w:szCs w:val="21"/>
                      <w14:textFill>
                        <w14:solidFill>
                          <w14:schemeClr w14:val="tx1">
                            <w14:lumMod w14:val="95000"/>
                            <w14:lumOff w14:val="5000"/>
                          </w14:schemeClr>
                        </w14:solidFill>
                      </w14:textFill>
                    </w:rPr>
                    <w:t>-201</w:t>
                  </w:r>
                  <w:r>
                    <w:rPr>
                      <w:rFonts w:hint="eastAsia"/>
                      <w:color w:val="0D0D0D" w:themeColor="text1" w:themeTint="F2"/>
                      <w:kern w:val="0"/>
                      <w:szCs w:val="21"/>
                      <w14:textFill>
                        <w14:solidFill>
                          <w14:schemeClr w14:val="tx1">
                            <w14:lumMod w14:val="95000"/>
                            <w14:lumOff w14:val="5000"/>
                          </w14:schemeClr>
                        </w14:solidFill>
                      </w14:textFill>
                    </w:rPr>
                    <w:t>5</w:t>
                  </w:r>
                  <w:r>
                    <w:rPr>
                      <w:color w:val="0D0D0D" w:themeColor="text1" w:themeTint="F2"/>
                      <w:kern w:val="0"/>
                      <w:szCs w:val="21"/>
                      <w14:textFill>
                        <w14:solidFill>
                          <w14:schemeClr w14:val="tx1">
                            <w14:lumMod w14:val="95000"/>
                            <w14:lumOff w14:val="5000"/>
                          </w14:schemeClr>
                        </w14:solidFill>
                      </w14:textFill>
                    </w:rPr>
                    <w:t>)表</w:t>
                  </w:r>
                  <w:r>
                    <w:rPr>
                      <w:rFonts w:hint="eastAsia"/>
                      <w:color w:val="0D0D0D" w:themeColor="text1" w:themeTint="F2"/>
                      <w:kern w:val="0"/>
                      <w:szCs w:val="21"/>
                      <w14:textFill>
                        <w14:solidFill>
                          <w14:schemeClr w14:val="tx1">
                            <w14:lumMod w14:val="95000"/>
                            <w14:lumOff w14:val="5000"/>
                          </w14:schemeClr>
                        </w14:solidFill>
                      </w14:textFill>
                    </w:rPr>
                    <w:t>5大气污染物特别排放限值</w:t>
                  </w:r>
                  <w:r>
                    <w:rPr>
                      <w:rFonts w:hint="eastAsia"/>
                      <w:color w:val="0D0D0D" w:themeColor="text1" w:themeTint="F2"/>
                      <w:kern w:val="0"/>
                      <w:szCs w:val="21"/>
                      <w:lang w:eastAsia="zh-CN"/>
                      <w14:textFill>
                        <w14:solidFill>
                          <w14:schemeClr w14:val="tx1">
                            <w14:lumMod w14:val="95000"/>
                            <w14:lumOff w14:val="5000"/>
                          </w14:schemeClr>
                        </w14:solidFill>
                      </w14:textFill>
                    </w:rPr>
                    <w:t>；</w:t>
                  </w:r>
                  <w:r>
                    <w:rPr>
                      <w:rFonts w:hint="eastAsia"/>
                      <w:color w:val="000000" w:themeColor="text1"/>
                      <w:kern w:val="0"/>
                      <w:szCs w:val="21"/>
                      <w:lang w:val="en-US" w:eastAsia="zh-CN"/>
                      <w14:textFill>
                        <w14:solidFill>
                          <w14:schemeClr w14:val="tx1"/>
                        </w14:solidFill>
                      </w14:textFill>
                    </w:rPr>
                    <w:t>无组织废气执行《合成树脂工业污染物排放标准》(GB31572-2015)中表9排放标准要求</w:t>
                  </w:r>
                </w:p>
              </w:tc>
              <w:tc>
                <w:tcPr>
                  <w:tcW w:w="407" w:type="pct"/>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98" w:hRule="atLeast"/>
                <w:jc w:val="center"/>
              </w:trPr>
              <w:tc>
                <w:tcPr>
                  <w:tcW w:w="374" w:type="pct"/>
                  <w:vMerge w:val="continue"/>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p>
              </w:tc>
              <w:tc>
                <w:tcPr>
                  <w:tcW w:w="953" w:type="pct"/>
                  <w:gridSpan w:val="2"/>
                  <w:vAlign w:val="center"/>
                </w:tcPr>
                <w:p>
                  <w:pPr>
                    <w:widowControl/>
                    <w:snapToGrid w:val="0"/>
                    <w:ind w:left="-105" w:leftChars="-50" w:right="-105" w:rightChars="-50" w:firstLine="21" w:firstLineChars="10"/>
                    <w:jc w:val="center"/>
                    <w:rPr>
                      <w:rFonts w:hint="default" w:eastAsia="宋体"/>
                      <w:kern w:val="0"/>
                      <w:szCs w:val="21"/>
                      <w:lang w:val="en-US" w:eastAsia="zh-CN"/>
                    </w:rPr>
                  </w:pPr>
                  <w:r>
                    <w:rPr>
                      <w:rFonts w:hint="eastAsia"/>
                      <w:kern w:val="0"/>
                      <w:szCs w:val="21"/>
                      <w:lang w:val="en-US" w:eastAsia="zh-CN"/>
                    </w:rPr>
                    <w:t>破碎粉尘</w:t>
                  </w:r>
                </w:p>
              </w:tc>
              <w:tc>
                <w:tcPr>
                  <w:tcW w:w="1793" w:type="pct"/>
                  <w:vAlign w:val="center"/>
                </w:tcPr>
                <w:p>
                  <w:pPr>
                    <w:widowControl/>
                    <w:snapToGrid w:val="0"/>
                    <w:ind w:left="-105" w:leftChars="-50" w:right="-105" w:rightChars="-50" w:firstLine="21" w:firstLineChars="10"/>
                    <w:jc w:val="center"/>
                    <w:rPr>
                      <w:kern w:val="0"/>
                      <w:szCs w:val="21"/>
                    </w:rPr>
                  </w:pPr>
                  <w:r>
                    <w:rPr>
                      <w:rFonts w:hint="eastAsia"/>
                      <w:kern w:val="0"/>
                      <w:szCs w:val="21"/>
                    </w:rPr>
                    <w:t>布袋除尘+15</w:t>
                  </w:r>
                  <w:r>
                    <w:rPr>
                      <w:rFonts w:hint="eastAsia"/>
                      <w:kern w:val="0"/>
                      <w:szCs w:val="21"/>
                      <w:lang w:val="zh-CN"/>
                    </w:rPr>
                    <w:t>米高排气筒</w:t>
                  </w:r>
                </w:p>
              </w:tc>
              <w:tc>
                <w:tcPr>
                  <w:tcW w:w="1470" w:type="pct"/>
                  <w:vMerge w:val="continue"/>
                  <w:vAlign w:val="center"/>
                </w:tcPr>
                <w:p>
                  <w:pPr>
                    <w:widowControl/>
                    <w:autoSpaceDE w:val="0"/>
                    <w:autoSpaceDN w:val="0"/>
                    <w:snapToGrid w:val="0"/>
                    <w:ind w:left="-105" w:leftChars="-50" w:right="-105" w:rightChars="-50"/>
                    <w:jc w:val="center"/>
                    <w:rPr>
                      <w:kern w:val="0"/>
                      <w:szCs w:val="21"/>
                    </w:rPr>
                  </w:pPr>
                </w:p>
              </w:tc>
              <w:tc>
                <w:tcPr>
                  <w:tcW w:w="407" w:type="pct"/>
                  <w:vAlign w:val="center"/>
                </w:tcPr>
                <w:p>
                  <w:pPr>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3" w:hRule="atLeast"/>
                <w:jc w:val="center"/>
              </w:trPr>
              <w:tc>
                <w:tcPr>
                  <w:tcW w:w="374" w:type="pct"/>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噪声</w:t>
                  </w:r>
                </w:p>
              </w:tc>
              <w:tc>
                <w:tcPr>
                  <w:tcW w:w="953" w:type="pct"/>
                  <w:gridSpan w:val="2"/>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设备噪声</w:t>
                  </w:r>
                </w:p>
              </w:tc>
              <w:tc>
                <w:tcPr>
                  <w:tcW w:w="1793" w:type="pct"/>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合理布局、隔声、减振、消声等措施</w:t>
                  </w:r>
                </w:p>
              </w:tc>
              <w:tc>
                <w:tcPr>
                  <w:tcW w:w="1470" w:type="pct"/>
                  <w:vAlign w:val="center"/>
                </w:tcPr>
                <w:p>
                  <w:pPr>
                    <w:widowControl/>
                    <w:adjustRightInd w:val="0"/>
                    <w:snapToGrid w:val="0"/>
                    <w:ind w:left="-105" w:leftChars="-50" w:right="-105" w:rightChars="-50"/>
                    <w:jc w:val="center"/>
                    <w:rPr>
                      <w:color w:val="0D0D0D" w:themeColor="text1" w:themeTint="F2"/>
                      <w:spacing w:val="-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满足</w:t>
                  </w:r>
                  <w:r>
                    <w:rPr>
                      <w:color w:val="0D0D0D" w:themeColor="text1" w:themeTint="F2"/>
                      <w:spacing w:val="-2"/>
                      <w:kern w:val="0"/>
                      <w:szCs w:val="21"/>
                      <w14:textFill>
                        <w14:solidFill>
                          <w14:schemeClr w14:val="tx1">
                            <w14:lumMod w14:val="95000"/>
                            <w14:lumOff w14:val="5000"/>
                          </w14:schemeClr>
                        </w14:solidFill>
                      </w14:textFill>
                    </w:rPr>
                    <w:t>《工业企业厂界环境噪声排放标准》（GB12348-2008）</w:t>
                  </w:r>
                </w:p>
                <w:p>
                  <w:pPr>
                    <w:widowControl/>
                    <w:adjustRightInd w:val="0"/>
                    <w:snapToGrid w:val="0"/>
                    <w:ind w:left="-105" w:leftChars="-50" w:right="-105" w:rightChars="-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spacing w:val="-2"/>
                      <w:kern w:val="0"/>
                      <w:szCs w:val="21"/>
                      <w14:textFill>
                        <w14:solidFill>
                          <w14:schemeClr w14:val="tx1">
                            <w14:lumMod w14:val="95000"/>
                            <w14:lumOff w14:val="5000"/>
                          </w14:schemeClr>
                        </w14:solidFill>
                      </w14:textFill>
                    </w:rPr>
                    <w:t>3类标准</w:t>
                  </w:r>
                </w:p>
              </w:tc>
              <w:tc>
                <w:tcPr>
                  <w:tcW w:w="407" w:type="pct"/>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13" w:hRule="atLeast"/>
                <w:jc w:val="center"/>
              </w:trPr>
              <w:tc>
                <w:tcPr>
                  <w:tcW w:w="374" w:type="pct"/>
                  <w:vMerge w:val="restart"/>
                  <w:vAlign w:val="center"/>
                </w:tcPr>
                <w:p>
                  <w:pPr>
                    <w:widowControl/>
                    <w:adjustRightInd w:val="0"/>
                    <w:snapToGrid w:val="0"/>
                    <w:ind w:left="-50" w:right="-50"/>
                    <w:jc w:val="center"/>
                    <w:rPr>
                      <w:rFonts w:hint="eastAsia"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固废</w:t>
                  </w:r>
                </w:p>
              </w:tc>
              <w:tc>
                <w:tcPr>
                  <w:tcW w:w="953" w:type="pct"/>
                  <w:gridSpan w:val="2"/>
                  <w:vAlign w:val="center"/>
                </w:tcPr>
                <w:p>
                  <w:pPr>
                    <w:adjustRightInd w:val="0"/>
                    <w:snapToGrid w:val="0"/>
                    <w:ind w:left="-50" w:right="-50"/>
                    <w:jc w:val="center"/>
                    <w:rPr>
                      <w:rFonts w:hint="default"/>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一般固废</w:t>
                  </w:r>
                </w:p>
              </w:tc>
              <w:tc>
                <w:tcPr>
                  <w:tcW w:w="1793" w:type="pct"/>
                  <w:vAlign w:val="center"/>
                </w:tcPr>
                <w:p>
                  <w:pPr>
                    <w:adjustRightInd w:val="0"/>
                    <w:snapToGrid w:val="0"/>
                    <w:ind w:left="-50" w:right="-5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一般固废库收集暂存，定期外售</w:t>
                  </w:r>
                  <w:r>
                    <w:rPr>
                      <w:rFonts w:hint="eastAsia"/>
                      <w:color w:val="0D0D0D" w:themeColor="text1" w:themeTint="F2"/>
                      <w:kern w:val="0"/>
                      <w:szCs w:val="21"/>
                      <w:lang w:eastAsia="zh-CN"/>
                      <w14:textFill>
                        <w14:solidFill>
                          <w14:schemeClr w14:val="tx1">
                            <w14:lumMod w14:val="95000"/>
                            <w14:lumOff w14:val="5000"/>
                          </w14:schemeClr>
                        </w14:solidFill>
                      </w14:textFill>
                    </w:rPr>
                    <w:t>、</w:t>
                  </w:r>
                  <w:r>
                    <w:rPr>
                      <w:rFonts w:hint="eastAsia"/>
                      <w:color w:val="0D0D0D" w:themeColor="text1" w:themeTint="F2"/>
                      <w:kern w:val="0"/>
                      <w:szCs w:val="21"/>
                      <w:lang w:val="en-US" w:eastAsia="zh-CN"/>
                      <w14:textFill>
                        <w14:solidFill>
                          <w14:schemeClr w14:val="tx1">
                            <w14:lumMod w14:val="95000"/>
                            <w14:lumOff w14:val="5000"/>
                          </w14:schemeClr>
                        </w14:solidFill>
                      </w14:textFill>
                    </w:rPr>
                    <w:t>回用</w:t>
                  </w:r>
                </w:p>
              </w:tc>
              <w:tc>
                <w:tcPr>
                  <w:tcW w:w="1470" w:type="pct"/>
                  <w:vAlign w:val="center"/>
                </w:tcPr>
                <w:p>
                  <w:pPr>
                    <w:widowControl/>
                    <w:adjustRightInd w:val="0"/>
                    <w:snapToGrid w:val="0"/>
                    <w:ind w:left="-50" w:right="-5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kern w:val="0"/>
                      <w:szCs w:val="21"/>
                      <w:lang w:val="zh-CN"/>
                    </w:rPr>
                    <w:t>一般工业固废</w:t>
                  </w:r>
                  <w:r>
                    <w:rPr>
                      <w:kern w:val="0"/>
                      <w:szCs w:val="21"/>
                      <w:lang w:val="zh-CN"/>
                    </w:rPr>
                    <w:t>分类收集，</w:t>
                  </w:r>
                  <w:r>
                    <w:rPr>
                      <w:rFonts w:hint="eastAsia"/>
                      <w:kern w:val="0"/>
                      <w:szCs w:val="21"/>
                      <w:lang w:val="en-US" w:eastAsia="zh-CN"/>
                    </w:rPr>
                    <w:t>废包装袋外售，布袋除尘器收集的粉尘回用于生产</w:t>
                  </w:r>
                </w:p>
              </w:tc>
              <w:tc>
                <w:tcPr>
                  <w:tcW w:w="407" w:type="pct"/>
                  <w:vAlign w:val="center"/>
                </w:tcPr>
                <w:p>
                  <w:pPr>
                    <w:widowControl/>
                    <w:adjustRightInd w:val="0"/>
                    <w:snapToGrid w:val="0"/>
                    <w:ind w:left="-50" w:right="-50"/>
                    <w:jc w:val="center"/>
                    <w:rPr>
                      <w:rFonts w:hint="eastAsia"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13" w:hRule="atLeast"/>
                <w:jc w:val="center"/>
              </w:trPr>
              <w:tc>
                <w:tcPr>
                  <w:tcW w:w="374" w:type="pct"/>
                  <w:vMerge w:val="continue"/>
                  <w:vAlign w:val="center"/>
                </w:tcPr>
                <w:p>
                  <w:pPr>
                    <w:widowControl/>
                    <w:adjustRightInd w:val="0"/>
                    <w:snapToGrid w:val="0"/>
                    <w:ind w:left="-50" w:right="-50"/>
                    <w:jc w:val="center"/>
                    <w:rPr>
                      <w:rFonts w:hint="eastAsia" w:eastAsia="宋体"/>
                      <w:color w:val="0D0D0D" w:themeColor="text1" w:themeTint="F2"/>
                      <w:kern w:val="0"/>
                      <w:szCs w:val="21"/>
                      <w:lang w:val="en-US" w:eastAsia="zh-CN"/>
                      <w14:textFill>
                        <w14:solidFill>
                          <w14:schemeClr w14:val="tx1">
                            <w14:lumMod w14:val="95000"/>
                            <w14:lumOff w14:val="5000"/>
                          </w14:schemeClr>
                        </w14:solidFill>
                      </w14:textFill>
                    </w:rPr>
                  </w:pPr>
                </w:p>
              </w:tc>
              <w:tc>
                <w:tcPr>
                  <w:tcW w:w="197" w:type="pct"/>
                  <w:vAlign w:val="center"/>
                </w:tcPr>
                <w:p>
                  <w:pPr>
                    <w:widowControl/>
                    <w:adjustRightInd w:val="0"/>
                    <w:snapToGrid w:val="0"/>
                    <w:ind w:left="-105" w:leftChars="-50" w:right="-105" w:rightChars="-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危险废物</w:t>
                  </w:r>
                </w:p>
              </w:tc>
              <w:tc>
                <w:tcPr>
                  <w:tcW w:w="756" w:type="pct"/>
                  <w:vAlign w:val="center"/>
                </w:tcPr>
                <w:p>
                  <w:pPr>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废润滑油、废润滑油桶、废含油手套、抹布、</w:t>
                  </w:r>
                  <w:r>
                    <w:rPr>
                      <w:color w:val="0D0D0D" w:themeColor="text1" w:themeTint="F2"/>
                      <w:szCs w:val="21"/>
                      <w14:textFill>
                        <w14:solidFill>
                          <w14:schemeClr w14:val="tx1">
                            <w14:lumMod w14:val="95000"/>
                            <w14:lumOff w14:val="5000"/>
                          </w14:schemeClr>
                        </w14:solidFill>
                      </w14:textFill>
                    </w:rPr>
                    <w:t>废活性炭</w:t>
                  </w:r>
                </w:p>
              </w:tc>
              <w:tc>
                <w:tcPr>
                  <w:tcW w:w="1793" w:type="pct"/>
                  <w:vAlign w:val="center"/>
                </w:tcPr>
                <w:p>
                  <w:pPr>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危废暂存场所，占地</w:t>
                  </w:r>
                  <w:r>
                    <w:rPr>
                      <w:rFonts w:hint="eastAsia"/>
                      <w:kern w:val="0"/>
                      <w:szCs w:val="21"/>
                    </w:rPr>
                    <w:t>1</w:t>
                  </w:r>
                  <w:r>
                    <w:rPr>
                      <w:kern w:val="0"/>
                      <w:szCs w:val="21"/>
                    </w:rPr>
                    <w:t>0 m</w:t>
                  </w:r>
                  <w:r>
                    <w:rPr>
                      <w:kern w:val="0"/>
                      <w:szCs w:val="21"/>
                      <w:vertAlign w:val="superscript"/>
                    </w:rPr>
                    <w:t>2</w:t>
                  </w:r>
                  <w:r>
                    <w:rPr>
                      <w:kern w:val="0"/>
                      <w:szCs w:val="21"/>
                    </w:rPr>
                    <w:t>，</w:t>
                  </w:r>
                  <w:r>
                    <w:rPr>
                      <w:color w:val="0D0D0D" w:themeColor="text1" w:themeTint="F2"/>
                      <w:kern w:val="0"/>
                      <w:szCs w:val="21"/>
                      <w14:textFill>
                        <w14:solidFill>
                          <w14:schemeClr w14:val="tx1">
                            <w14:lumMod w14:val="95000"/>
                            <w14:lumOff w14:val="5000"/>
                          </w14:schemeClr>
                        </w14:solidFill>
                      </w14:textFill>
                    </w:rPr>
                    <w:t>并采取防风、防雨、防渗和防腐措施；危废收集后及时委托资质单位处理</w:t>
                  </w:r>
                </w:p>
              </w:tc>
              <w:tc>
                <w:tcPr>
                  <w:tcW w:w="1470" w:type="pct"/>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lang w:val="zh-CN"/>
                      <w14:textFill>
                        <w14:solidFill>
                          <w14:schemeClr w14:val="tx1">
                            <w14:lumMod w14:val="95000"/>
                            <w14:lumOff w14:val="5000"/>
                          </w14:schemeClr>
                        </w14:solidFill>
                      </w14:textFill>
                    </w:rPr>
                    <w:t>危废委托资质单位处理</w:t>
                  </w:r>
                </w:p>
              </w:tc>
              <w:tc>
                <w:tcPr>
                  <w:tcW w:w="407" w:type="pct"/>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97" w:hRule="atLeast"/>
                <w:jc w:val="center"/>
              </w:trPr>
              <w:tc>
                <w:tcPr>
                  <w:tcW w:w="1328" w:type="pct"/>
                  <w:gridSpan w:val="3"/>
                  <w:vAlign w:val="center"/>
                </w:tcPr>
                <w:p>
                  <w:pPr>
                    <w:widowControl/>
                    <w:adjustRightInd w:val="0"/>
                    <w:snapToGrid w:val="0"/>
                    <w:ind w:left="-105" w:leftChars="-50" w:right="-105" w:rightChars="-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地下水防渗措施</w:t>
                  </w:r>
                </w:p>
              </w:tc>
              <w:tc>
                <w:tcPr>
                  <w:tcW w:w="1793" w:type="pct"/>
                  <w:vAlign w:val="center"/>
                </w:tcPr>
                <w:p>
                  <w:pPr>
                    <w:widowControl/>
                    <w:adjustRightInd w:val="0"/>
                    <w:snapToGrid w:val="0"/>
                    <w:ind w:left="-105" w:leftChars="-50" w:right="-105" w:rightChars="-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一般防渗、重点防渗</w:t>
                  </w:r>
                </w:p>
              </w:tc>
              <w:tc>
                <w:tcPr>
                  <w:tcW w:w="1470" w:type="pct"/>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满足防渗要求</w:t>
                  </w:r>
                </w:p>
              </w:tc>
              <w:tc>
                <w:tcPr>
                  <w:tcW w:w="407" w:type="pct"/>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1</w:t>
                  </w:r>
                  <w:r>
                    <w:rPr>
                      <w:color w:val="0D0D0D" w:themeColor="text1" w:themeTint="F2"/>
                      <w:kern w:val="0"/>
                      <w:szCs w:val="21"/>
                      <w14:textFill>
                        <w14:solidFill>
                          <w14:schemeClr w14:val="tx1">
                            <w14:lumMod w14:val="95000"/>
                            <w14:lumOff w14:val="5000"/>
                          </w14:schemeClr>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82" w:hRule="atLeast"/>
                <w:jc w:val="center"/>
              </w:trPr>
              <w:tc>
                <w:tcPr>
                  <w:tcW w:w="1328" w:type="pct"/>
                  <w:gridSpan w:val="3"/>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风险防范</w:t>
                  </w:r>
                </w:p>
              </w:tc>
              <w:tc>
                <w:tcPr>
                  <w:tcW w:w="1793" w:type="pct"/>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配备相应消防器材等</w:t>
                  </w:r>
                </w:p>
              </w:tc>
              <w:tc>
                <w:tcPr>
                  <w:tcW w:w="1470" w:type="pct"/>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满足风险防范要求</w:t>
                  </w:r>
                </w:p>
              </w:tc>
              <w:tc>
                <w:tcPr>
                  <w:tcW w:w="407" w:type="pct"/>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3" w:hRule="atLeast"/>
                <w:jc w:val="center"/>
              </w:trPr>
              <w:tc>
                <w:tcPr>
                  <w:tcW w:w="1328" w:type="pct"/>
                  <w:gridSpan w:val="3"/>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合计</w:t>
                  </w:r>
                </w:p>
              </w:tc>
              <w:tc>
                <w:tcPr>
                  <w:tcW w:w="1793" w:type="pct"/>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w:t>
                  </w:r>
                </w:p>
              </w:tc>
              <w:tc>
                <w:tcPr>
                  <w:tcW w:w="1470" w:type="pct"/>
                  <w:vAlign w:val="center"/>
                </w:tcPr>
                <w:p>
                  <w:pPr>
                    <w:widowControl/>
                    <w:adjustRightInd w:val="0"/>
                    <w:snapToGrid w:val="0"/>
                    <w:ind w:left="-50" w:right="-50"/>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w:t>
                  </w:r>
                </w:p>
              </w:tc>
              <w:tc>
                <w:tcPr>
                  <w:tcW w:w="407" w:type="pct"/>
                  <w:vAlign w:val="center"/>
                </w:tcPr>
                <w:p>
                  <w:pPr>
                    <w:widowControl/>
                    <w:adjustRightInd w:val="0"/>
                    <w:snapToGrid w:val="0"/>
                    <w:ind w:left="-50" w:right="-5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61</w:t>
                  </w:r>
                </w:p>
              </w:tc>
            </w:tr>
          </w:tbl>
          <w:p>
            <w:pPr>
              <w:tabs>
                <w:tab w:val="left" w:pos="1077"/>
              </w:tabs>
              <w:rPr>
                <w:rFonts w:cs="宋体"/>
                <w:color w:val="000000"/>
                <w:sz w:val="24"/>
              </w:rPr>
            </w:pPr>
          </w:p>
          <w:p>
            <w:pPr>
              <w:tabs>
                <w:tab w:val="left" w:pos="1077"/>
              </w:tabs>
              <w:rPr>
                <w:rFonts w:cs="宋体"/>
                <w:color w:val="000000"/>
                <w:sz w:val="24"/>
              </w:rPr>
            </w:pPr>
          </w:p>
          <w:p>
            <w:pPr>
              <w:tabs>
                <w:tab w:val="left" w:pos="1077"/>
              </w:tabs>
              <w:rPr>
                <w:rFonts w:cs="宋体"/>
                <w:color w:val="000000"/>
                <w:sz w:val="24"/>
              </w:rPr>
            </w:pPr>
          </w:p>
          <w:p>
            <w:pPr>
              <w:tabs>
                <w:tab w:val="left" w:pos="1077"/>
              </w:tabs>
              <w:rPr>
                <w:rFonts w:cs="宋体"/>
                <w:color w:val="000000"/>
                <w:sz w:val="24"/>
              </w:rPr>
            </w:pPr>
          </w:p>
          <w:p>
            <w:pPr>
              <w:pStyle w:val="2"/>
              <w:rPr>
                <w:rFonts w:cs="宋体"/>
                <w:color w:val="000000"/>
                <w:sz w:val="24"/>
              </w:rPr>
            </w:pPr>
          </w:p>
          <w:p>
            <w:pPr>
              <w:rPr>
                <w:rFonts w:cs="宋体"/>
                <w:color w:val="000000"/>
                <w:sz w:val="24"/>
              </w:rPr>
            </w:pPr>
          </w:p>
          <w:p>
            <w:pPr>
              <w:pStyle w:val="2"/>
              <w:rPr>
                <w:rFonts w:cs="宋体"/>
                <w:color w:val="000000"/>
                <w:sz w:val="24"/>
              </w:rPr>
            </w:pPr>
          </w:p>
          <w:p>
            <w:pPr>
              <w:rPr>
                <w:rFonts w:cs="宋体"/>
                <w:color w:val="000000"/>
                <w:sz w:val="24"/>
              </w:rPr>
            </w:pPr>
          </w:p>
          <w:p>
            <w:pPr>
              <w:pStyle w:val="2"/>
              <w:rPr>
                <w:rFonts w:cs="宋体"/>
                <w:color w:val="000000"/>
                <w:sz w:val="24"/>
              </w:rPr>
            </w:pPr>
          </w:p>
          <w:p>
            <w:pPr>
              <w:rPr>
                <w:rFonts w:cs="宋体"/>
                <w:color w:val="000000"/>
                <w:sz w:val="24"/>
              </w:rPr>
            </w:pPr>
          </w:p>
          <w:p>
            <w:pPr>
              <w:pStyle w:val="2"/>
              <w:rPr>
                <w:rFonts w:cs="宋体"/>
                <w:color w:val="000000"/>
                <w:sz w:val="24"/>
              </w:rPr>
            </w:pPr>
          </w:p>
          <w:p>
            <w:pPr>
              <w:rPr>
                <w:rFonts w:cs="宋体"/>
                <w:color w:val="000000"/>
                <w:sz w:val="24"/>
              </w:rPr>
            </w:pPr>
          </w:p>
          <w:p>
            <w:pPr>
              <w:pStyle w:val="2"/>
              <w:rPr>
                <w:rFonts w:cs="宋体"/>
                <w:color w:val="000000"/>
                <w:sz w:val="24"/>
              </w:rPr>
            </w:pPr>
          </w:p>
          <w:p>
            <w:pPr>
              <w:rPr>
                <w:rFonts w:cs="宋体"/>
                <w:color w:val="000000"/>
                <w:sz w:val="24"/>
              </w:rPr>
            </w:pPr>
          </w:p>
          <w:p>
            <w:pPr>
              <w:pStyle w:val="2"/>
              <w:rPr>
                <w:rFonts w:cs="宋体"/>
                <w:color w:val="000000"/>
                <w:sz w:val="24"/>
              </w:rPr>
            </w:pPr>
          </w:p>
          <w:p>
            <w:pPr>
              <w:rPr>
                <w:rFonts w:cs="宋体"/>
                <w:color w:val="000000"/>
                <w:sz w:val="24"/>
              </w:rPr>
            </w:pPr>
          </w:p>
          <w:p>
            <w:pPr>
              <w:pStyle w:val="2"/>
              <w:rPr>
                <w:rFonts w:cs="宋体"/>
                <w:color w:val="000000"/>
                <w:sz w:val="24"/>
              </w:rPr>
            </w:pPr>
          </w:p>
          <w:p>
            <w:pPr>
              <w:rPr>
                <w:rFonts w:cs="宋体"/>
                <w:color w:val="000000"/>
                <w:sz w:val="24"/>
              </w:rPr>
            </w:pPr>
          </w:p>
          <w:p>
            <w:pPr>
              <w:pStyle w:val="2"/>
              <w:rPr>
                <w:rFonts w:cs="宋体"/>
                <w:color w:val="000000"/>
                <w:sz w:val="24"/>
              </w:rPr>
            </w:pPr>
          </w:p>
          <w:p>
            <w:pPr>
              <w:rPr>
                <w:rFonts w:cs="宋体"/>
                <w:color w:val="000000"/>
                <w:sz w:val="24"/>
              </w:rPr>
            </w:pPr>
          </w:p>
          <w:p>
            <w:pPr>
              <w:pStyle w:val="2"/>
              <w:rPr>
                <w:rFonts w:cs="宋体"/>
                <w:color w:val="000000"/>
                <w:sz w:val="24"/>
              </w:rPr>
            </w:pPr>
          </w:p>
          <w:p>
            <w:pPr>
              <w:rPr>
                <w:rFonts w:cs="宋体"/>
                <w:color w:val="000000"/>
                <w:sz w:val="24"/>
              </w:rPr>
            </w:pPr>
          </w:p>
          <w:p>
            <w:pPr>
              <w:pStyle w:val="2"/>
              <w:rPr>
                <w:rFonts w:cs="宋体"/>
                <w:color w:val="000000"/>
                <w:sz w:val="24"/>
              </w:rPr>
            </w:pPr>
          </w:p>
          <w:p>
            <w:pPr>
              <w:rPr>
                <w:rFonts w:cs="宋体"/>
                <w:color w:val="000000"/>
                <w:sz w:val="24"/>
              </w:rPr>
            </w:pPr>
          </w:p>
          <w:p>
            <w:pPr>
              <w:pStyle w:val="2"/>
              <w:rPr>
                <w:rFonts w:cs="宋体"/>
                <w:color w:val="000000"/>
                <w:sz w:val="24"/>
              </w:rPr>
            </w:pPr>
          </w:p>
          <w:p/>
          <w:p>
            <w:pPr>
              <w:tabs>
                <w:tab w:val="left" w:pos="1077"/>
              </w:tabs>
              <w:rPr>
                <w:rFonts w:cs="宋体"/>
                <w:color w:val="000000"/>
                <w:sz w:val="24"/>
              </w:rPr>
            </w:pPr>
          </w:p>
        </w:tc>
      </w:tr>
    </w:tbl>
    <w:p>
      <w:pPr>
        <w:rPr>
          <w:rFonts w:cs="宋体"/>
          <w:color w:val="000000"/>
          <w:sz w:val="24"/>
        </w:rPr>
        <w:sectPr>
          <w:pgSz w:w="11907" w:h="16840"/>
          <w:pgMar w:top="1701" w:right="1531" w:bottom="2127" w:left="1531" w:header="851" w:footer="851" w:gutter="0"/>
          <w:cols w:space="720" w:num="1"/>
          <w:docGrid w:linePitch="312" w:charSpace="0"/>
        </w:sectPr>
      </w:pPr>
    </w:p>
    <w:p>
      <w:pPr>
        <w:pStyle w:val="54"/>
        <w:jc w:val="center"/>
        <w:outlineLvl w:val="0"/>
        <w:rPr>
          <w:rFonts w:ascii="Times New Roman" w:hAnsi="Times New Roman"/>
          <w:b/>
          <w:snapToGrid w:val="0"/>
          <w:color w:val="000000"/>
          <w:sz w:val="30"/>
          <w:szCs w:val="30"/>
        </w:rPr>
      </w:pPr>
      <w:r>
        <w:rPr>
          <w:rFonts w:hint="eastAsia" w:ascii="Times New Roman" w:hAnsi="Times New Roman"/>
          <w:b/>
          <w:snapToGrid w:val="0"/>
          <w:color w:val="000000"/>
          <w:sz w:val="30"/>
          <w:szCs w:val="30"/>
        </w:rPr>
        <w:t>五、</w:t>
      </w:r>
      <w:bookmarkStart w:id="12" w:name="_Hlk54167917"/>
      <w:r>
        <w:rPr>
          <w:rFonts w:hint="eastAsia" w:ascii="Times New Roman" w:hAnsi="Times New Roman"/>
          <w:b/>
          <w:snapToGrid w:val="0"/>
          <w:color w:val="000000"/>
          <w:sz w:val="30"/>
          <w:szCs w:val="30"/>
        </w:rPr>
        <w:t>环境保护措施监督检查清单</w:t>
      </w:r>
      <w:bookmarkEnd w:id="12"/>
    </w:p>
    <w:tbl>
      <w:tblPr>
        <w:tblStyle w:val="5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885"/>
        <w:gridCol w:w="1615"/>
        <w:gridCol w:w="2189"/>
        <w:gridCol w:w="2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70" w:type="pct"/>
            <w:tcBorders>
              <w:tl2br w:val="single" w:color="auto" w:sz="4" w:space="0"/>
            </w:tcBorders>
          </w:tcPr>
          <w:p>
            <w:pPr>
              <w:adjustRightInd w:val="0"/>
              <w:snapToGrid w:val="0"/>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内容</w:t>
            </w:r>
          </w:p>
          <w:p>
            <w:pPr>
              <w:adjustRightInd w:val="0"/>
              <w:snapToGrid w:val="0"/>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要素</w:t>
            </w:r>
          </w:p>
        </w:tc>
        <w:tc>
          <w:tcPr>
            <w:tcW w:w="1040" w:type="pct"/>
            <w:vAlign w:val="center"/>
          </w:tcPr>
          <w:p>
            <w:pPr>
              <w:adjustRightInd w:val="0"/>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排放口</w:t>
            </w:r>
          </w:p>
          <w:p>
            <w:pPr>
              <w:adjustRightInd w:val="0"/>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(编号、名称)/污染源</w:t>
            </w:r>
          </w:p>
        </w:tc>
        <w:tc>
          <w:tcPr>
            <w:tcW w:w="891" w:type="pct"/>
            <w:vAlign w:val="center"/>
          </w:tcPr>
          <w:p>
            <w:pPr>
              <w:adjustRightInd w:val="0"/>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污染物</w:t>
            </w:r>
          </w:p>
          <w:p>
            <w:pPr>
              <w:adjustRightInd w:val="0"/>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项目</w:t>
            </w:r>
          </w:p>
        </w:tc>
        <w:tc>
          <w:tcPr>
            <w:tcW w:w="1208" w:type="pct"/>
            <w:vAlign w:val="center"/>
          </w:tcPr>
          <w:p>
            <w:pPr>
              <w:adjustRightInd w:val="0"/>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环境保护措施</w:t>
            </w:r>
          </w:p>
        </w:tc>
        <w:tc>
          <w:tcPr>
            <w:tcW w:w="1390" w:type="pct"/>
            <w:vAlign w:val="center"/>
          </w:tcPr>
          <w:p>
            <w:pPr>
              <w:adjustRightInd w:val="0"/>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470" w:type="pct"/>
            <w:vMerge w:val="restart"/>
            <w:vAlign w:val="center"/>
          </w:tcPr>
          <w:p>
            <w:pPr>
              <w:adjustRightInd w:val="0"/>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大气环境</w:t>
            </w:r>
          </w:p>
        </w:tc>
        <w:tc>
          <w:tcPr>
            <w:tcW w:w="1040" w:type="pct"/>
            <w:vAlign w:val="center"/>
          </w:tcPr>
          <w:p>
            <w:pPr>
              <w:adjustRightInd w:val="0"/>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DA001（</w:t>
            </w:r>
            <w:r>
              <w:rPr>
                <w:rFonts w:hint="eastAsia"/>
                <w:kern w:val="0"/>
                <w:szCs w:val="21"/>
                <w:lang w:val="en-US" w:eastAsia="zh-CN"/>
              </w:rPr>
              <w:t>注塑废气</w:t>
            </w:r>
            <w:r>
              <w:rPr>
                <w:color w:val="0D0D0D" w:themeColor="text1" w:themeTint="F2"/>
                <w:szCs w:val="21"/>
                <w14:textFill>
                  <w14:solidFill>
                    <w14:schemeClr w14:val="tx1">
                      <w14:lumMod w14:val="95000"/>
                      <w14:lumOff w14:val="5000"/>
                    </w14:schemeClr>
                  </w14:solidFill>
                </w14:textFill>
              </w:rPr>
              <w:t>）</w:t>
            </w:r>
          </w:p>
        </w:tc>
        <w:tc>
          <w:tcPr>
            <w:tcW w:w="891" w:type="pct"/>
            <w:vAlign w:val="center"/>
          </w:tcPr>
          <w:p>
            <w:pPr>
              <w:adjustRightInd w:val="0"/>
              <w:snapToGrid w:val="0"/>
              <w:jc w:val="center"/>
              <w:rPr>
                <w:rFonts w:hint="default" w:eastAsia="宋体"/>
                <w:kern w:val="0"/>
                <w:szCs w:val="21"/>
                <w:lang w:val="en-US" w:eastAsia="zh-CN"/>
              </w:rPr>
            </w:pPr>
            <w:r>
              <w:rPr>
                <w:rFonts w:hint="eastAsia"/>
                <w:kern w:val="0"/>
                <w:szCs w:val="21"/>
                <w:lang w:val="en-US" w:eastAsia="zh-CN"/>
              </w:rPr>
              <w:t>非甲烷总烃、苯乙烯</w:t>
            </w:r>
          </w:p>
        </w:tc>
        <w:tc>
          <w:tcPr>
            <w:tcW w:w="1208" w:type="pct"/>
            <w:vAlign w:val="center"/>
          </w:tcPr>
          <w:p>
            <w:pPr>
              <w:adjustRightInd w:val="0"/>
              <w:snapToGrid w:val="0"/>
              <w:jc w:val="center"/>
              <w:rPr>
                <w:kern w:val="0"/>
                <w:szCs w:val="21"/>
              </w:rPr>
            </w:pPr>
            <w:r>
              <w:rPr>
                <w:rFonts w:hint="eastAsia"/>
                <w:kern w:val="0"/>
                <w:szCs w:val="21"/>
                <w:lang w:val="en-US" w:eastAsia="zh-CN"/>
              </w:rPr>
              <w:t>两级活性炭</w:t>
            </w:r>
            <w:r>
              <w:rPr>
                <w:rFonts w:hint="eastAsia"/>
                <w:kern w:val="0"/>
                <w:szCs w:val="21"/>
                <w:lang w:val="zh-CN"/>
              </w:rPr>
              <w:t>+15米高排气筒</w:t>
            </w:r>
          </w:p>
        </w:tc>
        <w:tc>
          <w:tcPr>
            <w:tcW w:w="1390" w:type="pct"/>
            <w:vMerge w:val="restart"/>
            <w:vAlign w:val="center"/>
          </w:tcPr>
          <w:p>
            <w:pPr>
              <w:adjustRightInd w:val="0"/>
              <w:snapToGrid w:val="0"/>
              <w:jc w:val="center"/>
              <w:rPr>
                <w:kern w:val="0"/>
                <w:szCs w:val="21"/>
              </w:rPr>
            </w:pPr>
            <w:bookmarkStart w:id="13" w:name="_Toc63415129"/>
            <w:r>
              <w:rPr>
                <w:rFonts w:hint="eastAsia"/>
                <w:color w:val="000000"/>
                <w:szCs w:val="21"/>
              </w:rPr>
              <w:t>执行</w:t>
            </w:r>
            <w:bookmarkEnd w:id="13"/>
            <w:r>
              <w:rPr>
                <w:color w:val="000000"/>
                <w:szCs w:val="21"/>
              </w:rPr>
              <w:t>《合成树脂工业污染物排放标</w:t>
            </w:r>
            <w:r>
              <w:rPr>
                <w:color w:val="000000"/>
                <w:kern w:val="0"/>
                <w:szCs w:val="21"/>
              </w:rPr>
              <w:t>准》(GB31572-2015</w:t>
            </w:r>
            <w:r>
              <w:rPr>
                <w:rFonts w:hint="eastAsia"/>
                <w:color w:val="000000"/>
                <w:kern w:val="0"/>
                <w:szCs w:val="21"/>
              </w:rPr>
              <w:t>)</w:t>
            </w:r>
            <w:r>
              <w:rPr>
                <w:color w:val="000000"/>
                <w:kern w:val="0"/>
                <w:szCs w:val="21"/>
              </w:rPr>
              <w:t xml:space="preserve"> 表</w:t>
            </w:r>
            <w:r>
              <w:rPr>
                <w:rFonts w:hint="eastAsia"/>
                <w:color w:val="000000"/>
                <w:kern w:val="0"/>
                <w:szCs w:val="21"/>
              </w:rPr>
              <w:t>5大气污染物特别排放限值</w:t>
            </w:r>
            <w:r>
              <w:rPr>
                <w:color w:val="000000"/>
                <w:kern w:val="0"/>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470" w:type="pct"/>
            <w:vMerge w:val="continue"/>
            <w:vAlign w:val="center"/>
          </w:tcPr>
          <w:p>
            <w:pPr>
              <w:adjustRightInd w:val="0"/>
              <w:snapToGrid w:val="0"/>
              <w:jc w:val="center"/>
              <w:rPr>
                <w:color w:val="0D0D0D" w:themeColor="text1" w:themeTint="F2"/>
                <w:szCs w:val="21"/>
                <w14:textFill>
                  <w14:solidFill>
                    <w14:schemeClr w14:val="tx1">
                      <w14:lumMod w14:val="95000"/>
                      <w14:lumOff w14:val="5000"/>
                    </w14:schemeClr>
                  </w14:solidFill>
                </w14:textFill>
              </w:rPr>
            </w:pPr>
          </w:p>
        </w:tc>
        <w:tc>
          <w:tcPr>
            <w:tcW w:w="1040" w:type="pct"/>
            <w:vAlign w:val="center"/>
          </w:tcPr>
          <w:p>
            <w:pPr>
              <w:adjustRightInd w:val="0"/>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DA002（</w:t>
            </w:r>
            <w:r>
              <w:rPr>
                <w:rFonts w:hint="eastAsia"/>
                <w:kern w:val="0"/>
                <w:szCs w:val="21"/>
                <w:lang w:val="en-US" w:eastAsia="zh-CN"/>
              </w:rPr>
              <w:t>破碎粉尘</w:t>
            </w:r>
            <w:r>
              <w:rPr>
                <w:color w:val="0D0D0D" w:themeColor="text1" w:themeTint="F2"/>
                <w:szCs w:val="21"/>
                <w14:textFill>
                  <w14:solidFill>
                    <w14:schemeClr w14:val="tx1">
                      <w14:lumMod w14:val="95000"/>
                      <w14:lumOff w14:val="5000"/>
                    </w14:schemeClr>
                  </w14:solidFill>
                </w14:textFill>
              </w:rPr>
              <w:t>）</w:t>
            </w:r>
          </w:p>
        </w:tc>
        <w:tc>
          <w:tcPr>
            <w:tcW w:w="891" w:type="pct"/>
            <w:vAlign w:val="center"/>
          </w:tcPr>
          <w:p>
            <w:pPr>
              <w:adjustRightInd w:val="0"/>
              <w:snapToGrid w:val="0"/>
              <w:jc w:val="center"/>
              <w:rPr>
                <w:kern w:val="0"/>
                <w:szCs w:val="21"/>
              </w:rPr>
            </w:pPr>
            <w:r>
              <w:rPr>
                <w:rFonts w:hint="eastAsia"/>
                <w:kern w:val="0"/>
                <w:szCs w:val="21"/>
                <w:lang w:val="zh-CN"/>
              </w:rPr>
              <w:t>颗粒物</w:t>
            </w:r>
          </w:p>
        </w:tc>
        <w:tc>
          <w:tcPr>
            <w:tcW w:w="1208" w:type="pct"/>
            <w:vAlign w:val="center"/>
          </w:tcPr>
          <w:p>
            <w:pPr>
              <w:adjustRightInd w:val="0"/>
              <w:snapToGrid w:val="0"/>
              <w:jc w:val="center"/>
              <w:rPr>
                <w:kern w:val="0"/>
                <w:szCs w:val="21"/>
              </w:rPr>
            </w:pPr>
            <w:r>
              <w:rPr>
                <w:rFonts w:hint="eastAsia"/>
                <w:kern w:val="0"/>
                <w:szCs w:val="21"/>
                <w:lang w:val="zh-CN"/>
              </w:rPr>
              <w:t>布袋除尘</w:t>
            </w:r>
            <w:r>
              <w:rPr>
                <w:kern w:val="0"/>
                <w:szCs w:val="21"/>
                <w:lang w:val="zh-CN"/>
              </w:rPr>
              <w:t>+15米高排气筒</w:t>
            </w:r>
          </w:p>
        </w:tc>
        <w:tc>
          <w:tcPr>
            <w:tcW w:w="1390" w:type="pct"/>
            <w:vMerge w:val="continue"/>
            <w:vAlign w:val="center"/>
          </w:tcPr>
          <w:p>
            <w:pPr>
              <w:adjustRightInd w:val="0"/>
              <w:snapToGrid w:val="0"/>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470" w:type="pct"/>
            <w:vMerge w:val="continue"/>
            <w:vAlign w:val="center"/>
          </w:tcPr>
          <w:p>
            <w:pPr>
              <w:adjustRightInd w:val="0"/>
              <w:snapToGrid w:val="0"/>
              <w:jc w:val="center"/>
              <w:rPr>
                <w:color w:val="0D0D0D" w:themeColor="text1" w:themeTint="F2"/>
                <w:szCs w:val="21"/>
                <w14:textFill>
                  <w14:solidFill>
                    <w14:schemeClr w14:val="tx1">
                      <w14:lumMod w14:val="95000"/>
                      <w14:lumOff w14:val="5000"/>
                    </w14:schemeClr>
                  </w14:solidFill>
                </w14:textFill>
              </w:rPr>
            </w:pPr>
          </w:p>
        </w:tc>
        <w:tc>
          <w:tcPr>
            <w:tcW w:w="1040" w:type="pct"/>
            <w:vAlign w:val="center"/>
          </w:tcPr>
          <w:p>
            <w:pPr>
              <w:adjustRightInd w:val="0"/>
              <w:snapToGrid w:val="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注塑（无组织废气）</w:t>
            </w:r>
          </w:p>
        </w:tc>
        <w:tc>
          <w:tcPr>
            <w:tcW w:w="891" w:type="pct"/>
            <w:vAlign w:val="center"/>
          </w:tcPr>
          <w:p>
            <w:pPr>
              <w:adjustRightInd w:val="0"/>
              <w:snapToGrid w:val="0"/>
              <w:spacing w:line="240" w:lineRule="auto"/>
              <w:ind w:firstLine="0" w:firstLineChars="0"/>
              <w:jc w:val="center"/>
              <w:rPr>
                <w:rFonts w:hint="eastAsia" w:ascii="Times New Roman" w:hAnsi="Times New Roman" w:eastAsia="宋体" w:cs="宋体"/>
                <w:color w:val="000000" w:themeColor="text1"/>
                <w:kern w:val="2"/>
                <w:sz w:val="21"/>
                <w:szCs w:val="21"/>
                <w:lang w:val="zh-CN" w:eastAsia="zh-CN" w:bidi="ar-SA"/>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非甲烷总烃、苯乙烯</w:t>
            </w:r>
          </w:p>
        </w:tc>
        <w:tc>
          <w:tcPr>
            <w:tcW w:w="1208" w:type="pct"/>
            <w:vAlign w:val="center"/>
          </w:tcPr>
          <w:p>
            <w:pPr>
              <w:adjustRightInd w:val="0"/>
              <w:snapToGrid w:val="0"/>
              <w:spacing w:line="240" w:lineRule="auto"/>
              <w:ind w:firstLine="420" w:firstLineChars="0"/>
              <w:rPr>
                <w:rFonts w:hint="eastAsia" w:ascii="Times New Roman" w:hAnsi="Times New Roman" w:eastAsia="宋体" w:cs="宋体"/>
                <w:color w:val="000000" w:themeColor="text1"/>
                <w:kern w:val="2"/>
                <w:sz w:val="21"/>
                <w:szCs w:val="21"/>
                <w:lang w:val="zh-CN" w:eastAsia="zh-CN" w:bidi="ar-SA"/>
                <w14:textFill>
                  <w14:solidFill>
                    <w14:schemeClr w14:val="tx1"/>
                  </w14:solidFill>
                </w14:textFill>
              </w:rPr>
            </w:pPr>
            <w:r>
              <w:rPr>
                <w:rFonts w:hint="eastAsia" w:cs="宋体"/>
                <w:color w:val="000000" w:themeColor="text1"/>
                <w:sz w:val="21"/>
                <w:szCs w:val="21"/>
                <w14:textFill>
                  <w14:solidFill>
                    <w14:schemeClr w14:val="tx1"/>
                  </w14:solidFill>
                </w14:textFill>
              </w:rPr>
              <w:t>加强车间通风</w:t>
            </w:r>
          </w:p>
        </w:tc>
        <w:tc>
          <w:tcPr>
            <w:tcW w:w="1390" w:type="pct"/>
            <w:vMerge w:val="restart"/>
            <w:vAlign w:val="center"/>
          </w:tcPr>
          <w:p>
            <w:pPr>
              <w:adjustRightInd w:val="0"/>
              <w:snapToGrid w:val="0"/>
              <w:spacing w:line="240" w:lineRule="auto"/>
              <w:ind w:firstLine="0" w:firstLineChars="0"/>
              <w:rPr>
                <w:rFonts w:ascii="Times New Roman" w:hAnsi="Times New Roman" w:eastAsia="宋体" w:cs="宋体"/>
                <w:color w:val="000000" w:themeColor="text1"/>
                <w:kern w:val="2"/>
                <w:sz w:val="21"/>
                <w:szCs w:val="21"/>
                <w:lang w:val="en-US" w:eastAsia="zh-CN" w:bidi="ar-SA"/>
                <w14:textFill>
                  <w14:solidFill>
                    <w14:schemeClr w14:val="tx1"/>
                  </w14:solidFill>
                </w14:textFill>
              </w:rPr>
            </w:pP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合成树脂工业污染物排放</w:t>
            </w:r>
            <w:r>
              <w:rPr>
                <w:color w:val="000000" w:themeColor="text1"/>
                <w:sz w:val="21"/>
                <w:szCs w:val="21"/>
                <w14:textFill>
                  <w14:solidFill>
                    <w14:schemeClr w14:val="tx1"/>
                  </w14:solidFill>
                </w14:textFill>
              </w:rPr>
              <w:t>标准》(</w:t>
            </w:r>
            <w:r>
              <w:rPr>
                <w:rFonts w:hint="eastAsia"/>
                <w:color w:val="000000" w:themeColor="text1"/>
                <w:sz w:val="21"/>
                <w:szCs w:val="21"/>
                <w14:textFill>
                  <w14:solidFill>
                    <w14:schemeClr w14:val="tx1"/>
                  </w14:solidFill>
                </w14:textFill>
              </w:rPr>
              <w:t>GB31572</w:t>
            </w:r>
            <w:r>
              <w:rPr>
                <w:color w:val="000000" w:themeColor="text1"/>
                <w:sz w:val="21"/>
                <w:szCs w:val="21"/>
                <w14:textFill>
                  <w14:solidFill>
                    <w14:schemeClr w14:val="tx1"/>
                  </w14:solidFill>
                </w14:textFill>
              </w:rPr>
              <w:t>-201</w:t>
            </w: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中</w:t>
            </w:r>
            <w:r>
              <w:rPr>
                <w:color w:val="000000" w:themeColor="text1"/>
                <w:sz w:val="21"/>
                <w:szCs w:val="21"/>
                <w14:textFill>
                  <w14:solidFill>
                    <w14:schemeClr w14:val="tx1"/>
                  </w14:solidFill>
                </w14:textFill>
              </w:rPr>
              <w:t>表</w:t>
            </w:r>
            <w:r>
              <w:rPr>
                <w:rFonts w:hint="eastAsia"/>
                <w:color w:val="000000" w:themeColor="text1"/>
                <w:sz w:val="21"/>
                <w:szCs w:val="21"/>
                <w14:textFill>
                  <w14:solidFill>
                    <w14:schemeClr w14:val="tx1"/>
                  </w14:solidFill>
                </w14:textFill>
              </w:rPr>
              <w:t>9</w:t>
            </w:r>
            <w:r>
              <w:rPr>
                <w:color w:val="000000" w:themeColor="text1"/>
                <w:sz w:val="21"/>
                <w:szCs w:val="21"/>
                <w14:textFill>
                  <w14:solidFill>
                    <w14:schemeClr w14:val="tx1"/>
                  </w14:solidFill>
                </w14:textFill>
              </w:rPr>
              <w:t>排放标准要求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470" w:type="pct"/>
            <w:vMerge w:val="continue"/>
            <w:vAlign w:val="center"/>
          </w:tcPr>
          <w:p>
            <w:pPr>
              <w:adjustRightInd w:val="0"/>
              <w:snapToGrid w:val="0"/>
              <w:jc w:val="center"/>
              <w:rPr>
                <w:color w:val="0D0D0D" w:themeColor="text1" w:themeTint="F2"/>
                <w:szCs w:val="21"/>
                <w14:textFill>
                  <w14:solidFill>
                    <w14:schemeClr w14:val="tx1">
                      <w14:lumMod w14:val="95000"/>
                      <w14:lumOff w14:val="5000"/>
                    </w14:schemeClr>
                  </w14:solidFill>
                </w14:textFill>
              </w:rPr>
            </w:pPr>
          </w:p>
        </w:tc>
        <w:tc>
          <w:tcPr>
            <w:tcW w:w="1040" w:type="pct"/>
            <w:vAlign w:val="center"/>
          </w:tcPr>
          <w:p>
            <w:pPr>
              <w:adjustRightInd w:val="0"/>
              <w:snapToGrid w:val="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破碎（无组织废气）</w:t>
            </w:r>
          </w:p>
        </w:tc>
        <w:tc>
          <w:tcPr>
            <w:tcW w:w="891" w:type="pct"/>
            <w:vAlign w:val="center"/>
          </w:tcPr>
          <w:p>
            <w:pPr>
              <w:adjustRightInd w:val="0"/>
              <w:snapToGrid w:val="0"/>
              <w:spacing w:line="240" w:lineRule="auto"/>
              <w:ind w:firstLine="0" w:firstLineChars="0"/>
              <w:jc w:val="center"/>
              <w:rPr>
                <w:rFonts w:hint="eastAsia" w:ascii="Times New Roman" w:hAnsi="Times New Roman" w:eastAsia="宋体" w:cs="宋体"/>
                <w:color w:val="000000" w:themeColor="text1"/>
                <w:kern w:val="2"/>
                <w:sz w:val="21"/>
                <w:szCs w:val="21"/>
                <w:lang w:val="zh-CN" w:eastAsia="zh-CN" w:bidi="ar-SA"/>
                <w14:textFill>
                  <w14:solidFill>
                    <w14:schemeClr w14:val="tx1"/>
                  </w14:solidFill>
                </w14:textFill>
              </w:rPr>
            </w:pPr>
            <w:r>
              <w:rPr>
                <w:rFonts w:hint="eastAsia" w:cs="宋体"/>
                <w:color w:val="000000" w:themeColor="text1"/>
                <w:sz w:val="21"/>
                <w:szCs w:val="21"/>
                <w14:textFill>
                  <w14:solidFill>
                    <w14:schemeClr w14:val="tx1"/>
                  </w14:solidFill>
                </w14:textFill>
              </w:rPr>
              <w:t>颗粒物</w:t>
            </w:r>
          </w:p>
        </w:tc>
        <w:tc>
          <w:tcPr>
            <w:tcW w:w="1208" w:type="pct"/>
            <w:vAlign w:val="center"/>
          </w:tcPr>
          <w:p>
            <w:pPr>
              <w:adjustRightInd w:val="0"/>
              <w:snapToGrid w:val="0"/>
              <w:spacing w:line="240" w:lineRule="auto"/>
              <w:ind w:firstLine="0" w:firstLineChars="0"/>
              <w:jc w:val="center"/>
              <w:rPr>
                <w:rFonts w:hint="eastAsia" w:ascii="Times New Roman" w:hAnsi="Times New Roman" w:eastAsia="宋体" w:cs="宋体"/>
                <w:color w:val="000000" w:themeColor="text1"/>
                <w:kern w:val="2"/>
                <w:sz w:val="21"/>
                <w:szCs w:val="21"/>
                <w:lang w:val="zh-CN" w:eastAsia="zh-CN" w:bidi="ar-SA"/>
                <w14:textFill>
                  <w14:solidFill>
                    <w14:schemeClr w14:val="tx1"/>
                  </w14:solidFill>
                </w14:textFill>
              </w:rPr>
            </w:pPr>
            <w:r>
              <w:rPr>
                <w:rFonts w:hint="eastAsia" w:cs="宋体"/>
                <w:color w:val="000000" w:themeColor="text1"/>
                <w:sz w:val="21"/>
                <w:szCs w:val="21"/>
                <w14:textFill>
                  <w14:solidFill>
                    <w14:schemeClr w14:val="tx1"/>
                  </w14:solidFill>
                </w14:textFill>
              </w:rPr>
              <w:t>合理设置集气罩位置、风量</w:t>
            </w:r>
          </w:p>
        </w:tc>
        <w:tc>
          <w:tcPr>
            <w:tcW w:w="1390" w:type="pct"/>
            <w:vMerge w:val="continue"/>
            <w:vAlign w:val="center"/>
          </w:tcPr>
          <w:p>
            <w:pPr>
              <w:adjustRightInd w:val="0"/>
              <w:snapToGrid w:val="0"/>
              <w:spacing w:line="240" w:lineRule="auto"/>
              <w:ind w:firstLine="0" w:firstLineChars="0"/>
              <w:rPr>
                <w:rFonts w:ascii="Times New Roman" w:hAnsi="Times New Roman" w:eastAsia="宋体" w:cs="宋体"/>
                <w:color w:val="000000" w:themeColor="text1"/>
                <w:kern w:val="2"/>
                <w:sz w:val="21"/>
                <w:szCs w:val="21"/>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70" w:type="pct"/>
            <w:vAlign w:val="center"/>
          </w:tcPr>
          <w:p>
            <w:pPr>
              <w:adjustRightInd w:val="0"/>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地表水环境</w:t>
            </w:r>
          </w:p>
        </w:tc>
        <w:tc>
          <w:tcPr>
            <w:tcW w:w="1040" w:type="pct"/>
            <w:vAlign w:val="center"/>
          </w:tcPr>
          <w:p>
            <w:pPr>
              <w:adjustRightInd w:val="0"/>
              <w:snapToGrid w:val="0"/>
              <w:jc w:val="center"/>
              <w:rPr>
                <w:rFonts w:hint="eastAsia"/>
                <w:kern w:val="0"/>
                <w:szCs w:val="21"/>
              </w:rPr>
            </w:pPr>
            <w:r>
              <w:rPr>
                <w:rFonts w:hint="eastAsia"/>
                <w:kern w:val="0"/>
                <w:szCs w:val="21"/>
              </w:rPr>
              <w:t>生活污水</w:t>
            </w:r>
          </w:p>
        </w:tc>
        <w:tc>
          <w:tcPr>
            <w:tcW w:w="891" w:type="pct"/>
            <w:vAlign w:val="center"/>
          </w:tcPr>
          <w:p>
            <w:pPr>
              <w:adjustRightInd w:val="0"/>
              <w:snapToGrid w:val="0"/>
              <w:jc w:val="center"/>
              <w:rPr>
                <w:rFonts w:hint="eastAsia"/>
                <w:kern w:val="0"/>
                <w:szCs w:val="21"/>
              </w:rPr>
            </w:pPr>
            <w:r>
              <w:rPr>
                <w:rFonts w:hint="eastAsia"/>
                <w:kern w:val="0"/>
                <w:szCs w:val="21"/>
              </w:rPr>
              <w:t>pH、COD、BOD</w:t>
            </w:r>
            <w:r>
              <w:rPr>
                <w:rFonts w:hint="eastAsia"/>
                <w:kern w:val="0"/>
                <w:szCs w:val="21"/>
                <w:vertAlign w:val="subscript"/>
              </w:rPr>
              <w:t>5</w:t>
            </w:r>
            <w:r>
              <w:rPr>
                <w:rFonts w:hint="eastAsia"/>
                <w:kern w:val="0"/>
                <w:szCs w:val="21"/>
              </w:rPr>
              <w:t>、SS、NH</w:t>
            </w:r>
            <w:r>
              <w:rPr>
                <w:rFonts w:hint="eastAsia"/>
                <w:kern w:val="0"/>
                <w:szCs w:val="21"/>
                <w:vertAlign w:val="subscript"/>
              </w:rPr>
              <w:t>3</w:t>
            </w:r>
            <w:r>
              <w:rPr>
                <w:rFonts w:hint="eastAsia"/>
                <w:kern w:val="0"/>
                <w:szCs w:val="21"/>
              </w:rPr>
              <w:t>-N</w:t>
            </w:r>
          </w:p>
        </w:tc>
        <w:tc>
          <w:tcPr>
            <w:tcW w:w="1208" w:type="pct"/>
            <w:vAlign w:val="center"/>
          </w:tcPr>
          <w:p>
            <w:pPr>
              <w:adjustRightInd w:val="0"/>
              <w:snapToGrid w:val="0"/>
              <w:jc w:val="center"/>
              <w:rPr>
                <w:rFonts w:hint="eastAsia"/>
                <w:kern w:val="0"/>
                <w:szCs w:val="21"/>
              </w:rPr>
            </w:pPr>
            <w:r>
              <w:rPr>
                <w:rFonts w:hint="eastAsia"/>
                <w:kern w:val="0"/>
                <w:szCs w:val="21"/>
              </w:rPr>
              <w:t>化粪池</w:t>
            </w:r>
          </w:p>
        </w:tc>
        <w:tc>
          <w:tcPr>
            <w:tcW w:w="1390" w:type="pct"/>
            <w:vAlign w:val="center"/>
          </w:tcPr>
          <w:p>
            <w:pPr>
              <w:adjustRightInd w:val="0"/>
              <w:snapToGrid w:val="0"/>
              <w:jc w:val="center"/>
              <w:rPr>
                <w:rFonts w:hint="eastAsia"/>
                <w:kern w:val="0"/>
                <w:szCs w:val="21"/>
              </w:rPr>
            </w:pPr>
            <w:r>
              <w:rPr>
                <w:rFonts w:hint="eastAsia"/>
                <w:kern w:val="0"/>
                <w:szCs w:val="21"/>
              </w:rPr>
              <w:t>满足《污水综合排放标准》（GB8978-1996）表4三级标准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70" w:type="pct"/>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声环境</w:t>
            </w:r>
          </w:p>
        </w:tc>
        <w:tc>
          <w:tcPr>
            <w:tcW w:w="4529" w:type="pct"/>
            <w:gridSpan w:val="4"/>
            <w:vAlign w:val="center"/>
          </w:tcPr>
          <w:p>
            <w:pPr>
              <w:adjustRightInd w:val="0"/>
              <w:snapToGrid w:val="0"/>
              <w:jc w:val="center"/>
              <w:rPr>
                <w:rFonts w:hint="eastAsia"/>
                <w:kern w:val="0"/>
                <w:szCs w:val="21"/>
              </w:rPr>
            </w:pPr>
            <w:r>
              <w:rPr>
                <w:rFonts w:hint="eastAsia"/>
                <w:kern w:val="0"/>
                <w:szCs w:val="21"/>
              </w:rPr>
              <w:t>厂内生产设备经采取隔声、减振等各项防噪措施及距离衰减后，项目厂界噪声能满足 GB12348-2008《工业企业厂界环境噪声排放标准》中的 3 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70" w:type="pct"/>
            <w:vAlign w:val="center"/>
          </w:tcPr>
          <w:p>
            <w:pPr>
              <w:adjustRightInd w:val="0"/>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电磁辐射</w:t>
            </w:r>
          </w:p>
        </w:tc>
        <w:tc>
          <w:tcPr>
            <w:tcW w:w="1040" w:type="pct"/>
            <w:vAlign w:val="center"/>
          </w:tcPr>
          <w:p>
            <w:pPr>
              <w:adjustRightInd w:val="0"/>
              <w:snapToGrid w:val="0"/>
              <w:jc w:val="center"/>
              <w:rPr>
                <w:rFonts w:hint="eastAsia"/>
                <w:kern w:val="0"/>
                <w:szCs w:val="21"/>
              </w:rPr>
            </w:pPr>
            <w:r>
              <w:rPr>
                <w:rFonts w:hint="eastAsia"/>
                <w:kern w:val="0"/>
                <w:szCs w:val="21"/>
              </w:rPr>
              <w:t>/</w:t>
            </w:r>
          </w:p>
        </w:tc>
        <w:tc>
          <w:tcPr>
            <w:tcW w:w="891" w:type="pct"/>
            <w:vAlign w:val="center"/>
          </w:tcPr>
          <w:p>
            <w:pPr>
              <w:adjustRightInd w:val="0"/>
              <w:snapToGrid w:val="0"/>
              <w:jc w:val="center"/>
              <w:rPr>
                <w:rFonts w:hint="eastAsia"/>
                <w:kern w:val="0"/>
                <w:szCs w:val="21"/>
              </w:rPr>
            </w:pPr>
            <w:r>
              <w:rPr>
                <w:rFonts w:hint="eastAsia"/>
                <w:kern w:val="0"/>
                <w:szCs w:val="21"/>
              </w:rPr>
              <w:t>/</w:t>
            </w:r>
          </w:p>
        </w:tc>
        <w:tc>
          <w:tcPr>
            <w:tcW w:w="1208" w:type="pct"/>
            <w:vAlign w:val="center"/>
          </w:tcPr>
          <w:p>
            <w:pPr>
              <w:adjustRightInd w:val="0"/>
              <w:snapToGrid w:val="0"/>
              <w:jc w:val="center"/>
              <w:rPr>
                <w:rFonts w:hint="eastAsia"/>
                <w:kern w:val="0"/>
                <w:szCs w:val="21"/>
              </w:rPr>
            </w:pPr>
            <w:r>
              <w:rPr>
                <w:rFonts w:hint="eastAsia"/>
                <w:kern w:val="0"/>
                <w:szCs w:val="21"/>
              </w:rPr>
              <w:t>/</w:t>
            </w:r>
          </w:p>
        </w:tc>
        <w:tc>
          <w:tcPr>
            <w:tcW w:w="1390" w:type="pct"/>
            <w:vAlign w:val="center"/>
          </w:tcPr>
          <w:p>
            <w:pPr>
              <w:adjustRightInd w:val="0"/>
              <w:snapToGrid w:val="0"/>
              <w:jc w:val="center"/>
              <w:rPr>
                <w:rFonts w:hint="eastAsia"/>
                <w:kern w:val="0"/>
                <w:szCs w:val="21"/>
              </w:rPr>
            </w:pPr>
            <w:r>
              <w:rPr>
                <w:rFonts w:hint="eastAsia"/>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70" w:type="pct"/>
            <w:vMerge w:val="restart"/>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固体废物</w:t>
            </w:r>
          </w:p>
        </w:tc>
        <w:tc>
          <w:tcPr>
            <w:tcW w:w="1040" w:type="pct"/>
            <w:vMerge w:val="restart"/>
            <w:vAlign w:val="center"/>
          </w:tcPr>
          <w:p>
            <w:pPr>
              <w:adjustRightInd w:val="0"/>
              <w:snapToGrid w:val="0"/>
              <w:jc w:val="center"/>
              <w:rPr>
                <w:rFonts w:hint="eastAsia"/>
                <w:kern w:val="0"/>
                <w:szCs w:val="21"/>
              </w:rPr>
            </w:pPr>
            <w:r>
              <w:rPr>
                <w:rFonts w:hint="eastAsia"/>
                <w:kern w:val="0"/>
                <w:szCs w:val="21"/>
              </w:rPr>
              <w:t>生产生活</w:t>
            </w:r>
          </w:p>
        </w:tc>
        <w:tc>
          <w:tcPr>
            <w:tcW w:w="891" w:type="pct"/>
            <w:vAlign w:val="center"/>
          </w:tcPr>
          <w:p>
            <w:pPr>
              <w:adjustRightInd w:val="0"/>
              <w:snapToGrid w:val="0"/>
              <w:jc w:val="center"/>
              <w:rPr>
                <w:rFonts w:hint="eastAsia" w:eastAsia="宋体"/>
                <w:kern w:val="0"/>
                <w:szCs w:val="21"/>
                <w:lang w:eastAsia="zh-CN"/>
              </w:rPr>
            </w:pPr>
            <w:r>
              <w:rPr>
                <w:rFonts w:hint="eastAsia"/>
                <w:kern w:val="0"/>
                <w:szCs w:val="21"/>
                <w:lang w:val="en-US" w:eastAsia="zh-CN"/>
              </w:rPr>
              <w:t>废包装袋</w:t>
            </w:r>
          </w:p>
        </w:tc>
        <w:tc>
          <w:tcPr>
            <w:tcW w:w="1208" w:type="pct"/>
            <w:vAlign w:val="center"/>
          </w:tcPr>
          <w:p>
            <w:pPr>
              <w:adjustRightInd w:val="0"/>
              <w:snapToGrid w:val="0"/>
              <w:jc w:val="center"/>
              <w:rPr>
                <w:rFonts w:hint="eastAsia"/>
                <w:kern w:val="0"/>
                <w:szCs w:val="21"/>
              </w:rPr>
            </w:pPr>
            <w:r>
              <w:rPr>
                <w:rFonts w:hint="eastAsia"/>
                <w:kern w:val="0"/>
                <w:szCs w:val="21"/>
              </w:rPr>
              <w:t>集中收集后外售</w:t>
            </w:r>
          </w:p>
        </w:tc>
        <w:tc>
          <w:tcPr>
            <w:tcW w:w="1390" w:type="pct"/>
            <w:vMerge w:val="restart"/>
            <w:vAlign w:val="center"/>
          </w:tcPr>
          <w:p>
            <w:pPr>
              <w:adjustRightInd w:val="0"/>
              <w:snapToGrid w:val="0"/>
              <w:jc w:val="center"/>
              <w:rPr>
                <w:rFonts w:hint="eastAsia"/>
                <w:kern w:val="0"/>
                <w:szCs w:val="21"/>
              </w:rPr>
            </w:pPr>
            <w:r>
              <w:rPr>
                <w:rFonts w:hint="eastAsia"/>
                <w:kern w:val="0"/>
                <w:szCs w:val="21"/>
              </w:rPr>
              <w:t>不产生二次污染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70" w:type="pct"/>
            <w:vMerge w:val="continue"/>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p>
        </w:tc>
        <w:tc>
          <w:tcPr>
            <w:tcW w:w="1040" w:type="pct"/>
            <w:vMerge w:val="continue"/>
            <w:vAlign w:val="center"/>
          </w:tcPr>
          <w:p>
            <w:pPr>
              <w:adjustRightInd w:val="0"/>
              <w:snapToGrid w:val="0"/>
              <w:jc w:val="center"/>
              <w:rPr>
                <w:rFonts w:hint="eastAsia"/>
                <w:kern w:val="0"/>
                <w:szCs w:val="21"/>
              </w:rPr>
            </w:pPr>
          </w:p>
        </w:tc>
        <w:tc>
          <w:tcPr>
            <w:tcW w:w="891" w:type="pct"/>
            <w:vAlign w:val="center"/>
          </w:tcPr>
          <w:p>
            <w:pPr>
              <w:adjustRightInd w:val="0"/>
              <w:snapToGrid w:val="0"/>
              <w:jc w:val="center"/>
              <w:rPr>
                <w:rFonts w:hint="default"/>
                <w:kern w:val="0"/>
                <w:szCs w:val="21"/>
                <w:lang w:val="en-US" w:eastAsia="zh-CN"/>
              </w:rPr>
            </w:pPr>
            <w:r>
              <w:rPr>
                <w:rFonts w:hint="eastAsia"/>
                <w:kern w:val="0"/>
                <w:szCs w:val="21"/>
                <w:lang w:val="en-US" w:eastAsia="zh-CN"/>
              </w:rPr>
              <w:t>布袋除尘器收集的粉尘</w:t>
            </w:r>
          </w:p>
        </w:tc>
        <w:tc>
          <w:tcPr>
            <w:tcW w:w="1208" w:type="pct"/>
            <w:vAlign w:val="center"/>
          </w:tcPr>
          <w:p>
            <w:pPr>
              <w:adjustRightInd w:val="0"/>
              <w:snapToGrid w:val="0"/>
              <w:jc w:val="center"/>
              <w:rPr>
                <w:rFonts w:hint="default" w:eastAsia="宋体"/>
                <w:kern w:val="0"/>
                <w:szCs w:val="21"/>
                <w:lang w:val="en-US" w:eastAsia="zh-CN"/>
              </w:rPr>
            </w:pPr>
            <w:r>
              <w:rPr>
                <w:rFonts w:hint="eastAsia"/>
                <w:kern w:val="0"/>
                <w:szCs w:val="21"/>
              </w:rPr>
              <w:t>集中收集后</w:t>
            </w:r>
            <w:r>
              <w:rPr>
                <w:rFonts w:hint="eastAsia"/>
                <w:kern w:val="0"/>
                <w:szCs w:val="21"/>
                <w:lang w:val="en-US" w:eastAsia="zh-CN"/>
              </w:rPr>
              <w:t>回用于生产</w:t>
            </w:r>
          </w:p>
        </w:tc>
        <w:tc>
          <w:tcPr>
            <w:tcW w:w="1390" w:type="pct"/>
            <w:vMerge w:val="continue"/>
            <w:vAlign w:val="center"/>
          </w:tcPr>
          <w:p>
            <w:pPr>
              <w:adjustRightInd w:val="0"/>
              <w:snapToGrid w:val="0"/>
              <w:jc w:val="center"/>
              <w:rPr>
                <w:rFonts w:hint="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70" w:type="pct"/>
            <w:vMerge w:val="continue"/>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p>
        </w:tc>
        <w:tc>
          <w:tcPr>
            <w:tcW w:w="1040" w:type="pct"/>
            <w:vMerge w:val="continue"/>
            <w:vAlign w:val="center"/>
          </w:tcPr>
          <w:p>
            <w:pPr>
              <w:adjustRightInd w:val="0"/>
              <w:snapToGrid w:val="0"/>
              <w:jc w:val="center"/>
              <w:rPr>
                <w:rFonts w:hint="eastAsia"/>
                <w:kern w:val="0"/>
                <w:szCs w:val="21"/>
              </w:rPr>
            </w:pPr>
          </w:p>
        </w:tc>
        <w:tc>
          <w:tcPr>
            <w:tcW w:w="891" w:type="pct"/>
            <w:vAlign w:val="center"/>
          </w:tcPr>
          <w:p>
            <w:pPr>
              <w:adjustRightInd w:val="0"/>
              <w:snapToGrid w:val="0"/>
              <w:jc w:val="center"/>
              <w:rPr>
                <w:rFonts w:hint="eastAsia"/>
                <w:kern w:val="0"/>
                <w:szCs w:val="21"/>
              </w:rPr>
            </w:pPr>
            <w:r>
              <w:rPr>
                <w:rFonts w:hint="eastAsia"/>
                <w:kern w:val="0"/>
                <w:szCs w:val="21"/>
              </w:rPr>
              <w:t>废</w:t>
            </w:r>
            <w:r>
              <w:rPr>
                <w:rFonts w:hint="eastAsia"/>
                <w:kern w:val="0"/>
                <w:szCs w:val="21"/>
                <w:lang w:val="en-US" w:eastAsia="zh-CN"/>
              </w:rPr>
              <w:t>润滑</w:t>
            </w:r>
            <w:r>
              <w:rPr>
                <w:rFonts w:hint="eastAsia"/>
                <w:kern w:val="0"/>
                <w:szCs w:val="21"/>
              </w:rPr>
              <w:t>油</w:t>
            </w:r>
          </w:p>
        </w:tc>
        <w:tc>
          <w:tcPr>
            <w:tcW w:w="1208" w:type="pct"/>
            <w:vMerge w:val="restart"/>
            <w:vAlign w:val="center"/>
          </w:tcPr>
          <w:p>
            <w:pPr>
              <w:adjustRightInd w:val="0"/>
              <w:snapToGrid w:val="0"/>
              <w:jc w:val="center"/>
              <w:rPr>
                <w:rFonts w:hint="eastAsia"/>
                <w:kern w:val="0"/>
                <w:szCs w:val="21"/>
              </w:rPr>
            </w:pPr>
            <w:r>
              <w:rPr>
                <w:rFonts w:hint="eastAsia"/>
                <w:kern w:val="0"/>
                <w:szCs w:val="21"/>
              </w:rPr>
              <w:t>委托有资质单位处理</w:t>
            </w:r>
          </w:p>
        </w:tc>
        <w:tc>
          <w:tcPr>
            <w:tcW w:w="1390" w:type="pct"/>
            <w:vMerge w:val="continue"/>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70" w:type="pct"/>
            <w:vMerge w:val="continue"/>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p>
        </w:tc>
        <w:tc>
          <w:tcPr>
            <w:tcW w:w="1040" w:type="pct"/>
            <w:vMerge w:val="continue"/>
            <w:vAlign w:val="center"/>
          </w:tcPr>
          <w:p>
            <w:pPr>
              <w:adjustRightInd w:val="0"/>
              <w:snapToGrid w:val="0"/>
              <w:jc w:val="center"/>
              <w:rPr>
                <w:rFonts w:hint="eastAsia"/>
                <w:kern w:val="0"/>
                <w:szCs w:val="21"/>
              </w:rPr>
            </w:pPr>
          </w:p>
        </w:tc>
        <w:tc>
          <w:tcPr>
            <w:tcW w:w="891" w:type="pct"/>
            <w:vAlign w:val="center"/>
          </w:tcPr>
          <w:p>
            <w:pPr>
              <w:adjustRightInd w:val="0"/>
              <w:snapToGrid w:val="0"/>
              <w:jc w:val="center"/>
              <w:rPr>
                <w:rFonts w:hint="eastAsia" w:ascii="Times New Roman" w:hAnsi="Times New Roman" w:eastAsia="宋体" w:cs="Times New Roman"/>
                <w:kern w:val="0"/>
                <w:sz w:val="21"/>
                <w:szCs w:val="21"/>
                <w:lang w:val="en-US" w:eastAsia="zh-CN" w:bidi="ar-SA"/>
              </w:rPr>
            </w:pPr>
            <w:r>
              <w:rPr>
                <w:rFonts w:hint="eastAsia"/>
                <w:kern w:val="0"/>
                <w:szCs w:val="21"/>
              </w:rPr>
              <w:t>废</w:t>
            </w:r>
            <w:r>
              <w:rPr>
                <w:rFonts w:hint="eastAsia"/>
                <w:kern w:val="0"/>
                <w:szCs w:val="21"/>
                <w:lang w:val="en-US" w:eastAsia="zh-CN"/>
              </w:rPr>
              <w:t>润滑</w:t>
            </w:r>
            <w:r>
              <w:rPr>
                <w:rFonts w:hint="eastAsia"/>
                <w:kern w:val="0"/>
                <w:szCs w:val="21"/>
              </w:rPr>
              <w:t>油</w:t>
            </w:r>
            <w:r>
              <w:rPr>
                <w:rFonts w:hint="eastAsia"/>
                <w:kern w:val="0"/>
                <w:szCs w:val="21"/>
                <w:lang w:val="en-US" w:eastAsia="zh-CN"/>
              </w:rPr>
              <w:t>桶</w:t>
            </w:r>
          </w:p>
        </w:tc>
        <w:tc>
          <w:tcPr>
            <w:tcW w:w="1208" w:type="pct"/>
            <w:vMerge w:val="continue"/>
            <w:vAlign w:val="center"/>
          </w:tcPr>
          <w:p>
            <w:pPr>
              <w:adjustRightInd w:val="0"/>
              <w:snapToGrid w:val="0"/>
              <w:jc w:val="center"/>
              <w:rPr>
                <w:rFonts w:hint="eastAsia"/>
                <w:kern w:val="0"/>
                <w:szCs w:val="21"/>
              </w:rPr>
            </w:pPr>
          </w:p>
        </w:tc>
        <w:tc>
          <w:tcPr>
            <w:tcW w:w="1390" w:type="pct"/>
            <w:vMerge w:val="continue"/>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70" w:type="pct"/>
            <w:vMerge w:val="continue"/>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p>
        </w:tc>
        <w:tc>
          <w:tcPr>
            <w:tcW w:w="1040" w:type="pct"/>
            <w:vMerge w:val="continue"/>
            <w:vAlign w:val="center"/>
          </w:tcPr>
          <w:p>
            <w:pPr>
              <w:adjustRightInd w:val="0"/>
              <w:snapToGrid w:val="0"/>
              <w:jc w:val="center"/>
              <w:rPr>
                <w:rFonts w:hint="eastAsia"/>
                <w:kern w:val="0"/>
                <w:szCs w:val="21"/>
              </w:rPr>
            </w:pPr>
          </w:p>
        </w:tc>
        <w:tc>
          <w:tcPr>
            <w:tcW w:w="891" w:type="pct"/>
            <w:vAlign w:val="center"/>
          </w:tcPr>
          <w:p>
            <w:pPr>
              <w:adjustRightInd w:val="0"/>
              <w:snapToGrid w:val="0"/>
              <w:jc w:val="center"/>
              <w:rPr>
                <w:rFonts w:hint="eastAsia"/>
                <w:kern w:val="0"/>
                <w:szCs w:val="21"/>
              </w:rPr>
            </w:pPr>
            <w:r>
              <w:rPr>
                <w:rFonts w:hint="eastAsia"/>
                <w:kern w:val="0"/>
                <w:szCs w:val="21"/>
              </w:rPr>
              <w:t>废活性炭</w:t>
            </w:r>
          </w:p>
        </w:tc>
        <w:tc>
          <w:tcPr>
            <w:tcW w:w="1208" w:type="pct"/>
            <w:vMerge w:val="continue"/>
            <w:vAlign w:val="center"/>
          </w:tcPr>
          <w:p>
            <w:pPr>
              <w:adjustRightInd w:val="0"/>
              <w:snapToGrid w:val="0"/>
              <w:jc w:val="center"/>
              <w:rPr>
                <w:rFonts w:hint="eastAsia"/>
                <w:kern w:val="0"/>
                <w:szCs w:val="21"/>
              </w:rPr>
            </w:pPr>
          </w:p>
        </w:tc>
        <w:tc>
          <w:tcPr>
            <w:tcW w:w="1390" w:type="pct"/>
            <w:vMerge w:val="continue"/>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70" w:type="pct"/>
            <w:vMerge w:val="continue"/>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p>
        </w:tc>
        <w:tc>
          <w:tcPr>
            <w:tcW w:w="1040" w:type="pct"/>
            <w:vMerge w:val="continue"/>
            <w:vAlign w:val="center"/>
          </w:tcPr>
          <w:p>
            <w:pPr>
              <w:adjustRightInd w:val="0"/>
              <w:snapToGrid w:val="0"/>
              <w:jc w:val="center"/>
              <w:rPr>
                <w:rFonts w:hint="eastAsia"/>
                <w:kern w:val="0"/>
                <w:szCs w:val="21"/>
              </w:rPr>
            </w:pPr>
          </w:p>
        </w:tc>
        <w:tc>
          <w:tcPr>
            <w:tcW w:w="891" w:type="pct"/>
            <w:vAlign w:val="center"/>
          </w:tcPr>
          <w:p>
            <w:pPr>
              <w:adjustRightInd w:val="0"/>
              <w:snapToGrid w:val="0"/>
              <w:jc w:val="center"/>
              <w:rPr>
                <w:rFonts w:hint="eastAsia"/>
                <w:kern w:val="0"/>
                <w:szCs w:val="21"/>
              </w:rPr>
            </w:pPr>
            <w:r>
              <w:rPr>
                <w:rFonts w:hint="eastAsia"/>
                <w:kern w:val="0"/>
                <w:szCs w:val="21"/>
                <w:lang w:val="en-US" w:eastAsia="zh-CN"/>
              </w:rPr>
              <w:t>集中收集的</w:t>
            </w:r>
            <w:r>
              <w:rPr>
                <w:rFonts w:hint="eastAsia"/>
                <w:kern w:val="0"/>
                <w:szCs w:val="21"/>
              </w:rPr>
              <w:t>废含油手套、抹布</w:t>
            </w:r>
          </w:p>
        </w:tc>
        <w:tc>
          <w:tcPr>
            <w:tcW w:w="1208" w:type="pct"/>
            <w:vMerge w:val="continue"/>
            <w:vAlign w:val="center"/>
          </w:tcPr>
          <w:p>
            <w:pPr>
              <w:adjustRightInd w:val="0"/>
              <w:snapToGrid w:val="0"/>
              <w:jc w:val="center"/>
              <w:rPr>
                <w:rFonts w:hint="eastAsia"/>
                <w:kern w:val="0"/>
                <w:szCs w:val="21"/>
              </w:rPr>
            </w:pPr>
          </w:p>
        </w:tc>
        <w:tc>
          <w:tcPr>
            <w:tcW w:w="1390" w:type="pct"/>
            <w:vMerge w:val="continue"/>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70" w:type="pct"/>
            <w:vMerge w:val="continue"/>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p>
        </w:tc>
        <w:tc>
          <w:tcPr>
            <w:tcW w:w="1040" w:type="pct"/>
            <w:vMerge w:val="continue"/>
            <w:vAlign w:val="center"/>
          </w:tcPr>
          <w:p>
            <w:pPr>
              <w:adjustRightInd w:val="0"/>
              <w:snapToGrid w:val="0"/>
              <w:jc w:val="center"/>
              <w:rPr>
                <w:rFonts w:hint="eastAsia"/>
                <w:kern w:val="0"/>
                <w:szCs w:val="21"/>
              </w:rPr>
            </w:pPr>
          </w:p>
        </w:tc>
        <w:tc>
          <w:tcPr>
            <w:tcW w:w="891" w:type="pct"/>
            <w:vAlign w:val="center"/>
          </w:tcPr>
          <w:p>
            <w:pPr>
              <w:adjustRightInd w:val="0"/>
              <w:snapToGrid w:val="0"/>
              <w:jc w:val="center"/>
              <w:rPr>
                <w:rFonts w:hint="eastAsia"/>
                <w:kern w:val="0"/>
                <w:szCs w:val="21"/>
              </w:rPr>
            </w:pPr>
            <w:r>
              <w:rPr>
                <w:rFonts w:hint="eastAsia"/>
                <w:kern w:val="0"/>
                <w:szCs w:val="21"/>
                <w:lang w:val="en-US" w:eastAsia="zh-CN"/>
              </w:rPr>
              <w:t>未分类收集的</w:t>
            </w:r>
            <w:r>
              <w:rPr>
                <w:rFonts w:hint="eastAsia"/>
                <w:kern w:val="0"/>
                <w:szCs w:val="21"/>
              </w:rPr>
              <w:t>废含油手套、抹布</w:t>
            </w:r>
          </w:p>
        </w:tc>
        <w:tc>
          <w:tcPr>
            <w:tcW w:w="1208" w:type="pct"/>
            <w:vMerge w:val="restart"/>
            <w:vAlign w:val="center"/>
          </w:tcPr>
          <w:p>
            <w:pPr>
              <w:adjustRightInd w:val="0"/>
              <w:snapToGrid w:val="0"/>
              <w:jc w:val="center"/>
              <w:rPr>
                <w:rFonts w:hint="eastAsia"/>
                <w:kern w:val="0"/>
                <w:szCs w:val="21"/>
              </w:rPr>
            </w:pPr>
            <w:r>
              <w:rPr>
                <w:rFonts w:hint="eastAsia"/>
                <w:kern w:val="0"/>
                <w:szCs w:val="21"/>
              </w:rPr>
              <w:t>环卫部门清运</w:t>
            </w:r>
          </w:p>
        </w:tc>
        <w:tc>
          <w:tcPr>
            <w:tcW w:w="1390" w:type="pct"/>
            <w:vMerge w:val="continue"/>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70" w:type="pct"/>
            <w:vMerge w:val="continue"/>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p>
        </w:tc>
        <w:tc>
          <w:tcPr>
            <w:tcW w:w="1040" w:type="pct"/>
            <w:vMerge w:val="continue"/>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p>
        </w:tc>
        <w:tc>
          <w:tcPr>
            <w:tcW w:w="891" w:type="pct"/>
            <w:vAlign w:val="center"/>
          </w:tcPr>
          <w:p>
            <w:pPr>
              <w:autoSpaceDE w:val="0"/>
              <w:autoSpaceDN w:val="0"/>
              <w:jc w:val="center"/>
              <w:rPr>
                <w:color w:val="0D0D0D"/>
                <w:sz w:val="24"/>
              </w:rPr>
            </w:pPr>
            <w:r>
              <w:rPr>
                <w:rFonts w:hint="eastAsia"/>
                <w:kern w:val="0"/>
                <w:szCs w:val="21"/>
                <w:lang w:val="zh-CN"/>
              </w:rPr>
              <w:t>生活垃圾</w:t>
            </w:r>
          </w:p>
        </w:tc>
        <w:tc>
          <w:tcPr>
            <w:tcW w:w="1208" w:type="pct"/>
            <w:vMerge w:val="continue"/>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p>
        </w:tc>
        <w:tc>
          <w:tcPr>
            <w:tcW w:w="1390" w:type="pct"/>
            <w:vMerge w:val="continue"/>
            <w:vAlign w:val="center"/>
          </w:tcPr>
          <w:p>
            <w:pPr>
              <w:adjustRightInd w:val="0"/>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470" w:type="pct"/>
            <w:vAlign w:val="center"/>
          </w:tcPr>
          <w:p>
            <w:pPr>
              <w:adjustRightInd w:val="0"/>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土壤及地下水</w:t>
            </w:r>
          </w:p>
          <w:p>
            <w:pPr>
              <w:adjustRightInd w:val="0"/>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污染防治措施</w:t>
            </w:r>
          </w:p>
        </w:tc>
        <w:tc>
          <w:tcPr>
            <w:tcW w:w="4529" w:type="pct"/>
            <w:gridSpan w:val="4"/>
            <w:vAlign w:val="center"/>
          </w:tcPr>
          <w:p>
            <w:pPr>
              <w:widowControl/>
              <w:jc w:val="left"/>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防渗处理：对基础层进行防渗</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重点污染防治区主要为危废暂存间</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一般防渗区主要包括生产区</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lang w:val="en-US" w:eastAsia="zh-CN"/>
                <w14:textFill>
                  <w14:solidFill>
                    <w14:schemeClr w14:val="tx1">
                      <w14:lumMod w14:val="95000"/>
                      <w14:lumOff w14:val="5000"/>
                    </w14:schemeClr>
                  </w14:solidFill>
                </w14:textFill>
              </w:rPr>
              <w:t>一般固废库等</w:t>
            </w: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470" w:type="pct"/>
            <w:vAlign w:val="center"/>
          </w:tcPr>
          <w:p>
            <w:pPr>
              <w:adjustRightInd w:val="0"/>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生态保护措施</w:t>
            </w:r>
          </w:p>
        </w:tc>
        <w:tc>
          <w:tcPr>
            <w:tcW w:w="4529" w:type="pct"/>
            <w:gridSpan w:val="4"/>
            <w:vAlign w:val="center"/>
          </w:tcPr>
          <w:p>
            <w:pPr>
              <w:adjustRightInd w:val="0"/>
              <w:snapToGrid w:val="0"/>
              <w:jc w:val="center"/>
              <w:rPr>
                <w:rFonts w:hint="eastAsia"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470" w:type="pct"/>
            <w:vAlign w:val="center"/>
          </w:tcPr>
          <w:p>
            <w:pPr>
              <w:adjustRightInd w:val="0"/>
              <w:snapToGrid w:val="0"/>
              <w:jc w:val="center"/>
              <w:rPr>
                <w:color w:val="0D0D0D" w:themeColor="text1" w:themeTint="F2"/>
                <w:spacing w:val="-8"/>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环境风险防范措施</w:t>
            </w:r>
          </w:p>
        </w:tc>
        <w:tc>
          <w:tcPr>
            <w:tcW w:w="4529" w:type="pct"/>
            <w:gridSpan w:val="4"/>
            <w:vAlign w:val="center"/>
          </w:tcPr>
          <w:p>
            <w:pPr>
              <w:adjustRightInd w:val="0"/>
              <w:snapToGrid w:val="0"/>
              <w:jc w:val="left"/>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①合理选址和总图布置</w:t>
            </w:r>
          </w:p>
          <w:p>
            <w:pPr>
              <w:adjustRightInd w:val="0"/>
              <w:snapToGrid w:val="0"/>
              <w:jc w:val="left"/>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②采取危险品贮运安全防范措施</w:t>
            </w:r>
          </w:p>
          <w:p>
            <w:pPr>
              <w:adjustRightInd w:val="0"/>
              <w:snapToGrid w:val="0"/>
              <w:jc w:val="left"/>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③物料泄露事故防范措施</w:t>
            </w:r>
          </w:p>
          <w:p>
            <w:pPr>
              <w:adjustRightInd w:val="0"/>
              <w:snapToGrid w:val="0"/>
              <w:jc w:val="left"/>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④火灾爆炸事故防范措施</w:t>
            </w:r>
          </w:p>
          <w:p>
            <w:pPr>
              <w:adjustRightInd w:val="0"/>
              <w:snapToGrid w:val="0"/>
              <w:jc w:val="left"/>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⑤电气、电讯安全防范措施</w:t>
            </w:r>
          </w:p>
          <w:p>
            <w:pPr>
              <w:adjustRightInd w:val="0"/>
              <w:snapToGrid w:val="0"/>
              <w:jc w:val="left"/>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⑥消防及火灾报警设施</w:t>
            </w:r>
          </w:p>
          <w:p>
            <w:pPr>
              <w:adjustRightInd w:val="0"/>
              <w:snapToGrid w:val="0"/>
              <w:jc w:val="left"/>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⑦安全管理措施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470" w:type="pct"/>
            <w:vAlign w:val="center"/>
          </w:tcPr>
          <w:p>
            <w:pPr>
              <w:adjustRightInd w:val="0"/>
              <w:snapToGrid w:val="0"/>
              <w:jc w:val="center"/>
              <w:rPr>
                <w:color w:val="0D0D0D" w:themeColor="text1" w:themeTint="F2"/>
                <w:spacing w:val="-8"/>
                <w:szCs w:val="21"/>
                <w14:textFill>
                  <w14:solidFill>
                    <w14:schemeClr w14:val="tx1">
                      <w14:lumMod w14:val="95000"/>
                      <w14:lumOff w14:val="5000"/>
                    </w14:schemeClr>
                  </w14:solidFill>
                </w14:textFill>
              </w:rPr>
            </w:pPr>
            <w:r>
              <w:rPr>
                <w:color w:val="0D0D0D" w:themeColor="text1" w:themeTint="F2"/>
                <w:spacing w:val="-8"/>
                <w:szCs w:val="21"/>
                <w14:textFill>
                  <w14:solidFill>
                    <w14:schemeClr w14:val="tx1">
                      <w14:lumMod w14:val="95000"/>
                      <w14:lumOff w14:val="5000"/>
                    </w14:schemeClr>
                  </w14:solidFill>
                </w14:textFill>
              </w:rPr>
              <w:t>其他环境管理要求</w:t>
            </w:r>
          </w:p>
        </w:tc>
        <w:tc>
          <w:tcPr>
            <w:tcW w:w="4529" w:type="pct"/>
            <w:gridSpan w:val="4"/>
            <w:vAlign w:val="center"/>
          </w:tcPr>
          <w:p>
            <w:pPr>
              <w:adjustRightInd w:val="0"/>
              <w:snapToGrid w:val="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w:t>
            </w:r>
          </w:p>
        </w:tc>
      </w:tr>
    </w:tbl>
    <w:p>
      <w:pPr>
        <w:pStyle w:val="54"/>
        <w:jc w:val="center"/>
        <w:outlineLvl w:val="0"/>
        <w:rPr>
          <w:rFonts w:ascii="Times New Roman" w:hAnsi="Times New Roman"/>
          <w:b/>
          <w:snapToGrid w:val="0"/>
          <w:color w:val="000000"/>
          <w:sz w:val="30"/>
          <w:szCs w:val="30"/>
        </w:rPr>
      </w:pPr>
      <w:r>
        <w:rPr>
          <w:rFonts w:ascii="Times New Roman" w:hAnsi="Times New Roman"/>
          <w:snapToGrid w:val="0"/>
          <w:color w:val="000000"/>
          <w:szCs w:val="24"/>
        </w:rPr>
        <w:br w:type="page"/>
      </w:r>
      <w:r>
        <w:rPr>
          <w:rFonts w:hint="eastAsia" w:ascii="Times New Roman" w:hAnsi="Times New Roman"/>
          <w:b/>
          <w:snapToGrid w:val="0"/>
          <w:color w:val="000000"/>
          <w:sz w:val="30"/>
          <w:szCs w:val="30"/>
        </w:rPr>
        <w:t>六、结论</w:t>
      </w:r>
    </w:p>
    <w:tbl>
      <w:tblPr>
        <w:tblStyle w:val="58"/>
        <w:tblW w:w="5000" w:type="pct"/>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06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991" w:hRule="atLeast"/>
          <w:jc w:val="center"/>
        </w:trPr>
        <w:tc>
          <w:tcPr>
            <w:tcW w:w="5000" w:type="pct"/>
          </w:tcPr>
          <w:p>
            <w:pPr>
              <w:widowControl/>
              <w:tabs>
                <w:tab w:val="left" w:pos="5640"/>
              </w:tabs>
              <w:spacing w:line="360" w:lineRule="auto"/>
              <w:ind w:firstLine="480" w:firstLineChars="200"/>
              <w:rPr>
                <w:rFonts w:cs="宋体"/>
                <w:sz w:val="24"/>
              </w:rPr>
            </w:pPr>
            <w:r>
              <w:rPr>
                <w:rFonts w:hint="eastAsia" w:cs="宋体"/>
                <w:sz w:val="24"/>
                <w:lang w:val="en-US" w:eastAsia="zh-CN"/>
              </w:rPr>
              <w:t>芜湖</w:t>
            </w:r>
            <w:r>
              <w:rPr>
                <w:rFonts w:hint="eastAsia" w:cs="宋体"/>
                <w:sz w:val="24"/>
              </w:rPr>
              <w:t>宇创汽车科技有限公司“汽车内、外饰智能化生产线项目”符合产业政策、城市规划及环保要求。在严格落实本环评提出的环保对策及措施，执行“三同时”制度情况下，各项污染治理措施能够满足环保管理的要求，废水、噪声、固体废物均能实现达标排放和合理处置，对环境空气、地表水、声环境、地下水及土壤环境的影响较小。从环境影响角度分析，该项目的建设是可行的。</w:t>
            </w:r>
          </w:p>
          <w:p>
            <w:pPr>
              <w:widowControl/>
              <w:tabs>
                <w:tab w:val="left" w:pos="5640"/>
              </w:tabs>
              <w:spacing w:line="360" w:lineRule="auto"/>
              <w:rPr>
                <w:color w:val="000000"/>
                <w:kern w:val="0"/>
                <w:sz w:val="24"/>
                <w:szCs w:val="20"/>
              </w:rPr>
            </w:pPr>
          </w:p>
        </w:tc>
      </w:tr>
    </w:tbl>
    <w:p>
      <w:pPr>
        <w:rPr>
          <w:color w:val="000000"/>
        </w:rPr>
      </w:pPr>
    </w:p>
    <w:p>
      <w:pPr>
        <w:tabs>
          <w:tab w:val="left" w:pos="952"/>
        </w:tabs>
        <w:sectPr>
          <w:pgSz w:w="11906" w:h="16838"/>
          <w:pgMar w:top="1701" w:right="1531" w:bottom="1701" w:left="1531" w:header="851" w:footer="851" w:gutter="0"/>
          <w:cols w:space="720" w:num="1"/>
          <w:docGrid w:linePitch="312" w:charSpace="0"/>
        </w:sectPr>
      </w:pPr>
    </w:p>
    <w:p>
      <w:pPr>
        <w:pStyle w:val="54"/>
        <w:adjustRightInd w:val="0"/>
        <w:snapToGrid w:val="0"/>
        <w:spacing w:before="0" w:beforeAutospacing="0" w:after="0" w:afterAutospacing="0" w:line="360" w:lineRule="auto"/>
        <w:outlineLvl w:val="0"/>
        <w:rPr>
          <w:rFonts w:ascii="Times New Roman" w:hAnsi="Times New Roman"/>
          <w:snapToGrid w:val="0"/>
          <w:color w:val="000000"/>
          <w:sz w:val="32"/>
          <w:szCs w:val="32"/>
        </w:rPr>
      </w:pPr>
      <w:r>
        <w:rPr>
          <w:rFonts w:hint="eastAsia" w:ascii="Times New Roman" w:hAnsi="Times New Roman"/>
          <w:snapToGrid w:val="0"/>
          <w:color w:val="000000"/>
          <w:sz w:val="32"/>
          <w:szCs w:val="32"/>
        </w:rPr>
        <w:t>附表</w:t>
      </w:r>
    </w:p>
    <w:p>
      <w:pPr>
        <w:pStyle w:val="645"/>
        <w:spacing w:line="240" w:lineRule="auto"/>
        <w:ind w:firstLine="720"/>
        <w:jc w:val="center"/>
        <w:rPr>
          <w:snapToGrid w:val="0"/>
          <w:sz w:val="36"/>
          <w:szCs w:val="36"/>
        </w:rPr>
      </w:pPr>
      <w:r>
        <w:rPr>
          <w:rFonts w:hint="eastAsia"/>
          <w:snapToGrid w:val="0"/>
          <w:sz w:val="36"/>
          <w:szCs w:val="36"/>
        </w:rPr>
        <w:t>建设项目污染物排放量汇总表</w:t>
      </w:r>
    </w:p>
    <w:tbl>
      <w:tblPr>
        <w:tblStyle w:val="58"/>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85"/>
        <w:gridCol w:w="1593"/>
        <w:gridCol w:w="1736"/>
        <w:gridCol w:w="1443"/>
        <w:gridCol w:w="1443"/>
        <w:gridCol w:w="2023"/>
        <w:gridCol w:w="1443"/>
        <w:gridCol w:w="1880"/>
        <w:gridCol w:w="13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tcBorders>
              <w:tl2br w:val="single" w:color="auto" w:sz="4" w:space="0"/>
            </w:tcBorders>
            <w:tcMar>
              <w:left w:w="28" w:type="dxa"/>
              <w:right w:w="28" w:type="dxa"/>
            </w:tcMar>
            <w:vAlign w:val="center"/>
          </w:tcPr>
          <w:p>
            <w:pPr>
              <w:pStyle w:val="88"/>
              <w:spacing w:beforeLines="0" w:afterLines="0" w:line="280" w:lineRule="exact"/>
              <w:rPr>
                <w:rFonts w:ascii="Times New Roman" w:cs="宋体"/>
                <w:snapToGrid w:val="0"/>
                <w:color w:val="000000"/>
                <w:spacing w:val="-6"/>
                <w:kern w:val="21"/>
                <w:szCs w:val="21"/>
              </w:rPr>
            </w:pPr>
            <w:r>
              <w:rPr>
                <w:rFonts w:hint="eastAsia" w:ascii="Times New Roman" w:cs="宋体"/>
                <w:snapToGrid w:val="0"/>
                <w:color w:val="000000"/>
                <w:spacing w:val="-6"/>
                <w:kern w:val="21"/>
                <w:szCs w:val="21"/>
              </w:rPr>
              <w:t xml:space="preserve">   项目</w:t>
            </w:r>
          </w:p>
          <w:p>
            <w:pPr>
              <w:pStyle w:val="88"/>
              <w:spacing w:beforeLines="0" w:afterLines="0" w:line="280" w:lineRule="exact"/>
              <w:jc w:val="both"/>
              <w:rPr>
                <w:rFonts w:ascii="Times New Roman" w:cs="宋体"/>
                <w:snapToGrid w:val="0"/>
                <w:color w:val="000000"/>
                <w:spacing w:val="-6"/>
                <w:kern w:val="21"/>
                <w:szCs w:val="21"/>
              </w:rPr>
            </w:pPr>
            <w:r>
              <w:rPr>
                <w:rFonts w:hint="eastAsia" w:ascii="Times New Roman" w:cs="宋体"/>
                <w:snapToGrid w:val="0"/>
                <w:color w:val="000000"/>
                <w:spacing w:val="-6"/>
                <w:kern w:val="21"/>
                <w:szCs w:val="21"/>
              </w:rPr>
              <w:t>分类</w:t>
            </w:r>
          </w:p>
        </w:tc>
        <w:tc>
          <w:tcPr>
            <w:tcW w:w="566" w:type="pct"/>
            <w:tcMar>
              <w:left w:w="28" w:type="dxa"/>
              <w:right w:w="28" w:type="dxa"/>
            </w:tcMar>
            <w:vAlign w:val="center"/>
          </w:tcPr>
          <w:p>
            <w:pPr>
              <w:pStyle w:val="88"/>
              <w:spacing w:beforeLines="0" w:afterLines="0" w:line="280" w:lineRule="exact"/>
              <w:rPr>
                <w:rFonts w:ascii="Times New Roman" w:cs="宋体"/>
                <w:snapToGrid w:val="0"/>
                <w:color w:val="000000"/>
                <w:spacing w:val="-6"/>
                <w:kern w:val="21"/>
                <w:szCs w:val="21"/>
              </w:rPr>
            </w:pPr>
            <w:r>
              <w:rPr>
                <w:rFonts w:hint="eastAsia" w:ascii="Times New Roman" w:cs="宋体"/>
                <w:snapToGrid w:val="0"/>
                <w:color w:val="000000"/>
                <w:spacing w:val="-6"/>
                <w:kern w:val="21"/>
                <w:szCs w:val="21"/>
              </w:rPr>
              <w:t>污染物名称</w:t>
            </w:r>
          </w:p>
        </w:tc>
        <w:tc>
          <w:tcPr>
            <w:tcW w:w="617" w:type="pct"/>
            <w:tcMar>
              <w:left w:w="28" w:type="dxa"/>
              <w:right w:w="28" w:type="dxa"/>
            </w:tcMar>
            <w:vAlign w:val="center"/>
          </w:tcPr>
          <w:p>
            <w:pPr>
              <w:pStyle w:val="88"/>
              <w:spacing w:beforeLines="0" w:afterLines="0" w:line="280" w:lineRule="exact"/>
              <w:rPr>
                <w:rFonts w:ascii="Times New Roman"/>
                <w:snapToGrid w:val="0"/>
                <w:color w:val="000000"/>
                <w:spacing w:val="-6"/>
                <w:kern w:val="21"/>
                <w:szCs w:val="21"/>
              </w:rPr>
            </w:pPr>
            <w:r>
              <w:rPr>
                <w:rFonts w:ascii="Times New Roman"/>
                <w:snapToGrid w:val="0"/>
                <w:color w:val="000000"/>
                <w:spacing w:val="-6"/>
                <w:kern w:val="21"/>
                <w:szCs w:val="21"/>
              </w:rPr>
              <w:t>现有工程</w:t>
            </w:r>
          </w:p>
          <w:p>
            <w:pPr>
              <w:pStyle w:val="88"/>
              <w:spacing w:beforeLines="0" w:afterLines="0" w:line="280" w:lineRule="exact"/>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hint="eastAsia" w:ascii="Times New Roman"/>
                <w:snapToGrid w:val="0"/>
                <w:color w:val="000000"/>
                <w:spacing w:val="-6"/>
                <w:kern w:val="21"/>
                <w:szCs w:val="21"/>
              </w:rPr>
              <w:t>体</w:t>
            </w:r>
            <w:r>
              <w:rPr>
                <w:rFonts w:ascii="Times New Roman"/>
                <w:snapToGrid w:val="0"/>
                <w:color w:val="000000"/>
                <w:spacing w:val="-6"/>
                <w:kern w:val="21"/>
                <w:szCs w:val="21"/>
              </w:rPr>
              <w:t>废</w:t>
            </w:r>
            <w:r>
              <w:rPr>
                <w:rFonts w:hint="eastAsia" w:ascii="Times New Roman"/>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cs="宋体"/>
                <w:color w:val="000000"/>
                <w:kern w:val="2"/>
                <w:szCs w:val="21"/>
              </w:rPr>
              <w:t>①</w:t>
            </w:r>
            <w:r>
              <w:rPr>
                <w:rFonts w:ascii="Times New Roman"/>
                <w:snapToGrid w:val="0"/>
                <w:color w:val="000000"/>
                <w:spacing w:val="-6"/>
                <w:kern w:val="21"/>
                <w:szCs w:val="21"/>
              </w:rPr>
              <w:fldChar w:fldCharType="end"/>
            </w:r>
          </w:p>
        </w:tc>
        <w:tc>
          <w:tcPr>
            <w:tcW w:w="513" w:type="pct"/>
            <w:tcMar>
              <w:left w:w="28" w:type="dxa"/>
              <w:right w:w="28" w:type="dxa"/>
            </w:tcMar>
            <w:vAlign w:val="center"/>
          </w:tcPr>
          <w:p>
            <w:pPr>
              <w:pStyle w:val="88"/>
              <w:spacing w:beforeLines="0" w:afterLines="0" w:line="280" w:lineRule="exact"/>
              <w:rPr>
                <w:rFonts w:ascii="Times New Roman"/>
                <w:snapToGrid w:val="0"/>
                <w:color w:val="000000"/>
                <w:spacing w:val="-6"/>
                <w:kern w:val="21"/>
                <w:szCs w:val="21"/>
              </w:rPr>
            </w:pPr>
            <w:r>
              <w:rPr>
                <w:rFonts w:ascii="Times New Roman"/>
                <w:snapToGrid w:val="0"/>
                <w:color w:val="000000"/>
                <w:spacing w:val="-6"/>
                <w:kern w:val="21"/>
                <w:szCs w:val="21"/>
              </w:rPr>
              <w:t>现有工程</w:t>
            </w:r>
          </w:p>
          <w:p>
            <w:pPr>
              <w:pStyle w:val="88"/>
              <w:spacing w:beforeLines="0" w:afterLines="0" w:line="280" w:lineRule="exact"/>
              <w:rPr>
                <w:rFonts w:ascii="Times New Roman"/>
                <w:snapToGrid w:val="0"/>
                <w:color w:val="000000"/>
                <w:spacing w:val="-6"/>
                <w:kern w:val="21"/>
                <w:szCs w:val="21"/>
              </w:rPr>
            </w:pPr>
            <w:r>
              <w:rPr>
                <w:rFonts w:ascii="Times New Roman"/>
                <w:snapToGrid w:val="0"/>
                <w:color w:val="000000"/>
                <w:spacing w:val="-6"/>
                <w:kern w:val="21"/>
                <w:szCs w:val="21"/>
              </w:rPr>
              <w:t>许可排放量</w:t>
            </w:r>
          </w:p>
          <w:p>
            <w:pPr>
              <w:pStyle w:val="88"/>
              <w:spacing w:beforeLines="0" w:afterLines="0" w:line="280" w:lineRule="exact"/>
              <w:rPr>
                <w:rFonts w:ascii="Times New Roman"/>
                <w:snapToGrid w:val="0"/>
                <w:color w:val="000000"/>
                <w:spacing w:val="-6"/>
                <w:kern w:val="21"/>
                <w:szCs w:val="21"/>
              </w:rPr>
            </w:pP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2 \* GB3 \* MERGEFORMAT </w:instrText>
            </w:r>
            <w:r>
              <w:rPr>
                <w:rFonts w:ascii="Times New Roman"/>
                <w:snapToGrid w:val="0"/>
                <w:color w:val="000000"/>
                <w:spacing w:val="-6"/>
                <w:kern w:val="21"/>
                <w:szCs w:val="21"/>
              </w:rPr>
              <w:fldChar w:fldCharType="separate"/>
            </w:r>
            <w:r>
              <w:rPr>
                <w:rFonts w:hint="eastAsia" w:ascii="Times New Roman" w:cs="宋体"/>
                <w:snapToGrid w:val="0"/>
                <w:color w:val="000000"/>
                <w:spacing w:val="-6"/>
                <w:kern w:val="21"/>
                <w:szCs w:val="21"/>
              </w:rPr>
              <w:t>②</w:t>
            </w:r>
            <w:r>
              <w:rPr>
                <w:rFonts w:ascii="Times New Roman"/>
                <w:snapToGrid w:val="0"/>
                <w:color w:val="000000"/>
                <w:spacing w:val="-6"/>
                <w:kern w:val="21"/>
                <w:szCs w:val="21"/>
              </w:rPr>
              <w:fldChar w:fldCharType="end"/>
            </w:r>
          </w:p>
        </w:tc>
        <w:tc>
          <w:tcPr>
            <w:tcW w:w="513" w:type="pct"/>
            <w:tcMar>
              <w:left w:w="28" w:type="dxa"/>
              <w:right w:w="28" w:type="dxa"/>
            </w:tcMar>
            <w:vAlign w:val="center"/>
          </w:tcPr>
          <w:p>
            <w:pPr>
              <w:pStyle w:val="88"/>
              <w:spacing w:beforeLines="0" w:afterLines="0" w:line="280" w:lineRule="exact"/>
              <w:rPr>
                <w:rFonts w:ascii="Times New Roman"/>
                <w:snapToGrid w:val="0"/>
                <w:color w:val="000000"/>
                <w:spacing w:val="-6"/>
                <w:kern w:val="21"/>
                <w:szCs w:val="21"/>
              </w:rPr>
            </w:pPr>
            <w:r>
              <w:rPr>
                <w:rFonts w:ascii="Times New Roman"/>
                <w:snapToGrid w:val="0"/>
                <w:color w:val="000000"/>
                <w:spacing w:val="-6"/>
                <w:kern w:val="21"/>
                <w:szCs w:val="21"/>
              </w:rPr>
              <w:t>在建工程</w:t>
            </w:r>
          </w:p>
          <w:p>
            <w:pPr>
              <w:pStyle w:val="88"/>
              <w:spacing w:beforeLines="0" w:afterLines="0" w:line="280" w:lineRule="exact"/>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hint="eastAsia" w:ascii="Times New Roman"/>
                <w:snapToGrid w:val="0"/>
                <w:color w:val="000000"/>
                <w:spacing w:val="-6"/>
                <w:kern w:val="21"/>
                <w:szCs w:val="21"/>
              </w:rPr>
              <w:t>体</w:t>
            </w:r>
            <w:r>
              <w:rPr>
                <w:rFonts w:ascii="Times New Roman"/>
                <w:snapToGrid w:val="0"/>
                <w:color w:val="000000"/>
                <w:spacing w:val="-6"/>
                <w:kern w:val="21"/>
                <w:szCs w:val="21"/>
              </w:rPr>
              <w:t>废</w:t>
            </w:r>
            <w:r>
              <w:rPr>
                <w:rFonts w:hint="eastAsia" w:ascii="Times New Roman"/>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hint="eastAsia" w:ascii="Times New Roman" w:cs="宋体"/>
                <w:color w:val="000000"/>
                <w:kern w:val="2"/>
                <w:szCs w:val="21"/>
              </w:rPr>
              <w:t>③</w:t>
            </w:r>
            <w:r>
              <w:rPr>
                <w:rFonts w:ascii="Times New Roman"/>
                <w:snapToGrid w:val="0"/>
                <w:color w:val="000000"/>
                <w:spacing w:val="-6"/>
                <w:kern w:val="21"/>
                <w:szCs w:val="21"/>
              </w:rPr>
              <w:fldChar w:fldCharType="end"/>
            </w:r>
          </w:p>
        </w:tc>
        <w:tc>
          <w:tcPr>
            <w:tcW w:w="719" w:type="pct"/>
            <w:tcMar>
              <w:left w:w="28" w:type="dxa"/>
              <w:right w:w="28" w:type="dxa"/>
            </w:tcMar>
            <w:vAlign w:val="center"/>
          </w:tcPr>
          <w:p>
            <w:pPr>
              <w:pStyle w:val="88"/>
              <w:spacing w:beforeLines="0" w:afterLines="0" w:line="280" w:lineRule="exact"/>
              <w:rPr>
                <w:rFonts w:ascii="Times New Roman"/>
                <w:snapToGrid w:val="0"/>
                <w:spacing w:val="-6"/>
                <w:kern w:val="21"/>
                <w:szCs w:val="21"/>
              </w:rPr>
            </w:pPr>
            <w:r>
              <w:rPr>
                <w:rFonts w:ascii="Times New Roman"/>
                <w:snapToGrid w:val="0"/>
                <w:spacing w:val="-6"/>
                <w:kern w:val="21"/>
                <w:szCs w:val="21"/>
              </w:rPr>
              <w:t>本项目排放量（固</w:t>
            </w:r>
            <w:r>
              <w:rPr>
                <w:rFonts w:hint="eastAsia" w:ascii="Times New Roman"/>
                <w:snapToGrid w:val="0"/>
                <w:spacing w:val="-6"/>
                <w:kern w:val="21"/>
                <w:szCs w:val="21"/>
              </w:rPr>
              <w:t>体</w:t>
            </w:r>
            <w:r>
              <w:rPr>
                <w:rFonts w:ascii="Times New Roman"/>
                <w:snapToGrid w:val="0"/>
                <w:spacing w:val="-6"/>
                <w:kern w:val="21"/>
                <w:szCs w:val="21"/>
              </w:rPr>
              <w:t>废</w:t>
            </w:r>
            <w:r>
              <w:rPr>
                <w:rFonts w:hint="eastAsia" w:ascii="Times New Roman"/>
                <w:snapToGrid w:val="0"/>
                <w:spacing w:val="-6"/>
                <w:kern w:val="21"/>
                <w:szCs w:val="21"/>
              </w:rPr>
              <w:t>物</w:t>
            </w:r>
            <w:r>
              <w:rPr>
                <w:rFonts w:ascii="Times New Roman"/>
                <w:snapToGrid w:val="0"/>
                <w:spacing w:val="-6"/>
                <w:kern w:val="21"/>
                <w:szCs w:val="21"/>
              </w:rPr>
              <w:t>产生量）</w:t>
            </w:r>
            <w:r>
              <w:rPr>
                <w:rFonts w:ascii="Times New Roman"/>
                <w:snapToGrid w:val="0"/>
                <w:spacing w:val="-6"/>
                <w:kern w:val="21"/>
                <w:szCs w:val="21"/>
              </w:rPr>
              <w:fldChar w:fldCharType="begin"/>
            </w:r>
            <w:r>
              <w:rPr>
                <w:rFonts w:ascii="Times New Roman"/>
                <w:snapToGrid w:val="0"/>
                <w:spacing w:val="-6"/>
                <w:kern w:val="21"/>
                <w:szCs w:val="21"/>
              </w:rPr>
              <w:instrText xml:space="preserve"> = 4 \* GB3 \* MERGEFORMAT </w:instrText>
            </w:r>
            <w:r>
              <w:rPr>
                <w:rFonts w:ascii="Times New Roman"/>
                <w:snapToGrid w:val="0"/>
                <w:spacing w:val="-6"/>
                <w:kern w:val="21"/>
                <w:szCs w:val="21"/>
              </w:rPr>
              <w:fldChar w:fldCharType="separate"/>
            </w:r>
            <w:r>
              <w:rPr>
                <w:rFonts w:hint="eastAsia" w:ascii="Times New Roman" w:cs="宋体"/>
                <w:kern w:val="2"/>
                <w:szCs w:val="21"/>
              </w:rPr>
              <w:t>④</w:t>
            </w:r>
            <w:r>
              <w:rPr>
                <w:rFonts w:ascii="Times New Roman"/>
                <w:snapToGrid w:val="0"/>
                <w:spacing w:val="-6"/>
                <w:kern w:val="21"/>
                <w:szCs w:val="21"/>
              </w:rPr>
              <w:fldChar w:fldCharType="end"/>
            </w:r>
          </w:p>
        </w:tc>
        <w:tc>
          <w:tcPr>
            <w:tcW w:w="513" w:type="pct"/>
            <w:tcMar>
              <w:left w:w="28" w:type="dxa"/>
              <w:right w:w="28" w:type="dxa"/>
            </w:tcMar>
            <w:vAlign w:val="center"/>
          </w:tcPr>
          <w:p>
            <w:pPr>
              <w:pStyle w:val="88"/>
              <w:spacing w:beforeLines="0" w:afterLines="0" w:line="280" w:lineRule="exact"/>
              <w:rPr>
                <w:rFonts w:ascii="Times New Roman"/>
                <w:snapToGrid w:val="0"/>
                <w:spacing w:val="-16"/>
                <w:kern w:val="21"/>
                <w:szCs w:val="21"/>
              </w:rPr>
            </w:pPr>
            <w:r>
              <w:rPr>
                <w:rFonts w:ascii="Times New Roman"/>
                <w:snapToGrid w:val="0"/>
                <w:spacing w:val="-16"/>
                <w:kern w:val="21"/>
                <w:szCs w:val="21"/>
              </w:rPr>
              <w:t>以新带老削减量</w:t>
            </w:r>
          </w:p>
          <w:p>
            <w:pPr>
              <w:pStyle w:val="88"/>
              <w:spacing w:beforeLines="0" w:afterLines="0" w:line="280" w:lineRule="exact"/>
              <w:rPr>
                <w:rFonts w:ascii="Times New Roman"/>
                <w:snapToGrid w:val="0"/>
                <w:spacing w:val="-16"/>
                <w:kern w:val="21"/>
                <w:szCs w:val="21"/>
              </w:rPr>
            </w:pPr>
            <w:r>
              <w:rPr>
                <w:rFonts w:ascii="Times New Roman"/>
                <w:snapToGrid w:val="0"/>
                <w:spacing w:val="-16"/>
                <w:kern w:val="21"/>
                <w:szCs w:val="21"/>
              </w:rPr>
              <w:t>（新建项目不填）</w:t>
            </w:r>
            <w:r>
              <w:rPr>
                <w:rFonts w:ascii="Times New Roman"/>
                <w:snapToGrid w:val="0"/>
                <w:spacing w:val="-16"/>
                <w:kern w:val="21"/>
                <w:szCs w:val="21"/>
              </w:rPr>
              <w:fldChar w:fldCharType="begin"/>
            </w:r>
            <w:r>
              <w:rPr>
                <w:rFonts w:ascii="Times New Roman"/>
                <w:snapToGrid w:val="0"/>
                <w:spacing w:val="-16"/>
                <w:kern w:val="21"/>
                <w:szCs w:val="21"/>
              </w:rPr>
              <w:instrText xml:space="preserve"> = 5 \* GB3 \* MERGEFORMAT </w:instrText>
            </w:r>
            <w:r>
              <w:rPr>
                <w:rFonts w:ascii="Times New Roman"/>
                <w:snapToGrid w:val="0"/>
                <w:spacing w:val="-16"/>
                <w:kern w:val="21"/>
                <w:szCs w:val="21"/>
              </w:rPr>
              <w:fldChar w:fldCharType="separate"/>
            </w:r>
            <w:r>
              <w:rPr>
                <w:rFonts w:hint="eastAsia" w:ascii="Times New Roman" w:cs="宋体"/>
                <w:kern w:val="2"/>
                <w:szCs w:val="21"/>
              </w:rPr>
              <w:t>⑤</w:t>
            </w:r>
            <w:r>
              <w:rPr>
                <w:rFonts w:ascii="Times New Roman"/>
                <w:snapToGrid w:val="0"/>
                <w:spacing w:val="-16"/>
                <w:kern w:val="21"/>
                <w:szCs w:val="21"/>
              </w:rPr>
              <w:fldChar w:fldCharType="end"/>
            </w:r>
          </w:p>
        </w:tc>
        <w:tc>
          <w:tcPr>
            <w:tcW w:w="668" w:type="pct"/>
            <w:tcMar>
              <w:left w:w="28" w:type="dxa"/>
              <w:right w:w="28" w:type="dxa"/>
            </w:tcMar>
            <w:vAlign w:val="center"/>
          </w:tcPr>
          <w:p>
            <w:pPr>
              <w:pStyle w:val="88"/>
              <w:spacing w:beforeLines="0" w:afterLines="0" w:line="280" w:lineRule="exact"/>
              <w:rPr>
                <w:rFonts w:ascii="Times New Roman"/>
                <w:snapToGrid w:val="0"/>
                <w:spacing w:val="-16"/>
                <w:kern w:val="21"/>
                <w:szCs w:val="21"/>
              </w:rPr>
            </w:pPr>
            <w:r>
              <w:rPr>
                <w:rFonts w:ascii="Times New Roman"/>
                <w:snapToGrid w:val="0"/>
                <w:spacing w:val="-16"/>
                <w:kern w:val="21"/>
                <w:szCs w:val="21"/>
              </w:rPr>
              <w:t>本项目建成后</w:t>
            </w:r>
          </w:p>
          <w:p>
            <w:pPr>
              <w:pStyle w:val="88"/>
              <w:spacing w:beforeLines="0" w:afterLines="0" w:line="280" w:lineRule="exact"/>
              <w:rPr>
                <w:rFonts w:ascii="Times New Roman"/>
                <w:snapToGrid w:val="0"/>
                <w:spacing w:val="-16"/>
                <w:kern w:val="21"/>
                <w:szCs w:val="21"/>
              </w:rPr>
            </w:pPr>
            <w:r>
              <w:rPr>
                <w:rFonts w:hint="eastAsia" w:ascii="Times New Roman"/>
                <w:snapToGrid w:val="0"/>
                <w:spacing w:val="-16"/>
                <w:kern w:val="21"/>
                <w:szCs w:val="21"/>
              </w:rPr>
              <w:t>全厂</w:t>
            </w:r>
            <w:r>
              <w:rPr>
                <w:rFonts w:ascii="Times New Roman"/>
                <w:snapToGrid w:val="0"/>
                <w:spacing w:val="-16"/>
                <w:kern w:val="21"/>
                <w:szCs w:val="21"/>
              </w:rPr>
              <w:t>排放量（固</w:t>
            </w:r>
            <w:r>
              <w:rPr>
                <w:rFonts w:hint="eastAsia" w:ascii="Times New Roman"/>
                <w:snapToGrid w:val="0"/>
                <w:spacing w:val="-16"/>
                <w:kern w:val="21"/>
                <w:szCs w:val="21"/>
              </w:rPr>
              <w:t>体</w:t>
            </w:r>
            <w:r>
              <w:rPr>
                <w:rFonts w:ascii="Times New Roman"/>
                <w:snapToGrid w:val="0"/>
                <w:spacing w:val="-16"/>
                <w:kern w:val="21"/>
                <w:szCs w:val="21"/>
              </w:rPr>
              <w:t>废</w:t>
            </w:r>
            <w:r>
              <w:rPr>
                <w:rFonts w:hint="eastAsia" w:ascii="Times New Roman"/>
                <w:snapToGrid w:val="0"/>
                <w:spacing w:val="-16"/>
                <w:kern w:val="21"/>
                <w:szCs w:val="21"/>
              </w:rPr>
              <w:t>物</w:t>
            </w:r>
            <w:r>
              <w:rPr>
                <w:rFonts w:ascii="Times New Roman"/>
                <w:snapToGrid w:val="0"/>
                <w:spacing w:val="-16"/>
                <w:kern w:val="21"/>
                <w:szCs w:val="21"/>
              </w:rPr>
              <w:t>产生量）</w:t>
            </w:r>
            <w:r>
              <w:rPr>
                <w:rFonts w:ascii="Times New Roman"/>
                <w:snapToGrid w:val="0"/>
                <w:spacing w:val="-16"/>
                <w:kern w:val="21"/>
                <w:szCs w:val="21"/>
              </w:rPr>
              <w:fldChar w:fldCharType="begin"/>
            </w:r>
            <w:r>
              <w:rPr>
                <w:rFonts w:ascii="Times New Roman"/>
                <w:snapToGrid w:val="0"/>
                <w:spacing w:val="-16"/>
                <w:kern w:val="21"/>
                <w:szCs w:val="21"/>
              </w:rPr>
              <w:instrText xml:space="preserve"> = 6 \* GB3 \* MERGEFORMAT </w:instrText>
            </w:r>
            <w:r>
              <w:rPr>
                <w:rFonts w:ascii="Times New Roman"/>
                <w:snapToGrid w:val="0"/>
                <w:spacing w:val="-16"/>
                <w:kern w:val="21"/>
                <w:szCs w:val="21"/>
              </w:rPr>
              <w:fldChar w:fldCharType="separate"/>
            </w:r>
            <w:r>
              <w:rPr>
                <w:rFonts w:hint="eastAsia" w:ascii="Times New Roman" w:cs="宋体"/>
                <w:kern w:val="2"/>
                <w:szCs w:val="21"/>
              </w:rPr>
              <w:t>⑥</w:t>
            </w:r>
            <w:r>
              <w:rPr>
                <w:rFonts w:ascii="Times New Roman"/>
                <w:snapToGrid w:val="0"/>
                <w:spacing w:val="-16"/>
                <w:kern w:val="21"/>
                <w:szCs w:val="21"/>
              </w:rPr>
              <w:fldChar w:fldCharType="end"/>
            </w:r>
          </w:p>
        </w:tc>
        <w:tc>
          <w:tcPr>
            <w:tcW w:w="466" w:type="pct"/>
            <w:tcMar>
              <w:left w:w="28" w:type="dxa"/>
              <w:right w:w="28" w:type="dxa"/>
            </w:tcMar>
            <w:vAlign w:val="center"/>
          </w:tcPr>
          <w:p>
            <w:pPr>
              <w:pStyle w:val="88"/>
              <w:spacing w:beforeLines="0" w:afterLines="0" w:line="280" w:lineRule="exact"/>
              <w:rPr>
                <w:rFonts w:ascii="Times New Roman"/>
                <w:snapToGrid w:val="0"/>
                <w:spacing w:val="-6"/>
                <w:kern w:val="21"/>
                <w:szCs w:val="21"/>
              </w:rPr>
            </w:pPr>
            <w:r>
              <w:rPr>
                <w:rFonts w:ascii="Times New Roman"/>
                <w:snapToGrid w:val="0"/>
                <w:spacing w:val="-6"/>
                <w:kern w:val="21"/>
                <w:szCs w:val="21"/>
              </w:rPr>
              <w:t>变化量</w:t>
            </w:r>
          </w:p>
          <w:p>
            <w:pPr>
              <w:pStyle w:val="88"/>
              <w:spacing w:beforeLines="0" w:afterLines="0" w:line="280" w:lineRule="exact"/>
              <w:rPr>
                <w:rFonts w:ascii="Times New Roman"/>
                <w:snapToGrid w:val="0"/>
                <w:spacing w:val="-6"/>
                <w:kern w:val="21"/>
                <w:szCs w:val="21"/>
              </w:rPr>
            </w:pPr>
            <w:r>
              <w:rPr>
                <w:rFonts w:ascii="Times New Roman"/>
                <w:snapToGrid w:val="0"/>
                <w:spacing w:val="-6"/>
                <w:kern w:val="21"/>
                <w:szCs w:val="21"/>
              </w:rPr>
              <w:fldChar w:fldCharType="begin"/>
            </w:r>
            <w:r>
              <w:rPr>
                <w:rFonts w:ascii="Times New Roman"/>
                <w:snapToGrid w:val="0"/>
                <w:spacing w:val="-6"/>
                <w:kern w:val="21"/>
                <w:szCs w:val="21"/>
              </w:rPr>
              <w:instrText xml:space="preserve"> = 7 \* GB3 \* MERGEFORMAT </w:instrText>
            </w:r>
            <w:r>
              <w:rPr>
                <w:rFonts w:ascii="Times New Roman"/>
                <w:snapToGrid w:val="0"/>
                <w:spacing w:val="-6"/>
                <w:kern w:val="21"/>
                <w:szCs w:val="21"/>
              </w:rPr>
              <w:fldChar w:fldCharType="separate"/>
            </w:r>
            <w:r>
              <w:rPr>
                <w:rFonts w:hint="eastAsia" w:ascii="Times New Roman" w:cs="宋体"/>
                <w:kern w:val="2"/>
                <w:szCs w:val="21"/>
              </w:rPr>
              <w:t>⑦</w:t>
            </w:r>
            <w:r>
              <w:rPr>
                <w:rFonts w:ascii="Times New Roman"/>
                <w:snapToGrid w:val="0"/>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restar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废气</w:t>
            </w:r>
          </w:p>
        </w:tc>
        <w:tc>
          <w:tcPr>
            <w:tcW w:w="566" w:type="pct"/>
            <w:vAlign w:val="center"/>
          </w:tcPr>
          <w:p>
            <w:pPr>
              <w:snapToGrid w:val="0"/>
              <w:spacing w:line="28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非甲烷总烃</w:t>
            </w:r>
          </w:p>
        </w:tc>
        <w:tc>
          <w:tcPr>
            <w:tcW w:w="617"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513"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513"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719" w:type="pct"/>
            <w:vAlign w:val="center"/>
          </w:tcPr>
          <w:p>
            <w:pPr>
              <w:spacing w:line="280" w:lineRule="exact"/>
              <w:jc w:val="center"/>
              <w:rPr>
                <w:rFonts w:cs="宋体"/>
                <w:sz w:val="22"/>
                <w:szCs w:val="22"/>
              </w:rPr>
            </w:pPr>
            <w:r>
              <w:rPr>
                <w:szCs w:val="21"/>
              </w:rPr>
              <w:t>0.</w:t>
            </w:r>
            <w:r>
              <w:rPr>
                <w:rFonts w:hint="eastAsia"/>
                <w:szCs w:val="21"/>
                <w:lang w:val="en-US" w:eastAsia="zh-CN"/>
              </w:rPr>
              <w:t>2299</w:t>
            </w:r>
            <w:r>
              <w:rPr>
                <w:szCs w:val="21"/>
              </w:rPr>
              <w:t>t/a</w:t>
            </w:r>
          </w:p>
        </w:tc>
        <w:tc>
          <w:tcPr>
            <w:tcW w:w="513" w:type="pct"/>
            <w:vAlign w:val="center"/>
          </w:tcPr>
          <w:p>
            <w:pPr>
              <w:spacing w:line="280" w:lineRule="exact"/>
              <w:jc w:val="center"/>
              <w:rPr>
                <w:color w:val="0D0D0D" w:themeColor="text1" w:themeTint="F2"/>
                <w:sz w:val="22"/>
                <w:szCs w:val="22"/>
                <w14:textFill>
                  <w14:solidFill>
                    <w14:schemeClr w14:val="tx1">
                      <w14:lumMod w14:val="95000"/>
                      <w14:lumOff w14:val="5000"/>
                    </w14:schemeClr>
                  </w14:solidFill>
                </w14:textFill>
              </w:rPr>
            </w:pPr>
            <w:r>
              <w:rPr>
                <w:rFonts w:hint="eastAsia" w:cs="宋体"/>
                <w:snapToGrid w:val="0"/>
                <w:color w:val="0D0D0D" w:themeColor="text1" w:themeTint="F2"/>
                <w:kern w:val="21"/>
                <w:szCs w:val="21"/>
                <w14:textFill>
                  <w14:solidFill>
                    <w14:schemeClr w14:val="tx1">
                      <w14:lumMod w14:val="95000"/>
                      <w14:lumOff w14:val="5000"/>
                    </w14:schemeClr>
                  </w14:solidFill>
                </w14:textFill>
              </w:rPr>
              <w:t>0</w:t>
            </w:r>
          </w:p>
        </w:tc>
        <w:tc>
          <w:tcPr>
            <w:tcW w:w="668" w:type="pct"/>
            <w:vAlign w:val="center"/>
          </w:tcPr>
          <w:p>
            <w:pPr>
              <w:spacing w:line="280" w:lineRule="exact"/>
              <w:jc w:val="center"/>
              <w:rPr>
                <w:rFonts w:cs="宋体"/>
                <w:sz w:val="22"/>
                <w:szCs w:val="22"/>
              </w:rPr>
            </w:pPr>
            <w:r>
              <w:rPr>
                <w:szCs w:val="21"/>
              </w:rPr>
              <w:t>0.</w:t>
            </w:r>
            <w:r>
              <w:rPr>
                <w:rFonts w:hint="eastAsia"/>
                <w:szCs w:val="21"/>
                <w:lang w:val="en-US" w:eastAsia="zh-CN"/>
              </w:rPr>
              <w:t>2299</w:t>
            </w:r>
            <w:r>
              <w:rPr>
                <w:szCs w:val="21"/>
              </w:rPr>
              <w:t>t/a</w:t>
            </w:r>
          </w:p>
        </w:tc>
        <w:tc>
          <w:tcPr>
            <w:tcW w:w="466" w:type="pct"/>
            <w:vAlign w:val="center"/>
          </w:tcPr>
          <w:p>
            <w:pPr>
              <w:spacing w:line="280" w:lineRule="exact"/>
              <w:jc w:val="center"/>
              <w:rPr>
                <w:rFonts w:cs="宋体"/>
                <w:sz w:val="22"/>
                <w:szCs w:val="22"/>
              </w:rPr>
            </w:pPr>
            <w:r>
              <w:rPr>
                <w:rFonts w:hint="eastAsia"/>
                <w:color w:val="0D0D0D" w:themeColor="text1" w:themeTint="F2"/>
                <w:szCs w:val="21"/>
                <w14:textFill>
                  <w14:solidFill>
                    <w14:schemeClr w14:val="tx1">
                      <w14:lumMod w14:val="95000"/>
                      <w14:lumOff w14:val="5000"/>
                    </w14:schemeClr>
                  </w14:solidFill>
                </w14:textFill>
              </w:rPr>
              <w:t>+</w:t>
            </w:r>
            <w:r>
              <w:rPr>
                <w:szCs w:val="21"/>
              </w:rPr>
              <w:t>0.</w:t>
            </w:r>
            <w:r>
              <w:rPr>
                <w:rFonts w:hint="eastAsia"/>
                <w:szCs w:val="21"/>
                <w:lang w:val="en-US" w:eastAsia="zh-CN"/>
              </w:rPr>
              <w:t>2299</w:t>
            </w:r>
            <w:r>
              <w:rPr>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88"/>
              <w:spacing w:beforeLines="0" w:afterLines="0" w:line="280" w:lineRule="exact"/>
              <w:rPr>
                <w:rFonts w:ascii="Times New Roman" w:cs="宋体"/>
                <w:snapToGrid w:val="0"/>
                <w:color w:val="000000"/>
                <w:kern w:val="21"/>
                <w:szCs w:val="21"/>
              </w:rPr>
            </w:pPr>
          </w:p>
        </w:tc>
        <w:tc>
          <w:tcPr>
            <w:tcW w:w="566" w:type="pct"/>
            <w:vAlign w:val="center"/>
          </w:tcPr>
          <w:p>
            <w:pPr>
              <w:snapToGrid w:val="0"/>
              <w:spacing w:line="28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苯乙烯</w:t>
            </w:r>
          </w:p>
        </w:tc>
        <w:tc>
          <w:tcPr>
            <w:tcW w:w="617" w:type="pct"/>
            <w:vAlign w:val="center"/>
          </w:tcPr>
          <w:p>
            <w:pPr>
              <w:pStyle w:val="88"/>
              <w:spacing w:beforeLines="0" w:afterLines="0" w:line="280" w:lineRule="exact"/>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513" w:type="pct"/>
            <w:vAlign w:val="center"/>
          </w:tcPr>
          <w:p>
            <w:pPr>
              <w:pStyle w:val="88"/>
              <w:spacing w:beforeLines="0" w:afterLines="0" w:line="280" w:lineRule="exact"/>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513" w:type="pct"/>
            <w:vAlign w:val="center"/>
          </w:tcPr>
          <w:p>
            <w:pPr>
              <w:pStyle w:val="88"/>
              <w:spacing w:beforeLines="0" w:afterLines="0" w:line="280" w:lineRule="exact"/>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719" w:type="pct"/>
            <w:vAlign w:val="center"/>
          </w:tcPr>
          <w:p>
            <w:pPr>
              <w:spacing w:line="280" w:lineRule="exact"/>
              <w:jc w:val="center"/>
              <w:rPr>
                <w:rFonts w:hint="default" w:eastAsia="宋体"/>
                <w:szCs w:val="21"/>
                <w:lang w:val="en-US" w:eastAsia="zh-CN"/>
              </w:rPr>
            </w:pPr>
            <w:r>
              <w:rPr>
                <w:rFonts w:hint="eastAsia"/>
                <w:szCs w:val="21"/>
                <w:lang w:val="en-US" w:eastAsia="zh-CN"/>
              </w:rPr>
              <w:t>0.00008</w:t>
            </w:r>
            <w:r>
              <w:rPr>
                <w:szCs w:val="21"/>
              </w:rPr>
              <w:t>t/a</w:t>
            </w:r>
          </w:p>
        </w:tc>
        <w:tc>
          <w:tcPr>
            <w:tcW w:w="513" w:type="pct"/>
            <w:vAlign w:val="center"/>
          </w:tcPr>
          <w:p>
            <w:pPr>
              <w:spacing w:line="280" w:lineRule="exact"/>
              <w:jc w:val="center"/>
              <w:rPr>
                <w:rFonts w:hint="eastAsia" w:cs="宋体"/>
                <w:snapToGrid w:val="0"/>
                <w:color w:val="0D0D0D" w:themeColor="text1" w:themeTint="F2"/>
                <w:kern w:val="21"/>
                <w:szCs w:val="21"/>
                <w14:textFill>
                  <w14:solidFill>
                    <w14:schemeClr w14:val="tx1">
                      <w14:lumMod w14:val="95000"/>
                      <w14:lumOff w14:val="5000"/>
                    </w14:schemeClr>
                  </w14:solidFill>
                </w14:textFill>
              </w:rPr>
            </w:pPr>
            <w:r>
              <w:rPr>
                <w:rFonts w:hint="eastAsia" w:cs="宋体"/>
                <w:snapToGrid w:val="0"/>
                <w:color w:val="0D0D0D" w:themeColor="text1" w:themeTint="F2"/>
                <w:kern w:val="21"/>
                <w:szCs w:val="21"/>
                <w14:textFill>
                  <w14:solidFill>
                    <w14:schemeClr w14:val="tx1">
                      <w14:lumMod w14:val="95000"/>
                      <w14:lumOff w14:val="5000"/>
                    </w14:schemeClr>
                  </w14:solidFill>
                </w14:textFill>
              </w:rPr>
              <w:t>0</w:t>
            </w:r>
          </w:p>
        </w:tc>
        <w:tc>
          <w:tcPr>
            <w:tcW w:w="668" w:type="pct"/>
            <w:vAlign w:val="center"/>
          </w:tcPr>
          <w:p>
            <w:pPr>
              <w:spacing w:line="280" w:lineRule="exact"/>
              <w:jc w:val="center"/>
              <w:rPr>
                <w:rFonts w:hint="eastAsia"/>
                <w:szCs w:val="21"/>
              </w:rPr>
            </w:pPr>
            <w:r>
              <w:rPr>
                <w:rFonts w:hint="eastAsia"/>
                <w:szCs w:val="21"/>
                <w:lang w:val="en-US" w:eastAsia="zh-CN"/>
              </w:rPr>
              <w:t>0.00008</w:t>
            </w:r>
            <w:r>
              <w:rPr>
                <w:szCs w:val="21"/>
              </w:rPr>
              <w:t>t/a</w:t>
            </w:r>
          </w:p>
        </w:tc>
        <w:tc>
          <w:tcPr>
            <w:tcW w:w="466" w:type="pct"/>
            <w:vAlign w:val="center"/>
          </w:tcPr>
          <w:p>
            <w:pPr>
              <w:spacing w:line="280" w:lineRule="exact"/>
              <w:jc w:val="center"/>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r>
              <w:rPr>
                <w:rFonts w:hint="eastAsia"/>
                <w:szCs w:val="21"/>
                <w:lang w:val="en-US" w:eastAsia="zh-CN"/>
              </w:rPr>
              <w:t>0.00008</w:t>
            </w:r>
            <w:r>
              <w:rPr>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88"/>
              <w:spacing w:beforeLines="0" w:afterLines="0" w:line="280" w:lineRule="exact"/>
              <w:rPr>
                <w:rFonts w:ascii="Times New Roman" w:cs="宋体"/>
                <w:snapToGrid w:val="0"/>
                <w:color w:val="000000"/>
                <w:kern w:val="21"/>
                <w:szCs w:val="21"/>
              </w:rPr>
            </w:pPr>
          </w:p>
        </w:tc>
        <w:tc>
          <w:tcPr>
            <w:tcW w:w="566" w:type="pct"/>
            <w:vAlign w:val="center"/>
          </w:tcPr>
          <w:p>
            <w:pPr>
              <w:snapToGrid w:val="0"/>
              <w:spacing w:line="28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颗粒物</w:t>
            </w:r>
          </w:p>
        </w:tc>
        <w:tc>
          <w:tcPr>
            <w:tcW w:w="617"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513"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513"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719" w:type="pct"/>
            <w:vAlign w:val="center"/>
          </w:tcPr>
          <w:p>
            <w:pPr>
              <w:spacing w:line="280" w:lineRule="exact"/>
              <w:jc w:val="center"/>
              <w:rPr>
                <w:szCs w:val="21"/>
              </w:rPr>
            </w:pPr>
            <w:r>
              <w:rPr>
                <w:rFonts w:hint="eastAsia"/>
                <w:szCs w:val="21"/>
              </w:rPr>
              <w:t>0.</w:t>
            </w:r>
            <w:r>
              <w:rPr>
                <w:rFonts w:hint="eastAsia"/>
                <w:szCs w:val="21"/>
                <w:lang w:val="en-US" w:eastAsia="zh-CN"/>
              </w:rPr>
              <w:t>0144</w:t>
            </w:r>
            <w:r>
              <w:rPr>
                <w:szCs w:val="21"/>
              </w:rPr>
              <w:t>t/a</w:t>
            </w:r>
          </w:p>
        </w:tc>
        <w:tc>
          <w:tcPr>
            <w:tcW w:w="513" w:type="pct"/>
            <w:vAlign w:val="center"/>
          </w:tcPr>
          <w:p>
            <w:pPr>
              <w:spacing w:line="280" w:lineRule="exact"/>
              <w:jc w:val="center"/>
              <w:rPr>
                <w:color w:val="0D0D0D" w:themeColor="text1" w:themeTint="F2"/>
                <w:sz w:val="22"/>
                <w:szCs w:val="22"/>
                <w14:textFill>
                  <w14:solidFill>
                    <w14:schemeClr w14:val="tx1">
                      <w14:lumMod w14:val="95000"/>
                      <w14:lumOff w14:val="5000"/>
                    </w14:schemeClr>
                  </w14:solidFill>
                </w14:textFill>
              </w:rPr>
            </w:pPr>
            <w:r>
              <w:rPr>
                <w:rFonts w:hint="eastAsia" w:cs="宋体"/>
                <w:snapToGrid w:val="0"/>
                <w:color w:val="0D0D0D" w:themeColor="text1" w:themeTint="F2"/>
                <w:kern w:val="21"/>
                <w:szCs w:val="21"/>
                <w14:textFill>
                  <w14:solidFill>
                    <w14:schemeClr w14:val="tx1">
                      <w14:lumMod w14:val="95000"/>
                      <w14:lumOff w14:val="5000"/>
                    </w14:schemeClr>
                  </w14:solidFill>
                </w14:textFill>
              </w:rPr>
              <w:t>0</w:t>
            </w:r>
          </w:p>
        </w:tc>
        <w:tc>
          <w:tcPr>
            <w:tcW w:w="668" w:type="pct"/>
            <w:vAlign w:val="center"/>
          </w:tcPr>
          <w:p>
            <w:pPr>
              <w:spacing w:line="280" w:lineRule="exact"/>
              <w:jc w:val="center"/>
              <w:rPr>
                <w:szCs w:val="21"/>
              </w:rPr>
            </w:pPr>
            <w:r>
              <w:rPr>
                <w:rFonts w:hint="eastAsia"/>
                <w:szCs w:val="21"/>
              </w:rPr>
              <w:t>0.</w:t>
            </w:r>
            <w:r>
              <w:rPr>
                <w:rFonts w:hint="eastAsia"/>
                <w:szCs w:val="21"/>
                <w:lang w:val="en-US" w:eastAsia="zh-CN"/>
              </w:rPr>
              <w:t>0144</w:t>
            </w:r>
            <w:r>
              <w:rPr>
                <w:szCs w:val="21"/>
              </w:rPr>
              <w:t>t/a</w:t>
            </w:r>
          </w:p>
        </w:tc>
        <w:tc>
          <w:tcPr>
            <w:tcW w:w="466" w:type="pct"/>
            <w:vAlign w:val="center"/>
          </w:tcPr>
          <w:p>
            <w:pPr>
              <w:spacing w:line="280" w:lineRule="exact"/>
              <w:jc w:val="center"/>
              <w:rPr>
                <w:szCs w:val="21"/>
              </w:rPr>
            </w:pPr>
            <w:r>
              <w:rPr>
                <w:rFonts w:hint="eastAsia"/>
                <w:color w:val="0D0D0D" w:themeColor="text1" w:themeTint="F2"/>
                <w:szCs w:val="21"/>
                <w14:textFill>
                  <w14:solidFill>
                    <w14:schemeClr w14:val="tx1">
                      <w14:lumMod w14:val="95000"/>
                      <w14:lumOff w14:val="5000"/>
                    </w14:schemeClr>
                  </w14:solidFill>
                </w14:textFill>
              </w:rPr>
              <w:t>+</w:t>
            </w:r>
            <w:r>
              <w:rPr>
                <w:rFonts w:hint="eastAsia"/>
                <w:szCs w:val="21"/>
              </w:rPr>
              <w:t>0.</w:t>
            </w:r>
            <w:r>
              <w:rPr>
                <w:rFonts w:hint="eastAsia"/>
                <w:szCs w:val="21"/>
                <w:lang w:val="en-US" w:eastAsia="zh-CN"/>
              </w:rPr>
              <w:t>0144</w:t>
            </w:r>
            <w:r>
              <w:rPr>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restar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废水</w:t>
            </w:r>
          </w:p>
        </w:tc>
        <w:tc>
          <w:tcPr>
            <w:tcW w:w="566" w:type="pct"/>
            <w:vAlign w:val="center"/>
          </w:tcPr>
          <w:p>
            <w:pPr>
              <w:spacing w:line="280" w:lineRule="exact"/>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p</w:t>
            </w:r>
            <w:r>
              <w:rPr>
                <w:color w:val="0D0D0D" w:themeColor="text1" w:themeTint="F2"/>
                <w:szCs w:val="21"/>
                <w14:textFill>
                  <w14:solidFill>
                    <w14:schemeClr w14:val="tx1">
                      <w14:lumMod w14:val="95000"/>
                      <w14:lumOff w14:val="5000"/>
                    </w14:schemeClr>
                  </w14:solidFill>
                </w14:textFill>
              </w:rPr>
              <w:t>H</w:t>
            </w:r>
          </w:p>
        </w:tc>
        <w:tc>
          <w:tcPr>
            <w:tcW w:w="617"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w:t>
            </w:r>
          </w:p>
        </w:tc>
        <w:tc>
          <w:tcPr>
            <w:tcW w:w="513"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w:t>
            </w:r>
          </w:p>
        </w:tc>
        <w:tc>
          <w:tcPr>
            <w:tcW w:w="513"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w:t>
            </w:r>
          </w:p>
        </w:tc>
        <w:tc>
          <w:tcPr>
            <w:tcW w:w="719" w:type="pct"/>
            <w:vAlign w:val="center"/>
          </w:tcPr>
          <w:p>
            <w:pPr>
              <w:spacing w:line="280" w:lineRule="exact"/>
              <w:ind w:left="-105" w:leftChars="-50"/>
              <w:jc w:val="center"/>
              <w:rPr>
                <w:color w:val="0D0D0D" w:themeColor="text1" w:themeTint="F2"/>
                <w:szCs w:val="21"/>
                <w14:textFill>
                  <w14:solidFill>
                    <w14:schemeClr w14:val="tx1">
                      <w14:lumMod w14:val="95000"/>
                      <w14:lumOff w14:val="5000"/>
                    </w14:schemeClr>
                  </w14:solidFill>
                </w14:textFill>
              </w:rPr>
            </w:pPr>
            <w:r>
              <w:rPr>
                <w:rFonts w:hint="eastAsia" w:cs="宋体"/>
                <w:snapToGrid w:val="0"/>
                <w:color w:val="0D0D0D" w:themeColor="text1" w:themeTint="F2"/>
                <w:kern w:val="21"/>
                <w:szCs w:val="21"/>
                <w14:textFill>
                  <w14:solidFill>
                    <w14:schemeClr w14:val="tx1">
                      <w14:lumMod w14:val="95000"/>
                      <w14:lumOff w14:val="5000"/>
                    </w14:schemeClr>
                  </w14:solidFill>
                </w14:textFill>
              </w:rPr>
              <w:t>/</w:t>
            </w:r>
          </w:p>
        </w:tc>
        <w:tc>
          <w:tcPr>
            <w:tcW w:w="513"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w:t>
            </w:r>
          </w:p>
        </w:tc>
        <w:tc>
          <w:tcPr>
            <w:tcW w:w="668" w:type="pct"/>
            <w:vAlign w:val="center"/>
          </w:tcPr>
          <w:p>
            <w:pPr>
              <w:spacing w:line="280" w:lineRule="exact"/>
              <w:ind w:left="-105" w:leftChars="-5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466" w:type="pct"/>
            <w:vAlign w:val="center"/>
          </w:tcPr>
          <w:p>
            <w:pPr>
              <w:spacing w:line="280" w:lineRule="exact"/>
              <w:ind w:left="-105" w:leftChars="-5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88"/>
              <w:spacing w:beforeLines="0" w:afterLines="0" w:line="280" w:lineRule="exact"/>
              <w:rPr>
                <w:rFonts w:ascii="Times New Roman" w:cs="宋体"/>
                <w:snapToGrid w:val="0"/>
                <w:color w:val="000000"/>
                <w:kern w:val="21"/>
                <w:szCs w:val="21"/>
              </w:rPr>
            </w:pPr>
          </w:p>
        </w:tc>
        <w:tc>
          <w:tcPr>
            <w:tcW w:w="566" w:type="pct"/>
            <w:vAlign w:val="center"/>
          </w:tcPr>
          <w:p>
            <w:pPr>
              <w:spacing w:line="280" w:lineRule="exact"/>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COD</w:t>
            </w:r>
          </w:p>
        </w:tc>
        <w:tc>
          <w:tcPr>
            <w:tcW w:w="617"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513"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513"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719" w:type="pct"/>
            <w:vAlign w:val="center"/>
          </w:tcPr>
          <w:p>
            <w:pPr>
              <w:pStyle w:val="88"/>
              <w:tabs>
                <w:tab w:val="left" w:pos="406"/>
                <w:tab w:val="center" w:pos="963"/>
              </w:tabs>
              <w:spacing w:beforeLines="0" w:afterLines="0" w:line="280" w:lineRule="exact"/>
              <w:jc w:val="center"/>
              <w:rPr>
                <w:rFonts w:ascii="Times New Roman"/>
                <w:snapToGrid w:val="0"/>
                <w:kern w:val="21"/>
                <w:szCs w:val="21"/>
              </w:rPr>
            </w:pPr>
            <w:r>
              <w:rPr>
                <w:rFonts w:hint="eastAsia" w:ascii="Times New Roman"/>
                <w:snapToGrid w:val="0"/>
                <w:kern w:val="21"/>
                <w:szCs w:val="21"/>
              </w:rPr>
              <w:t>0</w:t>
            </w:r>
            <w:r>
              <w:rPr>
                <w:rFonts w:ascii="Times New Roman"/>
                <w:snapToGrid w:val="0"/>
                <w:kern w:val="21"/>
                <w:szCs w:val="21"/>
              </w:rPr>
              <w:t>.</w:t>
            </w:r>
            <w:r>
              <w:rPr>
                <w:rFonts w:hint="eastAsia" w:ascii="Times New Roman"/>
                <w:snapToGrid w:val="0"/>
                <w:kern w:val="21"/>
                <w:szCs w:val="21"/>
                <w:lang w:val="en-US" w:eastAsia="zh-CN"/>
              </w:rPr>
              <w:t>0360</w:t>
            </w:r>
            <w:r>
              <w:rPr>
                <w:rFonts w:ascii="Times New Roman"/>
                <w:szCs w:val="21"/>
              </w:rPr>
              <w:t xml:space="preserve"> t/a</w:t>
            </w:r>
          </w:p>
        </w:tc>
        <w:tc>
          <w:tcPr>
            <w:tcW w:w="513" w:type="pct"/>
            <w:vAlign w:val="center"/>
          </w:tcPr>
          <w:p>
            <w:pPr>
              <w:pStyle w:val="88"/>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668" w:type="pct"/>
            <w:vAlign w:val="center"/>
          </w:tcPr>
          <w:p>
            <w:pPr>
              <w:pStyle w:val="88"/>
              <w:tabs>
                <w:tab w:val="left" w:pos="406"/>
                <w:tab w:val="center" w:pos="963"/>
              </w:tabs>
              <w:spacing w:beforeLines="0" w:afterLines="0" w:line="280" w:lineRule="exact"/>
              <w:jc w:val="center"/>
              <w:rPr>
                <w:rFonts w:ascii="Times New Roman" w:hAnsi="Times New Roman" w:eastAsia="宋体" w:cs="Times New Roman"/>
                <w:snapToGrid w:val="0"/>
                <w:kern w:val="21"/>
                <w:sz w:val="21"/>
                <w:szCs w:val="21"/>
                <w:lang w:val="en-US" w:eastAsia="zh-CN" w:bidi="ar-SA"/>
              </w:rPr>
            </w:pPr>
            <w:r>
              <w:rPr>
                <w:rFonts w:hint="eastAsia" w:ascii="Times New Roman"/>
                <w:snapToGrid w:val="0"/>
                <w:kern w:val="21"/>
                <w:szCs w:val="21"/>
              </w:rPr>
              <w:t>0</w:t>
            </w:r>
            <w:r>
              <w:rPr>
                <w:rFonts w:ascii="Times New Roman"/>
                <w:snapToGrid w:val="0"/>
                <w:kern w:val="21"/>
                <w:szCs w:val="21"/>
              </w:rPr>
              <w:t>.</w:t>
            </w:r>
            <w:r>
              <w:rPr>
                <w:rFonts w:hint="eastAsia" w:ascii="Times New Roman"/>
                <w:snapToGrid w:val="0"/>
                <w:kern w:val="21"/>
                <w:szCs w:val="21"/>
                <w:lang w:val="en-US" w:eastAsia="zh-CN"/>
              </w:rPr>
              <w:t>0360</w:t>
            </w:r>
            <w:r>
              <w:rPr>
                <w:rFonts w:ascii="Times New Roman"/>
                <w:szCs w:val="21"/>
              </w:rPr>
              <w:t xml:space="preserve"> t/a</w:t>
            </w:r>
          </w:p>
        </w:tc>
        <w:tc>
          <w:tcPr>
            <w:tcW w:w="466" w:type="pct"/>
            <w:vAlign w:val="center"/>
          </w:tcPr>
          <w:p>
            <w:pPr>
              <w:pStyle w:val="88"/>
              <w:tabs>
                <w:tab w:val="left" w:pos="406"/>
                <w:tab w:val="center" w:pos="963"/>
              </w:tabs>
              <w:spacing w:beforeLines="0" w:afterLines="0" w:line="280" w:lineRule="exact"/>
              <w:jc w:val="center"/>
              <w:rPr>
                <w:rFonts w:ascii="Times New Roman" w:hAnsi="Times New Roman" w:eastAsia="宋体" w:cs="Times New Roman"/>
                <w:snapToGrid w:val="0"/>
                <w:kern w:val="21"/>
                <w:sz w:val="21"/>
                <w:szCs w:val="21"/>
                <w:lang w:val="en-US" w:eastAsia="zh-CN" w:bidi="ar-SA"/>
              </w:rPr>
            </w:pPr>
            <w:r>
              <w:rPr>
                <w:rFonts w:hint="eastAsia" w:ascii="Times New Roman"/>
                <w:snapToGrid w:val="0"/>
                <w:kern w:val="21"/>
                <w:szCs w:val="21"/>
                <w:lang w:val="en-US" w:eastAsia="zh-CN"/>
              </w:rPr>
              <w:t>+</w:t>
            </w:r>
            <w:r>
              <w:rPr>
                <w:rFonts w:hint="eastAsia" w:ascii="Times New Roman"/>
                <w:snapToGrid w:val="0"/>
                <w:kern w:val="21"/>
                <w:szCs w:val="21"/>
              </w:rPr>
              <w:t>0</w:t>
            </w:r>
            <w:r>
              <w:rPr>
                <w:rFonts w:ascii="Times New Roman"/>
                <w:snapToGrid w:val="0"/>
                <w:kern w:val="21"/>
                <w:szCs w:val="21"/>
              </w:rPr>
              <w:t>.</w:t>
            </w:r>
            <w:r>
              <w:rPr>
                <w:rFonts w:hint="eastAsia" w:ascii="Times New Roman"/>
                <w:snapToGrid w:val="0"/>
                <w:kern w:val="21"/>
                <w:szCs w:val="21"/>
                <w:lang w:val="en-US" w:eastAsia="zh-CN"/>
              </w:rPr>
              <w:t>0360</w:t>
            </w:r>
            <w:r>
              <w:rPr>
                <w:rFonts w:ascii="Times New Roman"/>
                <w:szCs w:val="21"/>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88"/>
              <w:spacing w:beforeLines="0" w:afterLines="0" w:line="280" w:lineRule="exact"/>
              <w:rPr>
                <w:rFonts w:ascii="Times New Roman" w:cs="宋体"/>
                <w:snapToGrid w:val="0"/>
                <w:color w:val="000000"/>
                <w:kern w:val="21"/>
                <w:szCs w:val="21"/>
              </w:rPr>
            </w:pPr>
          </w:p>
        </w:tc>
        <w:tc>
          <w:tcPr>
            <w:tcW w:w="566" w:type="pct"/>
            <w:vAlign w:val="center"/>
          </w:tcPr>
          <w:p>
            <w:pPr>
              <w:spacing w:line="280" w:lineRule="exact"/>
              <w:ind w:left="-105" w:leftChars="-50" w:right="-105" w:rightChars="-50"/>
              <w:jc w:val="center"/>
              <w:rPr>
                <w:color w:val="000000"/>
                <w:szCs w:val="21"/>
              </w:rPr>
            </w:pPr>
            <w:r>
              <w:rPr>
                <w:color w:val="000000"/>
                <w:szCs w:val="21"/>
              </w:rPr>
              <w:t>BOD</w:t>
            </w:r>
            <w:r>
              <w:rPr>
                <w:color w:val="000000"/>
                <w:szCs w:val="21"/>
                <w:vertAlign w:val="subscript"/>
              </w:rPr>
              <w:t>5</w:t>
            </w:r>
          </w:p>
        </w:tc>
        <w:tc>
          <w:tcPr>
            <w:tcW w:w="617"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719" w:type="pct"/>
            <w:vAlign w:val="center"/>
          </w:tcPr>
          <w:p>
            <w:pPr>
              <w:pStyle w:val="88"/>
              <w:spacing w:beforeLines="0" w:afterLines="0" w:line="280" w:lineRule="exact"/>
              <w:rPr>
                <w:rFonts w:ascii="Times New Roman"/>
                <w:snapToGrid w:val="0"/>
                <w:kern w:val="21"/>
                <w:szCs w:val="21"/>
              </w:rPr>
            </w:pPr>
            <w:r>
              <w:rPr>
                <w:rFonts w:ascii="Times New Roman"/>
                <w:snapToGrid w:val="0"/>
                <w:kern w:val="21"/>
                <w:szCs w:val="21"/>
              </w:rPr>
              <w:t>0.</w:t>
            </w:r>
            <w:r>
              <w:rPr>
                <w:rFonts w:hint="eastAsia" w:ascii="Times New Roman"/>
                <w:snapToGrid w:val="0"/>
                <w:kern w:val="21"/>
                <w:szCs w:val="21"/>
                <w:lang w:val="en-US" w:eastAsia="zh-CN"/>
              </w:rPr>
              <w:t>0216</w:t>
            </w:r>
            <w:r>
              <w:rPr>
                <w:rFonts w:ascii="Times New Roman"/>
                <w:szCs w:val="21"/>
              </w:rPr>
              <w:t xml:space="preserve"> t/a</w:t>
            </w:r>
          </w:p>
        </w:tc>
        <w:tc>
          <w:tcPr>
            <w:tcW w:w="513" w:type="pct"/>
            <w:vAlign w:val="center"/>
          </w:tcPr>
          <w:p>
            <w:pPr>
              <w:pStyle w:val="88"/>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668" w:type="pct"/>
            <w:vAlign w:val="center"/>
          </w:tcPr>
          <w:p>
            <w:pPr>
              <w:pStyle w:val="88"/>
              <w:spacing w:beforeLines="0" w:afterLines="0" w:line="280" w:lineRule="exact"/>
              <w:rPr>
                <w:rFonts w:ascii="Times New Roman" w:hAnsi="Times New Roman" w:eastAsia="宋体" w:cs="Times New Roman"/>
                <w:snapToGrid w:val="0"/>
                <w:kern w:val="21"/>
                <w:sz w:val="21"/>
                <w:szCs w:val="21"/>
                <w:lang w:val="en-US" w:eastAsia="zh-CN" w:bidi="ar-SA"/>
              </w:rPr>
            </w:pPr>
            <w:r>
              <w:rPr>
                <w:rFonts w:ascii="Times New Roman"/>
                <w:snapToGrid w:val="0"/>
                <w:kern w:val="21"/>
                <w:szCs w:val="21"/>
              </w:rPr>
              <w:t>0.</w:t>
            </w:r>
            <w:r>
              <w:rPr>
                <w:rFonts w:hint="eastAsia" w:ascii="Times New Roman"/>
                <w:snapToGrid w:val="0"/>
                <w:kern w:val="21"/>
                <w:szCs w:val="21"/>
                <w:lang w:val="en-US" w:eastAsia="zh-CN"/>
              </w:rPr>
              <w:t>0216</w:t>
            </w:r>
            <w:r>
              <w:rPr>
                <w:rFonts w:ascii="Times New Roman"/>
                <w:szCs w:val="21"/>
              </w:rPr>
              <w:t xml:space="preserve"> t/a</w:t>
            </w:r>
          </w:p>
        </w:tc>
        <w:tc>
          <w:tcPr>
            <w:tcW w:w="466" w:type="pct"/>
            <w:vAlign w:val="center"/>
          </w:tcPr>
          <w:p>
            <w:pPr>
              <w:pStyle w:val="88"/>
              <w:spacing w:beforeLines="0" w:afterLines="0" w:line="280" w:lineRule="exact"/>
              <w:rPr>
                <w:rFonts w:ascii="Times New Roman" w:hAnsi="Times New Roman" w:eastAsia="宋体" w:cs="Times New Roman"/>
                <w:snapToGrid w:val="0"/>
                <w:kern w:val="21"/>
                <w:sz w:val="21"/>
                <w:szCs w:val="21"/>
                <w:lang w:val="en-US" w:eastAsia="zh-CN" w:bidi="ar-SA"/>
              </w:rPr>
            </w:pPr>
            <w:r>
              <w:rPr>
                <w:rFonts w:hint="eastAsia" w:ascii="Times New Roman"/>
                <w:snapToGrid w:val="0"/>
                <w:kern w:val="21"/>
                <w:szCs w:val="21"/>
                <w:lang w:val="en-US" w:eastAsia="zh-CN"/>
              </w:rPr>
              <w:t>+</w:t>
            </w:r>
            <w:r>
              <w:rPr>
                <w:rFonts w:ascii="Times New Roman"/>
                <w:snapToGrid w:val="0"/>
                <w:kern w:val="21"/>
                <w:szCs w:val="21"/>
              </w:rPr>
              <w:t>0.</w:t>
            </w:r>
            <w:r>
              <w:rPr>
                <w:rFonts w:hint="eastAsia" w:ascii="Times New Roman"/>
                <w:snapToGrid w:val="0"/>
                <w:kern w:val="21"/>
                <w:szCs w:val="21"/>
                <w:lang w:val="en-US" w:eastAsia="zh-CN"/>
              </w:rPr>
              <w:t>0216</w:t>
            </w:r>
            <w:r>
              <w:rPr>
                <w:rFonts w:ascii="Times New Roman"/>
                <w:szCs w:val="21"/>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88"/>
              <w:spacing w:beforeLines="0" w:afterLines="0" w:line="280" w:lineRule="exact"/>
              <w:rPr>
                <w:rFonts w:ascii="Times New Roman" w:cs="宋体"/>
                <w:snapToGrid w:val="0"/>
                <w:color w:val="000000"/>
                <w:kern w:val="21"/>
                <w:szCs w:val="21"/>
              </w:rPr>
            </w:pPr>
          </w:p>
        </w:tc>
        <w:tc>
          <w:tcPr>
            <w:tcW w:w="566" w:type="pct"/>
            <w:vAlign w:val="center"/>
          </w:tcPr>
          <w:p>
            <w:pPr>
              <w:spacing w:line="280" w:lineRule="exact"/>
              <w:ind w:left="-105" w:leftChars="-50" w:right="-105" w:rightChars="-50"/>
              <w:jc w:val="center"/>
              <w:rPr>
                <w:color w:val="000000"/>
                <w:szCs w:val="21"/>
              </w:rPr>
            </w:pPr>
            <w:r>
              <w:rPr>
                <w:color w:val="000000"/>
                <w:szCs w:val="21"/>
              </w:rPr>
              <w:t>SS</w:t>
            </w:r>
          </w:p>
        </w:tc>
        <w:tc>
          <w:tcPr>
            <w:tcW w:w="617"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719" w:type="pct"/>
            <w:vAlign w:val="center"/>
          </w:tcPr>
          <w:p>
            <w:pPr>
              <w:pStyle w:val="88"/>
              <w:spacing w:beforeLines="0" w:afterLines="0" w:line="280" w:lineRule="exact"/>
              <w:rPr>
                <w:rFonts w:ascii="Times New Roman"/>
                <w:snapToGrid w:val="0"/>
                <w:kern w:val="21"/>
                <w:szCs w:val="21"/>
              </w:rPr>
            </w:pPr>
            <w:r>
              <w:rPr>
                <w:rFonts w:ascii="Times New Roman"/>
                <w:snapToGrid w:val="0"/>
                <w:kern w:val="21"/>
                <w:szCs w:val="21"/>
              </w:rPr>
              <w:t>0.</w:t>
            </w:r>
            <w:r>
              <w:rPr>
                <w:rFonts w:hint="eastAsia" w:ascii="Times New Roman"/>
                <w:snapToGrid w:val="0"/>
                <w:kern w:val="21"/>
                <w:szCs w:val="21"/>
                <w:lang w:val="en-US" w:eastAsia="zh-CN"/>
              </w:rPr>
              <w:t>0126</w:t>
            </w:r>
            <w:r>
              <w:rPr>
                <w:rFonts w:ascii="Times New Roman"/>
                <w:szCs w:val="21"/>
              </w:rPr>
              <w:t xml:space="preserve"> t/a</w:t>
            </w:r>
          </w:p>
        </w:tc>
        <w:tc>
          <w:tcPr>
            <w:tcW w:w="513" w:type="pct"/>
            <w:vAlign w:val="center"/>
          </w:tcPr>
          <w:p>
            <w:pPr>
              <w:pStyle w:val="88"/>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668" w:type="pct"/>
            <w:vAlign w:val="center"/>
          </w:tcPr>
          <w:p>
            <w:pPr>
              <w:pStyle w:val="88"/>
              <w:spacing w:beforeLines="0" w:afterLines="0" w:line="280" w:lineRule="exact"/>
              <w:rPr>
                <w:rFonts w:ascii="Times New Roman" w:hAnsi="Times New Roman" w:eastAsia="宋体" w:cs="Times New Roman"/>
                <w:snapToGrid w:val="0"/>
                <w:kern w:val="21"/>
                <w:sz w:val="21"/>
                <w:szCs w:val="21"/>
                <w:lang w:val="en-US" w:eastAsia="zh-CN" w:bidi="ar-SA"/>
              </w:rPr>
            </w:pPr>
            <w:r>
              <w:rPr>
                <w:rFonts w:ascii="Times New Roman"/>
                <w:snapToGrid w:val="0"/>
                <w:kern w:val="21"/>
                <w:szCs w:val="21"/>
              </w:rPr>
              <w:t>0.</w:t>
            </w:r>
            <w:r>
              <w:rPr>
                <w:rFonts w:hint="eastAsia" w:ascii="Times New Roman"/>
                <w:snapToGrid w:val="0"/>
                <w:kern w:val="21"/>
                <w:szCs w:val="21"/>
                <w:lang w:val="en-US" w:eastAsia="zh-CN"/>
              </w:rPr>
              <w:t>0126</w:t>
            </w:r>
            <w:r>
              <w:rPr>
                <w:rFonts w:ascii="Times New Roman"/>
                <w:szCs w:val="21"/>
              </w:rPr>
              <w:t xml:space="preserve"> t/a</w:t>
            </w:r>
          </w:p>
        </w:tc>
        <w:tc>
          <w:tcPr>
            <w:tcW w:w="466" w:type="pct"/>
            <w:vAlign w:val="center"/>
          </w:tcPr>
          <w:p>
            <w:pPr>
              <w:pStyle w:val="88"/>
              <w:spacing w:beforeLines="0" w:afterLines="0" w:line="280" w:lineRule="exact"/>
              <w:rPr>
                <w:rFonts w:ascii="Times New Roman" w:hAnsi="Times New Roman" w:eastAsia="宋体" w:cs="Times New Roman"/>
                <w:snapToGrid w:val="0"/>
                <w:kern w:val="21"/>
                <w:sz w:val="21"/>
                <w:szCs w:val="21"/>
                <w:lang w:val="en-US" w:eastAsia="zh-CN" w:bidi="ar-SA"/>
              </w:rPr>
            </w:pPr>
            <w:r>
              <w:rPr>
                <w:rFonts w:hint="eastAsia" w:ascii="Times New Roman"/>
                <w:snapToGrid w:val="0"/>
                <w:kern w:val="21"/>
                <w:szCs w:val="21"/>
                <w:lang w:val="en-US" w:eastAsia="zh-CN"/>
              </w:rPr>
              <w:t>+</w:t>
            </w:r>
            <w:r>
              <w:rPr>
                <w:rFonts w:ascii="Times New Roman"/>
                <w:snapToGrid w:val="0"/>
                <w:kern w:val="21"/>
                <w:szCs w:val="21"/>
              </w:rPr>
              <w:t>0.</w:t>
            </w:r>
            <w:r>
              <w:rPr>
                <w:rFonts w:hint="eastAsia" w:ascii="Times New Roman"/>
                <w:snapToGrid w:val="0"/>
                <w:kern w:val="21"/>
                <w:szCs w:val="21"/>
                <w:lang w:val="en-US" w:eastAsia="zh-CN"/>
              </w:rPr>
              <w:t>0126</w:t>
            </w:r>
            <w:r>
              <w:rPr>
                <w:rFonts w:ascii="Times New Roman"/>
                <w:szCs w:val="21"/>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88"/>
              <w:spacing w:beforeLines="0" w:afterLines="0" w:line="280" w:lineRule="exact"/>
              <w:rPr>
                <w:rFonts w:ascii="Times New Roman" w:cs="宋体"/>
                <w:snapToGrid w:val="0"/>
                <w:color w:val="000000"/>
                <w:kern w:val="21"/>
                <w:szCs w:val="21"/>
              </w:rPr>
            </w:pPr>
          </w:p>
        </w:tc>
        <w:tc>
          <w:tcPr>
            <w:tcW w:w="566" w:type="pct"/>
            <w:vAlign w:val="center"/>
          </w:tcPr>
          <w:p>
            <w:pPr>
              <w:spacing w:line="280" w:lineRule="exact"/>
              <w:ind w:left="-105" w:leftChars="-50" w:right="-105" w:rightChars="-50"/>
              <w:jc w:val="center"/>
              <w:rPr>
                <w:color w:val="000000"/>
                <w:szCs w:val="21"/>
              </w:rPr>
            </w:pPr>
            <w:r>
              <w:rPr>
                <w:color w:val="000000"/>
                <w:szCs w:val="21"/>
              </w:rPr>
              <w:t>氨氮</w:t>
            </w:r>
          </w:p>
        </w:tc>
        <w:tc>
          <w:tcPr>
            <w:tcW w:w="617"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719" w:type="pct"/>
            <w:vAlign w:val="center"/>
          </w:tcPr>
          <w:p>
            <w:pPr>
              <w:pStyle w:val="88"/>
              <w:spacing w:beforeLines="0" w:afterLines="0" w:line="280" w:lineRule="exact"/>
              <w:rPr>
                <w:rFonts w:ascii="Times New Roman"/>
                <w:snapToGrid w:val="0"/>
                <w:kern w:val="21"/>
                <w:szCs w:val="21"/>
              </w:rPr>
            </w:pPr>
            <w:r>
              <w:rPr>
                <w:rFonts w:ascii="Times New Roman"/>
                <w:snapToGrid w:val="0"/>
                <w:kern w:val="21"/>
                <w:szCs w:val="21"/>
              </w:rPr>
              <w:t>0.</w:t>
            </w:r>
            <w:r>
              <w:rPr>
                <w:rFonts w:hint="eastAsia" w:ascii="Times New Roman"/>
                <w:snapToGrid w:val="0"/>
                <w:kern w:val="21"/>
                <w:szCs w:val="21"/>
              </w:rPr>
              <w:t>0</w:t>
            </w:r>
            <w:r>
              <w:rPr>
                <w:rFonts w:hint="eastAsia" w:ascii="Times New Roman"/>
                <w:snapToGrid w:val="0"/>
                <w:kern w:val="21"/>
                <w:szCs w:val="21"/>
                <w:lang w:val="en-US" w:eastAsia="zh-CN"/>
              </w:rPr>
              <w:t>032</w:t>
            </w:r>
            <w:r>
              <w:rPr>
                <w:rFonts w:ascii="Times New Roman"/>
                <w:szCs w:val="21"/>
              </w:rPr>
              <w:t xml:space="preserve"> t/a</w:t>
            </w:r>
          </w:p>
        </w:tc>
        <w:tc>
          <w:tcPr>
            <w:tcW w:w="513" w:type="pct"/>
            <w:vAlign w:val="center"/>
          </w:tcPr>
          <w:p>
            <w:pPr>
              <w:pStyle w:val="88"/>
              <w:spacing w:beforeLines="0" w:afterLines="0" w:line="280" w:lineRule="exact"/>
              <w:rPr>
                <w:rFonts w:ascii="Times New Roman" w:cs="宋体"/>
                <w:snapToGrid w:val="0"/>
                <w:kern w:val="21"/>
                <w:szCs w:val="21"/>
              </w:rPr>
            </w:pPr>
            <w:r>
              <w:rPr>
                <w:rFonts w:hint="eastAsia" w:ascii="Times New Roman" w:cs="宋体"/>
                <w:snapToGrid w:val="0"/>
                <w:kern w:val="21"/>
                <w:szCs w:val="21"/>
              </w:rPr>
              <w:t>0</w:t>
            </w:r>
          </w:p>
        </w:tc>
        <w:tc>
          <w:tcPr>
            <w:tcW w:w="668" w:type="pct"/>
            <w:vAlign w:val="center"/>
          </w:tcPr>
          <w:p>
            <w:pPr>
              <w:pStyle w:val="88"/>
              <w:spacing w:beforeLines="0" w:afterLines="0" w:line="280" w:lineRule="exact"/>
              <w:rPr>
                <w:rFonts w:ascii="Times New Roman" w:hAnsi="Times New Roman" w:eastAsia="宋体" w:cs="Times New Roman"/>
                <w:snapToGrid w:val="0"/>
                <w:kern w:val="21"/>
                <w:sz w:val="21"/>
                <w:szCs w:val="21"/>
                <w:lang w:val="en-US" w:eastAsia="zh-CN" w:bidi="ar-SA"/>
              </w:rPr>
            </w:pPr>
            <w:r>
              <w:rPr>
                <w:rFonts w:ascii="Times New Roman"/>
                <w:snapToGrid w:val="0"/>
                <w:kern w:val="21"/>
                <w:szCs w:val="21"/>
              </w:rPr>
              <w:t>0.</w:t>
            </w:r>
            <w:r>
              <w:rPr>
                <w:rFonts w:hint="eastAsia" w:ascii="Times New Roman"/>
                <w:snapToGrid w:val="0"/>
                <w:kern w:val="21"/>
                <w:szCs w:val="21"/>
              </w:rPr>
              <w:t>0</w:t>
            </w:r>
            <w:r>
              <w:rPr>
                <w:rFonts w:hint="eastAsia" w:ascii="Times New Roman"/>
                <w:snapToGrid w:val="0"/>
                <w:kern w:val="21"/>
                <w:szCs w:val="21"/>
                <w:lang w:val="en-US" w:eastAsia="zh-CN"/>
              </w:rPr>
              <w:t>032</w:t>
            </w:r>
            <w:r>
              <w:rPr>
                <w:rFonts w:ascii="Times New Roman"/>
                <w:szCs w:val="21"/>
              </w:rPr>
              <w:t xml:space="preserve"> t/a</w:t>
            </w:r>
          </w:p>
        </w:tc>
        <w:tc>
          <w:tcPr>
            <w:tcW w:w="466" w:type="pct"/>
            <w:vAlign w:val="center"/>
          </w:tcPr>
          <w:p>
            <w:pPr>
              <w:pStyle w:val="88"/>
              <w:spacing w:beforeLines="0" w:afterLines="0" w:line="280" w:lineRule="exact"/>
              <w:rPr>
                <w:rFonts w:ascii="Times New Roman" w:hAnsi="Times New Roman" w:eastAsia="宋体" w:cs="Times New Roman"/>
                <w:snapToGrid w:val="0"/>
                <w:kern w:val="21"/>
                <w:sz w:val="21"/>
                <w:szCs w:val="21"/>
                <w:lang w:val="en-US" w:eastAsia="zh-CN" w:bidi="ar-SA"/>
              </w:rPr>
            </w:pPr>
            <w:r>
              <w:rPr>
                <w:rFonts w:hint="eastAsia" w:ascii="Times New Roman"/>
                <w:snapToGrid w:val="0"/>
                <w:kern w:val="21"/>
                <w:szCs w:val="21"/>
                <w:lang w:val="en-US" w:eastAsia="zh-CN"/>
              </w:rPr>
              <w:t>+</w:t>
            </w:r>
            <w:r>
              <w:rPr>
                <w:rFonts w:ascii="Times New Roman"/>
                <w:snapToGrid w:val="0"/>
                <w:kern w:val="21"/>
                <w:szCs w:val="21"/>
              </w:rPr>
              <w:t>0.</w:t>
            </w:r>
            <w:r>
              <w:rPr>
                <w:rFonts w:hint="eastAsia" w:ascii="Times New Roman"/>
                <w:snapToGrid w:val="0"/>
                <w:kern w:val="21"/>
                <w:szCs w:val="21"/>
              </w:rPr>
              <w:t>0</w:t>
            </w:r>
            <w:r>
              <w:rPr>
                <w:rFonts w:hint="eastAsia" w:ascii="Times New Roman"/>
                <w:snapToGrid w:val="0"/>
                <w:kern w:val="21"/>
                <w:szCs w:val="21"/>
                <w:lang w:val="en-US" w:eastAsia="zh-CN"/>
              </w:rPr>
              <w:t>032</w:t>
            </w:r>
            <w:r>
              <w:rPr>
                <w:rFonts w:ascii="Times New Roman"/>
                <w:szCs w:val="21"/>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88"/>
              <w:spacing w:beforeLines="0" w:afterLines="0" w:line="280" w:lineRule="exact"/>
              <w:rPr>
                <w:rFonts w:ascii="Times New Roman" w:cs="宋体"/>
                <w:snapToGrid w:val="0"/>
                <w:color w:val="000000"/>
                <w:kern w:val="21"/>
                <w:szCs w:val="21"/>
              </w:rPr>
            </w:pPr>
          </w:p>
        </w:tc>
        <w:tc>
          <w:tcPr>
            <w:tcW w:w="566" w:type="pct"/>
            <w:vAlign w:val="center"/>
          </w:tcPr>
          <w:p>
            <w:pPr>
              <w:spacing w:line="280" w:lineRule="exact"/>
              <w:ind w:left="-105" w:leftChars="-50" w:right="-105" w:rightChars="-50"/>
              <w:jc w:val="center"/>
              <w:rPr>
                <w:color w:val="000000"/>
                <w:szCs w:val="21"/>
              </w:rPr>
            </w:pPr>
            <w:r>
              <w:rPr>
                <w:rFonts w:hint="eastAsia"/>
                <w:color w:val="000000"/>
                <w:szCs w:val="21"/>
              </w:rPr>
              <w:t>色度</w:t>
            </w:r>
          </w:p>
        </w:tc>
        <w:tc>
          <w:tcPr>
            <w:tcW w:w="617"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w:t>
            </w:r>
          </w:p>
        </w:tc>
        <w:tc>
          <w:tcPr>
            <w:tcW w:w="719" w:type="pct"/>
            <w:vAlign w:val="center"/>
          </w:tcPr>
          <w:p>
            <w:pPr>
              <w:pStyle w:val="88"/>
              <w:spacing w:beforeLines="0" w:afterLines="0" w:line="280" w:lineRule="exact"/>
              <w:rPr>
                <w:rFonts w:ascii="Times New Roman"/>
                <w:snapToGrid w:val="0"/>
                <w:color w:val="000000"/>
                <w:kern w:val="21"/>
                <w:szCs w:val="21"/>
              </w:rPr>
            </w:pPr>
            <w:r>
              <w:rPr>
                <w:rFonts w:hint="eastAsia" w:cs="宋体"/>
                <w:snapToGrid w:val="0"/>
                <w:color w:val="0D0D0D" w:themeColor="text1" w:themeTint="F2"/>
                <w:kern w:val="21"/>
                <w:szCs w:val="21"/>
                <w14:textFill>
                  <w14:solidFill>
                    <w14:schemeClr w14:val="tx1">
                      <w14:lumMod w14:val="95000"/>
                      <w14:lumOff w14:val="5000"/>
                    </w14:schemeClr>
                  </w14:solidFill>
                </w14:textFill>
              </w:rPr>
              <w:t>/</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w:t>
            </w:r>
          </w:p>
        </w:tc>
        <w:tc>
          <w:tcPr>
            <w:tcW w:w="668" w:type="pct"/>
            <w:vAlign w:val="center"/>
          </w:tcPr>
          <w:p>
            <w:pPr>
              <w:pStyle w:val="88"/>
              <w:spacing w:beforeLines="0" w:afterLines="0" w:line="280" w:lineRule="exact"/>
              <w:rPr>
                <w:rFonts w:ascii="Times New Roman"/>
                <w:snapToGrid w:val="0"/>
                <w:color w:val="000000"/>
                <w:kern w:val="21"/>
                <w:szCs w:val="21"/>
              </w:rPr>
            </w:pPr>
            <w:r>
              <w:rPr>
                <w:rFonts w:hint="eastAsia" w:cs="宋体"/>
                <w:snapToGrid w:val="0"/>
                <w:color w:val="0D0D0D" w:themeColor="text1" w:themeTint="F2"/>
                <w:kern w:val="21"/>
                <w:szCs w:val="21"/>
                <w14:textFill>
                  <w14:solidFill>
                    <w14:schemeClr w14:val="tx1">
                      <w14:lumMod w14:val="95000"/>
                      <w14:lumOff w14:val="5000"/>
                    </w14:schemeClr>
                  </w14:solidFill>
                </w14:textFill>
              </w:rPr>
              <w:t>/</w:t>
            </w:r>
          </w:p>
        </w:tc>
        <w:tc>
          <w:tcPr>
            <w:tcW w:w="466" w:type="pct"/>
            <w:vAlign w:val="center"/>
          </w:tcPr>
          <w:p>
            <w:pPr>
              <w:pStyle w:val="88"/>
              <w:spacing w:beforeLines="0" w:afterLines="0" w:line="280" w:lineRule="exact"/>
              <w:rPr>
                <w:snapToGrid w:val="0"/>
                <w:color w:val="000000"/>
                <w:kern w:val="21"/>
                <w:szCs w:val="21"/>
              </w:rPr>
            </w:pPr>
            <w:r>
              <w:rPr>
                <w:rFonts w:hint="eastAsia" w:cs="宋体"/>
                <w:snapToGrid w:val="0"/>
                <w:color w:val="0D0D0D" w:themeColor="text1" w:themeTint="F2"/>
                <w:kern w:val="21"/>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restar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一般工业</w:t>
            </w:r>
          </w:p>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固体废物</w:t>
            </w:r>
          </w:p>
        </w:tc>
        <w:tc>
          <w:tcPr>
            <w:tcW w:w="566" w:type="pct"/>
            <w:vAlign w:val="center"/>
          </w:tcPr>
          <w:p>
            <w:pPr>
              <w:spacing w:line="280" w:lineRule="exact"/>
              <w:jc w:val="center"/>
              <w:rPr>
                <w:rFonts w:hint="default" w:eastAsia="宋体"/>
                <w:szCs w:val="21"/>
                <w:lang w:val="en-US" w:eastAsia="zh-CN"/>
              </w:rPr>
            </w:pPr>
            <w:r>
              <w:rPr>
                <w:rFonts w:hint="eastAsia"/>
                <w:szCs w:val="21"/>
                <w:lang w:val="en-US" w:eastAsia="zh-CN"/>
              </w:rPr>
              <w:t>废包装袋</w:t>
            </w:r>
          </w:p>
        </w:tc>
        <w:tc>
          <w:tcPr>
            <w:tcW w:w="617"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719" w:type="pct"/>
            <w:vAlign w:val="center"/>
          </w:tcPr>
          <w:p>
            <w:pPr>
              <w:snapToGrid w:val="0"/>
              <w:spacing w:line="280" w:lineRule="exact"/>
              <w:ind w:left="-105" w:leftChars="-50" w:right="-105" w:rightChars="-50"/>
              <w:jc w:val="center"/>
              <w:rPr>
                <w:szCs w:val="21"/>
              </w:rPr>
            </w:pPr>
            <w:r>
              <w:rPr>
                <w:rFonts w:hint="eastAsia"/>
                <w:szCs w:val="21"/>
                <w:lang w:val="en-US" w:eastAsia="zh-CN"/>
              </w:rPr>
              <w:t>0.5</w:t>
            </w:r>
            <w:r>
              <w:rPr>
                <w:rFonts w:hint="eastAsia"/>
                <w:szCs w:val="21"/>
              </w:rPr>
              <w:t xml:space="preserve"> t</w:t>
            </w:r>
            <w:r>
              <w:rPr>
                <w:szCs w:val="21"/>
              </w:rPr>
              <w:t>/a</w:t>
            </w:r>
          </w:p>
        </w:tc>
        <w:tc>
          <w:tcPr>
            <w:tcW w:w="513"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668" w:type="pct"/>
            <w:vAlign w:val="center"/>
          </w:tcPr>
          <w:p>
            <w:pPr>
              <w:snapToGrid w:val="0"/>
              <w:spacing w:line="280" w:lineRule="exact"/>
              <w:ind w:left="-105" w:leftChars="-50" w:right="-105" w:rightChars="-50"/>
              <w:jc w:val="center"/>
              <w:rPr>
                <w:szCs w:val="21"/>
              </w:rPr>
            </w:pPr>
            <w:r>
              <w:rPr>
                <w:rFonts w:hint="eastAsia"/>
                <w:szCs w:val="21"/>
                <w:lang w:val="en-US" w:eastAsia="zh-CN"/>
              </w:rPr>
              <w:t>0.5</w:t>
            </w:r>
            <w:r>
              <w:rPr>
                <w:rFonts w:hint="eastAsia"/>
                <w:szCs w:val="21"/>
              </w:rPr>
              <w:t xml:space="preserve"> t</w:t>
            </w:r>
            <w:r>
              <w:rPr>
                <w:szCs w:val="21"/>
              </w:rPr>
              <w:t>/a</w:t>
            </w:r>
          </w:p>
        </w:tc>
        <w:tc>
          <w:tcPr>
            <w:tcW w:w="466" w:type="pct"/>
            <w:vAlign w:val="center"/>
          </w:tcPr>
          <w:p>
            <w:pPr>
              <w:snapToGrid w:val="0"/>
              <w:spacing w:line="280" w:lineRule="exact"/>
              <w:ind w:left="-105" w:leftChars="-50" w:right="-105" w:rightChars="-50"/>
              <w:jc w:val="center"/>
              <w:rPr>
                <w:szCs w:val="21"/>
              </w:rPr>
            </w:pPr>
            <w:r>
              <w:rPr>
                <w:rFonts w:hint="eastAsia"/>
                <w:szCs w:val="21"/>
              </w:rPr>
              <w:t>+</w:t>
            </w:r>
            <w:r>
              <w:rPr>
                <w:rFonts w:hint="eastAsia"/>
                <w:szCs w:val="21"/>
                <w:lang w:val="en-US" w:eastAsia="zh-CN"/>
              </w:rPr>
              <w:t>0.5</w:t>
            </w:r>
            <w:r>
              <w:rPr>
                <w:rFonts w:hint="eastAsia"/>
                <w:szCs w:val="21"/>
              </w:rPr>
              <w:t xml:space="preserve"> t</w:t>
            </w:r>
            <w:r>
              <w:rPr>
                <w:szCs w:val="21"/>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88"/>
              <w:spacing w:beforeLines="0" w:afterLines="0" w:line="280" w:lineRule="exact"/>
              <w:rPr>
                <w:rFonts w:ascii="Times New Roman" w:cs="宋体"/>
                <w:snapToGrid w:val="0"/>
                <w:color w:val="000000"/>
                <w:kern w:val="21"/>
                <w:szCs w:val="21"/>
              </w:rPr>
            </w:pPr>
          </w:p>
        </w:tc>
        <w:tc>
          <w:tcPr>
            <w:tcW w:w="566" w:type="pct"/>
            <w:vAlign w:val="center"/>
          </w:tcPr>
          <w:p>
            <w:pPr>
              <w:spacing w:line="280" w:lineRule="exact"/>
              <w:jc w:val="center"/>
              <w:rPr>
                <w:rFonts w:hint="default"/>
                <w:color w:val="000000"/>
                <w:szCs w:val="21"/>
                <w:lang w:val="en-US" w:eastAsia="zh-CN"/>
              </w:rPr>
            </w:pPr>
            <w:r>
              <w:rPr>
                <w:rFonts w:hint="eastAsia"/>
                <w:color w:val="000000"/>
                <w:szCs w:val="21"/>
                <w:lang w:val="en-US" w:eastAsia="zh-CN"/>
              </w:rPr>
              <w:t>布袋除尘器收集的粉尘</w:t>
            </w:r>
          </w:p>
        </w:tc>
        <w:tc>
          <w:tcPr>
            <w:tcW w:w="617" w:type="pct"/>
            <w:vAlign w:val="center"/>
          </w:tcPr>
          <w:p>
            <w:pPr>
              <w:pStyle w:val="88"/>
              <w:spacing w:beforeLines="0" w:afterLines="0" w:line="280" w:lineRule="exact"/>
              <w:rPr>
                <w:rFonts w:hint="eastAsia" w:ascii="Times New Roman" w:hAnsi="Times New Roman" w:eastAsia="宋体" w:cs="宋体"/>
                <w:snapToGrid w:val="0"/>
                <w:color w:val="000000"/>
                <w:kern w:val="21"/>
                <w:sz w:val="21"/>
                <w:szCs w:val="21"/>
                <w:lang w:val="en-US" w:eastAsia="zh-CN" w:bidi="ar-SA"/>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hint="eastAsia" w:ascii="Times New Roman" w:hAnsi="Times New Roman" w:eastAsia="宋体" w:cs="宋体"/>
                <w:snapToGrid w:val="0"/>
                <w:color w:val="000000"/>
                <w:kern w:val="21"/>
                <w:sz w:val="21"/>
                <w:szCs w:val="21"/>
                <w:lang w:val="en-US" w:eastAsia="zh-CN" w:bidi="ar-SA"/>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hint="eastAsia" w:ascii="Times New Roman" w:hAnsi="Times New Roman" w:eastAsia="宋体" w:cs="宋体"/>
                <w:snapToGrid w:val="0"/>
                <w:color w:val="000000"/>
                <w:kern w:val="21"/>
                <w:sz w:val="21"/>
                <w:szCs w:val="21"/>
                <w:lang w:val="en-US" w:eastAsia="zh-CN" w:bidi="ar-SA"/>
              </w:rPr>
            </w:pPr>
            <w:r>
              <w:rPr>
                <w:rFonts w:hint="eastAsia" w:ascii="Times New Roman" w:cs="宋体"/>
                <w:snapToGrid w:val="0"/>
                <w:color w:val="000000"/>
                <w:kern w:val="21"/>
                <w:szCs w:val="21"/>
              </w:rPr>
              <w:t>0</w:t>
            </w:r>
          </w:p>
        </w:tc>
        <w:tc>
          <w:tcPr>
            <w:tcW w:w="719" w:type="pct"/>
            <w:vAlign w:val="center"/>
          </w:tcPr>
          <w:p>
            <w:pPr>
              <w:snapToGrid w:val="0"/>
              <w:spacing w:line="280" w:lineRule="exact"/>
              <w:ind w:left="-105" w:leftChars="-50" w:right="-105" w:rightChars="-5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0.046</w:t>
            </w:r>
            <w:r>
              <w:rPr>
                <w:rFonts w:hint="eastAsia"/>
                <w:szCs w:val="21"/>
              </w:rPr>
              <w:t xml:space="preserve"> t</w:t>
            </w:r>
            <w:r>
              <w:rPr>
                <w:szCs w:val="21"/>
              </w:rPr>
              <w:t>/a</w:t>
            </w:r>
          </w:p>
        </w:tc>
        <w:tc>
          <w:tcPr>
            <w:tcW w:w="513" w:type="pct"/>
            <w:vAlign w:val="center"/>
          </w:tcPr>
          <w:p>
            <w:pPr>
              <w:pStyle w:val="88"/>
              <w:spacing w:beforeLines="0" w:afterLines="0" w:line="280" w:lineRule="exact"/>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668" w:type="pct"/>
            <w:vAlign w:val="center"/>
          </w:tcPr>
          <w:p>
            <w:pPr>
              <w:snapToGrid w:val="0"/>
              <w:spacing w:line="280" w:lineRule="exact"/>
              <w:ind w:left="-105" w:leftChars="-50" w:right="-105" w:rightChars="-5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0.046</w:t>
            </w:r>
            <w:r>
              <w:rPr>
                <w:rFonts w:hint="eastAsia"/>
                <w:szCs w:val="21"/>
              </w:rPr>
              <w:t xml:space="preserve"> t</w:t>
            </w:r>
            <w:r>
              <w:rPr>
                <w:szCs w:val="21"/>
              </w:rPr>
              <w:t>/a</w:t>
            </w:r>
          </w:p>
        </w:tc>
        <w:tc>
          <w:tcPr>
            <w:tcW w:w="466" w:type="pct"/>
            <w:vAlign w:val="center"/>
          </w:tcPr>
          <w:p>
            <w:pPr>
              <w:snapToGrid w:val="0"/>
              <w:spacing w:line="280" w:lineRule="exact"/>
              <w:ind w:left="-105" w:leftChars="-50" w:right="-105" w:rightChars="-50"/>
              <w:jc w:val="center"/>
              <w:rPr>
                <w:rFonts w:hint="eastAsia" w:ascii="Times New Roman" w:hAnsi="Times New Roman" w:eastAsia="宋体" w:cs="Times New Roman"/>
                <w:kern w:val="2"/>
                <w:sz w:val="21"/>
                <w:szCs w:val="21"/>
                <w:lang w:val="en-US" w:eastAsia="zh-CN" w:bidi="ar-SA"/>
              </w:rPr>
            </w:pPr>
            <w:r>
              <w:rPr>
                <w:rFonts w:hint="eastAsia"/>
                <w:szCs w:val="21"/>
              </w:rPr>
              <w:t>+</w:t>
            </w:r>
            <w:r>
              <w:rPr>
                <w:rFonts w:hint="eastAsia"/>
                <w:szCs w:val="21"/>
                <w:lang w:val="en-US" w:eastAsia="zh-CN"/>
              </w:rPr>
              <w:t>0.046</w:t>
            </w:r>
            <w:r>
              <w:rPr>
                <w:rFonts w:hint="eastAsia"/>
                <w:szCs w:val="21"/>
              </w:rPr>
              <w:t xml:space="preserve"> t</w:t>
            </w:r>
            <w:r>
              <w:rPr>
                <w:szCs w:val="21"/>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88"/>
              <w:spacing w:beforeLines="0" w:afterLines="0" w:line="280" w:lineRule="exact"/>
              <w:rPr>
                <w:rFonts w:ascii="Times New Roman" w:cs="宋体"/>
                <w:snapToGrid w:val="0"/>
                <w:color w:val="000000"/>
                <w:kern w:val="21"/>
                <w:szCs w:val="21"/>
              </w:rPr>
            </w:pPr>
          </w:p>
        </w:tc>
        <w:tc>
          <w:tcPr>
            <w:tcW w:w="566" w:type="pct"/>
            <w:vAlign w:val="center"/>
          </w:tcPr>
          <w:p>
            <w:pPr>
              <w:spacing w:line="280" w:lineRule="exact"/>
              <w:jc w:val="center"/>
              <w:rPr>
                <w:spacing w:val="-10"/>
                <w:szCs w:val="21"/>
              </w:rPr>
            </w:pPr>
            <w:r>
              <w:rPr>
                <w:rFonts w:hint="eastAsia"/>
                <w:color w:val="000000"/>
                <w:szCs w:val="21"/>
                <w:lang w:val="en-US" w:eastAsia="zh-CN"/>
              </w:rPr>
              <w:t>未集中收集的</w:t>
            </w:r>
            <w:r>
              <w:rPr>
                <w:rFonts w:hint="eastAsia"/>
                <w:color w:val="000000"/>
                <w:szCs w:val="21"/>
              </w:rPr>
              <w:t>废含油手套、抹布</w:t>
            </w:r>
          </w:p>
        </w:tc>
        <w:tc>
          <w:tcPr>
            <w:tcW w:w="617"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719" w:type="pct"/>
            <w:vAlign w:val="center"/>
          </w:tcPr>
          <w:p>
            <w:pPr>
              <w:snapToGrid w:val="0"/>
              <w:spacing w:line="280" w:lineRule="exact"/>
              <w:ind w:left="-105" w:leftChars="-50" w:right="-105" w:rightChars="-50"/>
              <w:jc w:val="center"/>
              <w:rPr>
                <w:szCs w:val="21"/>
              </w:rPr>
            </w:pPr>
            <w:r>
              <w:rPr>
                <w:rFonts w:hint="eastAsia"/>
                <w:szCs w:val="21"/>
              </w:rPr>
              <w:t>0.00</w:t>
            </w:r>
            <w:r>
              <w:rPr>
                <w:rFonts w:hint="eastAsia"/>
                <w:szCs w:val="21"/>
                <w:lang w:val="en-US" w:eastAsia="zh-CN"/>
              </w:rPr>
              <w:t>04</w:t>
            </w:r>
            <w:r>
              <w:rPr>
                <w:rFonts w:hint="eastAsia"/>
                <w:szCs w:val="21"/>
              </w:rPr>
              <w:t xml:space="preserve"> t</w:t>
            </w:r>
            <w:r>
              <w:rPr>
                <w:szCs w:val="21"/>
              </w:rPr>
              <w:t>/a</w:t>
            </w:r>
          </w:p>
        </w:tc>
        <w:tc>
          <w:tcPr>
            <w:tcW w:w="513"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668" w:type="pct"/>
            <w:vAlign w:val="center"/>
          </w:tcPr>
          <w:p>
            <w:pPr>
              <w:snapToGrid w:val="0"/>
              <w:spacing w:line="280" w:lineRule="exact"/>
              <w:ind w:left="-105" w:leftChars="-50" w:right="-105" w:rightChars="-50"/>
              <w:jc w:val="center"/>
              <w:rPr>
                <w:szCs w:val="21"/>
              </w:rPr>
            </w:pPr>
            <w:r>
              <w:rPr>
                <w:rFonts w:hint="eastAsia"/>
                <w:szCs w:val="21"/>
              </w:rPr>
              <w:t>0.00</w:t>
            </w:r>
            <w:r>
              <w:rPr>
                <w:rFonts w:hint="eastAsia"/>
                <w:szCs w:val="21"/>
                <w:lang w:val="en-US" w:eastAsia="zh-CN"/>
              </w:rPr>
              <w:t>04</w:t>
            </w:r>
            <w:r>
              <w:rPr>
                <w:rFonts w:hint="eastAsia"/>
                <w:szCs w:val="21"/>
              </w:rPr>
              <w:t xml:space="preserve"> t</w:t>
            </w:r>
            <w:r>
              <w:rPr>
                <w:szCs w:val="21"/>
              </w:rPr>
              <w:t>/a</w:t>
            </w:r>
          </w:p>
        </w:tc>
        <w:tc>
          <w:tcPr>
            <w:tcW w:w="466" w:type="pct"/>
            <w:vAlign w:val="center"/>
          </w:tcPr>
          <w:p>
            <w:pPr>
              <w:snapToGrid w:val="0"/>
              <w:spacing w:line="280" w:lineRule="exact"/>
              <w:ind w:left="-105" w:leftChars="-50" w:right="-105" w:rightChars="-50"/>
              <w:jc w:val="center"/>
              <w:rPr>
                <w:szCs w:val="21"/>
              </w:rPr>
            </w:pPr>
            <w:r>
              <w:rPr>
                <w:rFonts w:hint="eastAsia"/>
                <w:szCs w:val="21"/>
              </w:rPr>
              <w:t>+0.00</w:t>
            </w:r>
            <w:r>
              <w:rPr>
                <w:rFonts w:hint="eastAsia"/>
                <w:szCs w:val="21"/>
                <w:lang w:val="en-US" w:eastAsia="zh-CN"/>
              </w:rPr>
              <w:t>04</w:t>
            </w:r>
            <w:r>
              <w:rPr>
                <w:rFonts w:hint="eastAsia"/>
                <w:szCs w:val="21"/>
              </w:rPr>
              <w:t xml:space="preserve"> t</w:t>
            </w:r>
            <w:r>
              <w:rPr>
                <w:szCs w:val="21"/>
              </w:rPr>
              <w: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restar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危险废物</w:t>
            </w:r>
          </w:p>
        </w:tc>
        <w:tc>
          <w:tcPr>
            <w:tcW w:w="566" w:type="pct"/>
            <w:vAlign w:val="center"/>
          </w:tcPr>
          <w:p>
            <w:pPr>
              <w:spacing w:line="280" w:lineRule="exact"/>
              <w:jc w:val="center"/>
              <w:rPr>
                <w:szCs w:val="21"/>
              </w:rPr>
            </w:pPr>
            <w:r>
              <w:rPr>
                <w:rFonts w:hint="eastAsia"/>
                <w:szCs w:val="21"/>
              </w:rPr>
              <w:t>废</w:t>
            </w:r>
            <w:r>
              <w:rPr>
                <w:szCs w:val="21"/>
              </w:rPr>
              <w:t>活性炭</w:t>
            </w:r>
          </w:p>
        </w:tc>
        <w:tc>
          <w:tcPr>
            <w:tcW w:w="617"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719" w:type="pct"/>
            <w:vAlign w:val="center"/>
          </w:tcPr>
          <w:p>
            <w:pPr>
              <w:spacing w:line="28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2.591</w:t>
            </w:r>
            <w:r>
              <w:rPr>
                <w:rFonts w:hint="eastAsia"/>
                <w:color w:val="0D0D0D" w:themeColor="text1" w:themeTint="F2"/>
                <w:szCs w:val="21"/>
                <w14:textFill>
                  <w14:solidFill>
                    <w14:schemeClr w14:val="tx1">
                      <w14:lumMod w14:val="95000"/>
                      <w14:lumOff w14:val="5000"/>
                    </w14:schemeClr>
                  </w14:solidFill>
                </w14:textFill>
              </w:rPr>
              <w:t xml:space="preserve"> </w:t>
            </w:r>
            <w:r>
              <w:rPr>
                <w:color w:val="0D0D0D" w:themeColor="text1" w:themeTint="F2"/>
                <w:szCs w:val="21"/>
                <w14:textFill>
                  <w14:solidFill>
                    <w14:schemeClr w14:val="tx1">
                      <w14:lumMod w14:val="95000"/>
                      <w14:lumOff w14:val="5000"/>
                    </w14:schemeClr>
                  </w14:solidFill>
                </w14:textFill>
              </w:rPr>
              <w:t>t/a</w:t>
            </w:r>
          </w:p>
        </w:tc>
        <w:tc>
          <w:tcPr>
            <w:tcW w:w="513"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668" w:type="pct"/>
            <w:vAlign w:val="center"/>
          </w:tcPr>
          <w:p>
            <w:pPr>
              <w:spacing w:line="28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2.591</w:t>
            </w:r>
            <w:r>
              <w:rPr>
                <w:rFonts w:hint="eastAsia"/>
                <w:color w:val="0D0D0D" w:themeColor="text1" w:themeTint="F2"/>
                <w:szCs w:val="21"/>
                <w14:textFill>
                  <w14:solidFill>
                    <w14:schemeClr w14:val="tx1">
                      <w14:lumMod w14:val="95000"/>
                      <w14:lumOff w14:val="5000"/>
                    </w14:schemeClr>
                  </w14:solidFill>
                </w14:textFill>
              </w:rPr>
              <w:t xml:space="preserve"> </w:t>
            </w:r>
            <w:r>
              <w:rPr>
                <w:color w:val="0D0D0D" w:themeColor="text1" w:themeTint="F2"/>
                <w:szCs w:val="21"/>
                <w14:textFill>
                  <w14:solidFill>
                    <w14:schemeClr w14:val="tx1">
                      <w14:lumMod w14:val="95000"/>
                      <w14:lumOff w14:val="5000"/>
                    </w14:schemeClr>
                  </w14:solidFill>
                </w14:textFill>
              </w:rPr>
              <w:t>t/a</w:t>
            </w:r>
          </w:p>
        </w:tc>
        <w:tc>
          <w:tcPr>
            <w:tcW w:w="466" w:type="pct"/>
            <w:vAlign w:val="center"/>
          </w:tcPr>
          <w:p>
            <w:pPr>
              <w:spacing w:line="280" w:lineRule="exact"/>
              <w:jc w:val="center"/>
              <w:rPr>
                <w:color w:val="0D0D0D" w:themeColor="text1" w:themeTint="F2"/>
                <w:szCs w:val="21"/>
                <w14:textFill>
                  <w14:solidFill>
                    <w14:schemeClr w14:val="tx1">
                      <w14:lumMod w14:val="95000"/>
                      <w14:lumOff w14:val="5000"/>
                    </w14:schemeClr>
                  </w14:solidFill>
                </w14:textFill>
              </w:rPr>
            </w:pPr>
            <w:r>
              <w:rPr>
                <w:rFonts w:hint="eastAsia"/>
                <w:snapToGrid w:val="0"/>
                <w:color w:val="0D0D0D" w:themeColor="text1" w:themeTint="F2"/>
                <w:kern w:val="21"/>
                <w:szCs w:val="21"/>
                <w14:textFill>
                  <w14:solidFill>
                    <w14:schemeClr w14:val="tx1">
                      <w14:lumMod w14:val="95000"/>
                      <w14:lumOff w14:val="5000"/>
                    </w14:schemeClr>
                  </w14:solidFill>
                </w14:textFill>
              </w:rPr>
              <w:t>+</w:t>
            </w:r>
            <w:r>
              <w:rPr>
                <w:rFonts w:hint="eastAsia"/>
                <w:color w:val="0D0D0D" w:themeColor="text1" w:themeTint="F2"/>
                <w:szCs w:val="21"/>
                <w:lang w:val="en-US" w:eastAsia="zh-CN"/>
                <w14:textFill>
                  <w14:solidFill>
                    <w14:schemeClr w14:val="tx1">
                      <w14:lumMod w14:val="95000"/>
                      <w14:lumOff w14:val="5000"/>
                    </w14:schemeClr>
                  </w14:solidFill>
                </w14:textFill>
              </w:rPr>
              <w:t>2.591</w:t>
            </w:r>
            <w:r>
              <w:rPr>
                <w:rFonts w:hint="eastAsia"/>
                <w:color w:val="0D0D0D" w:themeColor="text1" w:themeTint="F2"/>
                <w:szCs w:val="21"/>
                <w14:textFill>
                  <w14:solidFill>
                    <w14:schemeClr w14:val="tx1">
                      <w14:lumMod w14:val="95000"/>
                      <w14:lumOff w14:val="5000"/>
                    </w14:schemeClr>
                  </w14:solidFill>
                </w14:textFill>
              </w:rPr>
              <w:t xml:space="preserve"> </w:t>
            </w:r>
            <w:r>
              <w:rPr>
                <w:color w:val="0D0D0D" w:themeColor="text1" w:themeTint="F2"/>
                <w:szCs w:val="21"/>
                <w14:textFill>
                  <w14:solidFill>
                    <w14:schemeClr w14:val="tx1">
                      <w14:lumMod w14:val="95000"/>
                      <w14:lumOff w14:val="5000"/>
                    </w14:schemeClr>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88"/>
              <w:spacing w:beforeLines="0" w:afterLines="0" w:line="280" w:lineRule="exact"/>
              <w:rPr>
                <w:rFonts w:ascii="Times New Roman" w:cs="宋体"/>
                <w:snapToGrid w:val="0"/>
                <w:color w:val="000000"/>
                <w:kern w:val="21"/>
                <w:szCs w:val="21"/>
              </w:rPr>
            </w:pPr>
          </w:p>
        </w:tc>
        <w:tc>
          <w:tcPr>
            <w:tcW w:w="566" w:type="pct"/>
            <w:vAlign w:val="center"/>
          </w:tcPr>
          <w:p>
            <w:pPr>
              <w:spacing w:line="280" w:lineRule="exact"/>
              <w:jc w:val="center"/>
              <w:rPr>
                <w:rFonts w:hint="eastAsia" w:eastAsia="宋体"/>
                <w:szCs w:val="21"/>
                <w:lang w:eastAsia="zh-CN"/>
              </w:rPr>
            </w:pPr>
            <w:r>
              <w:rPr>
                <w:rFonts w:hint="eastAsia"/>
                <w:szCs w:val="21"/>
              </w:rPr>
              <w:t>废</w:t>
            </w:r>
            <w:r>
              <w:rPr>
                <w:rFonts w:hint="eastAsia"/>
                <w:szCs w:val="21"/>
                <w:lang w:val="en-US" w:eastAsia="zh-CN"/>
              </w:rPr>
              <w:t>润滑油</w:t>
            </w:r>
          </w:p>
        </w:tc>
        <w:tc>
          <w:tcPr>
            <w:tcW w:w="617"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719" w:type="pct"/>
            <w:vAlign w:val="center"/>
          </w:tcPr>
          <w:p>
            <w:pPr>
              <w:spacing w:line="28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0.00</w:t>
            </w:r>
            <w:r>
              <w:rPr>
                <w:rFonts w:hint="eastAsia"/>
                <w:color w:val="0D0D0D" w:themeColor="text1" w:themeTint="F2"/>
                <w:szCs w:val="21"/>
                <w:lang w:val="en-US" w:eastAsia="zh-CN"/>
                <w14:textFill>
                  <w14:solidFill>
                    <w14:schemeClr w14:val="tx1">
                      <w14:lumMod w14:val="95000"/>
                      <w14:lumOff w14:val="5000"/>
                    </w14:schemeClr>
                  </w14:solidFill>
                </w14:textFill>
              </w:rPr>
              <w:t>2</w:t>
            </w:r>
            <w:r>
              <w:rPr>
                <w:color w:val="0D0D0D" w:themeColor="text1" w:themeTint="F2"/>
                <w:szCs w:val="21"/>
                <w14:textFill>
                  <w14:solidFill>
                    <w14:schemeClr w14:val="tx1">
                      <w14:lumMod w14:val="95000"/>
                      <w14:lumOff w14:val="5000"/>
                    </w14:schemeClr>
                  </w14:solidFill>
                </w14:textFill>
              </w:rPr>
              <w:t>t/a</w:t>
            </w:r>
          </w:p>
        </w:tc>
        <w:tc>
          <w:tcPr>
            <w:tcW w:w="513" w:type="pct"/>
            <w:vAlign w:val="center"/>
          </w:tcPr>
          <w:p>
            <w:pPr>
              <w:pStyle w:val="88"/>
              <w:spacing w:beforeLines="0" w:afterLines="0" w:line="280" w:lineRule="exact"/>
              <w:rPr>
                <w:rFonts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668" w:type="pct"/>
            <w:vAlign w:val="center"/>
          </w:tcPr>
          <w:p>
            <w:pPr>
              <w:spacing w:line="28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0.00</w:t>
            </w:r>
            <w:r>
              <w:rPr>
                <w:rFonts w:hint="eastAsia"/>
                <w:color w:val="0D0D0D" w:themeColor="text1" w:themeTint="F2"/>
                <w:szCs w:val="21"/>
                <w:lang w:val="en-US" w:eastAsia="zh-CN"/>
                <w14:textFill>
                  <w14:solidFill>
                    <w14:schemeClr w14:val="tx1">
                      <w14:lumMod w14:val="95000"/>
                      <w14:lumOff w14:val="5000"/>
                    </w14:schemeClr>
                  </w14:solidFill>
                </w14:textFill>
              </w:rPr>
              <w:t>2</w:t>
            </w:r>
            <w:r>
              <w:rPr>
                <w:color w:val="0D0D0D" w:themeColor="text1" w:themeTint="F2"/>
                <w:szCs w:val="21"/>
                <w14:textFill>
                  <w14:solidFill>
                    <w14:schemeClr w14:val="tx1">
                      <w14:lumMod w14:val="95000"/>
                      <w14:lumOff w14:val="5000"/>
                    </w14:schemeClr>
                  </w14:solidFill>
                </w14:textFill>
              </w:rPr>
              <w:t>t/a</w:t>
            </w:r>
          </w:p>
        </w:tc>
        <w:tc>
          <w:tcPr>
            <w:tcW w:w="466" w:type="pct"/>
            <w:vAlign w:val="center"/>
          </w:tcPr>
          <w:p>
            <w:pPr>
              <w:spacing w:line="280" w:lineRule="exact"/>
              <w:jc w:val="center"/>
              <w:rPr>
                <w:color w:val="0D0D0D" w:themeColor="text1" w:themeTint="F2"/>
                <w:szCs w:val="21"/>
                <w14:textFill>
                  <w14:solidFill>
                    <w14:schemeClr w14:val="tx1">
                      <w14:lumMod w14:val="95000"/>
                      <w14:lumOff w14:val="5000"/>
                    </w14:schemeClr>
                  </w14:solidFill>
                </w14:textFill>
              </w:rPr>
            </w:pPr>
            <w:r>
              <w:rPr>
                <w:rFonts w:hint="eastAsia"/>
                <w:snapToGrid w:val="0"/>
                <w:color w:val="0D0D0D" w:themeColor="text1" w:themeTint="F2"/>
                <w:kern w:val="21"/>
                <w:szCs w:val="21"/>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0.00</w:t>
            </w:r>
            <w:r>
              <w:rPr>
                <w:rFonts w:hint="eastAsia"/>
                <w:color w:val="0D0D0D" w:themeColor="text1" w:themeTint="F2"/>
                <w:szCs w:val="21"/>
                <w:lang w:val="en-US" w:eastAsia="zh-CN"/>
                <w14:textFill>
                  <w14:solidFill>
                    <w14:schemeClr w14:val="tx1">
                      <w14:lumMod w14:val="95000"/>
                      <w14:lumOff w14:val="5000"/>
                    </w14:schemeClr>
                  </w14:solidFill>
                </w14:textFill>
              </w:rPr>
              <w:t>2</w:t>
            </w:r>
            <w:r>
              <w:rPr>
                <w:color w:val="0D0D0D" w:themeColor="text1" w:themeTint="F2"/>
                <w:szCs w:val="21"/>
                <w14:textFill>
                  <w14:solidFill>
                    <w14:schemeClr w14:val="tx1">
                      <w14:lumMod w14:val="95000"/>
                      <w14:lumOff w14:val="5000"/>
                    </w14:schemeClr>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88"/>
              <w:spacing w:beforeLines="0" w:afterLines="0" w:line="280" w:lineRule="exact"/>
              <w:rPr>
                <w:rFonts w:ascii="Times New Roman" w:cs="宋体"/>
                <w:snapToGrid w:val="0"/>
                <w:color w:val="000000"/>
                <w:kern w:val="21"/>
                <w:szCs w:val="21"/>
              </w:rPr>
            </w:pPr>
          </w:p>
        </w:tc>
        <w:tc>
          <w:tcPr>
            <w:tcW w:w="566" w:type="pct"/>
            <w:vAlign w:val="center"/>
          </w:tcPr>
          <w:p>
            <w:pPr>
              <w:spacing w:line="280" w:lineRule="exact"/>
              <w:jc w:val="center"/>
              <w:rPr>
                <w:rFonts w:hint="default" w:ascii="Times New Roman" w:hAnsi="Times New Roman" w:eastAsia="宋体" w:cs="Times New Roman"/>
                <w:kern w:val="2"/>
                <w:sz w:val="21"/>
                <w:szCs w:val="21"/>
                <w:lang w:val="en-US" w:eastAsia="zh-CN" w:bidi="ar-SA"/>
              </w:rPr>
            </w:pPr>
            <w:r>
              <w:rPr>
                <w:rFonts w:hint="eastAsia"/>
                <w:szCs w:val="21"/>
              </w:rPr>
              <w:t>废</w:t>
            </w:r>
            <w:r>
              <w:rPr>
                <w:rFonts w:hint="eastAsia"/>
                <w:szCs w:val="21"/>
                <w:lang w:val="en-US" w:eastAsia="zh-CN"/>
              </w:rPr>
              <w:t>润滑油桶</w:t>
            </w:r>
          </w:p>
        </w:tc>
        <w:tc>
          <w:tcPr>
            <w:tcW w:w="617" w:type="pct"/>
            <w:vAlign w:val="center"/>
          </w:tcPr>
          <w:p>
            <w:pPr>
              <w:pStyle w:val="88"/>
              <w:spacing w:beforeLines="0" w:afterLines="0" w:line="280" w:lineRule="exact"/>
              <w:rPr>
                <w:rFonts w:hint="eastAsia" w:ascii="Times New Roman" w:hAnsi="Times New Roman" w:eastAsia="宋体" w:cs="宋体"/>
                <w:snapToGrid w:val="0"/>
                <w:color w:val="000000"/>
                <w:kern w:val="21"/>
                <w:sz w:val="21"/>
                <w:szCs w:val="21"/>
                <w:lang w:val="en-US" w:eastAsia="zh-CN" w:bidi="ar-SA"/>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hint="eastAsia" w:ascii="Times New Roman" w:hAnsi="Times New Roman" w:eastAsia="宋体" w:cs="宋体"/>
                <w:snapToGrid w:val="0"/>
                <w:color w:val="000000"/>
                <w:kern w:val="21"/>
                <w:sz w:val="21"/>
                <w:szCs w:val="21"/>
                <w:lang w:val="en-US" w:eastAsia="zh-CN" w:bidi="ar-SA"/>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hint="eastAsia" w:ascii="Times New Roman" w:hAnsi="Times New Roman" w:eastAsia="宋体" w:cs="宋体"/>
                <w:snapToGrid w:val="0"/>
                <w:color w:val="000000"/>
                <w:kern w:val="21"/>
                <w:sz w:val="21"/>
                <w:szCs w:val="21"/>
                <w:lang w:val="en-US" w:eastAsia="zh-CN" w:bidi="ar-SA"/>
              </w:rPr>
            </w:pPr>
            <w:r>
              <w:rPr>
                <w:rFonts w:hint="eastAsia" w:ascii="Times New Roman" w:cs="宋体"/>
                <w:snapToGrid w:val="0"/>
                <w:color w:val="000000"/>
                <w:kern w:val="21"/>
                <w:szCs w:val="21"/>
              </w:rPr>
              <w:t>0</w:t>
            </w:r>
          </w:p>
        </w:tc>
        <w:tc>
          <w:tcPr>
            <w:tcW w:w="719" w:type="pct"/>
            <w:vAlign w:val="center"/>
          </w:tcPr>
          <w:p>
            <w:pPr>
              <w:spacing w:line="28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0.0016</w:t>
            </w:r>
            <w:r>
              <w:rPr>
                <w:color w:val="0D0D0D" w:themeColor="text1" w:themeTint="F2"/>
                <w:szCs w:val="21"/>
                <w14:textFill>
                  <w14:solidFill>
                    <w14:schemeClr w14:val="tx1">
                      <w14:lumMod w14:val="95000"/>
                      <w14:lumOff w14:val="5000"/>
                    </w14:schemeClr>
                  </w14:solidFill>
                </w14:textFill>
              </w:rPr>
              <w:t>t/a</w:t>
            </w:r>
          </w:p>
        </w:tc>
        <w:tc>
          <w:tcPr>
            <w:tcW w:w="513" w:type="pct"/>
            <w:vAlign w:val="center"/>
          </w:tcPr>
          <w:p>
            <w:pPr>
              <w:pStyle w:val="88"/>
              <w:spacing w:beforeLines="0" w:afterLines="0" w:line="280" w:lineRule="exact"/>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668" w:type="pct"/>
            <w:vAlign w:val="center"/>
          </w:tcPr>
          <w:p>
            <w:pPr>
              <w:spacing w:line="280" w:lineRule="exact"/>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0.0016</w:t>
            </w:r>
            <w:r>
              <w:rPr>
                <w:color w:val="0D0D0D" w:themeColor="text1" w:themeTint="F2"/>
                <w:szCs w:val="21"/>
                <w14:textFill>
                  <w14:solidFill>
                    <w14:schemeClr w14:val="tx1">
                      <w14:lumMod w14:val="95000"/>
                      <w14:lumOff w14:val="5000"/>
                    </w14:schemeClr>
                  </w14:solidFill>
                </w14:textFill>
              </w:rPr>
              <w:t>t/a</w:t>
            </w:r>
          </w:p>
        </w:tc>
        <w:tc>
          <w:tcPr>
            <w:tcW w:w="466" w:type="pct"/>
            <w:vAlign w:val="center"/>
          </w:tcPr>
          <w:p>
            <w:pPr>
              <w:spacing w:line="280" w:lineRule="exact"/>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snapToGrid w:val="0"/>
                <w:color w:val="0D0D0D" w:themeColor="text1" w:themeTint="F2"/>
                <w:kern w:val="21"/>
                <w:szCs w:val="21"/>
                <w14:textFill>
                  <w14:solidFill>
                    <w14:schemeClr w14:val="tx1">
                      <w14:lumMod w14:val="95000"/>
                      <w14:lumOff w14:val="5000"/>
                    </w14:schemeClr>
                  </w14:solidFill>
                </w14:textFill>
              </w:rPr>
              <w:t>+</w:t>
            </w:r>
            <w:r>
              <w:rPr>
                <w:rFonts w:hint="eastAsia"/>
                <w:color w:val="0D0D0D" w:themeColor="text1" w:themeTint="F2"/>
                <w:szCs w:val="21"/>
                <w:lang w:val="en-US" w:eastAsia="zh-CN"/>
                <w14:textFill>
                  <w14:solidFill>
                    <w14:schemeClr w14:val="tx1">
                      <w14:lumMod w14:val="95000"/>
                      <w14:lumOff w14:val="5000"/>
                    </w14:schemeClr>
                  </w14:solidFill>
                </w14:textFill>
              </w:rPr>
              <w:t>0.0016</w:t>
            </w:r>
            <w:r>
              <w:rPr>
                <w:color w:val="0D0D0D" w:themeColor="text1" w:themeTint="F2"/>
                <w:szCs w:val="21"/>
                <w14:textFill>
                  <w14:solidFill>
                    <w14:schemeClr w14:val="tx1">
                      <w14:lumMod w14:val="95000"/>
                      <w14:lumOff w14:val="5000"/>
                    </w14:schemeClr>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1" w:type="pct"/>
            <w:vMerge w:val="continue"/>
            <w:vAlign w:val="center"/>
          </w:tcPr>
          <w:p>
            <w:pPr>
              <w:pStyle w:val="88"/>
              <w:spacing w:beforeLines="0" w:afterLines="0" w:line="280" w:lineRule="exact"/>
              <w:rPr>
                <w:rFonts w:ascii="Times New Roman" w:cs="宋体"/>
                <w:snapToGrid w:val="0"/>
                <w:color w:val="000000"/>
                <w:kern w:val="21"/>
                <w:szCs w:val="21"/>
              </w:rPr>
            </w:pPr>
          </w:p>
        </w:tc>
        <w:tc>
          <w:tcPr>
            <w:tcW w:w="566" w:type="pct"/>
            <w:vAlign w:val="center"/>
          </w:tcPr>
          <w:p>
            <w:pPr>
              <w:spacing w:line="280" w:lineRule="exact"/>
              <w:jc w:val="center"/>
              <w:rPr>
                <w:rFonts w:hint="default" w:eastAsia="宋体"/>
                <w:szCs w:val="21"/>
                <w:lang w:val="en-US" w:eastAsia="zh-CN"/>
              </w:rPr>
            </w:pPr>
            <w:r>
              <w:rPr>
                <w:rFonts w:hint="eastAsia"/>
                <w:szCs w:val="21"/>
                <w:lang w:val="en-US" w:eastAsia="zh-CN"/>
              </w:rPr>
              <w:t>集中收集的</w:t>
            </w:r>
            <w:r>
              <w:rPr>
                <w:rFonts w:hint="eastAsia"/>
                <w:color w:val="000000"/>
                <w:szCs w:val="21"/>
              </w:rPr>
              <w:t>废含油手套、抹布</w:t>
            </w:r>
          </w:p>
        </w:tc>
        <w:tc>
          <w:tcPr>
            <w:tcW w:w="617" w:type="pct"/>
            <w:vAlign w:val="center"/>
          </w:tcPr>
          <w:p>
            <w:pPr>
              <w:pStyle w:val="88"/>
              <w:spacing w:beforeLines="0" w:afterLines="0" w:line="280" w:lineRule="exact"/>
              <w:rPr>
                <w:rFonts w:hint="eastAsia" w:ascii="Times New Roman" w:hAnsi="Times New Roman" w:eastAsia="宋体" w:cs="宋体"/>
                <w:snapToGrid w:val="0"/>
                <w:color w:val="000000"/>
                <w:kern w:val="21"/>
                <w:sz w:val="21"/>
                <w:szCs w:val="21"/>
                <w:lang w:val="en-US" w:eastAsia="zh-CN" w:bidi="ar-SA"/>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hint="eastAsia" w:ascii="Times New Roman" w:hAnsi="Times New Roman" w:eastAsia="宋体" w:cs="宋体"/>
                <w:snapToGrid w:val="0"/>
                <w:color w:val="000000"/>
                <w:kern w:val="21"/>
                <w:sz w:val="21"/>
                <w:szCs w:val="21"/>
                <w:lang w:val="en-US" w:eastAsia="zh-CN" w:bidi="ar-SA"/>
              </w:rPr>
            </w:pPr>
            <w:r>
              <w:rPr>
                <w:rFonts w:hint="eastAsia" w:ascii="Times New Roman" w:cs="宋体"/>
                <w:snapToGrid w:val="0"/>
                <w:color w:val="000000"/>
                <w:kern w:val="21"/>
                <w:szCs w:val="21"/>
              </w:rPr>
              <w:t>0</w:t>
            </w:r>
          </w:p>
        </w:tc>
        <w:tc>
          <w:tcPr>
            <w:tcW w:w="513" w:type="pct"/>
            <w:vAlign w:val="center"/>
          </w:tcPr>
          <w:p>
            <w:pPr>
              <w:pStyle w:val="88"/>
              <w:spacing w:beforeLines="0" w:afterLines="0" w:line="280" w:lineRule="exact"/>
              <w:rPr>
                <w:rFonts w:hint="eastAsia" w:ascii="Times New Roman" w:hAnsi="Times New Roman" w:eastAsia="宋体" w:cs="宋体"/>
                <w:snapToGrid w:val="0"/>
                <w:color w:val="000000"/>
                <w:kern w:val="21"/>
                <w:sz w:val="21"/>
                <w:szCs w:val="21"/>
                <w:lang w:val="en-US" w:eastAsia="zh-CN" w:bidi="ar-SA"/>
              </w:rPr>
            </w:pPr>
            <w:r>
              <w:rPr>
                <w:rFonts w:hint="eastAsia" w:ascii="Times New Roman" w:cs="宋体"/>
                <w:snapToGrid w:val="0"/>
                <w:color w:val="000000"/>
                <w:kern w:val="21"/>
                <w:szCs w:val="21"/>
              </w:rPr>
              <w:t>0</w:t>
            </w:r>
          </w:p>
        </w:tc>
        <w:tc>
          <w:tcPr>
            <w:tcW w:w="719" w:type="pct"/>
            <w:vAlign w:val="center"/>
          </w:tcPr>
          <w:p>
            <w:pPr>
              <w:snapToGrid w:val="0"/>
              <w:spacing w:line="280" w:lineRule="exact"/>
              <w:ind w:left="-105" w:leftChars="-50" w:right="-105" w:rightChars="-50"/>
              <w:jc w:val="center"/>
              <w:rPr>
                <w:rFonts w:hint="eastAsia" w:ascii="Times New Roman" w:hAnsi="Times New Roman" w:eastAsia="宋体" w:cs="Times New Roman"/>
                <w:kern w:val="2"/>
                <w:sz w:val="21"/>
                <w:szCs w:val="21"/>
                <w:lang w:val="en-US" w:eastAsia="zh-CN" w:bidi="ar-SA"/>
              </w:rPr>
            </w:pPr>
            <w:r>
              <w:rPr>
                <w:rFonts w:hint="eastAsia"/>
                <w:szCs w:val="21"/>
              </w:rPr>
              <w:t>0.00</w:t>
            </w:r>
            <w:r>
              <w:rPr>
                <w:rFonts w:hint="eastAsia"/>
                <w:szCs w:val="21"/>
                <w:lang w:val="en-US" w:eastAsia="zh-CN"/>
              </w:rPr>
              <w:t>06</w:t>
            </w:r>
            <w:r>
              <w:rPr>
                <w:rFonts w:hint="eastAsia"/>
                <w:szCs w:val="21"/>
              </w:rPr>
              <w:t xml:space="preserve"> t</w:t>
            </w:r>
            <w:r>
              <w:rPr>
                <w:szCs w:val="21"/>
              </w:rPr>
              <w:t>/a</w:t>
            </w:r>
          </w:p>
        </w:tc>
        <w:tc>
          <w:tcPr>
            <w:tcW w:w="513" w:type="pct"/>
            <w:vAlign w:val="center"/>
          </w:tcPr>
          <w:p>
            <w:pPr>
              <w:pStyle w:val="88"/>
              <w:spacing w:beforeLines="0" w:afterLines="0" w:line="280" w:lineRule="exact"/>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668" w:type="pct"/>
            <w:vAlign w:val="center"/>
          </w:tcPr>
          <w:p>
            <w:pPr>
              <w:snapToGrid w:val="0"/>
              <w:spacing w:line="280" w:lineRule="exact"/>
              <w:ind w:left="-105" w:leftChars="-50" w:right="-105" w:rightChars="-50"/>
              <w:jc w:val="center"/>
              <w:rPr>
                <w:rFonts w:hint="eastAsia" w:ascii="Times New Roman" w:hAnsi="Times New Roman" w:eastAsia="宋体" w:cs="Times New Roman"/>
                <w:kern w:val="2"/>
                <w:sz w:val="21"/>
                <w:szCs w:val="21"/>
                <w:lang w:val="en-US" w:eastAsia="zh-CN" w:bidi="ar-SA"/>
              </w:rPr>
            </w:pPr>
            <w:r>
              <w:rPr>
                <w:rFonts w:hint="eastAsia"/>
                <w:szCs w:val="21"/>
              </w:rPr>
              <w:t>0.00</w:t>
            </w:r>
            <w:r>
              <w:rPr>
                <w:rFonts w:hint="eastAsia"/>
                <w:szCs w:val="21"/>
                <w:lang w:val="en-US" w:eastAsia="zh-CN"/>
              </w:rPr>
              <w:t>06</w:t>
            </w:r>
            <w:r>
              <w:rPr>
                <w:rFonts w:hint="eastAsia"/>
                <w:szCs w:val="21"/>
              </w:rPr>
              <w:t xml:space="preserve"> t</w:t>
            </w:r>
            <w:r>
              <w:rPr>
                <w:szCs w:val="21"/>
              </w:rPr>
              <w:t>/a</w:t>
            </w:r>
          </w:p>
        </w:tc>
        <w:tc>
          <w:tcPr>
            <w:tcW w:w="466" w:type="pct"/>
            <w:vAlign w:val="center"/>
          </w:tcPr>
          <w:p>
            <w:pPr>
              <w:snapToGrid w:val="0"/>
              <w:spacing w:line="280" w:lineRule="exact"/>
              <w:ind w:left="-105" w:leftChars="-50" w:right="-105" w:rightChars="-50"/>
              <w:jc w:val="center"/>
              <w:rPr>
                <w:rFonts w:hint="eastAsia" w:ascii="Times New Roman" w:hAnsi="Times New Roman" w:eastAsia="宋体" w:cs="Times New Roman"/>
                <w:kern w:val="2"/>
                <w:sz w:val="21"/>
                <w:szCs w:val="21"/>
                <w:lang w:val="en-US" w:eastAsia="zh-CN" w:bidi="ar-SA"/>
              </w:rPr>
            </w:pPr>
            <w:r>
              <w:rPr>
                <w:rFonts w:hint="eastAsia"/>
                <w:szCs w:val="21"/>
              </w:rPr>
              <w:t>+0.00</w:t>
            </w:r>
            <w:r>
              <w:rPr>
                <w:rFonts w:hint="eastAsia"/>
                <w:szCs w:val="21"/>
                <w:lang w:val="en-US" w:eastAsia="zh-CN"/>
              </w:rPr>
              <w:t>06</w:t>
            </w:r>
            <w:r>
              <w:rPr>
                <w:rFonts w:hint="eastAsia"/>
                <w:szCs w:val="21"/>
              </w:rPr>
              <w:t xml:space="preserve"> t</w:t>
            </w:r>
            <w:r>
              <w:rPr>
                <w:szCs w:val="21"/>
              </w:rPr>
              <w:t>/a</w:t>
            </w:r>
          </w:p>
        </w:tc>
      </w:tr>
    </w:tbl>
    <w:p>
      <w:pPr>
        <w:pStyle w:val="88"/>
        <w:spacing w:before="192" w:beforeLines="80" w:after="24"/>
        <w:jc w:val="left"/>
        <w:rPr>
          <w:rFonts w:ascii="Times New Roman"/>
          <w:color w:val="000000"/>
        </w:rPr>
      </w:pPr>
      <w:r>
        <w:rPr>
          <w:rFonts w:ascii="Times New Roman"/>
          <w:snapToGrid w:val="0"/>
          <w:color w:val="000000"/>
          <w:kern w:val="21"/>
          <w:szCs w:val="21"/>
        </w:rPr>
        <w:t>注：</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color w:val="000000"/>
          <w:szCs w:val="21"/>
        </w:rPr>
        <w:t>①</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hint="eastAsia" w:ascii="Times New Roman"/>
          <w:color w:val="000000"/>
          <w:szCs w:val="21"/>
        </w:rPr>
        <w:t>③</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hint="eastAsia" w:ascii="Times New Roman"/>
          <w:color w:val="000000"/>
          <w:szCs w:val="21"/>
        </w:rPr>
        <w:t>④</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hint="eastAsia" w:ascii="Times New Roman"/>
          <w:color w:val="000000"/>
          <w:szCs w:val="21"/>
        </w:rPr>
        <w:t>⑤</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hint="eastAsia" w:ascii="Times New Roman"/>
          <w:color w:val="000000"/>
          <w:szCs w:val="21"/>
        </w:rPr>
        <w:t>⑦</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color w:val="000000"/>
          <w:szCs w:val="21"/>
        </w:rPr>
        <w:t>①</w:t>
      </w:r>
      <w:r>
        <w:rPr>
          <w:rFonts w:ascii="Times New Roman"/>
          <w:snapToGrid w:val="0"/>
          <w:color w:val="000000"/>
          <w:spacing w:val="-6"/>
          <w:kern w:val="21"/>
          <w:szCs w:val="21"/>
        </w:rPr>
        <w:fldChar w:fldCharType="end"/>
      </w:r>
    </w:p>
    <w:p>
      <w:pPr>
        <w:tabs>
          <w:tab w:val="left" w:pos="3705"/>
        </w:tabs>
        <w:sectPr>
          <w:footerReference r:id="rId6" w:type="default"/>
          <w:pgSz w:w="16838" w:h="11906" w:orient="landscape"/>
          <w:pgMar w:top="1418" w:right="1418" w:bottom="1418" w:left="1418" w:header="851" w:footer="851" w:gutter="0"/>
          <w:cols w:space="720" w:num="1"/>
          <w:docGrid w:linePitch="312" w:charSpace="0"/>
        </w:sectPr>
      </w:pPr>
    </w:p>
    <w:tbl>
      <w:tblPr>
        <w:tblStyle w:val="58"/>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06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5" w:hRule="atLeast"/>
        </w:trPr>
        <w:tc>
          <w:tcPr>
            <w:tcW w:w="5000" w:type="pct"/>
          </w:tcPr>
          <w:p>
            <w:pPr>
              <w:spacing w:line="400" w:lineRule="exact"/>
              <w:ind w:right="113"/>
              <w:rPr>
                <w:kern w:val="24"/>
                <w:sz w:val="28"/>
              </w:rPr>
            </w:pPr>
            <w:r>
              <w:rPr>
                <w:sz w:val="28"/>
              </w:rPr>
              <w:t>预审意见：</w:t>
            </w:r>
          </w:p>
          <w:p>
            <w:pPr>
              <w:spacing w:before="120" w:line="400" w:lineRule="exact"/>
              <w:ind w:left="113" w:right="113"/>
              <w:rPr>
                <w:kern w:val="24"/>
                <w:sz w:val="28"/>
              </w:rPr>
            </w:pPr>
          </w:p>
          <w:p>
            <w:pPr>
              <w:spacing w:before="120" w:line="400" w:lineRule="exact"/>
              <w:ind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r>
              <w:t xml:space="preserve">                                                                      </w:t>
            </w:r>
            <w:r>
              <w:rPr>
                <w:sz w:val="28"/>
              </w:rPr>
              <w:t xml:space="preserve"> 公章</w:t>
            </w:r>
          </w:p>
          <w:p>
            <w:pPr>
              <w:spacing w:before="120" w:line="400" w:lineRule="exact"/>
              <w:ind w:left="113" w:right="113"/>
              <w:rPr>
                <w:kern w:val="24"/>
                <w:sz w:val="28"/>
              </w:rPr>
            </w:pPr>
          </w:p>
          <w:p>
            <w:pPr>
              <w:spacing w:line="400" w:lineRule="exact"/>
              <w:jc w:val="left"/>
              <w:rPr>
                <w:rFonts w:eastAsia="黑体"/>
                <w:sz w:val="28"/>
                <w:szCs w:val="28"/>
              </w:rPr>
            </w:pPr>
            <w:r>
              <w:rPr>
                <w:sz w:val="28"/>
              </w:rPr>
              <w:t>经办人：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732" w:hRule="atLeast"/>
        </w:trPr>
        <w:tc>
          <w:tcPr>
            <w:tcW w:w="5000" w:type="pct"/>
          </w:tcPr>
          <w:p>
            <w:pPr>
              <w:spacing w:line="400" w:lineRule="exact"/>
              <w:ind w:right="113"/>
              <w:rPr>
                <w:kern w:val="24"/>
                <w:sz w:val="28"/>
              </w:rPr>
            </w:pPr>
            <w:r>
              <w:rPr>
                <w:sz w:val="28"/>
              </w:rPr>
              <w:t>下一级环境保护行政主管部门审查意见：</w:t>
            </w: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left="113" w:right="113"/>
              <w:rPr>
                <w:kern w:val="24"/>
                <w:sz w:val="28"/>
              </w:rPr>
            </w:pPr>
            <w:r>
              <w:rPr>
                <w:sz w:val="28"/>
              </w:rPr>
              <w:t xml:space="preserve">                                                      公章</w:t>
            </w:r>
          </w:p>
          <w:p>
            <w:pPr>
              <w:spacing w:before="120" w:line="400" w:lineRule="exact"/>
              <w:ind w:left="113" w:right="113"/>
              <w:rPr>
                <w:kern w:val="24"/>
                <w:sz w:val="28"/>
              </w:rPr>
            </w:pPr>
          </w:p>
          <w:p>
            <w:pPr>
              <w:spacing w:before="120" w:beforeLines="50" w:after="120" w:afterLines="50" w:line="400" w:lineRule="exact"/>
              <w:jc w:val="left"/>
              <w:rPr>
                <w:sz w:val="28"/>
              </w:rPr>
            </w:pPr>
            <w:r>
              <w:rPr>
                <w:sz w:val="28"/>
              </w:rPr>
              <w:t>经办人：                                          年    月    日</w:t>
            </w:r>
          </w:p>
          <w:p>
            <w:pPr>
              <w:spacing w:before="120" w:line="400" w:lineRule="exact"/>
              <w:ind w:left="113" w:right="113"/>
              <w:rPr>
                <w:kern w:val="24"/>
                <w:sz w:val="28"/>
              </w:rPr>
            </w:pPr>
            <w:r>
              <w:rPr>
                <w:sz w:val="28"/>
              </w:rPr>
              <w:t>审批意见：</w:t>
            </w: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right="113"/>
              <w:rPr>
                <w:kern w:val="24"/>
                <w:sz w:val="28"/>
              </w:rPr>
            </w:pPr>
          </w:p>
          <w:p>
            <w:pPr>
              <w:spacing w:before="120" w:line="400" w:lineRule="exact"/>
              <w:ind w:left="113" w:right="113"/>
              <w:rPr>
                <w:kern w:val="24"/>
                <w:sz w:val="28"/>
              </w:rPr>
            </w:pPr>
            <w:r>
              <w:t xml:space="preserve">   </w:t>
            </w:r>
            <w:r>
              <w:rPr>
                <w:sz w:val="28"/>
              </w:rPr>
              <w:t xml:space="preserve">                                                   公章</w:t>
            </w:r>
          </w:p>
          <w:p>
            <w:pPr>
              <w:spacing w:before="120" w:line="400" w:lineRule="exact"/>
              <w:ind w:left="113" w:right="113"/>
              <w:rPr>
                <w:kern w:val="24"/>
                <w:sz w:val="28"/>
              </w:rPr>
            </w:pPr>
          </w:p>
          <w:p>
            <w:pPr>
              <w:spacing w:before="120" w:beforeLines="50" w:after="120" w:afterLines="50" w:line="400" w:lineRule="exact"/>
              <w:jc w:val="left"/>
              <w:rPr>
                <w:sz w:val="28"/>
              </w:rPr>
            </w:pPr>
            <w:r>
              <w:rPr>
                <w:sz w:val="28"/>
              </w:rPr>
              <w:t>经办人：                                         年    月    日</w:t>
            </w:r>
          </w:p>
          <w:p>
            <w:pPr>
              <w:pStyle w:val="6"/>
              <w:jc w:val="center"/>
            </w:pPr>
          </w:p>
          <w:p>
            <w:pPr>
              <w:spacing w:line="560" w:lineRule="exact"/>
              <w:rPr>
                <w:color w:val="000000"/>
                <w:sz w:val="28"/>
              </w:rPr>
            </w:pPr>
          </w:p>
          <w:p>
            <w:pPr>
              <w:spacing w:line="560" w:lineRule="exact"/>
              <w:ind w:firstLine="560" w:firstLineChars="200"/>
              <w:rPr>
                <w:color w:val="000000"/>
                <w:sz w:val="28"/>
              </w:rPr>
            </w:pPr>
          </w:p>
          <w:p>
            <w:pPr>
              <w:spacing w:line="560" w:lineRule="exact"/>
              <w:ind w:firstLine="560" w:firstLineChars="200"/>
              <w:rPr>
                <w:color w:val="000000"/>
                <w:sz w:val="28"/>
              </w:rPr>
            </w:pPr>
          </w:p>
          <w:p>
            <w:pPr>
              <w:spacing w:line="560" w:lineRule="exact"/>
              <w:ind w:firstLine="560" w:firstLineChars="200"/>
              <w:rPr>
                <w:color w:val="000000"/>
                <w:sz w:val="28"/>
              </w:rPr>
            </w:pPr>
          </w:p>
          <w:p>
            <w:pPr>
              <w:spacing w:line="560" w:lineRule="exact"/>
              <w:ind w:firstLine="560" w:firstLineChars="200"/>
              <w:rPr>
                <w:color w:val="000000"/>
                <w:sz w:val="28"/>
              </w:rPr>
            </w:pPr>
          </w:p>
          <w:p>
            <w:pPr>
              <w:spacing w:line="560" w:lineRule="exact"/>
              <w:ind w:firstLine="560" w:firstLineChars="200"/>
              <w:rPr>
                <w:color w:val="000000"/>
                <w:sz w:val="28"/>
              </w:rPr>
            </w:pPr>
          </w:p>
          <w:p>
            <w:pPr>
              <w:spacing w:line="560" w:lineRule="exact"/>
              <w:rPr>
                <w:color w:val="000000"/>
                <w:sz w:val="28"/>
              </w:rPr>
            </w:pPr>
          </w:p>
          <w:p>
            <w:pPr>
              <w:spacing w:line="560" w:lineRule="exact"/>
              <w:rPr>
                <w:color w:val="000000"/>
                <w:sz w:val="28"/>
              </w:rPr>
            </w:pPr>
          </w:p>
          <w:p>
            <w:pPr>
              <w:spacing w:line="560" w:lineRule="exact"/>
              <w:ind w:firstLine="560" w:firstLineChars="200"/>
              <w:rPr>
                <w:color w:val="000000"/>
                <w:sz w:val="28"/>
              </w:rPr>
            </w:pPr>
          </w:p>
          <w:p>
            <w:pPr>
              <w:spacing w:line="560" w:lineRule="exact"/>
              <w:rPr>
                <w:color w:val="000000"/>
                <w:sz w:val="28"/>
              </w:rPr>
            </w:pPr>
          </w:p>
          <w:p>
            <w:pPr>
              <w:spacing w:line="560" w:lineRule="exact"/>
              <w:rPr>
                <w:color w:val="000000"/>
                <w:sz w:val="28"/>
              </w:rPr>
            </w:pPr>
          </w:p>
        </w:tc>
      </w:tr>
    </w:tbl>
    <w:p>
      <w:pPr>
        <w:widowControl/>
        <w:spacing w:line="440" w:lineRule="exact"/>
        <w:jc w:val="left"/>
        <w:rPr>
          <w:b/>
          <w:color w:val="000000"/>
          <w:kern w:val="0"/>
          <w:sz w:val="24"/>
        </w:rPr>
        <w:sectPr>
          <w:footerReference r:id="rId7" w:type="default"/>
          <w:pgSz w:w="11906" w:h="16838"/>
          <w:pgMar w:top="1701" w:right="1531" w:bottom="1701" w:left="1531" w:header="851" w:footer="851" w:gutter="0"/>
          <w:cols w:space="720" w:num="1"/>
          <w:docGrid w:linePitch="312" w:charSpace="0"/>
        </w:sectPr>
      </w:pPr>
    </w:p>
    <w:p>
      <w:pPr>
        <w:widowControl/>
        <w:spacing w:line="440" w:lineRule="exact"/>
        <w:jc w:val="left"/>
        <w:rPr>
          <w:b/>
          <w:color w:val="000000"/>
          <w:kern w:val="0"/>
          <w:sz w:val="24"/>
        </w:rPr>
      </w:pPr>
      <w:r>
        <w:rPr>
          <w:rFonts w:hint="eastAsia"/>
          <w:b/>
          <w:color w:val="000000"/>
          <w:kern w:val="0"/>
          <w:sz w:val="24"/>
        </w:rPr>
        <w:t>附件:</w:t>
      </w:r>
    </w:p>
    <w:p>
      <w:pPr>
        <w:widowControl/>
        <w:spacing w:line="360" w:lineRule="auto"/>
        <w:ind w:firstLine="700" w:firstLineChars="292"/>
        <w:jc w:val="left"/>
        <w:rPr>
          <w:color w:val="000000"/>
          <w:kern w:val="0"/>
          <w:sz w:val="24"/>
        </w:rPr>
      </w:pPr>
      <w:r>
        <w:rPr>
          <w:color w:val="000000"/>
          <w:kern w:val="0"/>
          <w:sz w:val="24"/>
        </w:rPr>
        <w:t>附件1  委托书</w:t>
      </w:r>
    </w:p>
    <w:p>
      <w:pPr>
        <w:widowControl/>
        <w:spacing w:line="360" w:lineRule="auto"/>
        <w:ind w:firstLine="700" w:firstLineChars="292"/>
        <w:jc w:val="left"/>
        <w:rPr>
          <w:color w:val="000000"/>
          <w:kern w:val="0"/>
          <w:sz w:val="24"/>
        </w:rPr>
      </w:pPr>
      <w:r>
        <w:rPr>
          <w:color w:val="000000"/>
          <w:kern w:val="0"/>
          <w:sz w:val="24"/>
        </w:rPr>
        <w:t>附件2  危废承诺</w:t>
      </w:r>
    </w:p>
    <w:p>
      <w:pPr>
        <w:widowControl/>
        <w:spacing w:line="360" w:lineRule="auto"/>
        <w:ind w:firstLine="700" w:firstLineChars="292"/>
        <w:jc w:val="left"/>
        <w:rPr>
          <w:color w:val="000000"/>
          <w:kern w:val="0"/>
          <w:sz w:val="24"/>
        </w:rPr>
      </w:pPr>
      <w:r>
        <w:rPr>
          <w:color w:val="000000"/>
          <w:kern w:val="0"/>
          <w:sz w:val="24"/>
        </w:rPr>
        <w:t>附件3  真实性承诺</w:t>
      </w:r>
    </w:p>
    <w:p>
      <w:pPr>
        <w:widowControl/>
        <w:spacing w:line="360" w:lineRule="auto"/>
        <w:ind w:firstLine="700" w:firstLineChars="292"/>
        <w:jc w:val="left"/>
        <w:rPr>
          <w:color w:val="000000"/>
          <w:kern w:val="0"/>
          <w:sz w:val="24"/>
        </w:rPr>
      </w:pPr>
      <w:r>
        <w:rPr>
          <w:color w:val="000000"/>
          <w:kern w:val="0"/>
          <w:sz w:val="24"/>
        </w:rPr>
        <w:t>附件4  立项文件</w:t>
      </w:r>
    </w:p>
    <w:p>
      <w:pPr>
        <w:widowControl/>
        <w:spacing w:line="360" w:lineRule="auto"/>
        <w:ind w:firstLine="700" w:firstLineChars="292"/>
        <w:jc w:val="left"/>
        <w:rPr>
          <w:rFonts w:hint="default"/>
          <w:color w:val="000000"/>
          <w:kern w:val="0"/>
          <w:sz w:val="24"/>
          <w:lang w:val="en-US" w:eastAsia="zh-CN"/>
        </w:rPr>
      </w:pPr>
      <w:r>
        <w:rPr>
          <w:color w:val="000000"/>
          <w:kern w:val="0"/>
          <w:sz w:val="24"/>
        </w:rPr>
        <w:t xml:space="preserve">附件5  </w:t>
      </w:r>
      <w:r>
        <w:rPr>
          <w:rFonts w:hint="eastAsia"/>
          <w:color w:val="000000"/>
          <w:kern w:val="0"/>
          <w:sz w:val="24"/>
          <w:lang w:val="en-US" w:eastAsia="zh-CN"/>
        </w:rPr>
        <w:t>土地证及土地购买合同</w:t>
      </w:r>
    </w:p>
    <w:p>
      <w:pPr>
        <w:widowControl/>
        <w:spacing w:line="360" w:lineRule="auto"/>
        <w:ind w:firstLine="700" w:firstLineChars="292"/>
        <w:jc w:val="left"/>
        <w:rPr>
          <w:color w:val="000000"/>
          <w:kern w:val="0"/>
          <w:sz w:val="24"/>
        </w:rPr>
      </w:pPr>
      <w:r>
        <w:rPr>
          <w:color w:val="000000"/>
          <w:kern w:val="0"/>
          <w:sz w:val="24"/>
        </w:rPr>
        <w:t>附件</w:t>
      </w:r>
      <w:r>
        <w:rPr>
          <w:rFonts w:hint="eastAsia"/>
          <w:color w:val="000000"/>
          <w:kern w:val="0"/>
          <w:sz w:val="24"/>
          <w:lang w:val="en-US" w:eastAsia="zh-CN"/>
        </w:rPr>
        <w:t>6</w:t>
      </w:r>
      <w:r>
        <w:rPr>
          <w:color w:val="000000"/>
          <w:kern w:val="0"/>
          <w:sz w:val="24"/>
        </w:rPr>
        <w:t xml:space="preserve">  营业执照</w:t>
      </w:r>
    </w:p>
    <w:p>
      <w:pPr>
        <w:widowControl/>
        <w:spacing w:line="360" w:lineRule="auto"/>
        <w:ind w:firstLine="700" w:firstLineChars="292"/>
        <w:jc w:val="left"/>
        <w:rPr>
          <w:color w:val="000000"/>
          <w:kern w:val="0"/>
          <w:sz w:val="24"/>
        </w:rPr>
      </w:pPr>
      <w:r>
        <w:rPr>
          <w:color w:val="000000"/>
          <w:kern w:val="0"/>
          <w:sz w:val="24"/>
        </w:rPr>
        <w:t>附件</w:t>
      </w:r>
      <w:r>
        <w:rPr>
          <w:rFonts w:hint="eastAsia"/>
          <w:color w:val="000000"/>
          <w:kern w:val="0"/>
          <w:sz w:val="24"/>
          <w:lang w:val="en-US" w:eastAsia="zh-CN"/>
        </w:rPr>
        <w:t>7</w:t>
      </w:r>
      <w:r>
        <w:rPr>
          <w:color w:val="000000"/>
          <w:kern w:val="0"/>
          <w:sz w:val="24"/>
        </w:rPr>
        <w:t xml:space="preserve">  全本公示证明</w:t>
      </w:r>
    </w:p>
    <w:p>
      <w:pPr>
        <w:widowControl/>
        <w:spacing w:line="360" w:lineRule="auto"/>
        <w:ind w:firstLine="700" w:firstLineChars="292"/>
        <w:jc w:val="left"/>
        <w:rPr>
          <w:rFonts w:hint="eastAsia"/>
          <w:color w:val="000000"/>
          <w:kern w:val="0"/>
          <w:sz w:val="24"/>
        </w:rPr>
      </w:pPr>
      <w:r>
        <w:rPr>
          <w:color w:val="000000"/>
          <w:kern w:val="0"/>
          <w:sz w:val="24"/>
        </w:rPr>
        <w:t>附件</w:t>
      </w:r>
      <w:r>
        <w:rPr>
          <w:rFonts w:hint="eastAsia"/>
          <w:color w:val="000000"/>
          <w:kern w:val="0"/>
          <w:sz w:val="24"/>
          <w:lang w:val="en-US" w:eastAsia="zh-CN"/>
        </w:rPr>
        <w:t>8</w:t>
      </w:r>
      <w:r>
        <w:rPr>
          <w:color w:val="000000"/>
          <w:kern w:val="0"/>
          <w:sz w:val="24"/>
        </w:rPr>
        <w:t xml:space="preserve">  </w:t>
      </w:r>
      <w:r>
        <w:rPr>
          <w:rFonts w:hint="eastAsia"/>
          <w:color w:val="000000"/>
          <w:kern w:val="0"/>
          <w:sz w:val="24"/>
        </w:rPr>
        <w:t>排污许可登记回执</w:t>
      </w:r>
    </w:p>
    <w:p>
      <w:pPr>
        <w:pStyle w:val="2"/>
        <w:ind w:left="0" w:leftChars="0" w:firstLine="720" w:firstLineChars="300"/>
        <w:rPr>
          <w:rFonts w:hint="default" w:eastAsia="宋体"/>
          <w:lang w:val="en-US" w:eastAsia="zh-CN"/>
        </w:rPr>
      </w:pPr>
      <w:r>
        <w:rPr>
          <w:rFonts w:hint="eastAsia"/>
          <w:color w:val="000000"/>
          <w:kern w:val="0"/>
          <w:sz w:val="24"/>
          <w:lang w:val="en-US" w:eastAsia="zh-CN"/>
        </w:rPr>
        <w:t>附件9  面积说明</w:t>
      </w:r>
    </w:p>
    <w:p>
      <w:pPr>
        <w:widowControl/>
        <w:spacing w:line="440" w:lineRule="exact"/>
        <w:jc w:val="left"/>
        <w:rPr>
          <w:b/>
          <w:color w:val="000000"/>
          <w:kern w:val="0"/>
          <w:sz w:val="24"/>
        </w:rPr>
      </w:pPr>
      <w:r>
        <w:rPr>
          <w:rFonts w:hint="eastAsia"/>
          <w:b/>
          <w:color w:val="000000"/>
          <w:kern w:val="0"/>
          <w:sz w:val="24"/>
        </w:rPr>
        <w:t>附图:</w:t>
      </w:r>
    </w:p>
    <w:p>
      <w:pPr>
        <w:widowControl/>
        <w:spacing w:line="360" w:lineRule="auto"/>
        <w:ind w:firstLine="700" w:firstLineChars="292"/>
        <w:jc w:val="left"/>
        <w:rPr>
          <w:color w:val="0D0D0D" w:themeColor="text1" w:themeTint="F2"/>
          <w:kern w:val="0"/>
          <w:sz w:val="24"/>
          <w14:textFill>
            <w14:solidFill>
              <w14:schemeClr w14:val="tx1">
                <w14:lumMod w14:val="95000"/>
                <w14:lumOff w14:val="5000"/>
              </w14:schemeClr>
            </w14:solidFill>
          </w14:textFill>
        </w:rPr>
      </w:pPr>
      <w:r>
        <w:rPr>
          <w:color w:val="0D0D0D" w:themeColor="text1" w:themeTint="F2"/>
          <w:kern w:val="0"/>
          <w:sz w:val="24"/>
          <w14:textFill>
            <w14:solidFill>
              <w14:schemeClr w14:val="tx1">
                <w14:lumMod w14:val="95000"/>
                <w14:lumOff w14:val="5000"/>
              </w14:schemeClr>
            </w14:solidFill>
          </w14:textFill>
        </w:rPr>
        <w:t>附图1  项目地理</w:t>
      </w:r>
      <w:r>
        <w:rPr>
          <w:rFonts w:hint="eastAsia"/>
          <w:color w:val="0D0D0D" w:themeColor="text1" w:themeTint="F2"/>
          <w:kern w:val="0"/>
          <w:sz w:val="24"/>
          <w14:textFill>
            <w14:solidFill>
              <w14:schemeClr w14:val="tx1">
                <w14:lumMod w14:val="95000"/>
                <w14:lumOff w14:val="5000"/>
              </w14:schemeClr>
            </w14:solidFill>
          </w14:textFill>
        </w:rPr>
        <w:t>位置</w:t>
      </w:r>
      <w:r>
        <w:rPr>
          <w:color w:val="0D0D0D" w:themeColor="text1" w:themeTint="F2"/>
          <w:kern w:val="0"/>
          <w:sz w:val="24"/>
          <w14:textFill>
            <w14:solidFill>
              <w14:schemeClr w14:val="tx1">
                <w14:lumMod w14:val="95000"/>
                <w14:lumOff w14:val="5000"/>
              </w14:schemeClr>
            </w14:solidFill>
          </w14:textFill>
        </w:rPr>
        <w:t>图</w:t>
      </w:r>
    </w:p>
    <w:p>
      <w:pPr>
        <w:widowControl/>
        <w:spacing w:line="360" w:lineRule="auto"/>
        <w:ind w:firstLine="700" w:firstLineChars="292"/>
        <w:jc w:val="left"/>
        <w:rPr>
          <w:color w:val="0D0D0D" w:themeColor="text1" w:themeTint="F2"/>
          <w:kern w:val="0"/>
          <w:sz w:val="24"/>
          <w14:textFill>
            <w14:solidFill>
              <w14:schemeClr w14:val="tx1">
                <w14:lumMod w14:val="95000"/>
                <w14:lumOff w14:val="5000"/>
              </w14:schemeClr>
            </w14:solidFill>
          </w14:textFill>
        </w:rPr>
      </w:pPr>
      <w:r>
        <w:rPr>
          <w:color w:val="0D0D0D" w:themeColor="text1" w:themeTint="F2"/>
          <w:kern w:val="0"/>
          <w:sz w:val="24"/>
          <w14:textFill>
            <w14:solidFill>
              <w14:schemeClr w14:val="tx1">
                <w14:lumMod w14:val="95000"/>
                <w14:lumOff w14:val="5000"/>
              </w14:schemeClr>
            </w14:solidFill>
          </w14:textFill>
        </w:rPr>
        <w:t xml:space="preserve">附图2  </w:t>
      </w:r>
      <w:r>
        <w:rPr>
          <w:rFonts w:hint="eastAsia"/>
          <w:color w:val="0D0D0D" w:themeColor="text1" w:themeTint="F2"/>
          <w:kern w:val="0"/>
          <w:sz w:val="24"/>
          <w14:textFill>
            <w14:solidFill>
              <w14:schemeClr w14:val="tx1">
                <w14:lumMod w14:val="95000"/>
                <w14:lumOff w14:val="5000"/>
              </w14:schemeClr>
            </w14:solidFill>
          </w14:textFill>
        </w:rPr>
        <w:t>项目</w:t>
      </w:r>
      <w:r>
        <w:rPr>
          <w:color w:val="0D0D0D" w:themeColor="text1" w:themeTint="F2"/>
          <w:kern w:val="0"/>
          <w:sz w:val="24"/>
          <w14:textFill>
            <w14:solidFill>
              <w14:schemeClr w14:val="tx1">
                <w14:lumMod w14:val="95000"/>
                <w14:lumOff w14:val="5000"/>
              </w14:schemeClr>
            </w14:solidFill>
          </w14:textFill>
        </w:rPr>
        <w:t>周边关系图</w:t>
      </w:r>
    </w:p>
    <w:p>
      <w:pPr>
        <w:widowControl/>
        <w:spacing w:line="360" w:lineRule="auto"/>
        <w:ind w:firstLine="700" w:firstLineChars="292"/>
        <w:jc w:val="left"/>
        <w:rPr>
          <w:color w:val="0D0D0D" w:themeColor="text1" w:themeTint="F2"/>
          <w:kern w:val="0"/>
          <w:sz w:val="24"/>
          <w14:textFill>
            <w14:solidFill>
              <w14:schemeClr w14:val="tx1">
                <w14:lumMod w14:val="95000"/>
                <w14:lumOff w14:val="5000"/>
              </w14:schemeClr>
            </w14:solidFill>
          </w14:textFill>
        </w:rPr>
      </w:pPr>
      <w:r>
        <w:rPr>
          <w:color w:val="0D0D0D" w:themeColor="text1" w:themeTint="F2"/>
          <w:kern w:val="0"/>
          <w:sz w:val="24"/>
          <w14:textFill>
            <w14:solidFill>
              <w14:schemeClr w14:val="tx1">
                <w14:lumMod w14:val="95000"/>
                <w14:lumOff w14:val="5000"/>
              </w14:schemeClr>
            </w14:solidFill>
          </w14:textFill>
        </w:rPr>
        <w:t>附图3  项目平面布置</w:t>
      </w:r>
      <w:r>
        <w:rPr>
          <w:rFonts w:hint="eastAsia"/>
          <w:color w:val="0D0D0D" w:themeColor="text1" w:themeTint="F2"/>
          <w:kern w:val="0"/>
          <w:sz w:val="24"/>
          <w:lang w:val="en-US" w:eastAsia="zh-CN"/>
          <w14:textFill>
            <w14:solidFill>
              <w14:schemeClr w14:val="tx1">
                <w14:lumMod w14:val="95000"/>
                <w14:lumOff w14:val="5000"/>
              </w14:schemeClr>
            </w14:solidFill>
          </w14:textFill>
        </w:rPr>
        <w:t>及雨污管网</w:t>
      </w:r>
      <w:r>
        <w:rPr>
          <w:color w:val="0D0D0D" w:themeColor="text1" w:themeTint="F2"/>
          <w:kern w:val="0"/>
          <w:sz w:val="24"/>
          <w14:textFill>
            <w14:solidFill>
              <w14:schemeClr w14:val="tx1">
                <w14:lumMod w14:val="95000"/>
                <w14:lumOff w14:val="5000"/>
              </w14:schemeClr>
            </w14:solidFill>
          </w14:textFill>
        </w:rPr>
        <w:t>图</w:t>
      </w:r>
    </w:p>
    <w:p>
      <w:pPr>
        <w:widowControl/>
        <w:spacing w:line="360" w:lineRule="auto"/>
        <w:ind w:firstLine="700" w:firstLineChars="292"/>
        <w:jc w:val="left"/>
        <w:rPr>
          <w:rFonts w:hint="eastAsia"/>
          <w:color w:val="000000"/>
          <w:sz w:val="24"/>
        </w:rPr>
      </w:pPr>
      <w:r>
        <w:rPr>
          <w:rFonts w:hint="eastAsia"/>
          <w:color w:val="0D0D0D" w:themeColor="text1" w:themeTint="F2"/>
          <w:kern w:val="0"/>
          <w:sz w:val="24"/>
          <w14:textFill>
            <w14:solidFill>
              <w14:schemeClr w14:val="tx1">
                <w14:lumMod w14:val="95000"/>
                <w14:lumOff w14:val="5000"/>
              </w14:schemeClr>
            </w14:solidFill>
          </w14:textFill>
        </w:rPr>
        <w:t xml:space="preserve">附图4  </w:t>
      </w:r>
      <w:r>
        <w:rPr>
          <w:rFonts w:hint="eastAsia"/>
          <w:color w:val="auto"/>
          <w:sz w:val="24"/>
        </w:rPr>
        <w:t>芜湖鸠江经济开发区发展规划图</w:t>
      </w:r>
    </w:p>
    <w:p>
      <w:pPr>
        <w:pStyle w:val="7"/>
        <w:ind w:firstLine="720" w:firstLineChars="300"/>
        <w:rPr>
          <w:rFonts w:hint="default" w:eastAsia="宋体"/>
          <w:lang w:val="en-US" w:eastAsia="zh-CN"/>
        </w:rPr>
      </w:pPr>
      <w:r>
        <w:rPr>
          <w:rFonts w:hint="eastAsia"/>
          <w:color w:val="0D0D0D" w:themeColor="text1" w:themeTint="F2"/>
          <w:kern w:val="0"/>
          <w:sz w:val="24"/>
          <w14:textFill>
            <w14:solidFill>
              <w14:schemeClr w14:val="tx1">
                <w14:lumMod w14:val="95000"/>
                <w14:lumOff w14:val="5000"/>
              </w14:schemeClr>
            </w14:solidFill>
          </w14:textFill>
        </w:rPr>
        <w:t>附图</w:t>
      </w:r>
      <w:r>
        <w:rPr>
          <w:rFonts w:hint="eastAsia"/>
          <w:color w:val="0D0D0D" w:themeColor="text1" w:themeTint="F2"/>
          <w:kern w:val="0"/>
          <w:sz w:val="24"/>
          <w:lang w:val="en-US" w:eastAsia="zh-CN"/>
          <w14:textFill>
            <w14:solidFill>
              <w14:schemeClr w14:val="tx1">
                <w14:lumMod w14:val="95000"/>
                <w14:lumOff w14:val="5000"/>
              </w14:schemeClr>
            </w14:solidFill>
          </w14:textFill>
        </w:rPr>
        <w:t>5</w:t>
      </w:r>
      <w:r>
        <w:rPr>
          <w:rFonts w:hint="eastAsia"/>
          <w:color w:val="0D0D0D" w:themeColor="text1" w:themeTint="F2"/>
          <w:kern w:val="0"/>
          <w:sz w:val="24"/>
          <w14:textFill>
            <w14:solidFill>
              <w14:schemeClr w14:val="tx1">
                <w14:lumMod w14:val="95000"/>
                <w14:lumOff w14:val="5000"/>
              </w14:schemeClr>
            </w14:solidFill>
          </w14:textFill>
        </w:rPr>
        <w:t xml:space="preserve">  </w:t>
      </w:r>
      <w:r>
        <w:rPr>
          <w:rFonts w:hint="eastAsia"/>
          <w:color w:val="0D0D0D" w:themeColor="text1" w:themeTint="F2"/>
          <w:kern w:val="0"/>
          <w:sz w:val="24"/>
          <w:lang w:val="en-US" w:eastAsia="zh-CN"/>
          <w14:textFill>
            <w14:solidFill>
              <w14:schemeClr w14:val="tx1">
                <w14:lumMod w14:val="95000"/>
                <w14:lumOff w14:val="5000"/>
              </w14:schemeClr>
            </w14:solidFill>
          </w14:textFill>
        </w:rPr>
        <w:t>生态红线图</w:t>
      </w:r>
    </w:p>
    <w:p>
      <w:pPr>
        <w:pStyle w:val="54"/>
        <w:adjustRightInd w:val="0"/>
        <w:snapToGrid w:val="0"/>
        <w:spacing w:before="648" w:beforeLines="270" w:beforeAutospacing="0" w:after="648" w:afterLines="270" w:afterAutospacing="0"/>
        <w:outlineLvl w:val="0"/>
        <w:rPr>
          <w:rFonts w:ascii="Times New Roman" w:hAnsi="Times New Roman"/>
          <w:color w:val="000000"/>
        </w:rPr>
      </w:pPr>
    </w:p>
    <w:sectPr>
      <w:pgSz w:w="11906" w:h="16838"/>
      <w:pgMar w:top="1701" w:right="1531" w:bottom="1701" w:left="153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Black">
    <w:panose1 w:val="020B0A04020102020204"/>
    <w:charset w:val="00"/>
    <w:family w:val="swiss"/>
    <w:pitch w:val="default"/>
    <w:sig w:usb0="A00002AF" w:usb1="400078FB" w:usb2="00000000" w:usb3="00000000" w:csb0="6000009F" w:csb1="DFD7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Batang">
    <w:altName w:val="Malgun Gothic"/>
    <w:panose1 w:val="02030600000101010101"/>
    <w:charset w:val="81"/>
    <w:family w:val="auto"/>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TimesNewRoman">
    <w:altName w:val="Times New Roman"/>
    <w:panose1 w:val="00000000000000000000"/>
    <w:charset w:val="00"/>
    <w:family w:val="roman"/>
    <w:pitch w:val="default"/>
    <w:sig w:usb0="00000000" w:usb1="00000000" w:usb2="00000010" w:usb3="00000000" w:csb0="00040001" w:csb1="00000000"/>
  </w:font>
  <w:font w:name="ˎ̥">
    <w:altName w:val="Times New Roman"/>
    <w:panose1 w:val="00000000000000000000"/>
    <w:charset w:val="00"/>
    <w:family w:val="auto"/>
    <w:pitch w:val="default"/>
    <w:sig w:usb0="00000000" w:usb1="00000000" w:usb2="00000000" w:usb3="00000000" w:csb0="00040001" w:csb1="00000000"/>
  </w:font>
  <w:font w:name="方正魏碑简体">
    <w:altName w:val="宋体"/>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Lucida Console">
    <w:panose1 w:val="020B0609040504020204"/>
    <w:charset w:val="00"/>
    <w:family w:val="modern"/>
    <w:pitch w:val="default"/>
    <w:sig w:usb0="8000028F" w:usb1="00001800" w:usb2="00000000" w:usb3="00000000" w:csb0="0000001F" w:csb1="D7D7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汉鼎简书宋">
    <w:altName w:val="宋体"/>
    <w:panose1 w:val="00000000000000000000"/>
    <w:charset w:val="86"/>
    <w:family w:val="auto"/>
    <w:pitch w:val="default"/>
    <w:sig w:usb0="00000000" w:usb1="00000000" w:usb2="0000001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Georgia">
    <w:panose1 w:val="02040502050405020303"/>
    <w:charset w:val="00"/>
    <w:family w:val="roman"/>
    <w:pitch w:val="default"/>
    <w:sig w:usb0="00000287" w:usb1="00000000" w:usb2="00000000" w:usb3="00000000" w:csb0="2000009F" w:csb1="00000000"/>
  </w:font>
  <w:font w:name="PMingLiU">
    <w:altName w:val="PMingLiU-ExtB"/>
    <w:panose1 w:val="02020500000000000000"/>
    <w:charset w:val="88"/>
    <w:family w:val="auto"/>
    <w:pitch w:val="default"/>
    <w:sig w:usb0="00000000" w:usb1="00000000" w:usb2="00000016" w:usb3="00000000" w:csb0="00100001" w:csb1="00000000"/>
  </w:font>
  <w:font w:name="TimesNewRomanPSMT">
    <w:altName w:val="Arial"/>
    <w:panose1 w:val="00000000000000000000"/>
    <w:charset w:val="00"/>
    <w:family w:val="roman"/>
    <w:pitch w:val="default"/>
    <w:sig w:usb0="00000000" w:usb1="00000000" w:usb2="00000010" w:usb3="00000000" w:csb0="00040001" w:csb1="00000000"/>
  </w:font>
  <w:font w:name="font-weight : 400">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仓耳今楷01-27533 W01">
    <w:altName w:val="宋体"/>
    <w:panose1 w:val="02020400000000000000"/>
    <w:charset w:val="86"/>
    <w:family w:val="auto"/>
    <w:pitch w:val="default"/>
    <w:sig w:usb0="00000000" w:usb1="00000000" w:usb2="00000012"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Times">
    <w:altName w:val="Times New Roman"/>
    <w:panose1 w:val="02020603050405020304"/>
    <w:charset w:val="00"/>
    <w:family w:val="roman"/>
    <w:pitch w:val="default"/>
    <w:sig w:usb0="00000000" w:usb1="00000000" w:usb2="00000000" w:usb3="00000000" w:csb0="00000001" w:csb1="00000000"/>
  </w:font>
  <w:font w:name="新宋体">
    <w:panose1 w:val="02010609030101010101"/>
    <w:charset w:val="86"/>
    <w:family w:val="modern"/>
    <w:pitch w:val="default"/>
    <w:sig w:usb0="00000283" w:usb1="288F0000" w:usb2="00000006" w:usb3="00000000" w:csb0="00040001" w:csb1="00000000"/>
  </w:font>
  <w:font w:name="Cambria Math">
    <w:panose1 w:val="02040503050406030204"/>
    <w:charset w:val="00"/>
    <w:family w:val="roman"/>
    <w:pitch w:val="default"/>
    <w:sig w:usb0="E00006FF" w:usb1="420024FF" w:usb2="02000000" w:usb3="00000000" w:csb0="2000019F" w:csb1="00000000"/>
  </w:font>
  <w:font w:name="ﾋﾎﾌ・">
    <w:altName w:val="MS Gothic"/>
    <w:panose1 w:val="00000000000000000000"/>
    <w:charset w:val="80"/>
    <w:family w:val="auto"/>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framePr w:wrap="around" w:vAnchor="text" w:hAnchor="margin" w:xAlign="center" w:y="1"/>
      <w:rPr>
        <w:rStyle w:val="67"/>
      </w:rPr>
    </w:pPr>
    <w:r>
      <w:fldChar w:fldCharType="begin"/>
    </w:r>
    <w:r>
      <w:rPr>
        <w:rStyle w:val="67"/>
      </w:rPr>
      <w:instrText xml:space="preserve">PAGE  </w:instrText>
    </w:r>
    <w:r>
      <w:fldChar w:fldCharType="end"/>
    </w:r>
  </w:p>
  <w:p>
    <w:pPr>
      <w:pStyle w:val="3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framePr w:wrap="around" w:vAnchor="text" w:hAnchor="margin" w:xAlign="center" w:y="1"/>
      <w:rPr>
        <w:rStyle w:val="67"/>
      </w:rPr>
    </w:pPr>
    <w:r>
      <w:rPr>
        <w:rStyle w:val="67"/>
      </w:rPr>
      <w:fldChar w:fldCharType="begin"/>
    </w:r>
    <w:r>
      <w:rPr>
        <w:rStyle w:val="67"/>
      </w:rPr>
      <w:instrText xml:space="preserve">PAGE  </w:instrText>
    </w:r>
    <w:r>
      <w:rPr>
        <w:rStyle w:val="67"/>
      </w:rPr>
      <w:fldChar w:fldCharType="separate"/>
    </w:r>
    <w:r>
      <w:rPr>
        <w:rStyle w:val="67"/>
      </w:rPr>
      <w:t>39</w:t>
    </w:r>
    <w:r>
      <w:rPr>
        <w:rStyle w:val="67"/>
      </w:rPr>
      <w:fldChar w:fldCharType="end"/>
    </w:r>
  </w:p>
  <w:p>
    <w:pPr>
      <w:pStyle w:val="3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framePr w:wrap="around" w:vAnchor="text" w:hAnchor="margin" w:xAlign="center" w:y="1"/>
      <w:rPr>
        <w:rStyle w:val="67"/>
        <w:szCs w:val="18"/>
      </w:rPr>
    </w:pPr>
    <w:r>
      <w:rPr>
        <w:szCs w:val="18"/>
      </w:rPr>
      <w:fldChar w:fldCharType="begin"/>
    </w:r>
    <w:r>
      <w:rPr>
        <w:rStyle w:val="67"/>
        <w:szCs w:val="18"/>
      </w:rPr>
      <w:instrText xml:space="preserve">PAGE  </w:instrText>
    </w:r>
    <w:r>
      <w:rPr>
        <w:szCs w:val="18"/>
      </w:rPr>
      <w:fldChar w:fldCharType="separate"/>
    </w:r>
    <w:r>
      <w:rPr>
        <w:rStyle w:val="67"/>
        <w:szCs w:val="18"/>
      </w:rPr>
      <w:t>54</w:t>
    </w:r>
    <w:r>
      <w:rPr>
        <w:szCs w:val="18"/>
      </w:rPr>
      <w:fldChar w:fldCharType="end"/>
    </w:r>
    <w:r>
      <w:rPr>
        <w:rStyle w:val="67"/>
        <w:szCs w:val="18"/>
      </w:rPr>
      <w:t xml:space="preserve">  </w:t>
    </w:r>
  </w:p>
  <w:p>
    <w:pPr>
      <w:pStyle w:val="39"/>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framePr w:wrap="around" w:vAnchor="text" w:hAnchor="page" w:x="5911" w:y="-7"/>
      <w:jc w:val="center"/>
      <w:rPr>
        <w:rStyle w:val="67"/>
        <w:szCs w:val="18"/>
      </w:rPr>
    </w:pPr>
    <w:r>
      <w:rPr>
        <w:szCs w:val="18"/>
      </w:rPr>
      <w:fldChar w:fldCharType="begin"/>
    </w:r>
    <w:r>
      <w:rPr>
        <w:rStyle w:val="67"/>
        <w:szCs w:val="18"/>
      </w:rPr>
      <w:instrText xml:space="preserve">PAGE  </w:instrText>
    </w:r>
    <w:r>
      <w:rPr>
        <w:szCs w:val="18"/>
      </w:rPr>
      <w:fldChar w:fldCharType="separate"/>
    </w:r>
    <w:r>
      <w:rPr>
        <w:rStyle w:val="67"/>
        <w:szCs w:val="18"/>
      </w:rPr>
      <w:t>57</w:t>
    </w:r>
    <w:r>
      <w:rPr>
        <w:szCs w:val="18"/>
      </w:rPr>
      <w:fldChar w:fldCharType="end"/>
    </w:r>
  </w:p>
  <w:p>
    <w:pPr>
      <w:pStyle w:val="39"/>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9F98B2"/>
    <w:multiLevelType w:val="singleLevel"/>
    <w:tmpl w:val="0E9F98B2"/>
    <w:lvl w:ilvl="0" w:tentative="0">
      <w:start w:val="1"/>
      <w:numFmt w:val="chineseCounting"/>
      <w:suff w:val="nothing"/>
      <w:lvlText w:val="%1、"/>
      <w:lvlJc w:val="left"/>
      <w:rPr>
        <w:rFonts w:hint="eastAsia"/>
      </w:rPr>
    </w:lvl>
  </w:abstractNum>
  <w:abstractNum w:abstractNumId="1">
    <w:nsid w:val="30A61993"/>
    <w:multiLevelType w:val="multilevel"/>
    <w:tmpl w:val="30A61993"/>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pStyle w:val="614"/>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31D5327"/>
    <w:multiLevelType w:val="singleLevel"/>
    <w:tmpl w:val="431D5327"/>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attachedTemplate r:id="rId1"/>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NjQwMzlmZDk5YTYzMjIxMzQ4MTY2OTQwYjBlNzkifQ=="/>
  </w:docVars>
  <w:rsids>
    <w:rsidRoot w:val="00A14947"/>
    <w:rsid w:val="000003A7"/>
    <w:rsid w:val="0000056A"/>
    <w:rsid w:val="00000918"/>
    <w:rsid w:val="0000415B"/>
    <w:rsid w:val="000057D9"/>
    <w:rsid w:val="000060B3"/>
    <w:rsid w:val="0000620C"/>
    <w:rsid w:val="000067CF"/>
    <w:rsid w:val="00006D4E"/>
    <w:rsid w:val="000074F1"/>
    <w:rsid w:val="00007E9C"/>
    <w:rsid w:val="000109D9"/>
    <w:rsid w:val="00012C84"/>
    <w:rsid w:val="000139A2"/>
    <w:rsid w:val="00015EDA"/>
    <w:rsid w:val="00016698"/>
    <w:rsid w:val="00016F87"/>
    <w:rsid w:val="00022272"/>
    <w:rsid w:val="00022371"/>
    <w:rsid w:val="00022DC2"/>
    <w:rsid w:val="00024738"/>
    <w:rsid w:val="000257C7"/>
    <w:rsid w:val="000275B9"/>
    <w:rsid w:val="00030D4A"/>
    <w:rsid w:val="000312C0"/>
    <w:rsid w:val="000325CD"/>
    <w:rsid w:val="00033EF6"/>
    <w:rsid w:val="000343E7"/>
    <w:rsid w:val="00034B41"/>
    <w:rsid w:val="00034CFB"/>
    <w:rsid w:val="00036750"/>
    <w:rsid w:val="0003697F"/>
    <w:rsid w:val="0003702C"/>
    <w:rsid w:val="0004172C"/>
    <w:rsid w:val="00042E74"/>
    <w:rsid w:val="0004315D"/>
    <w:rsid w:val="0004364B"/>
    <w:rsid w:val="0004392C"/>
    <w:rsid w:val="00043A07"/>
    <w:rsid w:val="00043EEF"/>
    <w:rsid w:val="0004422E"/>
    <w:rsid w:val="000477E8"/>
    <w:rsid w:val="00051FFF"/>
    <w:rsid w:val="000527EC"/>
    <w:rsid w:val="00054433"/>
    <w:rsid w:val="00054762"/>
    <w:rsid w:val="0005722E"/>
    <w:rsid w:val="000579C4"/>
    <w:rsid w:val="0006193E"/>
    <w:rsid w:val="00061B1F"/>
    <w:rsid w:val="00061BB6"/>
    <w:rsid w:val="00061C92"/>
    <w:rsid w:val="00062C5C"/>
    <w:rsid w:val="00062DD5"/>
    <w:rsid w:val="000634CE"/>
    <w:rsid w:val="00063B18"/>
    <w:rsid w:val="00064BCD"/>
    <w:rsid w:val="00066CDD"/>
    <w:rsid w:val="00067AB1"/>
    <w:rsid w:val="00067D7C"/>
    <w:rsid w:val="000705F6"/>
    <w:rsid w:val="0007128D"/>
    <w:rsid w:val="00071F17"/>
    <w:rsid w:val="000723C0"/>
    <w:rsid w:val="0007278D"/>
    <w:rsid w:val="0007327B"/>
    <w:rsid w:val="000733C4"/>
    <w:rsid w:val="00073B6E"/>
    <w:rsid w:val="00074783"/>
    <w:rsid w:val="00074E03"/>
    <w:rsid w:val="00075535"/>
    <w:rsid w:val="00075A73"/>
    <w:rsid w:val="0007665A"/>
    <w:rsid w:val="00080241"/>
    <w:rsid w:val="0008070B"/>
    <w:rsid w:val="000810AC"/>
    <w:rsid w:val="000818A9"/>
    <w:rsid w:val="00081A02"/>
    <w:rsid w:val="00081F36"/>
    <w:rsid w:val="00082231"/>
    <w:rsid w:val="0008242A"/>
    <w:rsid w:val="00082E22"/>
    <w:rsid w:val="000859AD"/>
    <w:rsid w:val="00091C44"/>
    <w:rsid w:val="00092D38"/>
    <w:rsid w:val="0009377B"/>
    <w:rsid w:val="00095D99"/>
    <w:rsid w:val="00096868"/>
    <w:rsid w:val="0009776F"/>
    <w:rsid w:val="000A10E5"/>
    <w:rsid w:val="000A138D"/>
    <w:rsid w:val="000A20C9"/>
    <w:rsid w:val="000A288D"/>
    <w:rsid w:val="000A38F5"/>
    <w:rsid w:val="000A7319"/>
    <w:rsid w:val="000A7BF7"/>
    <w:rsid w:val="000B058F"/>
    <w:rsid w:val="000B0EB2"/>
    <w:rsid w:val="000B4467"/>
    <w:rsid w:val="000B4758"/>
    <w:rsid w:val="000B4DB9"/>
    <w:rsid w:val="000B6B2E"/>
    <w:rsid w:val="000B7969"/>
    <w:rsid w:val="000B7F1D"/>
    <w:rsid w:val="000C09AC"/>
    <w:rsid w:val="000C1BB3"/>
    <w:rsid w:val="000C3B23"/>
    <w:rsid w:val="000C3C0E"/>
    <w:rsid w:val="000C46B2"/>
    <w:rsid w:val="000C4D06"/>
    <w:rsid w:val="000C4EB3"/>
    <w:rsid w:val="000C5D11"/>
    <w:rsid w:val="000C767F"/>
    <w:rsid w:val="000D084F"/>
    <w:rsid w:val="000D090C"/>
    <w:rsid w:val="000D3C2D"/>
    <w:rsid w:val="000D54A7"/>
    <w:rsid w:val="000D5A44"/>
    <w:rsid w:val="000D5BFF"/>
    <w:rsid w:val="000D6684"/>
    <w:rsid w:val="000D743D"/>
    <w:rsid w:val="000D745A"/>
    <w:rsid w:val="000E0DFD"/>
    <w:rsid w:val="000E0EDD"/>
    <w:rsid w:val="000E0EEB"/>
    <w:rsid w:val="000E2241"/>
    <w:rsid w:val="000E3ED2"/>
    <w:rsid w:val="000E7361"/>
    <w:rsid w:val="000E776A"/>
    <w:rsid w:val="000E7E5F"/>
    <w:rsid w:val="000F34AE"/>
    <w:rsid w:val="000F39B2"/>
    <w:rsid w:val="000F4706"/>
    <w:rsid w:val="000F53E5"/>
    <w:rsid w:val="000F6060"/>
    <w:rsid w:val="000F6DB3"/>
    <w:rsid w:val="001002A8"/>
    <w:rsid w:val="00102607"/>
    <w:rsid w:val="00102DE8"/>
    <w:rsid w:val="00104AA5"/>
    <w:rsid w:val="00105983"/>
    <w:rsid w:val="00107933"/>
    <w:rsid w:val="00111976"/>
    <w:rsid w:val="00111A58"/>
    <w:rsid w:val="00115793"/>
    <w:rsid w:val="00115D18"/>
    <w:rsid w:val="00116803"/>
    <w:rsid w:val="00120688"/>
    <w:rsid w:val="00120DB9"/>
    <w:rsid w:val="00123621"/>
    <w:rsid w:val="00123750"/>
    <w:rsid w:val="00123A1C"/>
    <w:rsid w:val="00123F8F"/>
    <w:rsid w:val="001240F6"/>
    <w:rsid w:val="001260D9"/>
    <w:rsid w:val="00127038"/>
    <w:rsid w:val="001307D6"/>
    <w:rsid w:val="00130E84"/>
    <w:rsid w:val="00131F42"/>
    <w:rsid w:val="00132BFF"/>
    <w:rsid w:val="00133B9C"/>
    <w:rsid w:val="001357F1"/>
    <w:rsid w:val="001400BD"/>
    <w:rsid w:val="00140FA8"/>
    <w:rsid w:val="00142FEB"/>
    <w:rsid w:val="0014318B"/>
    <w:rsid w:val="00143A2D"/>
    <w:rsid w:val="00144450"/>
    <w:rsid w:val="00144CF5"/>
    <w:rsid w:val="001451AF"/>
    <w:rsid w:val="00145A41"/>
    <w:rsid w:val="001462E2"/>
    <w:rsid w:val="001467FD"/>
    <w:rsid w:val="00147592"/>
    <w:rsid w:val="0014783C"/>
    <w:rsid w:val="0014786A"/>
    <w:rsid w:val="00150069"/>
    <w:rsid w:val="00150AAB"/>
    <w:rsid w:val="00151675"/>
    <w:rsid w:val="00151732"/>
    <w:rsid w:val="00153B93"/>
    <w:rsid w:val="00153FEA"/>
    <w:rsid w:val="00157435"/>
    <w:rsid w:val="001607C3"/>
    <w:rsid w:val="00161EC5"/>
    <w:rsid w:val="001655E8"/>
    <w:rsid w:val="00167E53"/>
    <w:rsid w:val="00170D27"/>
    <w:rsid w:val="001747E6"/>
    <w:rsid w:val="0017504D"/>
    <w:rsid w:val="0017637D"/>
    <w:rsid w:val="0017671A"/>
    <w:rsid w:val="00177251"/>
    <w:rsid w:val="00177422"/>
    <w:rsid w:val="0018101A"/>
    <w:rsid w:val="001830FF"/>
    <w:rsid w:val="00183526"/>
    <w:rsid w:val="00183A94"/>
    <w:rsid w:val="00183CF2"/>
    <w:rsid w:val="00184590"/>
    <w:rsid w:val="001853D6"/>
    <w:rsid w:val="0018696A"/>
    <w:rsid w:val="001870D1"/>
    <w:rsid w:val="0018781E"/>
    <w:rsid w:val="001903CE"/>
    <w:rsid w:val="0019262D"/>
    <w:rsid w:val="00192A2C"/>
    <w:rsid w:val="0019405C"/>
    <w:rsid w:val="00194376"/>
    <w:rsid w:val="00195EAF"/>
    <w:rsid w:val="00196B42"/>
    <w:rsid w:val="00197641"/>
    <w:rsid w:val="001A04F1"/>
    <w:rsid w:val="001A062B"/>
    <w:rsid w:val="001A1AAA"/>
    <w:rsid w:val="001A1B35"/>
    <w:rsid w:val="001A1DB3"/>
    <w:rsid w:val="001A3AF3"/>
    <w:rsid w:val="001A3B48"/>
    <w:rsid w:val="001A48A2"/>
    <w:rsid w:val="001A4C34"/>
    <w:rsid w:val="001A4C40"/>
    <w:rsid w:val="001A6F61"/>
    <w:rsid w:val="001A7958"/>
    <w:rsid w:val="001A7E7E"/>
    <w:rsid w:val="001B1638"/>
    <w:rsid w:val="001B1A4A"/>
    <w:rsid w:val="001B1DC5"/>
    <w:rsid w:val="001B6697"/>
    <w:rsid w:val="001B6943"/>
    <w:rsid w:val="001B72B8"/>
    <w:rsid w:val="001B7EF6"/>
    <w:rsid w:val="001C11B3"/>
    <w:rsid w:val="001C1B6C"/>
    <w:rsid w:val="001C3227"/>
    <w:rsid w:val="001C69B3"/>
    <w:rsid w:val="001C6ED8"/>
    <w:rsid w:val="001D5205"/>
    <w:rsid w:val="001D5595"/>
    <w:rsid w:val="001D69A0"/>
    <w:rsid w:val="001D760E"/>
    <w:rsid w:val="001D7874"/>
    <w:rsid w:val="001D7F22"/>
    <w:rsid w:val="001E0E01"/>
    <w:rsid w:val="001E2A11"/>
    <w:rsid w:val="001E2ADF"/>
    <w:rsid w:val="001E3354"/>
    <w:rsid w:val="001E40FC"/>
    <w:rsid w:val="001E4B8A"/>
    <w:rsid w:val="001E56A6"/>
    <w:rsid w:val="001E5A3D"/>
    <w:rsid w:val="001E61EC"/>
    <w:rsid w:val="001E67B7"/>
    <w:rsid w:val="001E6A50"/>
    <w:rsid w:val="001E723D"/>
    <w:rsid w:val="001E7490"/>
    <w:rsid w:val="001F083F"/>
    <w:rsid w:val="001F0F17"/>
    <w:rsid w:val="001F10B7"/>
    <w:rsid w:val="001F163E"/>
    <w:rsid w:val="001F1C9A"/>
    <w:rsid w:val="001F3347"/>
    <w:rsid w:val="001F33A4"/>
    <w:rsid w:val="001F3C20"/>
    <w:rsid w:val="001F4824"/>
    <w:rsid w:val="001F5C19"/>
    <w:rsid w:val="001F69E4"/>
    <w:rsid w:val="001F6E31"/>
    <w:rsid w:val="002004F6"/>
    <w:rsid w:val="002005A2"/>
    <w:rsid w:val="00200903"/>
    <w:rsid w:val="0020234C"/>
    <w:rsid w:val="0020279B"/>
    <w:rsid w:val="002032FE"/>
    <w:rsid w:val="00203EC8"/>
    <w:rsid w:val="00204D8B"/>
    <w:rsid w:val="002059D2"/>
    <w:rsid w:val="00205B77"/>
    <w:rsid w:val="002125B4"/>
    <w:rsid w:val="0021355B"/>
    <w:rsid w:val="002135F7"/>
    <w:rsid w:val="00213A61"/>
    <w:rsid w:val="002143CC"/>
    <w:rsid w:val="00214DD7"/>
    <w:rsid w:val="002155B8"/>
    <w:rsid w:val="002158E2"/>
    <w:rsid w:val="00216AE2"/>
    <w:rsid w:val="00220B86"/>
    <w:rsid w:val="002218BD"/>
    <w:rsid w:val="002218CF"/>
    <w:rsid w:val="00221D31"/>
    <w:rsid w:val="0022391F"/>
    <w:rsid w:val="00223FA7"/>
    <w:rsid w:val="00224839"/>
    <w:rsid w:val="002249B2"/>
    <w:rsid w:val="00224A93"/>
    <w:rsid w:val="0022545C"/>
    <w:rsid w:val="0022563E"/>
    <w:rsid w:val="00226574"/>
    <w:rsid w:val="002278EC"/>
    <w:rsid w:val="002301BA"/>
    <w:rsid w:val="002313C1"/>
    <w:rsid w:val="0023280E"/>
    <w:rsid w:val="00232F96"/>
    <w:rsid w:val="002332E7"/>
    <w:rsid w:val="00233716"/>
    <w:rsid w:val="0023406E"/>
    <w:rsid w:val="002340DA"/>
    <w:rsid w:val="00234728"/>
    <w:rsid w:val="002353E3"/>
    <w:rsid w:val="002359A2"/>
    <w:rsid w:val="002364D6"/>
    <w:rsid w:val="00236802"/>
    <w:rsid w:val="00236E2A"/>
    <w:rsid w:val="002377D1"/>
    <w:rsid w:val="00240606"/>
    <w:rsid w:val="00244008"/>
    <w:rsid w:val="0024405B"/>
    <w:rsid w:val="00244A28"/>
    <w:rsid w:val="00246B6B"/>
    <w:rsid w:val="0024757D"/>
    <w:rsid w:val="002506BC"/>
    <w:rsid w:val="002529DD"/>
    <w:rsid w:val="00254345"/>
    <w:rsid w:val="00255A4E"/>
    <w:rsid w:val="00260166"/>
    <w:rsid w:val="00261191"/>
    <w:rsid w:val="002618E2"/>
    <w:rsid w:val="0026442A"/>
    <w:rsid w:val="00264557"/>
    <w:rsid w:val="00264A17"/>
    <w:rsid w:val="00264F36"/>
    <w:rsid w:val="0026658E"/>
    <w:rsid w:val="00267103"/>
    <w:rsid w:val="002705DE"/>
    <w:rsid w:val="00271114"/>
    <w:rsid w:val="0027141A"/>
    <w:rsid w:val="002721CD"/>
    <w:rsid w:val="00272C40"/>
    <w:rsid w:val="0027328D"/>
    <w:rsid w:val="002805AB"/>
    <w:rsid w:val="00284204"/>
    <w:rsid w:val="0028505D"/>
    <w:rsid w:val="00286242"/>
    <w:rsid w:val="00287A47"/>
    <w:rsid w:val="00287F55"/>
    <w:rsid w:val="002904BF"/>
    <w:rsid w:val="0029126A"/>
    <w:rsid w:val="00291773"/>
    <w:rsid w:val="002924F8"/>
    <w:rsid w:val="00292519"/>
    <w:rsid w:val="00294729"/>
    <w:rsid w:val="002949AB"/>
    <w:rsid w:val="00296D04"/>
    <w:rsid w:val="0029719C"/>
    <w:rsid w:val="00297FE4"/>
    <w:rsid w:val="002A042F"/>
    <w:rsid w:val="002A0BD0"/>
    <w:rsid w:val="002A168C"/>
    <w:rsid w:val="002A1CC0"/>
    <w:rsid w:val="002A2351"/>
    <w:rsid w:val="002A3642"/>
    <w:rsid w:val="002A3DC7"/>
    <w:rsid w:val="002A4B2A"/>
    <w:rsid w:val="002A51CB"/>
    <w:rsid w:val="002A553E"/>
    <w:rsid w:val="002A5AEE"/>
    <w:rsid w:val="002A73CB"/>
    <w:rsid w:val="002A7A9E"/>
    <w:rsid w:val="002A7DA0"/>
    <w:rsid w:val="002B11F1"/>
    <w:rsid w:val="002B17E9"/>
    <w:rsid w:val="002B2D81"/>
    <w:rsid w:val="002B3110"/>
    <w:rsid w:val="002B3128"/>
    <w:rsid w:val="002B49E2"/>
    <w:rsid w:val="002B5007"/>
    <w:rsid w:val="002B530F"/>
    <w:rsid w:val="002B58E1"/>
    <w:rsid w:val="002B602D"/>
    <w:rsid w:val="002B66C8"/>
    <w:rsid w:val="002B6FD9"/>
    <w:rsid w:val="002B7B00"/>
    <w:rsid w:val="002B7C44"/>
    <w:rsid w:val="002C1D63"/>
    <w:rsid w:val="002C1F3E"/>
    <w:rsid w:val="002C2B17"/>
    <w:rsid w:val="002C2ED6"/>
    <w:rsid w:val="002C4DC7"/>
    <w:rsid w:val="002C581F"/>
    <w:rsid w:val="002C5A97"/>
    <w:rsid w:val="002D03C3"/>
    <w:rsid w:val="002D1631"/>
    <w:rsid w:val="002D1773"/>
    <w:rsid w:val="002D215C"/>
    <w:rsid w:val="002D2849"/>
    <w:rsid w:val="002D3B02"/>
    <w:rsid w:val="002D3DD0"/>
    <w:rsid w:val="002D41FD"/>
    <w:rsid w:val="002D46A7"/>
    <w:rsid w:val="002D5454"/>
    <w:rsid w:val="002D6D88"/>
    <w:rsid w:val="002E00AA"/>
    <w:rsid w:val="002E062B"/>
    <w:rsid w:val="002E1F3A"/>
    <w:rsid w:val="002E298A"/>
    <w:rsid w:val="002E52D9"/>
    <w:rsid w:val="002F0563"/>
    <w:rsid w:val="002F0908"/>
    <w:rsid w:val="002F0DCA"/>
    <w:rsid w:val="002F11BF"/>
    <w:rsid w:val="002F21CE"/>
    <w:rsid w:val="002F2498"/>
    <w:rsid w:val="002F2570"/>
    <w:rsid w:val="002F38B9"/>
    <w:rsid w:val="002F425B"/>
    <w:rsid w:val="002F517C"/>
    <w:rsid w:val="002F5296"/>
    <w:rsid w:val="002F5759"/>
    <w:rsid w:val="002F5B0B"/>
    <w:rsid w:val="002F5ED9"/>
    <w:rsid w:val="00301978"/>
    <w:rsid w:val="00302514"/>
    <w:rsid w:val="00302CEC"/>
    <w:rsid w:val="00302F32"/>
    <w:rsid w:val="0030332C"/>
    <w:rsid w:val="003038F6"/>
    <w:rsid w:val="00303CB1"/>
    <w:rsid w:val="0030424D"/>
    <w:rsid w:val="0030435A"/>
    <w:rsid w:val="003050BD"/>
    <w:rsid w:val="003051C2"/>
    <w:rsid w:val="00310BF2"/>
    <w:rsid w:val="003117ED"/>
    <w:rsid w:val="00312296"/>
    <w:rsid w:val="00312F2D"/>
    <w:rsid w:val="00313572"/>
    <w:rsid w:val="0031367F"/>
    <w:rsid w:val="00313D51"/>
    <w:rsid w:val="00313EAA"/>
    <w:rsid w:val="00314F0E"/>
    <w:rsid w:val="003165E5"/>
    <w:rsid w:val="0032018F"/>
    <w:rsid w:val="003219D2"/>
    <w:rsid w:val="00321D16"/>
    <w:rsid w:val="00321D1D"/>
    <w:rsid w:val="00321D8E"/>
    <w:rsid w:val="00322148"/>
    <w:rsid w:val="003248A5"/>
    <w:rsid w:val="0032533F"/>
    <w:rsid w:val="0032550B"/>
    <w:rsid w:val="00325928"/>
    <w:rsid w:val="00325F20"/>
    <w:rsid w:val="003267B0"/>
    <w:rsid w:val="0033049D"/>
    <w:rsid w:val="00330F36"/>
    <w:rsid w:val="00331232"/>
    <w:rsid w:val="00331528"/>
    <w:rsid w:val="00332863"/>
    <w:rsid w:val="00332C90"/>
    <w:rsid w:val="003345E5"/>
    <w:rsid w:val="00334AEB"/>
    <w:rsid w:val="00335A49"/>
    <w:rsid w:val="00336474"/>
    <w:rsid w:val="00336703"/>
    <w:rsid w:val="0033684D"/>
    <w:rsid w:val="00336A8E"/>
    <w:rsid w:val="00336BDF"/>
    <w:rsid w:val="00337B42"/>
    <w:rsid w:val="003415BF"/>
    <w:rsid w:val="00341B42"/>
    <w:rsid w:val="0034348F"/>
    <w:rsid w:val="00346170"/>
    <w:rsid w:val="00347192"/>
    <w:rsid w:val="00347B60"/>
    <w:rsid w:val="00352082"/>
    <w:rsid w:val="0035358E"/>
    <w:rsid w:val="0035394C"/>
    <w:rsid w:val="003550C7"/>
    <w:rsid w:val="00356653"/>
    <w:rsid w:val="0035743F"/>
    <w:rsid w:val="003574CD"/>
    <w:rsid w:val="00357BE2"/>
    <w:rsid w:val="00360A11"/>
    <w:rsid w:val="00361238"/>
    <w:rsid w:val="0036170C"/>
    <w:rsid w:val="00361DDD"/>
    <w:rsid w:val="00362ABC"/>
    <w:rsid w:val="0036405D"/>
    <w:rsid w:val="003667B4"/>
    <w:rsid w:val="00366E0F"/>
    <w:rsid w:val="003678B1"/>
    <w:rsid w:val="003701B7"/>
    <w:rsid w:val="00370F63"/>
    <w:rsid w:val="00372F94"/>
    <w:rsid w:val="00372FB7"/>
    <w:rsid w:val="003738C4"/>
    <w:rsid w:val="003742F5"/>
    <w:rsid w:val="00374781"/>
    <w:rsid w:val="00377726"/>
    <w:rsid w:val="00381A6F"/>
    <w:rsid w:val="00381A72"/>
    <w:rsid w:val="003831A6"/>
    <w:rsid w:val="00383CC9"/>
    <w:rsid w:val="003840A4"/>
    <w:rsid w:val="00384676"/>
    <w:rsid w:val="003862CA"/>
    <w:rsid w:val="00386E0E"/>
    <w:rsid w:val="00386F2E"/>
    <w:rsid w:val="003875AD"/>
    <w:rsid w:val="00387C73"/>
    <w:rsid w:val="00390857"/>
    <w:rsid w:val="00391BF3"/>
    <w:rsid w:val="003926BD"/>
    <w:rsid w:val="00395A39"/>
    <w:rsid w:val="00395FB7"/>
    <w:rsid w:val="0039710C"/>
    <w:rsid w:val="00397F3C"/>
    <w:rsid w:val="003A226D"/>
    <w:rsid w:val="003A377B"/>
    <w:rsid w:val="003A4484"/>
    <w:rsid w:val="003A4BF3"/>
    <w:rsid w:val="003A5193"/>
    <w:rsid w:val="003A5A40"/>
    <w:rsid w:val="003A6AFA"/>
    <w:rsid w:val="003B0B81"/>
    <w:rsid w:val="003B2840"/>
    <w:rsid w:val="003B2F9E"/>
    <w:rsid w:val="003B324A"/>
    <w:rsid w:val="003B350A"/>
    <w:rsid w:val="003B3A13"/>
    <w:rsid w:val="003B3B8F"/>
    <w:rsid w:val="003B420D"/>
    <w:rsid w:val="003B4522"/>
    <w:rsid w:val="003B4850"/>
    <w:rsid w:val="003B4A82"/>
    <w:rsid w:val="003B5B0D"/>
    <w:rsid w:val="003B6469"/>
    <w:rsid w:val="003B7168"/>
    <w:rsid w:val="003C29BF"/>
    <w:rsid w:val="003C2EB8"/>
    <w:rsid w:val="003C3497"/>
    <w:rsid w:val="003C3499"/>
    <w:rsid w:val="003C3925"/>
    <w:rsid w:val="003C62B2"/>
    <w:rsid w:val="003C6C16"/>
    <w:rsid w:val="003D07D4"/>
    <w:rsid w:val="003D17A1"/>
    <w:rsid w:val="003D31FB"/>
    <w:rsid w:val="003D388A"/>
    <w:rsid w:val="003D46F2"/>
    <w:rsid w:val="003D4D20"/>
    <w:rsid w:val="003D51B3"/>
    <w:rsid w:val="003D5941"/>
    <w:rsid w:val="003D5BD7"/>
    <w:rsid w:val="003D794D"/>
    <w:rsid w:val="003E02DA"/>
    <w:rsid w:val="003E139A"/>
    <w:rsid w:val="003E2456"/>
    <w:rsid w:val="003E268B"/>
    <w:rsid w:val="003E3058"/>
    <w:rsid w:val="003E3BBD"/>
    <w:rsid w:val="003E5426"/>
    <w:rsid w:val="003E5489"/>
    <w:rsid w:val="003E666F"/>
    <w:rsid w:val="003E6B79"/>
    <w:rsid w:val="003E76A9"/>
    <w:rsid w:val="003F0809"/>
    <w:rsid w:val="003F2275"/>
    <w:rsid w:val="003F2786"/>
    <w:rsid w:val="003F32F6"/>
    <w:rsid w:val="003F3E1D"/>
    <w:rsid w:val="003F448C"/>
    <w:rsid w:val="003F4660"/>
    <w:rsid w:val="003F51BA"/>
    <w:rsid w:val="003F5B19"/>
    <w:rsid w:val="003F62F5"/>
    <w:rsid w:val="003F6A8C"/>
    <w:rsid w:val="003F7078"/>
    <w:rsid w:val="003F755C"/>
    <w:rsid w:val="00400A31"/>
    <w:rsid w:val="00402AFD"/>
    <w:rsid w:val="00402CB3"/>
    <w:rsid w:val="00403F18"/>
    <w:rsid w:val="0040632C"/>
    <w:rsid w:val="00406A4D"/>
    <w:rsid w:val="00406CDA"/>
    <w:rsid w:val="00406F01"/>
    <w:rsid w:val="0041009C"/>
    <w:rsid w:val="00410BAD"/>
    <w:rsid w:val="00411188"/>
    <w:rsid w:val="00413176"/>
    <w:rsid w:val="00415113"/>
    <w:rsid w:val="00415445"/>
    <w:rsid w:val="004162CC"/>
    <w:rsid w:val="004163DC"/>
    <w:rsid w:val="00416D50"/>
    <w:rsid w:val="00416FD5"/>
    <w:rsid w:val="00417772"/>
    <w:rsid w:val="00420D93"/>
    <w:rsid w:val="00420E6A"/>
    <w:rsid w:val="0042213A"/>
    <w:rsid w:val="00422CDD"/>
    <w:rsid w:val="00424306"/>
    <w:rsid w:val="00425423"/>
    <w:rsid w:val="00425A9E"/>
    <w:rsid w:val="004263C6"/>
    <w:rsid w:val="00426D6B"/>
    <w:rsid w:val="00430C99"/>
    <w:rsid w:val="00431DAB"/>
    <w:rsid w:val="00431E6C"/>
    <w:rsid w:val="00432680"/>
    <w:rsid w:val="00433CE7"/>
    <w:rsid w:val="0043568E"/>
    <w:rsid w:val="00440635"/>
    <w:rsid w:val="00445416"/>
    <w:rsid w:val="00445CB6"/>
    <w:rsid w:val="00451FF9"/>
    <w:rsid w:val="00452441"/>
    <w:rsid w:val="00452738"/>
    <w:rsid w:val="0045408B"/>
    <w:rsid w:val="00455693"/>
    <w:rsid w:val="00456091"/>
    <w:rsid w:val="004569E8"/>
    <w:rsid w:val="00463211"/>
    <w:rsid w:val="00464494"/>
    <w:rsid w:val="00465D61"/>
    <w:rsid w:val="00465FCD"/>
    <w:rsid w:val="00466264"/>
    <w:rsid w:val="00466321"/>
    <w:rsid w:val="00466504"/>
    <w:rsid w:val="0047394D"/>
    <w:rsid w:val="00474107"/>
    <w:rsid w:val="00474676"/>
    <w:rsid w:val="00476A10"/>
    <w:rsid w:val="00481874"/>
    <w:rsid w:val="00482B35"/>
    <w:rsid w:val="00483E54"/>
    <w:rsid w:val="00484B9B"/>
    <w:rsid w:val="004855F6"/>
    <w:rsid w:val="0048661E"/>
    <w:rsid w:val="00486A89"/>
    <w:rsid w:val="00486B2E"/>
    <w:rsid w:val="00492034"/>
    <w:rsid w:val="00493216"/>
    <w:rsid w:val="004942F1"/>
    <w:rsid w:val="00494670"/>
    <w:rsid w:val="004957E2"/>
    <w:rsid w:val="00495A8E"/>
    <w:rsid w:val="004969EE"/>
    <w:rsid w:val="004A03D6"/>
    <w:rsid w:val="004A1A8F"/>
    <w:rsid w:val="004A3823"/>
    <w:rsid w:val="004A5ACE"/>
    <w:rsid w:val="004A5E47"/>
    <w:rsid w:val="004B0DF1"/>
    <w:rsid w:val="004B3002"/>
    <w:rsid w:val="004B3A84"/>
    <w:rsid w:val="004B42F5"/>
    <w:rsid w:val="004B5161"/>
    <w:rsid w:val="004B743F"/>
    <w:rsid w:val="004C0A5E"/>
    <w:rsid w:val="004C33BE"/>
    <w:rsid w:val="004C42F4"/>
    <w:rsid w:val="004C5712"/>
    <w:rsid w:val="004C6AA4"/>
    <w:rsid w:val="004C70BD"/>
    <w:rsid w:val="004C71C6"/>
    <w:rsid w:val="004C756C"/>
    <w:rsid w:val="004D01E5"/>
    <w:rsid w:val="004D053B"/>
    <w:rsid w:val="004D165A"/>
    <w:rsid w:val="004D2B79"/>
    <w:rsid w:val="004D5085"/>
    <w:rsid w:val="004D5A82"/>
    <w:rsid w:val="004E03D0"/>
    <w:rsid w:val="004E1F87"/>
    <w:rsid w:val="004E48E4"/>
    <w:rsid w:val="004E6016"/>
    <w:rsid w:val="004E6946"/>
    <w:rsid w:val="004F0160"/>
    <w:rsid w:val="004F01BD"/>
    <w:rsid w:val="004F0555"/>
    <w:rsid w:val="004F0900"/>
    <w:rsid w:val="004F0D9D"/>
    <w:rsid w:val="004F1AD8"/>
    <w:rsid w:val="004F3E39"/>
    <w:rsid w:val="004F6FCB"/>
    <w:rsid w:val="00500C9C"/>
    <w:rsid w:val="00502C4C"/>
    <w:rsid w:val="005039CB"/>
    <w:rsid w:val="005042B8"/>
    <w:rsid w:val="0050558F"/>
    <w:rsid w:val="00506286"/>
    <w:rsid w:val="00506CD3"/>
    <w:rsid w:val="00510813"/>
    <w:rsid w:val="00510F08"/>
    <w:rsid w:val="00510FD2"/>
    <w:rsid w:val="005112F9"/>
    <w:rsid w:val="00511990"/>
    <w:rsid w:val="00511DE0"/>
    <w:rsid w:val="00512117"/>
    <w:rsid w:val="00512FEF"/>
    <w:rsid w:val="005144FF"/>
    <w:rsid w:val="00514870"/>
    <w:rsid w:val="00514B9B"/>
    <w:rsid w:val="00515181"/>
    <w:rsid w:val="00516087"/>
    <w:rsid w:val="0051682C"/>
    <w:rsid w:val="0051712F"/>
    <w:rsid w:val="00517D63"/>
    <w:rsid w:val="00517F02"/>
    <w:rsid w:val="00522706"/>
    <w:rsid w:val="005242B5"/>
    <w:rsid w:val="00524303"/>
    <w:rsid w:val="0052565C"/>
    <w:rsid w:val="005258A2"/>
    <w:rsid w:val="00526623"/>
    <w:rsid w:val="005302CD"/>
    <w:rsid w:val="005306CB"/>
    <w:rsid w:val="00531843"/>
    <w:rsid w:val="00533FC1"/>
    <w:rsid w:val="00534055"/>
    <w:rsid w:val="00534823"/>
    <w:rsid w:val="005364AC"/>
    <w:rsid w:val="00536828"/>
    <w:rsid w:val="00537138"/>
    <w:rsid w:val="005401AE"/>
    <w:rsid w:val="00542E07"/>
    <w:rsid w:val="00545424"/>
    <w:rsid w:val="005454F5"/>
    <w:rsid w:val="00547D40"/>
    <w:rsid w:val="00550B14"/>
    <w:rsid w:val="005516A2"/>
    <w:rsid w:val="005518CB"/>
    <w:rsid w:val="0055339A"/>
    <w:rsid w:val="00553A94"/>
    <w:rsid w:val="005544C1"/>
    <w:rsid w:val="005544D5"/>
    <w:rsid w:val="00554A7B"/>
    <w:rsid w:val="00554D2F"/>
    <w:rsid w:val="005555E1"/>
    <w:rsid w:val="0055572C"/>
    <w:rsid w:val="00555901"/>
    <w:rsid w:val="00556091"/>
    <w:rsid w:val="005601DB"/>
    <w:rsid w:val="00560473"/>
    <w:rsid w:val="00560EBA"/>
    <w:rsid w:val="0056106A"/>
    <w:rsid w:val="00563541"/>
    <w:rsid w:val="0056536E"/>
    <w:rsid w:val="00565881"/>
    <w:rsid w:val="00565C8E"/>
    <w:rsid w:val="005716CE"/>
    <w:rsid w:val="005720AE"/>
    <w:rsid w:val="00573126"/>
    <w:rsid w:val="005732A7"/>
    <w:rsid w:val="00573A55"/>
    <w:rsid w:val="0057469D"/>
    <w:rsid w:val="00576B41"/>
    <w:rsid w:val="005772D7"/>
    <w:rsid w:val="005777CB"/>
    <w:rsid w:val="00580682"/>
    <w:rsid w:val="005807FE"/>
    <w:rsid w:val="00581202"/>
    <w:rsid w:val="00583017"/>
    <w:rsid w:val="005836E3"/>
    <w:rsid w:val="00583E29"/>
    <w:rsid w:val="00584552"/>
    <w:rsid w:val="005856C0"/>
    <w:rsid w:val="00585CDE"/>
    <w:rsid w:val="00586022"/>
    <w:rsid w:val="005862E0"/>
    <w:rsid w:val="00586943"/>
    <w:rsid w:val="00587619"/>
    <w:rsid w:val="0058763D"/>
    <w:rsid w:val="00590714"/>
    <w:rsid w:val="00591F39"/>
    <w:rsid w:val="00592879"/>
    <w:rsid w:val="00592A5B"/>
    <w:rsid w:val="00594D77"/>
    <w:rsid w:val="00595632"/>
    <w:rsid w:val="0059680A"/>
    <w:rsid w:val="005969E4"/>
    <w:rsid w:val="0059739C"/>
    <w:rsid w:val="005A06B7"/>
    <w:rsid w:val="005A0E63"/>
    <w:rsid w:val="005A1759"/>
    <w:rsid w:val="005A19CA"/>
    <w:rsid w:val="005A2AF9"/>
    <w:rsid w:val="005A33F2"/>
    <w:rsid w:val="005A3ED5"/>
    <w:rsid w:val="005A40FD"/>
    <w:rsid w:val="005A5563"/>
    <w:rsid w:val="005A6156"/>
    <w:rsid w:val="005A6562"/>
    <w:rsid w:val="005A68A7"/>
    <w:rsid w:val="005B2A14"/>
    <w:rsid w:val="005B5035"/>
    <w:rsid w:val="005B6EDB"/>
    <w:rsid w:val="005C0D88"/>
    <w:rsid w:val="005C291D"/>
    <w:rsid w:val="005C5612"/>
    <w:rsid w:val="005C5D62"/>
    <w:rsid w:val="005C617A"/>
    <w:rsid w:val="005C7A27"/>
    <w:rsid w:val="005D05E6"/>
    <w:rsid w:val="005D0EB8"/>
    <w:rsid w:val="005D2BBC"/>
    <w:rsid w:val="005D36AB"/>
    <w:rsid w:val="005D4BBE"/>
    <w:rsid w:val="005D4DA7"/>
    <w:rsid w:val="005D770C"/>
    <w:rsid w:val="005D7C77"/>
    <w:rsid w:val="005E3D80"/>
    <w:rsid w:val="005E48FA"/>
    <w:rsid w:val="005E585E"/>
    <w:rsid w:val="005E6EB6"/>
    <w:rsid w:val="005F07F0"/>
    <w:rsid w:val="005F3D21"/>
    <w:rsid w:val="005F44E8"/>
    <w:rsid w:val="005F5723"/>
    <w:rsid w:val="005F6B20"/>
    <w:rsid w:val="005F6D94"/>
    <w:rsid w:val="0060102D"/>
    <w:rsid w:val="00601626"/>
    <w:rsid w:val="0060302B"/>
    <w:rsid w:val="0060415B"/>
    <w:rsid w:val="0060592D"/>
    <w:rsid w:val="00606531"/>
    <w:rsid w:val="00607C0B"/>
    <w:rsid w:val="00611C6C"/>
    <w:rsid w:val="0061279F"/>
    <w:rsid w:val="0061296F"/>
    <w:rsid w:val="00612A6F"/>
    <w:rsid w:val="00612B34"/>
    <w:rsid w:val="00614184"/>
    <w:rsid w:val="006154BD"/>
    <w:rsid w:val="00615D39"/>
    <w:rsid w:val="00616248"/>
    <w:rsid w:val="00617CC3"/>
    <w:rsid w:val="00624F1D"/>
    <w:rsid w:val="00627F76"/>
    <w:rsid w:val="00630435"/>
    <w:rsid w:val="0063125D"/>
    <w:rsid w:val="006325DC"/>
    <w:rsid w:val="0063388E"/>
    <w:rsid w:val="00634055"/>
    <w:rsid w:val="006342BA"/>
    <w:rsid w:val="00634309"/>
    <w:rsid w:val="00634BC8"/>
    <w:rsid w:val="00635A61"/>
    <w:rsid w:val="00635A9A"/>
    <w:rsid w:val="00635C93"/>
    <w:rsid w:val="0063657E"/>
    <w:rsid w:val="0063678E"/>
    <w:rsid w:val="006373D3"/>
    <w:rsid w:val="006377A6"/>
    <w:rsid w:val="00637A3D"/>
    <w:rsid w:val="00640626"/>
    <w:rsid w:val="00640E67"/>
    <w:rsid w:val="006411EF"/>
    <w:rsid w:val="00641C24"/>
    <w:rsid w:val="006425E8"/>
    <w:rsid w:val="006427C2"/>
    <w:rsid w:val="00642CFC"/>
    <w:rsid w:val="0064316A"/>
    <w:rsid w:val="0064349C"/>
    <w:rsid w:val="00645EA4"/>
    <w:rsid w:val="0064754E"/>
    <w:rsid w:val="00647B55"/>
    <w:rsid w:val="00651763"/>
    <w:rsid w:val="00651D13"/>
    <w:rsid w:val="006525DB"/>
    <w:rsid w:val="006526A6"/>
    <w:rsid w:val="00654F57"/>
    <w:rsid w:val="00655EEE"/>
    <w:rsid w:val="006579DF"/>
    <w:rsid w:val="00657B54"/>
    <w:rsid w:val="00660B1B"/>
    <w:rsid w:val="00661B6A"/>
    <w:rsid w:val="006623A1"/>
    <w:rsid w:val="00662998"/>
    <w:rsid w:val="00664D72"/>
    <w:rsid w:val="00666642"/>
    <w:rsid w:val="00666772"/>
    <w:rsid w:val="00666EE2"/>
    <w:rsid w:val="00670351"/>
    <w:rsid w:val="00672EF0"/>
    <w:rsid w:val="006743F9"/>
    <w:rsid w:val="00674685"/>
    <w:rsid w:val="0067488C"/>
    <w:rsid w:val="006748B8"/>
    <w:rsid w:val="00676DB3"/>
    <w:rsid w:val="006775C3"/>
    <w:rsid w:val="0068198E"/>
    <w:rsid w:val="006838BD"/>
    <w:rsid w:val="006838FE"/>
    <w:rsid w:val="00683DD8"/>
    <w:rsid w:val="00683E94"/>
    <w:rsid w:val="00683EDA"/>
    <w:rsid w:val="0068593E"/>
    <w:rsid w:val="006874EF"/>
    <w:rsid w:val="006907CC"/>
    <w:rsid w:val="0069148C"/>
    <w:rsid w:val="006917D9"/>
    <w:rsid w:val="00691D6C"/>
    <w:rsid w:val="0069290A"/>
    <w:rsid w:val="006945C0"/>
    <w:rsid w:val="00696B9E"/>
    <w:rsid w:val="0069775A"/>
    <w:rsid w:val="00697813"/>
    <w:rsid w:val="006A1D2E"/>
    <w:rsid w:val="006A27C9"/>
    <w:rsid w:val="006A2E88"/>
    <w:rsid w:val="006A2ECE"/>
    <w:rsid w:val="006A370A"/>
    <w:rsid w:val="006A3EE8"/>
    <w:rsid w:val="006A67FC"/>
    <w:rsid w:val="006A72BF"/>
    <w:rsid w:val="006B03F2"/>
    <w:rsid w:val="006B04CD"/>
    <w:rsid w:val="006B258A"/>
    <w:rsid w:val="006B2631"/>
    <w:rsid w:val="006B37DC"/>
    <w:rsid w:val="006B4920"/>
    <w:rsid w:val="006B4F68"/>
    <w:rsid w:val="006B6BFA"/>
    <w:rsid w:val="006C0592"/>
    <w:rsid w:val="006C0954"/>
    <w:rsid w:val="006C1BFE"/>
    <w:rsid w:val="006C272E"/>
    <w:rsid w:val="006C4419"/>
    <w:rsid w:val="006C4CC0"/>
    <w:rsid w:val="006C503F"/>
    <w:rsid w:val="006C5479"/>
    <w:rsid w:val="006C65E2"/>
    <w:rsid w:val="006C6B81"/>
    <w:rsid w:val="006C7AC4"/>
    <w:rsid w:val="006D106D"/>
    <w:rsid w:val="006D11D2"/>
    <w:rsid w:val="006D12B3"/>
    <w:rsid w:val="006D13B5"/>
    <w:rsid w:val="006D4E82"/>
    <w:rsid w:val="006D533A"/>
    <w:rsid w:val="006D5566"/>
    <w:rsid w:val="006D6339"/>
    <w:rsid w:val="006D6675"/>
    <w:rsid w:val="006E1055"/>
    <w:rsid w:val="006E12FF"/>
    <w:rsid w:val="006E1548"/>
    <w:rsid w:val="006E2F8C"/>
    <w:rsid w:val="006E3303"/>
    <w:rsid w:val="006E3387"/>
    <w:rsid w:val="006E3A1E"/>
    <w:rsid w:val="006E44EA"/>
    <w:rsid w:val="006E4CBB"/>
    <w:rsid w:val="006E5AFB"/>
    <w:rsid w:val="006E5C41"/>
    <w:rsid w:val="006E5C64"/>
    <w:rsid w:val="006E5F4C"/>
    <w:rsid w:val="006E607E"/>
    <w:rsid w:val="006E72CB"/>
    <w:rsid w:val="006F0A7F"/>
    <w:rsid w:val="006F0EF6"/>
    <w:rsid w:val="006F122B"/>
    <w:rsid w:val="006F14C8"/>
    <w:rsid w:val="006F1B92"/>
    <w:rsid w:val="006F2931"/>
    <w:rsid w:val="006F2EA5"/>
    <w:rsid w:val="006F310C"/>
    <w:rsid w:val="006F721C"/>
    <w:rsid w:val="006F7E08"/>
    <w:rsid w:val="00700909"/>
    <w:rsid w:val="0070111B"/>
    <w:rsid w:val="00701C7A"/>
    <w:rsid w:val="00701F35"/>
    <w:rsid w:val="00701F6A"/>
    <w:rsid w:val="00703684"/>
    <w:rsid w:val="007040D9"/>
    <w:rsid w:val="007049C9"/>
    <w:rsid w:val="007050D2"/>
    <w:rsid w:val="00706AA3"/>
    <w:rsid w:val="00706C5D"/>
    <w:rsid w:val="007112A3"/>
    <w:rsid w:val="00711F3C"/>
    <w:rsid w:val="0071215D"/>
    <w:rsid w:val="00713B79"/>
    <w:rsid w:val="0071428D"/>
    <w:rsid w:val="00715871"/>
    <w:rsid w:val="00716619"/>
    <w:rsid w:val="007172C8"/>
    <w:rsid w:val="0072269F"/>
    <w:rsid w:val="007247E0"/>
    <w:rsid w:val="00725687"/>
    <w:rsid w:val="00726820"/>
    <w:rsid w:val="0073126C"/>
    <w:rsid w:val="00731CDC"/>
    <w:rsid w:val="00732922"/>
    <w:rsid w:val="00732E1C"/>
    <w:rsid w:val="0073357E"/>
    <w:rsid w:val="007342AE"/>
    <w:rsid w:val="00734BA7"/>
    <w:rsid w:val="0073631F"/>
    <w:rsid w:val="00737CBC"/>
    <w:rsid w:val="00737ED0"/>
    <w:rsid w:val="00740BDD"/>
    <w:rsid w:val="007415A2"/>
    <w:rsid w:val="0074322E"/>
    <w:rsid w:val="00746891"/>
    <w:rsid w:val="00746FAA"/>
    <w:rsid w:val="00750BC0"/>
    <w:rsid w:val="0075162E"/>
    <w:rsid w:val="0075206C"/>
    <w:rsid w:val="00752DB8"/>
    <w:rsid w:val="00754034"/>
    <w:rsid w:val="007552BE"/>
    <w:rsid w:val="007558F0"/>
    <w:rsid w:val="007563B9"/>
    <w:rsid w:val="00756556"/>
    <w:rsid w:val="007618C4"/>
    <w:rsid w:val="00761B71"/>
    <w:rsid w:val="0076477F"/>
    <w:rsid w:val="007648B3"/>
    <w:rsid w:val="00767980"/>
    <w:rsid w:val="007705C2"/>
    <w:rsid w:val="00770B19"/>
    <w:rsid w:val="00771838"/>
    <w:rsid w:val="00771BF3"/>
    <w:rsid w:val="00773065"/>
    <w:rsid w:val="00773A26"/>
    <w:rsid w:val="0077463F"/>
    <w:rsid w:val="007753FC"/>
    <w:rsid w:val="00775AF6"/>
    <w:rsid w:val="00775D90"/>
    <w:rsid w:val="007764D8"/>
    <w:rsid w:val="00777821"/>
    <w:rsid w:val="00781CFB"/>
    <w:rsid w:val="00781E7A"/>
    <w:rsid w:val="00782103"/>
    <w:rsid w:val="007836EA"/>
    <w:rsid w:val="00784B70"/>
    <w:rsid w:val="00784CDA"/>
    <w:rsid w:val="00785A5B"/>
    <w:rsid w:val="00785F55"/>
    <w:rsid w:val="00787DC1"/>
    <w:rsid w:val="007906C4"/>
    <w:rsid w:val="007940EA"/>
    <w:rsid w:val="00794210"/>
    <w:rsid w:val="0079443D"/>
    <w:rsid w:val="007967E8"/>
    <w:rsid w:val="00796853"/>
    <w:rsid w:val="00796C2A"/>
    <w:rsid w:val="007A0DFE"/>
    <w:rsid w:val="007A1D1D"/>
    <w:rsid w:val="007A1E3A"/>
    <w:rsid w:val="007A2170"/>
    <w:rsid w:val="007A22BF"/>
    <w:rsid w:val="007A2657"/>
    <w:rsid w:val="007A3323"/>
    <w:rsid w:val="007A369F"/>
    <w:rsid w:val="007A3C3A"/>
    <w:rsid w:val="007A4266"/>
    <w:rsid w:val="007A43F9"/>
    <w:rsid w:val="007A4590"/>
    <w:rsid w:val="007A6329"/>
    <w:rsid w:val="007A6E5C"/>
    <w:rsid w:val="007B28BC"/>
    <w:rsid w:val="007B2D82"/>
    <w:rsid w:val="007B3356"/>
    <w:rsid w:val="007B3715"/>
    <w:rsid w:val="007B3F4C"/>
    <w:rsid w:val="007B438F"/>
    <w:rsid w:val="007B57A6"/>
    <w:rsid w:val="007B5E64"/>
    <w:rsid w:val="007B62C1"/>
    <w:rsid w:val="007B67CA"/>
    <w:rsid w:val="007B72B8"/>
    <w:rsid w:val="007B7A58"/>
    <w:rsid w:val="007C21B5"/>
    <w:rsid w:val="007C2BC7"/>
    <w:rsid w:val="007C2C29"/>
    <w:rsid w:val="007C5794"/>
    <w:rsid w:val="007C64A0"/>
    <w:rsid w:val="007C7C2B"/>
    <w:rsid w:val="007D2CDC"/>
    <w:rsid w:val="007D3E36"/>
    <w:rsid w:val="007D45F8"/>
    <w:rsid w:val="007D4D29"/>
    <w:rsid w:val="007D5511"/>
    <w:rsid w:val="007E02D1"/>
    <w:rsid w:val="007E2BB2"/>
    <w:rsid w:val="007E4368"/>
    <w:rsid w:val="007E43AA"/>
    <w:rsid w:val="007E4BD2"/>
    <w:rsid w:val="007E6FD7"/>
    <w:rsid w:val="007F00C2"/>
    <w:rsid w:val="007F04E1"/>
    <w:rsid w:val="007F0838"/>
    <w:rsid w:val="007F1FCE"/>
    <w:rsid w:val="007F4A39"/>
    <w:rsid w:val="007F4D90"/>
    <w:rsid w:val="007F522D"/>
    <w:rsid w:val="007F6089"/>
    <w:rsid w:val="007F6A6E"/>
    <w:rsid w:val="00801393"/>
    <w:rsid w:val="00802C11"/>
    <w:rsid w:val="00802C3B"/>
    <w:rsid w:val="00802C64"/>
    <w:rsid w:val="00802F88"/>
    <w:rsid w:val="008045AB"/>
    <w:rsid w:val="00804C18"/>
    <w:rsid w:val="008060C3"/>
    <w:rsid w:val="0081293E"/>
    <w:rsid w:val="00812D89"/>
    <w:rsid w:val="008142E9"/>
    <w:rsid w:val="008151B7"/>
    <w:rsid w:val="00815465"/>
    <w:rsid w:val="008154DC"/>
    <w:rsid w:val="0081686A"/>
    <w:rsid w:val="008173DB"/>
    <w:rsid w:val="00817929"/>
    <w:rsid w:val="00817E9A"/>
    <w:rsid w:val="00820515"/>
    <w:rsid w:val="00821EEB"/>
    <w:rsid w:val="0082508F"/>
    <w:rsid w:val="00825991"/>
    <w:rsid w:val="00825CAD"/>
    <w:rsid w:val="00825E25"/>
    <w:rsid w:val="00826316"/>
    <w:rsid w:val="008275BC"/>
    <w:rsid w:val="00827766"/>
    <w:rsid w:val="008306BD"/>
    <w:rsid w:val="00830EBD"/>
    <w:rsid w:val="00831A80"/>
    <w:rsid w:val="00832376"/>
    <w:rsid w:val="008327CC"/>
    <w:rsid w:val="00832B47"/>
    <w:rsid w:val="00833743"/>
    <w:rsid w:val="008340A4"/>
    <w:rsid w:val="008350BC"/>
    <w:rsid w:val="00835671"/>
    <w:rsid w:val="0083596B"/>
    <w:rsid w:val="008369CD"/>
    <w:rsid w:val="00837F60"/>
    <w:rsid w:val="00842722"/>
    <w:rsid w:val="00842912"/>
    <w:rsid w:val="00843D4A"/>
    <w:rsid w:val="00844B82"/>
    <w:rsid w:val="00850139"/>
    <w:rsid w:val="00851C7C"/>
    <w:rsid w:val="008540A2"/>
    <w:rsid w:val="008576F7"/>
    <w:rsid w:val="0085791C"/>
    <w:rsid w:val="00857E9B"/>
    <w:rsid w:val="00857F67"/>
    <w:rsid w:val="008606AF"/>
    <w:rsid w:val="00860E9F"/>
    <w:rsid w:val="008665C3"/>
    <w:rsid w:val="0087135F"/>
    <w:rsid w:val="00871E8C"/>
    <w:rsid w:val="00871FDB"/>
    <w:rsid w:val="00872794"/>
    <w:rsid w:val="00872D94"/>
    <w:rsid w:val="008735E9"/>
    <w:rsid w:val="00873B99"/>
    <w:rsid w:val="00876665"/>
    <w:rsid w:val="00877AA5"/>
    <w:rsid w:val="00880364"/>
    <w:rsid w:val="00881E29"/>
    <w:rsid w:val="00882EC8"/>
    <w:rsid w:val="00883503"/>
    <w:rsid w:val="00886EE1"/>
    <w:rsid w:val="00887C7D"/>
    <w:rsid w:val="00887D45"/>
    <w:rsid w:val="00891592"/>
    <w:rsid w:val="00891E9E"/>
    <w:rsid w:val="008934A0"/>
    <w:rsid w:val="00894524"/>
    <w:rsid w:val="00894BBD"/>
    <w:rsid w:val="00894C2E"/>
    <w:rsid w:val="00897C4A"/>
    <w:rsid w:val="008A2080"/>
    <w:rsid w:val="008A2ADC"/>
    <w:rsid w:val="008A2F68"/>
    <w:rsid w:val="008A340F"/>
    <w:rsid w:val="008A35D2"/>
    <w:rsid w:val="008B3067"/>
    <w:rsid w:val="008B408E"/>
    <w:rsid w:val="008B4F5E"/>
    <w:rsid w:val="008B4FA6"/>
    <w:rsid w:val="008B5282"/>
    <w:rsid w:val="008B563C"/>
    <w:rsid w:val="008B5B2B"/>
    <w:rsid w:val="008B5CE5"/>
    <w:rsid w:val="008B7C17"/>
    <w:rsid w:val="008B7F53"/>
    <w:rsid w:val="008C039F"/>
    <w:rsid w:val="008C047B"/>
    <w:rsid w:val="008C23C9"/>
    <w:rsid w:val="008C2D01"/>
    <w:rsid w:val="008C3033"/>
    <w:rsid w:val="008C3A1B"/>
    <w:rsid w:val="008C40E6"/>
    <w:rsid w:val="008C42BC"/>
    <w:rsid w:val="008C7CEA"/>
    <w:rsid w:val="008D00D6"/>
    <w:rsid w:val="008D06CF"/>
    <w:rsid w:val="008D0709"/>
    <w:rsid w:val="008D0F7A"/>
    <w:rsid w:val="008D1822"/>
    <w:rsid w:val="008D1FE5"/>
    <w:rsid w:val="008D56B0"/>
    <w:rsid w:val="008D68E4"/>
    <w:rsid w:val="008D6D4C"/>
    <w:rsid w:val="008E0506"/>
    <w:rsid w:val="008E0CFF"/>
    <w:rsid w:val="008E0EDA"/>
    <w:rsid w:val="008E1E90"/>
    <w:rsid w:val="008E3424"/>
    <w:rsid w:val="008E4551"/>
    <w:rsid w:val="008E5875"/>
    <w:rsid w:val="008E5D6B"/>
    <w:rsid w:val="008E76F0"/>
    <w:rsid w:val="008E7FAE"/>
    <w:rsid w:val="008F15FE"/>
    <w:rsid w:val="008F2D29"/>
    <w:rsid w:val="008F2E2C"/>
    <w:rsid w:val="008F39BB"/>
    <w:rsid w:val="008F5187"/>
    <w:rsid w:val="008F60D8"/>
    <w:rsid w:val="0090001A"/>
    <w:rsid w:val="00900F7A"/>
    <w:rsid w:val="00902244"/>
    <w:rsid w:val="00902727"/>
    <w:rsid w:val="00902805"/>
    <w:rsid w:val="0090312B"/>
    <w:rsid w:val="00903927"/>
    <w:rsid w:val="00905157"/>
    <w:rsid w:val="009053F8"/>
    <w:rsid w:val="00911E7F"/>
    <w:rsid w:val="009122EA"/>
    <w:rsid w:val="00913A4C"/>
    <w:rsid w:val="00914A44"/>
    <w:rsid w:val="0091736D"/>
    <w:rsid w:val="00917686"/>
    <w:rsid w:val="009232B8"/>
    <w:rsid w:val="00925571"/>
    <w:rsid w:val="0092610D"/>
    <w:rsid w:val="009274C6"/>
    <w:rsid w:val="0093037A"/>
    <w:rsid w:val="00933760"/>
    <w:rsid w:val="009347A9"/>
    <w:rsid w:val="00936C93"/>
    <w:rsid w:val="0093744E"/>
    <w:rsid w:val="009375F6"/>
    <w:rsid w:val="009400FA"/>
    <w:rsid w:val="00940AD4"/>
    <w:rsid w:val="00940FE7"/>
    <w:rsid w:val="0094154D"/>
    <w:rsid w:val="00942AF6"/>
    <w:rsid w:val="009447A7"/>
    <w:rsid w:val="00945771"/>
    <w:rsid w:val="00946404"/>
    <w:rsid w:val="00946829"/>
    <w:rsid w:val="00947387"/>
    <w:rsid w:val="00950221"/>
    <w:rsid w:val="009507CA"/>
    <w:rsid w:val="00950C33"/>
    <w:rsid w:val="0095155F"/>
    <w:rsid w:val="009523D3"/>
    <w:rsid w:val="00952805"/>
    <w:rsid w:val="00952A11"/>
    <w:rsid w:val="00953378"/>
    <w:rsid w:val="00953A86"/>
    <w:rsid w:val="00953F05"/>
    <w:rsid w:val="00954429"/>
    <w:rsid w:val="009563CE"/>
    <w:rsid w:val="00960509"/>
    <w:rsid w:val="00960D0A"/>
    <w:rsid w:val="0096174C"/>
    <w:rsid w:val="00962FDE"/>
    <w:rsid w:val="0096742D"/>
    <w:rsid w:val="00970A0E"/>
    <w:rsid w:val="009732F8"/>
    <w:rsid w:val="009734DC"/>
    <w:rsid w:val="00976328"/>
    <w:rsid w:val="0097680D"/>
    <w:rsid w:val="00976FAF"/>
    <w:rsid w:val="0098181C"/>
    <w:rsid w:val="009822E2"/>
    <w:rsid w:val="00982438"/>
    <w:rsid w:val="0098352F"/>
    <w:rsid w:val="00983D5B"/>
    <w:rsid w:val="0098404C"/>
    <w:rsid w:val="0098406E"/>
    <w:rsid w:val="00985283"/>
    <w:rsid w:val="00985A08"/>
    <w:rsid w:val="0098615A"/>
    <w:rsid w:val="009866EF"/>
    <w:rsid w:val="00987553"/>
    <w:rsid w:val="009921F0"/>
    <w:rsid w:val="00992CF6"/>
    <w:rsid w:val="00993080"/>
    <w:rsid w:val="0099309D"/>
    <w:rsid w:val="0099493D"/>
    <w:rsid w:val="00995992"/>
    <w:rsid w:val="00996A45"/>
    <w:rsid w:val="00997320"/>
    <w:rsid w:val="009A03E5"/>
    <w:rsid w:val="009A0F3B"/>
    <w:rsid w:val="009A171E"/>
    <w:rsid w:val="009A1BB4"/>
    <w:rsid w:val="009A256A"/>
    <w:rsid w:val="009A2628"/>
    <w:rsid w:val="009A3200"/>
    <w:rsid w:val="009A41A4"/>
    <w:rsid w:val="009A4AF8"/>
    <w:rsid w:val="009A7AEC"/>
    <w:rsid w:val="009B0897"/>
    <w:rsid w:val="009B10E7"/>
    <w:rsid w:val="009B17ED"/>
    <w:rsid w:val="009B226F"/>
    <w:rsid w:val="009B22BA"/>
    <w:rsid w:val="009B291A"/>
    <w:rsid w:val="009B2BCD"/>
    <w:rsid w:val="009B3383"/>
    <w:rsid w:val="009B3FA8"/>
    <w:rsid w:val="009B4712"/>
    <w:rsid w:val="009B6E9A"/>
    <w:rsid w:val="009B7758"/>
    <w:rsid w:val="009B7BD9"/>
    <w:rsid w:val="009C2F8C"/>
    <w:rsid w:val="009C2FE4"/>
    <w:rsid w:val="009C38CC"/>
    <w:rsid w:val="009C4592"/>
    <w:rsid w:val="009C6331"/>
    <w:rsid w:val="009C6821"/>
    <w:rsid w:val="009C7DD5"/>
    <w:rsid w:val="009D014F"/>
    <w:rsid w:val="009D01BD"/>
    <w:rsid w:val="009D0CD9"/>
    <w:rsid w:val="009D111D"/>
    <w:rsid w:val="009D457A"/>
    <w:rsid w:val="009E0DD2"/>
    <w:rsid w:val="009E1704"/>
    <w:rsid w:val="009E1CDD"/>
    <w:rsid w:val="009E227D"/>
    <w:rsid w:val="009E2F37"/>
    <w:rsid w:val="009E3F2B"/>
    <w:rsid w:val="009E487C"/>
    <w:rsid w:val="009E4F0B"/>
    <w:rsid w:val="009E5019"/>
    <w:rsid w:val="009E5AF4"/>
    <w:rsid w:val="009E5E7A"/>
    <w:rsid w:val="009E600A"/>
    <w:rsid w:val="009E62A0"/>
    <w:rsid w:val="009E635C"/>
    <w:rsid w:val="009E767D"/>
    <w:rsid w:val="009E798B"/>
    <w:rsid w:val="009E7A1C"/>
    <w:rsid w:val="009E7CEC"/>
    <w:rsid w:val="009F00F7"/>
    <w:rsid w:val="009F18AC"/>
    <w:rsid w:val="009F20BC"/>
    <w:rsid w:val="009F3C0B"/>
    <w:rsid w:val="009F5497"/>
    <w:rsid w:val="009F549C"/>
    <w:rsid w:val="009F662B"/>
    <w:rsid w:val="00A0097D"/>
    <w:rsid w:val="00A022B1"/>
    <w:rsid w:val="00A03678"/>
    <w:rsid w:val="00A037F4"/>
    <w:rsid w:val="00A03AE3"/>
    <w:rsid w:val="00A04F1B"/>
    <w:rsid w:val="00A0501B"/>
    <w:rsid w:val="00A059B5"/>
    <w:rsid w:val="00A06A53"/>
    <w:rsid w:val="00A06B50"/>
    <w:rsid w:val="00A1046B"/>
    <w:rsid w:val="00A113BD"/>
    <w:rsid w:val="00A14947"/>
    <w:rsid w:val="00A15E04"/>
    <w:rsid w:val="00A16D8A"/>
    <w:rsid w:val="00A17253"/>
    <w:rsid w:val="00A17A54"/>
    <w:rsid w:val="00A17C2C"/>
    <w:rsid w:val="00A21729"/>
    <w:rsid w:val="00A2176D"/>
    <w:rsid w:val="00A23FB0"/>
    <w:rsid w:val="00A24770"/>
    <w:rsid w:val="00A24B5B"/>
    <w:rsid w:val="00A259B5"/>
    <w:rsid w:val="00A26793"/>
    <w:rsid w:val="00A26E8E"/>
    <w:rsid w:val="00A32A83"/>
    <w:rsid w:val="00A33C06"/>
    <w:rsid w:val="00A3431E"/>
    <w:rsid w:val="00A36349"/>
    <w:rsid w:val="00A364DE"/>
    <w:rsid w:val="00A36500"/>
    <w:rsid w:val="00A368DB"/>
    <w:rsid w:val="00A423AA"/>
    <w:rsid w:val="00A441E8"/>
    <w:rsid w:val="00A44646"/>
    <w:rsid w:val="00A44FC8"/>
    <w:rsid w:val="00A45C81"/>
    <w:rsid w:val="00A51C89"/>
    <w:rsid w:val="00A530DD"/>
    <w:rsid w:val="00A53292"/>
    <w:rsid w:val="00A53EC6"/>
    <w:rsid w:val="00A5550B"/>
    <w:rsid w:val="00A55C0F"/>
    <w:rsid w:val="00A55E25"/>
    <w:rsid w:val="00A60108"/>
    <w:rsid w:val="00A61ABF"/>
    <w:rsid w:val="00A622E4"/>
    <w:rsid w:val="00A63B07"/>
    <w:rsid w:val="00A64961"/>
    <w:rsid w:val="00A64ECD"/>
    <w:rsid w:val="00A66803"/>
    <w:rsid w:val="00A70840"/>
    <w:rsid w:val="00A73C6D"/>
    <w:rsid w:val="00A76BF8"/>
    <w:rsid w:val="00A80232"/>
    <w:rsid w:val="00A8185B"/>
    <w:rsid w:val="00A82425"/>
    <w:rsid w:val="00A835DD"/>
    <w:rsid w:val="00A83ACF"/>
    <w:rsid w:val="00A84381"/>
    <w:rsid w:val="00A8507A"/>
    <w:rsid w:val="00A86425"/>
    <w:rsid w:val="00A8713F"/>
    <w:rsid w:val="00A90486"/>
    <w:rsid w:val="00A90BA1"/>
    <w:rsid w:val="00A90E6A"/>
    <w:rsid w:val="00A92A71"/>
    <w:rsid w:val="00A93444"/>
    <w:rsid w:val="00A949E2"/>
    <w:rsid w:val="00A95E2B"/>
    <w:rsid w:val="00A9640C"/>
    <w:rsid w:val="00A97A9A"/>
    <w:rsid w:val="00AA02FF"/>
    <w:rsid w:val="00AA0671"/>
    <w:rsid w:val="00AA20B8"/>
    <w:rsid w:val="00AA2531"/>
    <w:rsid w:val="00AA26AE"/>
    <w:rsid w:val="00AA33E3"/>
    <w:rsid w:val="00AA5076"/>
    <w:rsid w:val="00AA5208"/>
    <w:rsid w:val="00AA5A34"/>
    <w:rsid w:val="00AA7EE6"/>
    <w:rsid w:val="00AB1701"/>
    <w:rsid w:val="00AB1E09"/>
    <w:rsid w:val="00AB407A"/>
    <w:rsid w:val="00AB48A0"/>
    <w:rsid w:val="00AB5330"/>
    <w:rsid w:val="00AB5F08"/>
    <w:rsid w:val="00AB7747"/>
    <w:rsid w:val="00AB7E81"/>
    <w:rsid w:val="00AC01EA"/>
    <w:rsid w:val="00AC0BE7"/>
    <w:rsid w:val="00AC14CE"/>
    <w:rsid w:val="00AC1F54"/>
    <w:rsid w:val="00AC22FF"/>
    <w:rsid w:val="00AC259F"/>
    <w:rsid w:val="00AC2A56"/>
    <w:rsid w:val="00AC4685"/>
    <w:rsid w:val="00AD055E"/>
    <w:rsid w:val="00AD0ACC"/>
    <w:rsid w:val="00AD19A5"/>
    <w:rsid w:val="00AD2D36"/>
    <w:rsid w:val="00AD367A"/>
    <w:rsid w:val="00AD47A7"/>
    <w:rsid w:val="00AD512F"/>
    <w:rsid w:val="00AD59E5"/>
    <w:rsid w:val="00AD7D41"/>
    <w:rsid w:val="00AE1A1F"/>
    <w:rsid w:val="00AE1D87"/>
    <w:rsid w:val="00AE2A4F"/>
    <w:rsid w:val="00AE5341"/>
    <w:rsid w:val="00AE619D"/>
    <w:rsid w:val="00AE6B19"/>
    <w:rsid w:val="00AE7F2E"/>
    <w:rsid w:val="00AF0CBF"/>
    <w:rsid w:val="00AF0ED9"/>
    <w:rsid w:val="00AF1666"/>
    <w:rsid w:val="00AF178C"/>
    <w:rsid w:val="00AF257F"/>
    <w:rsid w:val="00AF33CF"/>
    <w:rsid w:val="00AF4D50"/>
    <w:rsid w:val="00AF5334"/>
    <w:rsid w:val="00AF6179"/>
    <w:rsid w:val="00AF7085"/>
    <w:rsid w:val="00AF7BB2"/>
    <w:rsid w:val="00B00F14"/>
    <w:rsid w:val="00B03170"/>
    <w:rsid w:val="00B05710"/>
    <w:rsid w:val="00B0645F"/>
    <w:rsid w:val="00B06632"/>
    <w:rsid w:val="00B0708F"/>
    <w:rsid w:val="00B1295A"/>
    <w:rsid w:val="00B13776"/>
    <w:rsid w:val="00B144C7"/>
    <w:rsid w:val="00B17EC8"/>
    <w:rsid w:val="00B20803"/>
    <w:rsid w:val="00B20A45"/>
    <w:rsid w:val="00B20E81"/>
    <w:rsid w:val="00B22AB7"/>
    <w:rsid w:val="00B22C5C"/>
    <w:rsid w:val="00B22D9E"/>
    <w:rsid w:val="00B24F30"/>
    <w:rsid w:val="00B25790"/>
    <w:rsid w:val="00B25F6B"/>
    <w:rsid w:val="00B263F6"/>
    <w:rsid w:val="00B279E1"/>
    <w:rsid w:val="00B31809"/>
    <w:rsid w:val="00B31ABF"/>
    <w:rsid w:val="00B32867"/>
    <w:rsid w:val="00B32870"/>
    <w:rsid w:val="00B33BE3"/>
    <w:rsid w:val="00B357DF"/>
    <w:rsid w:val="00B40193"/>
    <w:rsid w:val="00B406BF"/>
    <w:rsid w:val="00B40A1B"/>
    <w:rsid w:val="00B424F3"/>
    <w:rsid w:val="00B4333A"/>
    <w:rsid w:val="00B456EB"/>
    <w:rsid w:val="00B511FD"/>
    <w:rsid w:val="00B52763"/>
    <w:rsid w:val="00B53B5D"/>
    <w:rsid w:val="00B54A95"/>
    <w:rsid w:val="00B55104"/>
    <w:rsid w:val="00B577D9"/>
    <w:rsid w:val="00B602E6"/>
    <w:rsid w:val="00B6055E"/>
    <w:rsid w:val="00B630C2"/>
    <w:rsid w:val="00B6317D"/>
    <w:rsid w:val="00B64490"/>
    <w:rsid w:val="00B64C1C"/>
    <w:rsid w:val="00B65A20"/>
    <w:rsid w:val="00B667EE"/>
    <w:rsid w:val="00B70B91"/>
    <w:rsid w:val="00B72A76"/>
    <w:rsid w:val="00B72CC9"/>
    <w:rsid w:val="00B7599F"/>
    <w:rsid w:val="00B75ABD"/>
    <w:rsid w:val="00B77160"/>
    <w:rsid w:val="00B77169"/>
    <w:rsid w:val="00B7723F"/>
    <w:rsid w:val="00B80534"/>
    <w:rsid w:val="00B81342"/>
    <w:rsid w:val="00B81CD2"/>
    <w:rsid w:val="00B829DA"/>
    <w:rsid w:val="00B82E5B"/>
    <w:rsid w:val="00B84139"/>
    <w:rsid w:val="00B8433C"/>
    <w:rsid w:val="00B85824"/>
    <w:rsid w:val="00B85C8D"/>
    <w:rsid w:val="00B86317"/>
    <w:rsid w:val="00B86510"/>
    <w:rsid w:val="00B87491"/>
    <w:rsid w:val="00B905F2"/>
    <w:rsid w:val="00B9239A"/>
    <w:rsid w:val="00B93AFE"/>
    <w:rsid w:val="00B9484B"/>
    <w:rsid w:val="00B949AC"/>
    <w:rsid w:val="00B94EE5"/>
    <w:rsid w:val="00B95DC7"/>
    <w:rsid w:val="00B9699B"/>
    <w:rsid w:val="00BA0B9A"/>
    <w:rsid w:val="00BA29E9"/>
    <w:rsid w:val="00BA6D27"/>
    <w:rsid w:val="00BA7142"/>
    <w:rsid w:val="00BA77A5"/>
    <w:rsid w:val="00BB2178"/>
    <w:rsid w:val="00BB237C"/>
    <w:rsid w:val="00BB2E42"/>
    <w:rsid w:val="00BB41A3"/>
    <w:rsid w:val="00BB4611"/>
    <w:rsid w:val="00BB527F"/>
    <w:rsid w:val="00BB5A64"/>
    <w:rsid w:val="00BB5BFF"/>
    <w:rsid w:val="00BB7091"/>
    <w:rsid w:val="00BC01AE"/>
    <w:rsid w:val="00BC15D9"/>
    <w:rsid w:val="00BC1F25"/>
    <w:rsid w:val="00BC32DC"/>
    <w:rsid w:val="00BC35B6"/>
    <w:rsid w:val="00BC370C"/>
    <w:rsid w:val="00BC3721"/>
    <w:rsid w:val="00BC7972"/>
    <w:rsid w:val="00BD0DD5"/>
    <w:rsid w:val="00BD1B51"/>
    <w:rsid w:val="00BD1C38"/>
    <w:rsid w:val="00BD2767"/>
    <w:rsid w:val="00BD3C82"/>
    <w:rsid w:val="00BD4596"/>
    <w:rsid w:val="00BD4761"/>
    <w:rsid w:val="00BD59A2"/>
    <w:rsid w:val="00BD6E5C"/>
    <w:rsid w:val="00BE0903"/>
    <w:rsid w:val="00BE1405"/>
    <w:rsid w:val="00BE164D"/>
    <w:rsid w:val="00BE2ABC"/>
    <w:rsid w:val="00BE30E6"/>
    <w:rsid w:val="00BE312D"/>
    <w:rsid w:val="00BE4AE1"/>
    <w:rsid w:val="00BE4ED6"/>
    <w:rsid w:val="00BE7B69"/>
    <w:rsid w:val="00BF03F8"/>
    <w:rsid w:val="00BF0639"/>
    <w:rsid w:val="00BF0746"/>
    <w:rsid w:val="00BF0C9A"/>
    <w:rsid w:val="00BF0D27"/>
    <w:rsid w:val="00BF1C20"/>
    <w:rsid w:val="00BF2575"/>
    <w:rsid w:val="00BF7F1C"/>
    <w:rsid w:val="00C010B0"/>
    <w:rsid w:val="00C01F55"/>
    <w:rsid w:val="00C048FF"/>
    <w:rsid w:val="00C04E6F"/>
    <w:rsid w:val="00C10578"/>
    <w:rsid w:val="00C11F60"/>
    <w:rsid w:val="00C12C45"/>
    <w:rsid w:val="00C135BC"/>
    <w:rsid w:val="00C1525C"/>
    <w:rsid w:val="00C15B6B"/>
    <w:rsid w:val="00C15C95"/>
    <w:rsid w:val="00C16C4D"/>
    <w:rsid w:val="00C17AC8"/>
    <w:rsid w:val="00C2276D"/>
    <w:rsid w:val="00C22BAC"/>
    <w:rsid w:val="00C234EF"/>
    <w:rsid w:val="00C23ED7"/>
    <w:rsid w:val="00C253C4"/>
    <w:rsid w:val="00C2596A"/>
    <w:rsid w:val="00C27537"/>
    <w:rsid w:val="00C31A91"/>
    <w:rsid w:val="00C328FE"/>
    <w:rsid w:val="00C33507"/>
    <w:rsid w:val="00C33A4F"/>
    <w:rsid w:val="00C34AB5"/>
    <w:rsid w:val="00C34BBF"/>
    <w:rsid w:val="00C3522B"/>
    <w:rsid w:val="00C359F4"/>
    <w:rsid w:val="00C35A81"/>
    <w:rsid w:val="00C35D7C"/>
    <w:rsid w:val="00C35D99"/>
    <w:rsid w:val="00C42B35"/>
    <w:rsid w:val="00C43CD5"/>
    <w:rsid w:val="00C4409D"/>
    <w:rsid w:val="00C441A0"/>
    <w:rsid w:val="00C44E72"/>
    <w:rsid w:val="00C45A06"/>
    <w:rsid w:val="00C45CFE"/>
    <w:rsid w:val="00C47E5B"/>
    <w:rsid w:val="00C50485"/>
    <w:rsid w:val="00C50A93"/>
    <w:rsid w:val="00C51852"/>
    <w:rsid w:val="00C51EFF"/>
    <w:rsid w:val="00C524E5"/>
    <w:rsid w:val="00C52B7D"/>
    <w:rsid w:val="00C52E63"/>
    <w:rsid w:val="00C539EB"/>
    <w:rsid w:val="00C53C28"/>
    <w:rsid w:val="00C54266"/>
    <w:rsid w:val="00C56F52"/>
    <w:rsid w:val="00C57F66"/>
    <w:rsid w:val="00C606E3"/>
    <w:rsid w:val="00C61E4B"/>
    <w:rsid w:val="00C623FC"/>
    <w:rsid w:val="00C634E7"/>
    <w:rsid w:val="00C63A77"/>
    <w:rsid w:val="00C64805"/>
    <w:rsid w:val="00C64BFF"/>
    <w:rsid w:val="00C668CA"/>
    <w:rsid w:val="00C669EA"/>
    <w:rsid w:val="00C67BFA"/>
    <w:rsid w:val="00C704E9"/>
    <w:rsid w:val="00C734D2"/>
    <w:rsid w:val="00C73FD8"/>
    <w:rsid w:val="00C74C5B"/>
    <w:rsid w:val="00C74E9B"/>
    <w:rsid w:val="00C763C9"/>
    <w:rsid w:val="00C76A54"/>
    <w:rsid w:val="00C76BC4"/>
    <w:rsid w:val="00C771B0"/>
    <w:rsid w:val="00C77BB2"/>
    <w:rsid w:val="00C80057"/>
    <w:rsid w:val="00C81130"/>
    <w:rsid w:val="00C81702"/>
    <w:rsid w:val="00C8206B"/>
    <w:rsid w:val="00C82232"/>
    <w:rsid w:val="00C82913"/>
    <w:rsid w:val="00C82B30"/>
    <w:rsid w:val="00C82B54"/>
    <w:rsid w:val="00C83691"/>
    <w:rsid w:val="00C86139"/>
    <w:rsid w:val="00C90179"/>
    <w:rsid w:val="00C902DA"/>
    <w:rsid w:val="00C914F1"/>
    <w:rsid w:val="00C91731"/>
    <w:rsid w:val="00C91768"/>
    <w:rsid w:val="00C91E7D"/>
    <w:rsid w:val="00C9236C"/>
    <w:rsid w:val="00C93411"/>
    <w:rsid w:val="00C93787"/>
    <w:rsid w:val="00C972B1"/>
    <w:rsid w:val="00C977AA"/>
    <w:rsid w:val="00CA1985"/>
    <w:rsid w:val="00CA2CCE"/>
    <w:rsid w:val="00CA43FD"/>
    <w:rsid w:val="00CA7EF8"/>
    <w:rsid w:val="00CB091F"/>
    <w:rsid w:val="00CB1A6D"/>
    <w:rsid w:val="00CB2D34"/>
    <w:rsid w:val="00CB52C4"/>
    <w:rsid w:val="00CB5981"/>
    <w:rsid w:val="00CB5E31"/>
    <w:rsid w:val="00CB600A"/>
    <w:rsid w:val="00CB720D"/>
    <w:rsid w:val="00CB7468"/>
    <w:rsid w:val="00CB7CBE"/>
    <w:rsid w:val="00CC35F7"/>
    <w:rsid w:val="00CC3E86"/>
    <w:rsid w:val="00CC489B"/>
    <w:rsid w:val="00CC48AA"/>
    <w:rsid w:val="00CD1035"/>
    <w:rsid w:val="00CD134E"/>
    <w:rsid w:val="00CD2BCD"/>
    <w:rsid w:val="00CD2E09"/>
    <w:rsid w:val="00CD34F9"/>
    <w:rsid w:val="00CD3A4C"/>
    <w:rsid w:val="00CD4917"/>
    <w:rsid w:val="00CD579D"/>
    <w:rsid w:val="00CD6587"/>
    <w:rsid w:val="00CD6BEE"/>
    <w:rsid w:val="00CD7201"/>
    <w:rsid w:val="00CE0F4D"/>
    <w:rsid w:val="00CE10E9"/>
    <w:rsid w:val="00CE2910"/>
    <w:rsid w:val="00CE5393"/>
    <w:rsid w:val="00CE6D75"/>
    <w:rsid w:val="00CE714B"/>
    <w:rsid w:val="00CE75E7"/>
    <w:rsid w:val="00CF09EB"/>
    <w:rsid w:val="00CF2898"/>
    <w:rsid w:val="00CF315E"/>
    <w:rsid w:val="00CF36BE"/>
    <w:rsid w:val="00CF6000"/>
    <w:rsid w:val="00CF6CF7"/>
    <w:rsid w:val="00D003F3"/>
    <w:rsid w:val="00D0068E"/>
    <w:rsid w:val="00D007D4"/>
    <w:rsid w:val="00D01502"/>
    <w:rsid w:val="00D01FBC"/>
    <w:rsid w:val="00D02161"/>
    <w:rsid w:val="00D030C5"/>
    <w:rsid w:val="00D0364F"/>
    <w:rsid w:val="00D04993"/>
    <w:rsid w:val="00D05B9A"/>
    <w:rsid w:val="00D0608C"/>
    <w:rsid w:val="00D06436"/>
    <w:rsid w:val="00D06447"/>
    <w:rsid w:val="00D06834"/>
    <w:rsid w:val="00D10AB4"/>
    <w:rsid w:val="00D131C6"/>
    <w:rsid w:val="00D16F2D"/>
    <w:rsid w:val="00D17704"/>
    <w:rsid w:val="00D17A47"/>
    <w:rsid w:val="00D208A1"/>
    <w:rsid w:val="00D21E0F"/>
    <w:rsid w:val="00D222BF"/>
    <w:rsid w:val="00D22A36"/>
    <w:rsid w:val="00D248EC"/>
    <w:rsid w:val="00D26C02"/>
    <w:rsid w:val="00D26EAB"/>
    <w:rsid w:val="00D3077B"/>
    <w:rsid w:val="00D308ED"/>
    <w:rsid w:val="00D30992"/>
    <w:rsid w:val="00D33249"/>
    <w:rsid w:val="00D34005"/>
    <w:rsid w:val="00D34ADF"/>
    <w:rsid w:val="00D35519"/>
    <w:rsid w:val="00D36D86"/>
    <w:rsid w:val="00D3793F"/>
    <w:rsid w:val="00D401DC"/>
    <w:rsid w:val="00D40E79"/>
    <w:rsid w:val="00D41405"/>
    <w:rsid w:val="00D42008"/>
    <w:rsid w:val="00D428AA"/>
    <w:rsid w:val="00D43D66"/>
    <w:rsid w:val="00D44379"/>
    <w:rsid w:val="00D4570C"/>
    <w:rsid w:val="00D45B92"/>
    <w:rsid w:val="00D50A34"/>
    <w:rsid w:val="00D50B7D"/>
    <w:rsid w:val="00D51A36"/>
    <w:rsid w:val="00D51E65"/>
    <w:rsid w:val="00D53070"/>
    <w:rsid w:val="00D53E57"/>
    <w:rsid w:val="00D53EFA"/>
    <w:rsid w:val="00D53F05"/>
    <w:rsid w:val="00D5510F"/>
    <w:rsid w:val="00D558A8"/>
    <w:rsid w:val="00D56CC1"/>
    <w:rsid w:val="00D6131A"/>
    <w:rsid w:val="00D613A7"/>
    <w:rsid w:val="00D627C9"/>
    <w:rsid w:val="00D7003B"/>
    <w:rsid w:val="00D70319"/>
    <w:rsid w:val="00D707FE"/>
    <w:rsid w:val="00D70E91"/>
    <w:rsid w:val="00D71F0E"/>
    <w:rsid w:val="00D72090"/>
    <w:rsid w:val="00D72345"/>
    <w:rsid w:val="00D72AAE"/>
    <w:rsid w:val="00D73F24"/>
    <w:rsid w:val="00D74FB3"/>
    <w:rsid w:val="00D7512B"/>
    <w:rsid w:val="00D758C5"/>
    <w:rsid w:val="00D801AF"/>
    <w:rsid w:val="00D80F03"/>
    <w:rsid w:val="00D81028"/>
    <w:rsid w:val="00D821E6"/>
    <w:rsid w:val="00D828F8"/>
    <w:rsid w:val="00D82DEA"/>
    <w:rsid w:val="00D84977"/>
    <w:rsid w:val="00D84FD8"/>
    <w:rsid w:val="00D85EC7"/>
    <w:rsid w:val="00D870B7"/>
    <w:rsid w:val="00D90B61"/>
    <w:rsid w:val="00D92FD2"/>
    <w:rsid w:val="00D93060"/>
    <w:rsid w:val="00D93CAF"/>
    <w:rsid w:val="00D94A7C"/>
    <w:rsid w:val="00D95466"/>
    <w:rsid w:val="00D956E0"/>
    <w:rsid w:val="00D95896"/>
    <w:rsid w:val="00D96630"/>
    <w:rsid w:val="00D97DBA"/>
    <w:rsid w:val="00DA508F"/>
    <w:rsid w:val="00DA587B"/>
    <w:rsid w:val="00DA5F13"/>
    <w:rsid w:val="00DA6031"/>
    <w:rsid w:val="00DA76B9"/>
    <w:rsid w:val="00DA7976"/>
    <w:rsid w:val="00DA7B82"/>
    <w:rsid w:val="00DB171A"/>
    <w:rsid w:val="00DB2983"/>
    <w:rsid w:val="00DB4003"/>
    <w:rsid w:val="00DB45F6"/>
    <w:rsid w:val="00DB50A2"/>
    <w:rsid w:val="00DB6DD1"/>
    <w:rsid w:val="00DB77D0"/>
    <w:rsid w:val="00DC0F8B"/>
    <w:rsid w:val="00DC1257"/>
    <w:rsid w:val="00DC1BC2"/>
    <w:rsid w:val="00DC30D6"/>
    <w:rsid w:val="00DC3196"/>
    <w:rsid w:val="00DC388E"/>
    <w:rsid w:val="00DC3DC0"/>
    <w:rsid w:val="00DC44F5"/>
    <w:rsid w:val="00DC5B2B"/>
    <w:rsid w:val="00DD033F"/>
    <w:rsid w:val="00DD149D"/>
    <w:rsid w:val="00DD318D"/>
    <w:rsid w:val="00DD3233"/>
    <w:rsid w:val="00DD6A0F"/>
    <w:rsid w:val="00DD79E7"/>
    <w:rsid w:val="00DE003E"/>
    <w:rsid w:val="00DE1D5E"/>
    <w:rsid w:val="00DE430F"/>
    <w:rsid w:val="00DE513E"/>
    <w:rsid w:val="00DE69C1"/>
    <w:rsid w:val="00DE7A8B"/>
    <w:rsid w:val="00DF0D44"/>
    <w:rsid w:val="00DF2C53"/>
    <w:rsid w:val="00DF2D02"/>
    <w:rsid w:val="00DF2E12"/>
    <w:rsid w:val="00DF3303"/>
    <w:rsid w:val="00DF4783"/>
    <w:rsid w:val="00DF4802"/>
    <w:rsid w:val="00DF514A"/>
    <w:rsid w:val="00DF6690"/>
    <w:rsid w:val="00DF6804"/>
    <w:rsid w:val="00DF6D7F"/>
    <w:rsid w:val="00E0225D"/>
    <w:rsid w:val="00E026F1"/>
    <w:rsid w:val="00E02CF0"/>
    <w:rsid w:val="00E0358D"/>
    <w:rsid w:val="00E04323"/>
    <w:rsid w:val="00E043DF"/>
    <w:rsid w:val="00E04695"/>
    <w:rsid w:val="00E05ED3"/>
    <w:rsid w:val="00E070A2"/>
    <w:rsid w:val="00E11F3C"/>
    <w:rsid w:val="00E1431C"/>
    <w:rsid w:val="00E14D45"/>
    <w:rsid w:val="00E14F86"/>
    <w:rsid w:val="00E161A3"/>
    <w:rsid w:val="00E20B6B"/>
    <w:rsid w:val="00E24536"/>
    <w:rsid w:val="00E2564B"/>
    <w:rsid w:val="00E2656A"/>
    <w:rsid w:val="00E26F1C"/>
    <w:rsid w:val="00E27470"/>
    <w:rsid w:val="00E27FD2"/>
    <w:rsid w:val="00E31E23"/>
    <w:rsid w:val="00E32FD1"/>
    <w:rsid w:val="00E33462"/>
    <w:rsid w:val="00E3623A"/>
    <w:rsid w:val="00E36D10"/>
    <w:rsid w:val="00E3785B"/>
    <w:rsid w:val="00E37B8B"/>
    <w:rsid w:val="00E37F1E"/>
    <w:rsid w:val="00E40D40"/>
    <w:rsid w:val="00E412D0"/>
    <w:rsid w:val="00E42938"/>
    <w:rsid w:val="00E436E6"/>
    <w:rsid w:val="00E44745"/>
    <w:rsid w:val="00E46195"/>
    <w:rsid w:val="00E51E7F"/>
    <w:rsid w:val="00E5251A"/>
    <w:rsid w:val="00E53C5E"/>
    <w:rsid w:val="00E5543F"/>
    <w:rsid w:val="00E56283"/>
    <w:rsid w:val="00E56322"/>
    <w:rsid w:val="00E56BDE"/>
    <w:rsid w:val="00E607FA"/>
    <w:rsid w:val="00E6093C"/>
    <w:rsid w:val="00E60982"/>
    <w:rsid w:val="00E60F0C"/>
    <w:rsid w:val="00E62C62"/>
    <w:rsid w:val="00E62F5F"/>
    <w:rsid w:val="00E63D47"/>
    <w:rsid w:val="00E64408"/>
    <w:rsid w:val="00E64594"/>
    <w:rsid w:val="00E654C1"/>
    <w:rsid w:val="00E65D97"/>
    <w:rsid w:val="00E66B82"/>
    <w:rsid w:val="00E70A4C"/>
    <w:rsid w:val="00E72A5A"/>
    <w:rsid w:val="00E73323"/>
    <w:rsid w:val="00E73354"/>
    <w:rsid w:val="00E7439B"/>
    <w:rsid w:val="00E745C2"/>
    <w:rsid w:val="00E7486B"/>
    <w:rsid w:val="00E75FC0"/>
    <w:rsid w:val="00E80AF3"/>
    <w:rsid w:val="00E81594"/>
    <w:rsid w:val="00E81FAE"/>
    <w:rsid w:val="00E82EFD"/>
    <w:rsid w:val="00E83B69"/>
    <w:rsid w:val="00E845DF"/>
    <w:rsid w:val="00E8640B"/>
    <w:rsid w:val="00E9242D"/>
    <w:rsid w:val="00E9257A"/>
    <w:rsid w:val="00E940FB"/>
    <w:rsid w:val="00E95D19"/>
    <w:rsid w:val="00E977CC"/>
    <w:rsid w:val="00EA1F44"/>
    <w:rsid w:val="00EA22A1"/>
    <w:rsid w:val="00EA2DC4"/>
    <w:rsid w:val="00EA3D26"/>
    <w:rsid w:val="00EA3F62"/>
    <w:rsid w:val="00EA43FC"/>
    <w:rsid w:val="00EA5910"/>
    <w:rsid w:val="00EA7F9D"/>
    <w:rsid w:val="00EB0B3E"/>
    <w:rsid w:val="00EB0F20"/>
    <w:rsid w:val="00EB1DA0"/>
    <w:rsid w:val="00EB3135"/>
    <w:rsid w:val="00EB4813"/>
    <w:rsid w:val="00EB5255"/>
    <w:rsid w:val="00EB5C47"/>
    <w:rsid w:val="00EB7641"/>
    <w:rsid w:val="00EC049C"/>
    <w:rsid w:val="00EC11F4"/>
    <w:rsid w:val="00EC27BD"/>
    <w:rsid w:val="00EC428D"/>
    <w:rsid w:val="00ED0266"/>
    <w:rsid w:val="00ED0639"/>
    <w:rsid w:val="00ED1531"/>
    <w:rsid w:val="00ED32F2"/>
    <w:rsid w:val="00ED3BA9"/>
    <w:rsid w:val="00ED746D"/>
    <w:rsid w:val="00ED7D3C"/>
    <w:rsid w:val="00EE215D"/>
    <w:rsid w:val="00EE4436"/>
    <w:rsid w:val="00EE4E6B"/>
    <w:rsid w:val="00EE65DA"/>
    <w:rsid w:val="00EE739E"/>
    <w:rsid w:val="00EE741D"/>
    <w:rsid w:val="00EF2A9A"/>
    <w:rsid w:val="00EF3766"/>
    <w:rsid w:val="00EF3990"/>
    <w:rsid w:val="00EF4702"/>
    <w:rsid w:val="00EF4755"/>
    <w:rsid w:val="00EF4874"/>
    <w:rsid w:val="00EF7135"/>
    <w:rsid w:val="00EF7937"/>
    <w:rsid w:val="00F021A6"/>
    <w:rsid w:val="00F027DB"/>
    <w:rsid w:val="00F02F7E"/>
    <w:rsid w:val="00F05D6C"/>
    <w:rsid w:val="00F05EFF"/>
    <w:rsid w:val="00F06077"/>
    <w:rsid w:val="00F06787"/>
    <w:rsid w:val="00F10700"/>
    <w:rsid w:val="00F14A7A"/>
    <w:rsid w:val="00F16F8F"/>
    <w:rsid w:val="00F170E9"/>
    <w:rsid w:val="00F17171"/>
    <w:rsid w:val="00F22985"/>
    <w:rsid w:val="00F22D7B"/>
    <w:rsid w:val="00F238F7"/>
    <w:rsid w:val="00F24AB5"/>
    <w:rsid w:val="00F269CF"/>
    <w:rsid w:val="00F27834"/>
    <w:rsid w:val="00F3383E"/>
    <w:rsid w:val="00F341CB"/>
    <w:rsid w:val="00F35070"/>
    <w:rsid w:val="00F3508B"/>
    <w:rsid w:val="00F363D6"/>
    <w:rsid w:val="00F365D2"/>
    <w:rsid w:val="00F36E26"/>
    <w:rsid w:val="00F37AB9"/>
    <w:rsid w:val="00F37C10"/>
    <w:rsid w:val="00F4052E"/>
    <w:rsid w:val="00F4213C"/>
    <w:rsid w:val="00F42164"/>
    <w:rsid w:val="00F42AF7"/>
    <w:rsid w:val="00F4337C"/>
    <w:rsid w:val="00F4390B"/>
    <w:rsid w:val="00F43DC4"/>
    <w:rsid w:val="00F45E8E"/>
    <w:rsid w:val="00F4621F"/>
    <w:rsid w:val="00F465A7"/>
    <w:rsid w:val="00F467CC"/>
    <w:rsid w:val="00F46AB4"/>
    <w:rsid w:val="00F47B4F"/>
    <w:rsid w:val="00F47E34"/>
    <w:rsid w:val="00F50B7C"/>
    <w:rsid w:val="00F512C1"/>
    <w:rsid w:val="00F52CFB"/>
    <w:rsid w:val="00F52F71"/>
    <w:rsid w:val="00F53D0E"/>
    <w:rsid w:val="00F540B1"/>
    <w:rsid w:val="00F543A0"/>
    <w:rsid w:val="00F54697"/>
    <w:rsid w:val="00F550E6"/>
    <w:rsid w:val="00F551B0"/>
    <w:rsid w:val="00F55CE4"/>
    <w:rsid w:val="00F55E4D"/>
    <w:rsid w:val="00F600E9"/>
    <w:rsid w:val="00F61A51"/>
    <w:rsid w:val="00F61D81"/>
    <w:rsid w:val="00F6283C"/>
    <w:rsid w:val="00F62C2D"/>
    <w:rsid w:val="00F63B83"/>
    <w:rsid w:val="00F64C5D"/>
    <w:rsid w:val="00F64E68"/>
    <w:rsid w:val="00F665C2"/>
    <w:rsid w:val="00F67381"/>
    <w:rsid w:val="00F6798A"/>
    <w:rsid w:val="00F735C6"/>
    <w:rsid w:val="00F74345"/>
    <w:rsid w:val="00F74DAE"/>
    <w:rsid w:val="00F75D86"/>
    <w:rsid w:val="00F77744"/>
    <w:rsid w:val="00F80109"/>
    <w:rsid w:val="00F80A0A"/>
    <w:rsid w:val="00F80AA6"/>
    <w:rsid w:val="00F81732"/>
    <w:rsid w:val="00F82B19"/>
    <w:rsid w:val="00F8589F"/>
    <w:rsid w:val="00F86719"/>
    <w:rsid w:val="00F91C38"/>
    <w:rsid w:val="00F9212D"/>
    <w:rsid w:val="00F935C3"/>
    <w:rsid w:val="00F944A9"/>
    <w:rsid w:val="00F95375"/>
    <w:rsid w:val="00F9626B"/>
    <w:rsid w:val="00F965DA"/>
    <w:rsid w:val="00F9785C"/>
    <w:rsid w:val="00FA0361"/>
    <w:rsid w:val="00FA0524"/>
    <w:rsid w:val="00FA09CC"/>
    <w:rsid w:val="00FA1C5E"/>
    <w:rsid w:val="00FA38FC"/>
    <w:rsid w:val="00FA406A"/>
    <w:rsid w:val="00FA7A5F"/>
    <w:rsid w:val="00FB1C96"/>
    <w:rsid w:val="00FB3E5A"/>
    <w:rsid w:val="00FB503A"/>
    <w:rsid w:val="00FB516C"/>
    <w:rsid w:val="00FB7566"/>
    <w:rsid w:val="00FC1424"/>
    <w:rsid w:val="00FC1EF1"/>
    <w:rsid w:val="00FC1F51"/>
    <w:rsid w:val="00FC4302"/>
    <w:rsid w:val="00FC7135"/>
    <w:rsid w:val="00FD014A"/>
    <w:rsid w:val="00FD0236"/>
    <w:rsid w:val="00FD0D53"/>
    <w:rsid w:val="00FD18F4"/>
    <w:rsid w:val="00FD2517"/>
    <w:rsid w:val="00FD29F5"/>
    <w:rsid w:val="00FD30A2"/>
    <w:rsid w:val="00FD4ADF"/>
    <w:rsid w:val="00FD4EF9"/>
    <w:rsid w:val="00FD50F9"/>
    <w:rsid w:val="00FD54DB"/>
    <w:rsid w:val="00FD619F"/>
    <w:rsid w:val="00FD6596"/>
    <w:rsid w:val="00FD7547"/>
    <w:rsid w:val="00FD7C57"/>
    <w:rsid w:val="00FE13C5"/>
    <w:rsid w:val="00FE1853"/>
    <w:rsid w:val="00FE293A"/>
    <w:rsid w:val="00FE34EA"/>
    <w:rsid w:val="00FE7AFB"/>
    <w:rsid w:val="00FF0C1C"/>
    <w:rsid w:val="00FF32E9"/>
    <w:rsid w:val="00FF3B0D"/>
    <w:rsid w:val="00FF4595"/>
    <w:rsid w:val="00FF4FD7"/>
    <w:rsid w:val="00FF5400"/>
    <w:rsid w:val="00FF5541"/>
    <w:rsid w:val="00FF5D56"/>
    <w:rsid w:val="01290F7E"/>
    <w:rsid w:val="01420895"/>
    <w:rsid w:val="01560A8F"/>
    <w:rsid w:val="015D1E09"/>
    <w:rsid w:val="01E9105B"/>
    <w:rsid w:val="02697903"/>
    <w:rsid w:val="02F96569"/>
    <w:rsid w:val="03EA7B21"/>
    <w:rsid w:val="047414F6"/>
    <w:rsid w:val="04B9504C"/>
    <w:rsid w:val="0524683D"/>
    <w:rsid w:val="05E9642E"/>
    <w:rsid w:val="05EF1C5E"/>
    <w:rsid w:val="05F83EAE"/>
    <w:rsid w:val="063E7D85"/>
    <w:rsid w:val="07293586"/>
    <w:rsid w:val="07295285"/>
    <w:rsid w:val="072C13A7"/>
    <w:rsid w:val="07611B7B"/>
    <w:rsid w:val="07636392"/>
    <w:rsid w:val="0775536B"/>
    <w:rsid w:val="07770C56"/>
    <w:rsid w:val="078F479D"/>
    <w:rsid w:val="08083911"/>
    <w:rsid w:val="085D6EEC"/>
    <w:rsid w:val="092217DD"/>
    <w:rsid w:val="09374DB2"/>
    <w:rsid w:val="093A7294"/>
    <w:rsid w:val="09641524"/>
    <w:rsid w:val="09A02008"/>
    <w:rsid w:val="09D773D1"/>
    <w:rsid w:val="09E679F5"/>
    <w:rsid w:val="0A263993"/>
    <w:rsid w:val="0A2809C1"/>
    <w:rsid w:val="0A2D3AC2"/>
    <w:rsid w:val="0A851326"/>
    <w:rsid w:val="0AA755DF"/>
    <w:rsid w:val="0AE03A63"/>
    <w:rsid w:val="0AF55175"/>
    <w:rsid w:val="0B120D44"/>
    <w:rsid w:val="0B2352FE"/>
    <w:rsid w:val="0B405000"/>
    <w:rsid w:val="0BD27BF6"/>
    <w:rsid w:val="0C3B3C7D"/>
    <w:rsid w:val="0CAB2EAE"/>
    <w:rsid w:val="0D1B1902"/>
    <w:rsid w:val="0D245305"/>
    <w:rsid w:val="0D621C7D"/>
    <w:rsid w:val="0DBA70CB"/>
    <w:rsid w:val="0DF606E6"/>
    <w:rsid w:val="0E4A136F"/>
    <w:rsid w:val="0E73034D"/>
    <w:rsid w:val="0EE13885"/>
    <w:rsid w:val="0F053294"/>
    <w:rsid w:val="0F13775A"/>
    <w:rsid w:val="0F5F45FE"/>
    <w:rsid w:val="0F98301E"/>
    <w:rsid w:val="0F9A112B"/>
    <w:rsid w:val="106D2F64"/>
    <w:rsid w:val="10B63710"/>
    <w:rsid w:val="10EC5C5A"/>
    <w:rsid w:val="10F10820"/>
    <w:rsid w:val="10F265EC"/>
    <w:rsid w:val="111C2F7A"/>
    <w:rsid w:val="112711F6"/>
    <w:rsid w:val="11665CA1"/>
    <w:rsid w:val="117330EB"/>
    <w:rsid w:val="118D4DC6"/>
    <w:rsid w:val="11A5474C"/>
    <w:rsid w:val="11EE48A1"/>
    <w:rsid w:val="12A75470"/>
    <w:rsid w:val="12C31D8C"/>
    <w:rsid w:val="135557C1"/>
    <w:rsid w:val="13867008"/>
    <w:rsid w:val="13951726"/>
    <w:rsid w:val="13B61AEC"/>
    <w:rsid w:val="14004125"/>
    <w:rsid w:val="14396509"/>
    <w:rsid w:val="14DD2C3C"/>
    <w:rsid w:val="1508462B"/>
    <w:rsid w:val="16052A00"/>
    <w:rsid w:val="16087E1D"/>
    <w:rsid w:val="160E2285"/>
    <w:rsid w:val="163D7B38"/>
    <w:rsid w:val="16651EB0"/>
    <w:rsid w:val="16826719"/>
    <w:rsid w:val="16A23C9D"/>
    <w:rsid w:val="17701D14"/>
    <w:rsid w:val="17735226"/>
    <w:rsid w:val="185F6D12"/>
    <w:rsid w:val="18660E62"/>
    <w:rsid w:val="187819A9"/>
    <w:rsid w:val="189F624C"/>
    <w:rsid w:val="18BA7A2D"/>
    <w:rsid w:val="18F31944"/>
    <w:rsid w:val="19E55F97"/>
    <w:rsid w:val="1A001E2B"/>
    <w:rsid w:val="1A1C66C0"/>
    <w:rsid w:val="1A42393B"/>
    <w:rsid w:val="1AAD45DE"/>
    <w:rsid w:val="1AF13B16"/>
    <w:rsid w:val="1B046F80"/>
    <w:rsid w:val="1B096491"/>
    <w:rsid w:val="1B3267B5"/>
    <w:rsid w:val="1B40161D"/>
    <w:rsid w:val="1B441859"/>
    <w:rsid w:val="1B6606B1"/>
    <w:rsid w:val="1C5E7925"/>
    <w:rsid w:val="1C69640C"/>
    <w:rsid w:val="1CFD070F"/>
    <w:rsid w:val="1D5F6196"/>
    <w:rsid w:val="1D6132A5"/>
    <w:rsid w:val="1D725BB4"/>
    <w:rsid w:val="1D8E56D5"/>
    <w:rsid w:val="1DA06808"/>
    <w:rsid w:val="1DCE0A89"/>
    <w:rsid w:val="1E261DFE"/>
    <w:rsid w:val="1E2C20CD"/>
    <w:rsid w:val="1E7A43DA"/>
    <w:rsid w:val="1F640BD2"/>
    <w:rsid w:val="1FE7539E"/>
    <w:rsid w:val="1FFF1F20"/>
    <w:rsid w:val="20170626"/>
    <w:rsid w:val="201C0268"/>
    <w:rsid w:val="20262BBF"/>
    <w:rsid w:val="20270DFB"/>
    <w:rsid w:val="20671BE0"/>
    <w:rsid w:val="20963CB8"/>
    <w:rsid w:val="20A81A1B"/>
    <w:rsid w:val="20B07FB6"/>
    <w:rsid w:val="20B646FB"/>
    <w:rsid w:val="20DE5ADD"/>
    <w:rsid w:val="213B74B1"/>
    <w:rsid w:val="215A2310"/>
    <w:rsid w:val="217363A9"/>
    <w:rsid w:val="21B3080F"/>
    <w:rsid w:val="21DE318A"/>
    <w:rsid w:val="21EF5B80"/>
    <w:rsid w:val="22196184"/>
    <w:rsid w:val="224658F3"/>
    <w:rsid w:val="22576990"/>
    <w:rsid w:val="226B4CB0"/>
    <w:rsid w:val="22D8603F"/>
    <w:rsid w:val="22F47480"/>
    <w:rsid w:val="23DE1C48"/>
    <w:rsid w:val="240210CD"/>
    <w:rsid w:val="246401D4"/>
    <w:rsid w:val="24B76F30"/>
    <w:rsid w:val="24BF09F7"/>
    <w:rsid w:val="24DF582F"/>
    <w:rsid w:val="252D53FE"/>
    <w:rsid w:val="25EC2D81"/>
    <w:rsid w:val="265250AA"/>
    <w:rsid w:val="266C6A96"/>
    <w:rsid w:val="26787BC8"/>
    <w:rsid w:val="26DD339B"/>
    <w:rsid w:val="26DE7311"/>
    <w:rsid w:val="27021990"/>
    <w:rsid w:val="27491CB5"/>
    <w:rsid w:val="277057A2"/>
    <w:rsid w:val="27BA3B30"/>
    <w:rsid w:val="27ED6964"/>
    <w:rsid w:val="28893933"/>
    <w:rsid w:val="29206EB8"/>
    <w:rsid w:val="29456F50"/>
    <w:rsid w:val="29595666"/>
    <w:rsid w:val="29874881"/>
    <w:rsid w:val="29E325E0"/>
    <w:rsid w:val="2A1546EE"/>
    <w:rsid w:val="2A452503"/>
    <w:rsid w:val="2B3A66EA"/>
    <w:rsid w:val="2B6C14BA"/>
    <w:rsid w:val="2BA936A8"/>
    <w:rsid w:val="2C315A5A"/>
    <w:rsid w:val="2C3819A3"/>
    <w:rsid w:val="2C400F85"/>
    <w:rsid w:val="2C4B1C25"/>
    <w:rsid w:val="2CD535EF"/>
    <w:rsid w:val="2D9E56F5"/>
    <w:rsid w:val="2E2B6FBD"/>
    <w:rsid w:val="2E667F96"/>
    <w:rsid w:val="2E8226AB"/>
    <w:rsid w:val="2E8430D5"/>
    <w:rsid w:val="2FD065E6"/>
    <w:rsid w:val="2FD96870"/>
    <w:rsid w:val="301A2B20"/>
    <w:rsid w:val="30580BC9"/>
    <w:rsid w:val="311E2ED7"/>
    <w:rsid w:val="3123682C"/>
    <w:rsid w:val="3147090D"/>
    <w:rsid w:val="314C1FBC"/>
    <w:rsid w:val="315619EE"/>
    <w:rsid w:val="315C449C"/>
    <w:rsid w:val="31966CEB"/>
    <w:rsid w:val="31B82709"/>
    <w:rsid w:val="31D05482"/>
    <w:rsid w:val="32400B34"/>
    <w:rsid w:val="326A3F80"/>
    <w:rsid w:val="329573D8"/>
    <w:rsid w:val="329E6876"/>
    <w:rsid w:val="32C84B53"/>
    <w:rsid w:val="333015F2"/>
    <w:rsid w:val="334B6320"/>
    <w:rsid w:val="3390201E"/>
    <w:rsid w:val="33D934D4"/>
    <w:rsid w:val="33FE2F6A"/>
    <w:rsid w:val="340E07E5"/>
    <w:rsid w:val="34235BF7"/>
    <w:rsid w:val="342744F2"/>
    <w:rsid w:val="345259E9"/>
    <w:rsid w:val="35153FCE"/>
    <w:rsid w:val="358C5FA8"/>
    <w:rsid w:val="35C15DF1"/>
    <w:rsid w:val="35CB71E7"/>
    <w:rsid w:val="36074A7F"/>
    <w:rsid w:val="36923549"/>
    <w:rsid w:val="36AE2339"/>
    <w:rsid w:val="36B75FBF"/>
    <w:rsid w:val="36BD0C45"/>
    <w:rsid w:val="373D491F"/>
    <w:rsid w:val="378601B5"/>
    <w:rsid w:val="37916BE9"/>
    <w:rsid w:val="37E00298"/>
    <w:rsid w:val="387A6293"/>
    <w:rsid w:val="38B302F9"/>
    <w:rsid w:val="38F12CD3"/>
    <w:rsid w:val="38F94775"/>
    <w:rsid w:val="392971ED"/>
    <w:rsid w:val="39325651"/>
    <w:rsid w:val="39AA0646"/>
    <w:rsid w:val="39FF6D61"/>
    <w:rsid w:val="3A065677"/>
    <w:rsid w:val="3A872856"/>
    <w:rsid w:val="3A9B5CF4"/>
    <w:rsid w:val="3B3763D1"/>
    <w:rsid w:val="3B4A29AB"/>
    <w:rsid w:val="3BF8022A"/>
    <w:rsid w:val="3C2B1B31"/>
    <w:rsid w:val="3C2F6E1E"/>
    <w:rsid w:val="3C4F64BA"/>
    <w:rsid w:val="3CDA245A"/>
    <w:rsid w:val="3D1E06B7"/>
    <w:rsid w:val="3D5F717A"/>
    <w:rsid w:val="3D643F00"/>
    <w:rsid w:val="3D714B94"/>
    <w:rsid w:val="3DAD3CAC"/>
    <w:rsid w:val="3DBB0ADA"/>
    <w:rsid w:val="3E3C1720"/>
    <w:rsid w:val="3E645BB1"/>
    <w:rsid w:val="3EDA0523"/>
    <w:rsid w:val="403C0B0D"/>
    <w:rsid w:val="407A6407"/>
    <w:rsid w:val="413606A8"/>
    <w:rsid w:val="4200449D"/>
    <w:rsid w:val="423A3BCC"/>
    <w:rsid w:val="424E57D2"/>
    <w:rsid w:val="426F2059"/>
    <w:rsid w:val="42B26C49"/>
    <w:rsid w:val="42E63A08"/>
    <w:rsid w:val="431A3E64"/>
    <w:rsid w:val="433A6FE6"/>
    <w:rsid w:val="43480868"/>
    <w:rsid w:val="4350713C"/>
    <w:rsid w:val="436653E0"/>
    <w:rsid w:val="43680A68"/>
    <w:rsid w:val="43994DD9"/>
    <w:rsid w:val="43C4431A"/>
    <w:rsid w:val="44725335"/>
    <w:rsid w:val="44B951CC"/>
    <w:rsid w:val="44CD14E0"/>
    <w:rsid w:val="44F20B0B"/>
    <w:rsid w:val="452E5F4C"/>
    <w:rsid w:val="45606D36"/>
    <w:rsid w:val="45612018"/>
    <w:rsid w:val="456B2057"/>
    <w:rsid w:val="458946E9"/>
    <w:rsid w:val="45A47C0E"/>
    <w:rsid w:val="45D426D7"/>
    <w:rsid w:val="45E52FD6"/>
    <w:rsid w:val="461D3BE5"/>
    <w:rsid w:val="46577FD6"/>
    <w:rsid w:val="46D955A7"/>
    <w:rsid w:val="47133957"/>
    <w:rsid w:val="47A07E0C"/>
    <w:rsid w:val="47AD6A5D"/>
    <w:rsid w:val="4870272E"/>
    <w:rsid w:val="48F94C76"/>
    <w:rsid w:val="492C605C"/>
    <w:rsid w:val="49A565CB"/>
    <w:rsid w:val="49B60F44"/>
    <w:rsid w:val="49DC7715"/>
    <w:rsid w:val="4A023139"/>
    <w:rsid w:val="4A7B576F"/>
    <w:rsid w:val="4A807925"/>
    <w:rsid w:val="4ABA5EA6"/>
    <w:rsid w:val="4AF561A9"/>
    <w:rsid w:val="4B6F25BA"/>
    <w:rsid w:val="4BF60C4C"/>
    <w:rsid w:val="4C4A0649"/>
    <w:rsid w:val="4C7E5ECA"/>
    <w:rsid w:val="4C876AA5"/>
    <w:rsid w:val="4D0E00FB"/>
    <w:rsid w:val="4D0F7F26"/>
    <w:rsid w:val="4D176606"/>
    <w:rsid w:val="4DEC4FB0"/>
    <w:rsid w:val="4E075D8A"/>
    <w:rsid w:val="4EC00FAD"/>
    <w:rsid w:val="4F7807EB"/>
    <w:rsid w:val="4F9843DC"/>
    <w:rsid w:val="4FC62A8C"/>
    <w:rsid w:val="4FE20F0D"/>
    <w:rsid w:val="4FE51552"/>
    <w:rsid w:val="50504C4B"/>
    <w:rsid w:val="509C6E7C"/>
    <w:rsid w:val="50C10637"/>
    <w:rsid w:val="51012C48"/>
    <w:rsid w:val="51326093"/>
    <w:rsid w:val="5162104E"/>
    <w:rsid w:val="516E3A80"/>
    <w:rsid w:val="520D3CAC"/>
    <w:rsid w:val="5378140F"/>
    <w:rsid w:val="53870962"/>
    <w:rsid w:val="538F667D"/>
    <w:rsid w:val="53A039CC"/>
    <w:rsid w:val="53A1505A"/>
    <w:rsid w:val="54063E08"/>
    <w:rsid w:val="543437E8"/>
    <w:rsid w:val="54F73313"/>
    <w:rsid w:val="54F80955"/>
    <w:rsid w:val="554F3A88"/>
    <w:rsid w:val="555170A7"/>
    <w:rsid w:val="5587536D"/>
    <w:rsid w:val="559B174B"/>
    <w:rsid w:val="559F4AC3"/>
    <w:rsid w:val="55A446F7"/>
    <w:rsid w:val="55CE0CF4"/>
    <w:rsid w:val="56085593"/>
    <w:rsid w:val="56B22A9C"/>
    <w:rsid w:val="56C76E35"/>
    <w:rsid w:val="5748712E"/>
    <w:rsid w:val="5784326C"/>
    <w:rsid w:val="57B40EE6"/>
    <w:rsid w:val="57B72A76"/>
    <w:rsid w:val="57C3426C"/>
    <w:rsid w:val="57CE1F93"/>
    <w:rsid w:val="588743D1"/>
    <w:rsid w:val="5887701A"/>
    <w:rsid w:val="588E2107"/>
    <w:rsid w:val="58B8779D"/>
    <w:rsid w:val="58CA669A"/>
    <w:rsid w:val="58ED661E"/>
    <w:rsid w:val="5934605A"/>
    <w:rsid w:val="595A067A"/>
    <w:rsid w:val="59C0439F"/>
    <w:rsid w:val="59F00A2E"/>
    <w:rsid w:val="5ABC41A9"/>
    <w:rsid w:val="5ABE2233"/>
    <w:rsid w:val="5B274909"/>
    <w:rsid w:val="5BDF5D95"/>
    <w:rsid w:val="5BFE7528"/>
    <w:rsid w:val="5D355864"/>
    <w:rsid w:val="5E2467F1"/>
    <w:rsid w:val="5EED2DC8"/>
    <w:rsid w:val="5EFF0A72"/>
    <w:rsid w:val="5F1A2B43"/>
    <w:rsid w:val="5F443F3C"/>
    <w:rsid w:val="5F7378E2"/>
    <w:rsid w:val="5FB837BB"/>
    <w:rsid w:val="602B2A31"/>
    <w:rsid w:val="606912CE"/>
    <w:rsid w:val="60CC405A"/>
    <w:rsid w:val="60DD61DC"/>
    <w:rsid w:val="60E453AD"/>
    <w:rsid w:val="610314BE"/>
    <w:rsid w:val="615B1AC4"/>
    <w:rsid w:val="61E215D8"/>
    <w:rsid w:val="61EB3F98"/>
    <w:rsid w:val="621B3775"/>
    <w:rsid w:val="62364782"/>
    <w:rsid w:val="6285795E"/>
    <w:rsid w:val="63486479"/>
    <w:rsid w:val="63784C59"/>
    <w:rsid w:val="6394356A"/>
    <w:rsid w:val="63C61B2C"/>
    <w:rsid w:val="63D40BE9"/>
    <w:rsid w:val="64102431"/>
    <w:rsid w:val="64A5243A"/>
    <w:rsid w:val="64E05F23"/>
    <w:rsid w:val="64F531DE"/>
    <w:rsid w:val="653653F8"/>
    <w:rsid w:val="65373578"/>
    <w:rsid w:val="65FC0AC0"/>
    <w:rsid w:val="66F268B7"/>
    <w:rsid w:val="671F124A"/>
    <w:rsid w:val="675328E4"/>
    <w:rsid w:val="677A33C6"/>
    <w:rsid w:val="681F6961"/>
    <w:rsid w:val="68610A2F"/>
    <w:rsid w:val="68805514"/>
    <w:rsid w:val="69316E2F"/>
    <w:rsid w:val="694E2071"/>
    <w:rsid w:val="69624E84"/>
    <w:rsid w:val="69766163"/>
    <w:rsid w:val="697A3B33"/>
    <w:rsid w:val="69AE56BE"/>
    <w:rsid w:val="69D44760"/>
    <w:rsid w:val="6A3169B8"/>
    <w:rsid w:val="6A520EC7"/>
    <w:rsid w:val="6A8C249D"/>
    <w:rsid w:val="6AF87E20"/>
    <w:rsid w:val="6B322639"/>
    <w:rsid w:val="6C636C38"/>
    <w:rsid w:val="6C6F0EBC"/>
    <w:rsid w:val="6CC3488A"/>
    <w:rsid w:val="6D5435F2"/>
    <w:rsid w:val="6D714EEF"/>
    <w:rsid w:val="6DB34098"/>
    <w:rsid w:val="6DB545B6"/>
    <w:rsid w:val="6DE02FB4"/>
    <w:rsid w:val="6E2E5149"/>
    <w:rsid w:val="6E3C50A6"/>
    <w:rsid w:val="6E510AC7"/>
    <w:rsid w:val="6E514CED"/>
    <w:rsid w:val="6E6B5124"/>
    <w:rsid w:val="6EB34837"/>
    <w:rsid w:val="6EB563D5"/>
    <w:rsid w:val="6ED92677"/>
    <w:rsid w:val="6F1F7EE2"/>
    <w:rsid w:val="6F225983"/>
    <w:rsid w:val="6F5A28F5"/>
    <w:rsid w:val="6FFC5590"/>
    <w:rsid w:val="706D1DD0"/>
    <w:rsid w:val="70856B87"/>
    <w:rsid w:val="70D527EE"/>
    <w:rsid w:val="713F7A61"/>
    <w:rsid w:val="715B5300"/>
    <w:rsid w:val="71755DD4"/>
    <w:rsid w:val="71D27F8A"/>
    <w:rsid w:val="71E610DE"/>
    <w:rsid w:val="72337B1E"/>
    <w:rsid w:val="72553024"/>
    <w:rsid w:val="72653A28"/>
    <w:rsid w:val="73122968"/>
    <w:rsid w:val="731F5D5E"/>
    <w:rsid w:val="73C51AD5"/>
    <w:rsid w:val="741E793C"/>
    <w:rsid w:val="745E3944"/>
    <w:rsid w:val="74750AAA"/>
    <w:rsid w:val="751C1388"/>
    <w:rsid w:val="7576016E"/>
    <w:rsid w:val="758B7556"/>
    <w:rsid w:val="7635099D"/>
    <w:rsid w:val="775B2DB3"/>
    <w:rsid w:val="776D42F2"/>
    <w:rsid w:val="77762421"/>
    <w:rsid w:val="77B56B1F"/>
    <w:rsid w:val="77BB1022"/>
    <w:rsid w:val="780F09F4"/>
    <w:rsid w:val="78320B35"/>
    <w:rsid w:val="78805D0D"/>
    <w:rsid w:val="78A90480"/>
    <w:rsid w:val="79F559D2"/>
    <w:rsid w:val="7A085F11"/>
    <w:rsid w:val="7A364017"/>
    <w:rsid w:val="7A8265E1"/>
    <w:rsid w:val="7AE85868"/>
    <w:rsid w:val="7B686D42"/>
    <w:rsid w:val="7B841746"/>
    <w:rsid w:val="7B9C537B"/>
    <w:rsid w:val="7B9D5D57"/>
    <w:rsid w:val="7C6C5AC7"/>
    <w:rsid w:val="7C8171F9"/>
    <w:rsid w:val="7CC6544B"/>
    <w:rsid w:val="7CF56101"/>
    <w:rsid w:val="7D0239FF"/>
    <w:rsid w:val="7D5E40CD"/>
    <w:rsid w:val="7D887728"/>
    <w:rsid w:val="7DCD56F2"/>
    <w:rsid w:val="7E973746"/>
    <w:rsid w:val="7F001CE7"/>
    <w:rsid w:val="7F0709B3"/>
    <w:rsid w:val="7F1D10B7"/>
    <w:rsid w:val="7F4476E0"/>
    <w:rsid w:val="7F5D4482"/>
    <w:rsid w:val="7F8137D6"/>
    <w:rsid w:val="7FE47E50"/>
    <w:rsid w:val="7FF3715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nhideWhenUsed="0" w:uiPriority="0" w:semiHidden="0" w:name="index 1" w:locked="1"/>
    <w:lsdException w:uiPriority="0" w:name="index 2" w:locked="1"/>
    <w:lsdException w:uiPriority="0" w:name="index 3" w:locked="1"/>
    <w:lsdException w:qFormat="1" w:unhideWhenUsed="0" w:uiPriority="0" w:semiHidden="0" w:name="index 4" w:locked="1"/>
    <w:lsdException w:uiPriority="0" w:name="index 5" w:locked="1"/>
    <w:lsdException w:qFormat="1" w:unhideWhenUsed="0" w:uiPriority="99" w:semiHidden="0" w:name="index 6" w:locked="1"/>
    <w:lsdException w:uiPriority="0" w:name="index 7" w:locked="1"/>
    <w:lsdException w:qFormat="1" w:unhideWhenUsed="0" w:uiPriority="0" w:semiHidden="0" w:name="index 8" w:locked="1"/>
    <w:lsdException w:uiPriority="0" w:name="index 9" w:locked="1"/>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39" w:semiHidden="0" w:name="toc 4" w:locked="1"/>
    <w:lsdException w:qFormat="1" w:unhideWhenUsed="0" w:uiPriority="39" w:semiHidden="0" w:name="toc 5" w:locked="1"/>
    <w:lsdException w:qFormat="1"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qFormat="1" w:unhideWhenUsed="0" w:uiPriority="0" w:semiHidden="0" w:name="Normal Indent" w:locked="1"/>
    <w:lsdException w:uiPriority="0" w:name="footnote text" w:locked="1"/>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ocked="1"/>
    <w:lsdException w:qFormat="1" w:unhideWhenUsed="0" w:uiPriority="0" w:semiHidden="0" w:name="caption" w:locked="1"/>
    <w:lsdException w:qFormat="1" w:unhideWhenUsed="0" w:uiPriority="0" w:semiHidden="0" w:name="table of figures" w:locked="1"/>
    <w:lsdException w:uiPriority="0" w:name="envelope address" w:locked="1"/>
    <w:lsdException w:uiPriority="0" w:name="envelope return" w:locked="1"/>
    <w:lsdException w:uiPriority="0" w:name="footnote reference" w:locked="1"/>
    <w:lsdException w:qFormat="1" w:unhideWhenUsed="0" w:uiPriority="99" w:semiHidden="0" w:name="annotation reference"/>
    <w:lsdException w:uiPriority="0" w:name="line number" w:locked="1"/>
    <w:lsdException w:qFormat="1" w:unhideWhenUsed="0" w:uiPriority="0" w:semiHidden="0" w:name="page number" w:locked="1"/>
    <w:lsdException w:qFormat="1" w:uiPriority="99" w:semiHidden="0" w:name="endnote reference" w:locked="1"/>
    <w:lsdException w:qFormat="1" w:uiPriority="99" w:semiHidden="0" w:name="endnote text" w:locked="1"/>
    <w:lsdException w:qFormat="1" w:unhideWhenUsed="0" w:uiPriority="0" w:semiHidden="0" w:name="table of authorities" w:locked="1"/>
    <w:lsdException w:uiPriority="0" w:name="macro" w:locked="1"/>
    <w:lsdException w:qFormat="1" w:unhideWhenUsed="0" w:uiPriority="99" w:semiHidden="0" w:name="toa heading" w:locked="1"/>
    <w:lsdException w:qFormat="1" w:unhideWhenUsed="0" w:uiPriority="0" w:semiHidden="0" w:name="List" w:locked="1"/>
    <w:lsdException w:unhideWhenUsed="0" w:uiPriority="0" w:semiHidden="0" w:name="List Bullet" w:locked="1"/>
    <w:lsdException w:qFormat="1" w:unhideWhenUsed="0" w:uiPriority="0" w:semiHidden="0" w:name="List Number" w:locked="1"/>
    <w:lsdException w:qFormat="1" w:unhideWhenUsed="0" w:uiPriority="0" w:semiHidden="0" w:name="List 2" w:locked="1"/>
    <w:lsdException w:uiPriority="0" w:name="List 3" w:locked="1"/>
    <w:lsdException w:uiPriority="0" w:name="List 4" w:locked="1"/>
    <w:lsdException w:uiPriority="0" w:name="List 5" w:locked="1"/>
    <w:lsdException w:qFormat="1" w:unhideWhenUsed="0" w:uiPriority="0" w:semiHidden="0" w:name="List Bullet 2" w:locked="1"/>
    <w:lsdException w:uiPriority="0" w:name="List Bullet 3" w:locked="1"/>
    <w:lsdException w:uiPriority="0" w:name="List Bullet 4" w:locked="1"/>
    <w:lsdException w:qFormat="1" w:unhideWhenUsed="0" w:uiPriority="0" w:semiHidden="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iPriority="0" w:name="Message Header" w:locked="1"/>
    <w:lsdException w:qFormat="1" w:unhideWhenUsed="0" w:uiPriority="0" w:semiHidden="0" w:name="Subtitle" w:locked="1"/>
    <w:lsdException w:uiPriority="0" w:name="Salutation" w:locked="1"/>
    <w:lsdException w:qFormat="1" w:unhideWhenUsed="0" w:uiPriority="99" w:semiHidden="0" w:name="Date"/>
    <w:lsdException w:qFormat="1" w:unhideWhenUsed="0" w:uiPriority="99" w:semiHidden="0" w:name="Body Text First Indent" w:locked="1"/>
    <w:lsdException w:qFormat="1" w:uiPriority="0" w:semiHidden="0" w:name="Body Text First Indent 2" w:locked="1"/>
    <w:lsdException w:qFormat="1" w:unhideWhenUsed="0" w:uiPriority="0" w:semiHidden="0" w:name="Note Heading" w:locked="1"/>
    <w:lsdException w:qFormat="1" w:unhideWhenUsed="0" w:uiPriority="99" w:semiHidden="0" w:name="Body Text 2" w:locked="1"/>
    <w:lsdException w:qFormat="1" w:unhideWhenUsed="0" w:uiPriority="99"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qFormat="1" w:unhideWhenUsed="0"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99" w:semiHidden="0" w:name="Document Map" w:locked="1"/>
    <w:lsdException w:qFormat="1" w:unhideWhenUsed="0" w:uiPriority="0" w:semiHidden="0" w:name="Plain Text" w:locked="1"/>
    <w:lsdException w:uiPriority="0" w:name="E-mail Signature" w:locked="1"/>
    <w:lsdException w:qFormat="1" w:unhideWhenUsed="0" w:uiPriority="0"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qFormat="1" w:unhideWhenUsed="0" w:uiPriority="99" w:semiHidden="0" w:name="HTML Preformatted" w:locked="1"/>
    <w:lsdException w:uiPriority="0" w:name="HTML Sample" w:locked="1"/>
    <w:lsdException w:qFormat="1" w:unhideWhenUsed="0" w:uiPriority="0" w:semiHidden="0" w:name="HTML Typewriter" w:locked="1"/>
    <w:lsdException w:uiPriority="0" w:name="HTML Variable" w:locked="1"/>
    <w:lsdException w:qFormat="1" w:uiPriority="99" w:name="Normal Table"/>
    <w:lsdException w:qFormat="1" w:unhideWhenUsed="0" w:uiPriority="99"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qFormat="1" w:unhideWhenUsed="0" w:uiPriority="0" w:semiHidden="0" w:name="Table Grid 1" w:locked="1"/>
    <w:lsdException w:uiPriority="0" w:name="Table Grid 2" w:locked="1"/>
    <w:lsdException w:uiPriority="0" w:name="Table Grid 3" w:locked="1"/>
    <w:lsdException w:uiPriority="0" w:name="Table Grid 4" w:locked="1"/>
    <w:lsdException w:qFormat="1" w:unhideWhenUsed="0" w:uiPriority="0" w:semiHidden="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qFormat="1" w:unhideWhenUsed="0" w:uiPriority="0" w:semiHidden="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99" w:semiHidden="0" w:name="Balloon Text"/>
    <w:lsdException w:qFormat="1" w:unhideWhenUsed="0" w:uiPriority="0" w:semiHidden="0" w:name="Table Grid"/>
    <w:lsdException w:qFormat="1" w:unhideWhenUsed="0" w:uiPriority="0" w:semiHidden="0" w:name="Table Theme" w:locked="1"/>
    <w:lsdException w:qFormat="1"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38"/>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5">
    <w:name w:val="heading 2"/>
    <w:basedOn w:val="1"/>
    <w:next w:val="1"/>
    <w:link w:val="92"/>
    <w:qFormat/>
    <w:locked/>
    <w:uiPriority w:val="0"/>
    <w:pPr>
      <w:keepNext/>
      <w:keepLines/>
      <w:tabs>
        <w:tab w:val="left" w:pos="425"/>
      </w:tabs>
      <w:spacing w:before="120" w:after="120" w:line="480" w:lineRule="exact"/>
      <w:ind w:left="425" w:hanging="425"/>
      <w:outlineLvl w:val="1"/>
    </w:pPr>
    <w:rPr>
      <w:rFonts w:ascii="Arial" w:hAnsi="Arial" w:eastAsia="黑体"/>
      <w:b/>
      <w:sz w:val="36"/>
      <w:szCs w:val="20"/>
    </w:rPr>
  </w:style>
  <w:style w:type="paragraph" w:styleId="6">
    <w:name w:val="heading 3"/>
    <w:basedOn w:val="1"/>
    <w:next w:val="7"/>
    <w:link w:val="93"/>
    <w:qFormat/>
    <w:locked/>
    <w:uiPriority w:val="0"/>
    <w:pPr>
      <w:keepNext/>
      <w:keepLines/>
      <w:tabs>
        <w:tab w:val="left" w:pos="567"/>
      </w:tabs>
      <w:spacing w:before="120" w:after="120" w:line="480" w:lineRule="exact"/>
      <w:ind w:left="567" w:hanging="567"/>
      <w:outlineLvl w:val="2"/>
    </w:pPr>
    <w:rPr>
      <w:rFonts w:ascii="Arial" w:hAnsi="Arial" w:eastAsia="黑体"/>
      <w:b/>
      <w:sz w:val="30"/>
      <w:szCs w:val="20"/>
    </w:rPr>
  </w:style>
  <w:style w:type="paragraph" w:styleId="8">
    <w:name w:val="heading 4"/>
    <w:basedOn w:val="1"/>
    <w:next w:val="7"/>
    <w:link w:val="94"/>
    <w:qFormat/>
    <w:locked/>
    <w:uiPriority w:val="0"/>
    <w:pPr>
      <w:keepNext/>
      <w:keepLines/>
      <w:tabs>
        <w:tab w:val="left" w:pos="1080"/>
      </w:tabs>
      <w:spacing w:before="120" w:after="120" w:line="320" w:lineRule="exact"/>
      <w:ind w:left="567" w:hanging="567"/>
      <w:outlineLvl w:val="3"/>
    </w:pPr>
    <w:rPr>
      <w:rFonts w:ascii="Arial" w:hAnsi="Arial" w:eastAsia="黑体"/>
      <w:b/>
      <w:sz w:val="28"/>
      <w:szCs w:val="20"/>
    </w:rPr>
  </w:style>
  <w:style w:type="paragraph" w:styleId="9">
    <w:name w:val="heading 5"/>
    <w:basedOn w:val="1"/>
    <w:next w:val="7"/>
    <w:link w:val="95"/>
    <w:qFormat/>
    <w:locked/>
    <w:uiPriority w:val="0"/>
    <w:pPr>
      <w:keepNext/>
      <w:tabs>
        <w:tab w:val="left" w:pos="1080"/>
      </w:tabs>
      <w:ind w:left="851" w:hanging="851"/>
      <w:outlineLvl w:val="4"/>
    </w:pPr>
    <w:rPr>
      <w:rFonts w:ascii="Arial" w:hAnsi="Arial"/>
      <w:b/>
      <w:sz w:val="28"/>
      <w:szCs w:val="20"/>
    </w:rPr>
  </w:style>
  <w:style w:type="paragraph" w:styleId="10">
    <w:name w:val="heading 6"/>
    <w:basedOn w:val="1"/>
    <w:next w:val="1"/>
    <w:link w:val="96"/>
    <w:qFormat/>
    <w:locked/>
    <w:uiPriority w:val="0"/>
    <w:pPr>
      <w:keepNext/>
      <w:widowControl/>
      <w:tabs>
        <w:tab w:val="left" w:pos="0"/>
      </w:tabs>
      <w:jc w:val="center"/>
      <w:outlineLvl w:val="5"/>
    </w:pPr>
    <w:rPr>
      <w:rFonts w:eastAsia="楷体_GB2312"/>
      <w:b/>
      <w:kern w:val="0"/>
      <w:sz w:val="20"/>
      <w:szCs w:val="20"/>
    </w:rPr>
  </w:style>
  <w:style w:type="paragraph" w:styleId="11">
    <w:name w:val="heading 7"/>
    <w:basedOn w:val="1"/>
    <w:next w:val="1"/>
    <w:link w:val="97"/>
    <w:qFormat/>
    <w:locked/>
    <w:uiPriority w:val="0"/>
    <w:pPr>
      <w:keepNext/>
      <w:keepLines/>
      <w:adjustRightInd w:val="0"/>
      <w:spacing w:before="240" w:after="64" w:line="320" w:lineRule="atLeast"/>
      <w:ind w:firstLine="200" w:firstLineChars="200"/>
      <w:textAlignment w:val="baseline"/>
      <w:outlineLvl w:val="6"/>
    </w:pPr>
    <w:rPr>
      <w:rFonts w:eastAsia="仿宋_GB2312"/>
      <w:b/>
      <w:kern w:val="0"/>
      <w:sz w:val="24"/>
    </w:rPr>
  </w:style>
  <w:style w:type="paragraph" w:styleId="12">
    <w:name w:val="heading 8"/>
    <w:basedOn w:val="1"/>
    <w:next w:val="1"/>
    <w:link w:val="98"/>
    <w:qFormat/>
    <w:locked/>
    <w:uiPriority w:val="0"/>
    <w:pPr>
      <w:keepNext/>
      <w:keepLines/>
      <w:adjustRightInd w:val="0"/>
      <w:spacing w:before="240" w:after="64" w:line="320" w:lineRule="atLeast"/>
      <w:ind w:firstLine="200" w:firstLineChars="200"/>
      <w:textAlignment w:val="baseline"/>
      <w:outlineLvl w:val="7"/>
    </w:pPr>
    <w:rPr>
      <w:rFonts w:ascii="Arial" w:hAnsi="Arial" w:eastAsia="黑体"/>
      <w:bCs/>
      <w:kern w:val="0"/>
      <w:sz w:val="24"/>
    </w:rPr>
  </w:style>
  <w:style w:type="paragraph" w:styleId="13">
    <w:name w:val="heading 9"/>
    <w:basedOn w:val="1"/>
    <w:next w:val="1"/>
    <w:link w:val="99"/>
    <w:qFormat/>
    <w:locked/>
    <w:uiPriority w:val="0"/>
    <w:pPr>
      <w:keepNext/>
      <w:keepLines/>
      <w:adjustRightInd w:val="0"/>
      <w:spacing w:before="240" w:after="64" w:line="320" w:lineRule="atLeast"/>
      <w:ind w:firstLine="200" w:firstLineChars="200"/>
      <w:textAlignment w:val="baseline"/>
      <w:outlineLvl w:val="8"/>
    </w:pPr>
    <w:rPr>
      <w:rFonts w:ascii="Arial" w:hAnsi="Arial" w:eastAsia="黑体"/>
      <w:bCs/>
      <w:kern w:val="0"/>
      <w:sz w:val="24"/>
    </w:rPr>
  </w:style>
  <w:style w:type="character" w:default="1" w:styleId="64">
    <w:name w:val="Default Paragraph Font"/>
    <w:semiHidden/>
    <w:unhideWhenUsed/>
    <w:qFormat/>
    <w:uiPriority w:val="1"/>
  </w:style>
  <w:style w:type="table" w:default="1" w:styleId="5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221"/>
    <w:unhideWhenUsed/>
    <w:qFormat/>
    <w:locked/>
    <w:uiPriority w:val="0"/>
    <w:pPr>
      <w:widowControl/>
      <w:ind w:firstLine="420" w:firstLineChars="200"/>
      <w:jc w:val="left"/>
    </w:pPr>
    <w:rPr>
      <w:sz w:val="20"/>
    </w:rPr>
  </w:style>
  <w:style w:type="paragraph" w:styleId="3">
    <w:name w:val="Body Text Indent"/>
    <w:basedOn w:val="1"/>
    <w:link w:val="79"/>
    <w:qFormat/>
    <w:uiPriority w:val="0"/>
    <w:pPr>
      <w:spacing w:after="120"/>
      <w:ind w:left="420" w:leftChars="200"/>
    </w:pPr>
    <w:rPr>
      <w:kern w:val="0"/>
      <w:sz w:val="24"/>
      <w:szCs w:val="20"/>
    </w:rPr>
  </w:style>
  <w:style w:type="paragraph" w:styleId="7">
    <w:name w:val="Normal Indent"/>
    <w:basedOn w:val="1"/>
    <w:link w:val="140"/>
    <w:qFormat/>
    <w:locked/>
    <w:uiPriority w:val="0"/>
    <w:pPr>
      <w:ind w:firstLine="420"/>
    </w:pPr>
    <w:rPr>
      <w:kern w:val="0"/>
      <w:sz w:val="20"/>
      <w:szCs w:val="20"/>
    </w:rPr>
  </w:style>
  <w:style w:type="paragraph" w:styleId="14">
    <w:name w:val="toc 7"/>
    <w:basedOn w:val="1"/>
    <w:next w:val="1"/>
    <w:qFormat/>
    <w:locked/>
    <w:uiPriority w:val="39"/>
    <w:pPr>
      <w:ind w:left="2520" w:leftChars="1200"/>
    </w:pPr>
  </w:style>
  <w:style w:type="paragraph" w:styleId="15">
    <w:name w:val="table of authorities"/>
    <w:basedOn w:val="1"/>
    <w:next w:val="1"/>
    <w:qFormat/>
    <w:locked/>
    <w:uiPriority w:val="0"/>
    <w:rPr>
      <w:rFonts w:ascii="宋体"/>
      <w:sz w:val="28"/>
      <w:szCs w:val="20"/>
    </w:rPr>
  </w:style>
  <w:style w:type="paragraph" w:styleId="16">
    <w:name w:val="Note Heading"/>
    <w:basedOn w:val="1"/>
    <w:next w:val="1"/>
    <w:link w:val="239"/>
    <w:qFormat/>
    <w:locked/>
    <w:uiPriority w:val="0"/>
    <w:pPr>
      <w:jc w:val="center"/>
    </w:pPr>
    <w:rPr>
      <w:rFonts w:ascii="宋体"/>
      <w:szCs w:val="20"/>
    </w:rPr>
  </w:style>
  <w:style w:type="paragraph" w:styleId="17">
    <w:name w:val="index 8"/>
    <w:basedOn w:val="1"/>
    <w:next w:val="1"/>
    <w:qFormat/>
    <w:locked/>
    <w:uiPriority w:val="0"/>
    <w:pPr>
      <w:ind w:left="1400" w:leftChars="1400"/>
    </w:pPr>
  </w:style>
  <w:style w:type="paragraph" w:styleId="18">
    <w:name w:val="List Number"/>
    <w:basedOn w:val="1"/>
    <w:qFormat/>
    <w:locked/>
    <w:uiPriority w:val="0"/>
    <w:pPr>
      <w:tabs>
        <w:tab w:val="left" w:pos="360"/>
        <w:tab w:val="left" w:pos="780"/>
      </w:tabs>
      <w:ind w:left="780" w:hanging="210"/>
    </w:pPr>
  </w:style>
  <w:style w:type="paragraph" w:styleId="19">
    <w:name w:val="caption"/>
    <w:basedOn w:val="1"/>
    <w:next w:val="1"/>
    <w:qFormat/>
    <w:locked/>
    <w:uiPriority w:val="0"/>
    <w:pPr>
      <w:keepNext/>
      <w:snapToGrid w:val="0"/>
      <w:jc w:val="center"/>
    </w:pPr>
    <w:rPr>
      <w:rFonts w:ascii="宋体" w:hAnsi="宋体" w:cs="Arial"/>
      <w:szCs w:val="20"/>
    </w:rPr>
  </w:style>
  <w:style w:type="paragraph" w:styleId="20">
    <w:name w:val="Document Map"/>
    <w:basedOn w:val="1"/>
    <w:link w:val="139"/>
    <w:qFormat/>
    <w:locked/>
    <w:uiPriority w:val="99"/>
    <w:pPr>
      <w:widowControl/>
      <w:jc w:val="left"/>
    </w:pPr>
    <w:rPr>
      <w:rFonts w:ascii="宋体"/>
      <w:kern w:val="0"/>
      <w:sz w:val="18"/>
      <w:szCs w:val="20"/>
    </w:rPr>
  </w:style>
  <w:style w:type="paragraph" w:styleId="21">
    <w:name w:val="toa heading"/>
    <w:basedOn w:val="1"/>
    <w:next w:val="1"/>
    <w:qFormat/>
    <w:locked/>
    <w:uiPriority w:val="99"/>
    <w:pPr>
      <w:adjustRightInd w:val="0"/>
      <w:spacing w:before="120" w:line="360" w:lineRule="auto"/>
      <w:textAlignment w:val="baseline"/>
    </w:pPr>
    <w:rPr>
      <w:rFonts w:ascii="Arial" w:hAnsi="Arial" w:cs="Arial"/>
      <w:kern w:val="0"/>
      <w:sz w:val="24"/>
      <w:szCs w:val="20"/>
    </w:rPr>
  </w:style>
  <w:style w:type="paragraph" w:styleId="22">
    <w:name w:val="annotation text"/>
    <w:basedOn w:val="1"/>
    <w:link w:val="84"/>
    <w:qFormat/>
    <w:uiPriority w:val="0"/>
    <w:pPr>
      <w:jc w:val="left"/>
    </w:pPr>
    <w:rPr>
      <w:kern w:val="0"/>
      <w:sz w:val="24"/>
      <w:szCs w:val="20"/>
    </w:rPr>
  </w:style>
  <w:style w:type="paragraph" w:styleId="23">
    <w:name w:val="index 6"/>
    <w:basedOn w:val="1"/>
    <w:next w:val="1"/>
    <w:qFormat/>
    <w:locked/>
    <w:uiPriority w:val="99"/>
    <w:pPr>
      <w:widowControl/>
      <w:ind w:left="1000" w:leftChars="1000"/>
      <w:jc w:val="left"/>
    </w:pPr>
    <w:rPr>
      <w:kern w:val="0"/>
      <w:sz w:val="20"/>
      <w:szCs w:val="20"/>
    </w:rPr>
  </w:style>
  <w:style w:type="paragraph" w:styleId="24">
    <w:name w:val="Body Text 3"/>
    <w:basedOn w:val="1"/>
    <w:link w:val="252"/>
    <w:qFormat/>
    <w:locked/>
    <w:uiPriority w:val="99"/>
    <w:pPr>
      <w:spacing w:after="120"/>
    </w:pPr>
    <w:rPr>
      <w:rFonts w:ascii="宋体" w:hAnsi="宋体"/>
      <w:sz w:val="16"/>
      <w:szCs w:val="16"/>
    </w:rPr>
  </w:style>
  <w:style w:type="paragraph" w:styleId="25">
    <w:name w:val="Body Text"/>
    <w:basedOn w:val="1"/>
    <w:link w:val="85"/>
    <w:qFormat/>
    <w:uiPriority w:val="0"/>
    <w:pPr>
      <w:widowControl/>
      <w:snapToGrid w:val="0"/>
      <w:spacing w:before="60" w:after="160" w:line="259" w:lineRule="auto"/>
      <w:ind w:right="113"/>
    </w:pPr>
    <w:rPr>
      <w:kern w:val="0"/>
      <w:sz w:val="18"/>
      <w:szCs w:val="20"/>
    </w:rPr>
  </w:style>
  <w:style w:type="paragraph" w:styleId="26">
    <w:name w:val="List 2"/>
    <w:basedOn w:val="1"/>
    <w:qFormat/>
    <w:locked/>
    <w:uiPriority w:val="0"/>
    <w:pPr>
      <w:spacing w:line="360" w:lineRule="exact"/>
      <w:jc w:val="center"/>
    </w:pPr>
    <w:rPr>
      <w:rFonts w:ascii="仿宋_GB2312" w:eastAsia="仿宋_GB2312"/>
      <w:szCs w:val="20"/>
    </w:rPr>
  </w:style>
  <w:style w:type="paragraph" w:styleId="27">
    <w:name w:val="Block Text"/>
    <w:basedOn w:val="1"/>
    <w:qFormat/>
    <w:locked/>
    <w:uiPriority w:val="0"/>
    <w:pPr>
      <w:widowControl/>
      <w:spacing w:after="120"/>
      <w:ind w:left="1440" w:leftChars="700" w:right="1440" w:rightChars="700"/>
      <w:jc w:val="left"/>
    </w:pPr>
    <w:rPr>
      <w:kern w:val="0"/>
      <w:sz w:val="20"/>
      <w:szCs w:val="20"/>
    </w:rPr>
  </w:style>
  <w:style w:type="paragraph" w:styleId="28">
    <w:name w:val="List Bullet 2"/>
    <w:basedOn w:val="1"/>
    <w:qFormat/>
    <w:locked/>
    <w:uiPriority w:val="0"/>
    <w:pPr>
      <w:tabs>
        <w:tab w:val="left" w:pos="1215"/>
      </w:tabs>
      <w:adjustRightInd w:val="0"/>
      <w:spacing w:line="240" w:lineRule="atLeast"/>
      <w:ind w:left="1215" w:hanging="1215"/>
      <w:jc w:val="left"/>
      <w:textAlignment w:val="baseline"/>
    </w:pPr>
    <w:rPr>
      <w:rFonts w:ascii="宋体"/>
      <w:kern w:val="0"/>
      <w:sz w:val="34"/>
      <w:szCs w:val="34"/>
    </w:rPr>
  </w:style>
  <w:style w:type="paragraph" w:styleId="29">
    <w:name w:val="index 4"/>
    <w:basedOn w:val="1"/>
    <w:next w:val="1"/>
    <w:qFormat/>
    <w:locked/>
    <w:uiPriority w:val="0"/>
    <w:pPr>
      <w:suppressAutoHyphens/>
      <w:adjustRightInd w:val="0"/>
      <w:spacing w:line="300" w:lineRule="auto"/>
      <w:ind w:left="1260"/>
    </w:pPr>
    <w:rPr>
      <w:kern w:val="28"/>
      <w:sz w:val="24"/>
      <w:szCs w:val="20"/>
    </w:rPr>
  </w:style>
  <w:style w:type="paragraph" w:styleId="30">
    <w:name w:val="toc 5"/>
    <w:basedOn w:val="1"/>
    <w:next w:val="1"/>
    <w:qFormat/>
    <w:locked/>
    <w:uiPriority w:val="39"/>
    <w:pPr>
      <w:adjustRightInd w:val="0"/>
      <w:snapToGrid w:val="0"/>
      <w:spacing w:line="360" w:lineRule="auto"/>
      <w:ind w:left="840" w:firstLine="112"/>
      <w:jc w:val="center"/>
    </w:pPr>
    <w:rPr>
      <w:sz w:val="20"/>
      <w:szCs w:val="20"/>
    </w:rPr>
  </w:style>
  <w:style w:type="paragraph" w:styleId="31">
    <w:name w:val="toc 3"/>
    <w:basedOn w:val="1"/>
    <w:next w:val="1"/>
    <w:qFormat/>
    <w:locked/>
    <w:uiPriority w:val="39"/>
    <w:pPr>
      <w:ind w:left="240"/>
      <w:jc w:val="left"/>
    </w:pPr>
    <w:rPr>
      <w:sz w:val="20"/>
      <w:szCs w:val="20"/>
    </w:rPr>
  </w:style>
  <w:style w:type="paragraph" w:styleId="32">
    <w:name w:val="Plain Text"/>
    <w:basedOn w:val="1"/>
    <w:link w:val="100"/>
    <w:qFormat/>
    <w:locked/>
    <w:uiPriority w:val="0"/>
    <w:rPr>
      <w:rFonts w:ascii="宋体" w:hAnsi="Courier New"/>
      <w:kern w:val="0"/>
      <w:szCs w:val="20"/>
    </w:rPr>
  </w:style>
  <w:style w:type="paragraph" w:styleId="33">
    <w:name w:val="List Bullet 5"/>
    <w:basedOn w:val="1"/>
    <w:qFormat/>
    <w:locked/>
    <w:uiPriority w:val="0"/>
    <w:pPr>
      <w:widowControl/>
      <w:spacing w:line="360" w:lineRule="auto"/>
      <w:ind w:firstLine="480"/>
      <w:jc w:val="left"/>
    </w:pPr>
    <w:rPr>
      <w:kern w:val="0"/>
      <w:sz w:val="24"/>
    </w:rPr>
  </w:style>
  <w:style w:type="paragraph" w:styleId="34">
    <w:name w:val="toc 8"/>
    <w:basedOn w:val="1"/>
    <w:next w:val="1"/>
    <w:qFormat/>
    <w:locked/>
    <w:uiPriority w:val="39"/>
    <w:pPr>
      <w:ind w:left="1440"/>
      <w:jc w:val="left"/>
    </w:pPr>
    <w:rPr>
      <w:sz w:val="20"/>
      <w:szCs w:val="20"/>
    </w:rPr>
  </w:style>
  <w:style w:type="paragraph" w:styleId="35">
    <w:name w:val="Date"/>
    <w:basedOn w:val="1"/>
    <w:next w:val="1"/>
    <w:link w:val="82"/>
    <w:qFormat/>
    <w:uiPriority w:val="99"/>
    <w:pPr>
      <w:ind w:left="100" w:leftChars="2500"/>
    </w:pPr>
    <w:rPr>
      <w:kern w:val="0"/>
      <w:sz w:val="24"/>
      <w:szCs w:val="20"/>
    </w:rPr>
  </w:style>
  <w:style w:type="paragraph" w:styleId="36">
    <w:name w:val="Body Text Indent 2"/>
    <w:basedOn w:val="1"/>
    <w:link w:val="104"/>
    <w:qFormat/>
    <w:locked/>
    <w:uiPriority w:val="0"/>
    <w:pPr>
      <w:widowControl/>
      <w:ind w:firstLine="600"/>
    </w:pPr>
    <w:rPr>
      <w:rFonts w:eastAsia="仿宋_GB2312"/>
      <w:b/>
      <w:kern w:val="0"/>
      <w:sz w:val="20"/>
      <w:szCs w:val="20"/>
    </w:rPr>
  </w:style>
  <w:style w:type="paragraph" w:styleId="37">
    <w:name w:val="endnote text"/>
    <w:basedOn w:val="1"/>
    <w:link w:val="540"/>
    <w:unhideWhenUsed/>
    <w:qFormat/>
    <w:locked/>
    <w:uiPriority w:val="99"/>
    <w:pPr>
      <w:adjustRightInd w:val="0"/>
      <w:snapToGrid w:val="0"/>
      <w:spacing w:line="312" w:lineRule="atLeast"/>
      <w:jc w:val="left"/>
      <w:textAlignment w:val="baseline"/>
    </w:pPr>
    <w:rPr>
      <w:kern w:val="0"/>
      <w:szCs w:val="20"/>
    </w:rPr>
  </w:style>
  <w:style w:type="paragraph" w:styleId="38">
    <w:name w:val="Balloon Text"/>
    <w:basedOn w:val="1"/>
    <w:link w:val="86"/>
    <w:qFormat/>
    <w:uiPriority w:val="99"/>
    <w:rPr>
      <w:kern w:val="0"/>
      <w:sz w:val="18"/>
      <w:szCs w:val="20"/>
    </w:rPr>
  </w:style>
  <w:style w:type="paragraph" w:styleId="39">
    <w:name w:val="footer"/>
    <w:basedOn w:val="1"/>
    <w:link w:val="80"/>
    <w:qFormat/>
    <w:uiPriority w:val="99"/>
    <w:pPr>
      <w:tabs>
        <w:tab w:val="center" w:pos="4153"/>
        <w:tab w:val="right" w:pos="8306"/>
      </w:tabs>
      <w:snapToGrid w:val="0"/>
      <w:jc w:val="left"/>
    </w:pPr>
    <w:rPr>
      <w:kern w:val="0"/>
      <w:sz w:val="18"/>
      <w:szCs w:val="20"/>
    </w:rPr>
  </w:style>
  <w:style w:type="paragraph" w:styleId="40">
    <w:name w:val="header"/>
    <w:basedOn w:val="1"/>
    <w:link w:val="77"/>
    <w:qFormat/>
    <w:uiPriority w:val="99"/>
    <w:pPr>
      <w:pBdr>
        <w:bottom w:val="single" w:color="auto" w:sz="6" w:space="1"/>
      </w:pBdr>
      <w:tabs>
        <w:tab w:val="center" w:pos="4153"/>
        <w:tab w:val="right" w:pos="8306"/>
      </w:tabs>
      <w:snapToGrid w:val="0"/>
      <w:jc w:val="center"/>
    </w:pPr>
    <w:rPr>
      <w:kern w:val="0"/>
      <w:sz w:val="18"/>
      <w:szCs w:val="20"/>
    </w:rPr>
  </w:style>
  <w:style w:type="paragraph" w:styleId="41">
    <w:name w:val="toc 1"/>
    <w:basedOn w:val="1"/>
    <w:next w:val="1"/>
    <w:qFormat/>
    <w:locked/>
    <w:uiPriority w:val="39"/>
    <w:pPr>
      <w:tabs>
        <w:tab w:val="right" w:leader="dot" w:pos="8296"/>
      </w:tabs>
      <w:spacing w:line="360" w:lineRule="auto"/>
      <w:ind w:firstLine="480" w:firstLineChars="200"/>
      <w:jc w:val="left"/>
    </w:pPr>
    <w:rPr>
      <w:rFonts w:ascii="宋体" w:hAnsi="宋体"/>
      <w:caps/>
      <w:color w:val="000000"/>
      <w:sz w:val="24"/>
    </w:rPr>
  </w:style>
  <w:style w:type="paragraph" w:styleId="42">
    <w:name w:val="toc 4"/>
    <w:basedOn w:val="1"/>
    <w:next w:val="1"/>
    <w:qFormat/>
    <w:locked/>
    <w:uiPriority w:val="39"/>
    <w:pPr>
      <w:ind w:left="480"/>
      <w:jc w:val="left"/>
    </w:pPr>
    <w:rPr>
      <w:sz w:val="20"/>
      <w:szCs w:val="20"/>
    </w:rPr>
  </w:style>
  <w:style w:type="paragraph" w:styleId="43">
    <w:name w:val="index heading"/>
    <w:basedOn w:val="1"/>
    <w:next w:val="44"/>
    <w:qFormat/>
    <w:locked/>
    <w:uiPriority w:val="0"/>
    <w:pPr>
      <w:spacing w:line="500" w:lineRule="exact"/>
    </w:pPr>
    <w:rPr>
      <w:rFonts w:ascii="仿宋_GB2312" w:eastAsia="仿宋_GB2312"/>
      <w:sz w:val="28"/>
      <w:szCs w:val="20"/>
    </w:rPr>
  </w:style>
  <w:style w:type="paragraph" w:styleId="44">
    <w:name w:val="index 1"/>
    <w:basedOn w:val="1"/>
    <w:next w:val="1"/>
    <w:qFormat/>
    <w:locked/>
    <w:uiPriority w:val="0"/>
  </w:style>
  <w:style w:type="paragraph" w:styleId="45">
    <w:name w:val="Subtitle"/>
    <w:basedOn w:val="1"/>
    <w:next w:val="1"/>
    <w:link w:val="103"/>
    <w:qFormat/>
    <w:locked/>
    <w:uiPriority w:val="0"/>
    <w:pPr>
      <w:spacing w:line="480" w:lineRule="exact"/>
      <w:jc w:val="center"/>
      <w:outlineLvl w:val="4"/>
    </w:pPr>
    <w:rPr>
      <w:rFonts w:ascii="Cambria" w:hAnsi="Cambria"/>
      <w:kern w:val="0"/>
      <w:sz w:val="24"/>
      <w:szCs w:val="20"/>
      <w:lang w:eastAsia="en-US"/>
    </w:rPr>
  </w:style>
  <w:style w:type="paragraph" w:styleId="46">
    <w:name w:val="List"/>
    <w:basedOn w:val="1"/>
    <w:qFormat/>
    <w:locked/>
    <w:uiPriority w:val="0"/>
    <w:pPr>
      <w:spacing w:line="360" w:lineRule="exact"/>
      <w:jc w:val="center"/>
    </w:pPr>
    <w:rPr>
      <w:rFonts w:ascii="仿宋_GB2312" w:eastAsia="仿宋_GB2312"/>
      <w:sz w:val="24"/>
      <w:szCs w:val="20"/>
    </w:rPr>
  </w:style>
  <w:style w:type="paragraph" w:styleId="47">
    <w:name w:val="toc 6"/>
    <w:basedOn w:val="1"/>
    <w:next w:val="1"/>
    <w:qFormat/>
    <w:locked/>
    <w:uiPriority w:val="39"/>
    <w:pPr>
      <w:ind w:left="960"/>
      <w:jc w:val="left"/>
    </w:pPr>
    <w:rPr>
      <w:sz w:val="20"/>
      <w:szCs w:val="20"/>
    </w:rPr>
  </w:style>
  <w:style w:type="paragraph" w:styleId="48">
    <w:name w:val="Body Text Indent 3"/>
    <w:basedOn w:val="1"/>
    <w:link w:val="111"/>
    <w:qFormat/>
    <w:locked/>
    <w:uiPriority w:val="0"/>
    <w:pPr>
      <w:widowControl/>
      <w:spacing w:line="440" w:lineRule="exact"/>
      <w:ind w:firstLine="561" w:firstLineChars="200"/>
    </w:pPr>
    <w:rPr>
      <w:rFonts w:eastAsia="楷体_GB2312"/>
      <w:b/>
      <w:kern w:val="0"/>
      <w:sz w:val="20"/>
      <w:szCs w:val="20"/>
    </w:rPr>
  </w:style>
  <w:style w:type="paragraph" w:styleId="49">
    <w:name w:val="table of figures"/>
    <w:basedOn w:val="1"/>
    <w:next w:val="1"/>
    <w:qFormat/>
    <w:locked/>
    <w:uiPriority w:val="0"/>
    <w:pPr>
      <w:ind w:left="200" w:leftChars="200" w:hanging="200" w:hangingChars="200"/>
    </w:pPr>
  </w:style>
  <w:style w:type="paragraph" w:styleId="50">
    <w:name w:val="toc 2"/>
    <w:basedOn w:val="1"/>
    <w:next w:val="1"/>
    <w:qFormat/>
    <w:locked/>
    <w:uiPriority w:val="39"/>
    <w:pPr>
      <w:tabs>
        <w:tab w:val="right" w:leader="dot" w:pos="9061"/>
      </w:tabs>
      <w:spacing w:line="360" w:lineRule="auto"/>
      <w:ind w:firstLine="480" w:firstLineChars="200"/>
    </w:pPr>
    <w:rPr>
      <w:sz w:val="24"/>
    </w:rPr>
  </w:style>
  <w:style w:type="paragraph" w:styleId="51">
    <w:name w:val="toc 9"/>
    <w:basedOn w:val="1"/>
    <w:next w:val="1"/>
    <w:qFormat/>
    <w:locked/>
    <w:uiPriority w:val="39"/>
    <w:pPr>
      <w:ind w:left="1680"/>
      <w:jc w:val="left"/>
    </w:pPr>
    <w:rPr>
      <w:sz w:val="20"/>
      <w:szCs w:val="20"/>
    </w:rPr>
  </w:style>
  <w:style w:type="paragraph" w:styleId="52">
    <w:name w:val="Body Text 2"/>
    <w:basedOn w:val="1"/>
    <w:link w:val="156"/>
    <w:qFormat/>
    <w:locked/>
    <w:uiPriority w:val="99"/>
    <w:pPr>
      <w:spacing w:after="120" w:line="480" w:lineRule="auto"/>
    </w:pPr>
    <w:rPr>
      <w:kern w:val="0"/>
      <w:sz w:val="20"/>
      <w:szCs w:val="20"/>
    </w:rPr>
  </w:style>
  <w:style w:type="paragraph" w:styleId="53">
    <w:name w:val="HTML Preformatted"/>
    <w:basedOn w:val="1"/>
    <w:link w:val="271"/>
    <w:qFormat/>
    <w:lock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rPr>
  </w:style>
  <w:style w:type="paragraph" w:styleId="54">
    <w:name w:val="Normal (Web)"/>
    <w:basedOn w:val="1"/>
    <w:link w:val="78"/>
    <w:qFormat/>
    <w:uiPriority w:val="0"/>
    <w:pPr>
      <w:widowControl/>
      <w:spacing w:before="100" w:beforeAutospacing="1" w:after="100" w:afterAutospacing="1"/>
      <w:jc w:val="left"/>
    </w:pPr>
    <w:rPr>
      <w:rFonts w:ascii="宋体" w:hAnsi="宋体"/>
      <w:kern w:val="0"/>
      <w:sz w:val="24"/>
      <w:szCs w:val="20"/>
    </w:rPr>
  </w:style>
  <w:style w:type="paragraph" w:styleId="55">
    <w:name w:val="Title"/>
    <w:basedOn w:val="1"/>
    <w:link w:val="112"/>
    <w:qFormat/>
    <w:locked/>
    <w:uiPriority w:val="0"/>
    <w:pPr>
      <w:widowControl/>
      <w:spacing w:before="100" w:beforeAutospacing="1" w:after="100" w:afterAutospacing="1"/>
      <w:jc w:val="left"/>
    </w:pPr>
    <w:rPr>
      <w:rFonts w:ascii="宋体"/>
      <w:kern w:val="0"/>
      <w:sz w:val="24"/>
      <w:szCs w:val="20"/>
    </w:rPr>
  </w:style>
  <w:style w:type="paragraph" w:styleId="56">
    <w:name w:val="annotation subject"/>
    <w:basedOn w:val="22"/>
    <w:next w:val="22"/>
    <w:link w:val="81"/>
    <w:qFormat/>
    <w:uiPriority w:val="99"/>
    <w:rPr>
      <w:b/>
    </w:rPr>
  </w:style>
  <w:style w:type="paragraph" w:styleId="57">
    <w:name w:val="Body Text First Indent"/>
    <w:basedOn w:val="25"/>
    <w:link w:val="133"/>
    <w:qFormat/>
    <w:locked/>
    <w:uiPriority w:val="99"/>
    <w:pPr>
      <w:widowControl w:val="0"/>
      <w:snapToGrid/>
      <w:spacing w:before="0" w:after="120" w:line="240" w:lineRule="auto"/>
      <w:ind w:right="0" w:firstLine="420" w:firstLineChars="100"/>
    </w:pPr>
    <w:rPr>
      <w:sz w:val="20"/>
    </w:rPr>
  </w:style>
  <w:style w:type="table" w:styleId="59">
    <w:name w:val="Table Grid"/>
    <w:basedOn w:val="5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0">
    <w:name w:val="Table Theme"/>
    <w:basedOn w:val="58"/>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1">
    <w:name w:val="Table Elegant"/>
    <w:basedOn w:val="58"/>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2">
    <w:name w:val="Table Grid 1"/>
    <w:basedOn w:val="58"/>
    <w:qFormat/>
    <w:locked/>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63">
    <w:name w:val="Table Grid 5"/>
    <w:basedOn w:val="58"/>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65">
    <w:name w:val="Strong"/>
    <w:qFormat/>
    <w:locked/>
    <w:uiPriority w:val="22"/>
    <w:rPr>
      <w:b/>
      <w:bCs/>
    </w:rPr>
  </w:style>
  <w:style w:type="character" w:styleId="66">
    <w:name w:val="endnote reference"/>
    <w:unhideWhenUsed/>
    <w:qFormat/>
    <w:locked/>
    <w:uiPriority w:val="99"/>
    <w:rPr>
      <w:rFonts w:cs="Times New Roman"/>
      <w:vertAlign w:val="superscript"/>
    </w:rPr>
  </w:style>
  <w:style w:type="character" w:styleId="67">
    <w:name w:val="page number"/>
    <w:basedOn w:val="64"/>
    <w:qFormat/>
    <w:locked/>
    <w:uiPriority w:val="0"/>
  </w:style>
  <w:style w:type="character" w:styleId="68">
    <w:name w:val="FollowedHyperlink"/>
    <w:qFormat/>
    <w:locked/>
    <w:uiPriority w:val="0"/>
    <w:rPr>
      <w:color w:val="800080"/>
      <w:u w:val="single"/>
    </w:rPr>
  </w:style>
  <w:style w:type="character" w:styleId="69">
    <w:name w:val="Emphasis"/>
    <w:qFormat/>
    <w:locked/>
    <w:uiPriority w:val="20"/>
    <w:rPr>
      <w:color w:val="CC0000"/>
    </w:rPr>
  </w:style>
  <w:style w:type="character" w:styleId="70">
    <w:name w:val="HTML Typewriter"/>
    <w:qFormat/>
    <w:locked/>
    <w:uiPriority w:val="0"/>
    <w:rPr>
      <w:rFonts w:ascii="宋体" w:hAnsi="宋体" w:eastAsia="宋体" w:cs="宋体"/>
      <w:sz w:val="24"/>
      <w:szCs w:val="24"/>
    </w:rPr>
  </w:style>
  <w:style w:type="character" w:styleId="71">
    <w:name w:val="Hyperlink"/>
    <w:qFormat/>
    <w:locked/>
    <w:uiPriority w:val="99"/>
    <w:rPr>
      <w:rFonts w:cs="Times New Roman"/>
      <w:color w:val="136EC2"/>
      <w:u w:val="single"/>
    </w:rPr>
  </w:style>
  <w:style w:type="character" w:styleId="72">
    <w:name w:val="annotation reference"/>
    <w:qFormat/>
    <w:uiPriority w:val="99"/>
    <w:rPr>
      <w:sz w:val="21"/>
    </w:rPr>
  </w:style>
  <w:style w:type="paragraph" w:customStyle="1" w:styleId="73">
    <w:name w:val="Default"/>
    <w:next w:val="74"/>
    <w:link w:val="104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4">
    <w:name w:val="样式35"/>
    <w:basedOn w:val="1"/>
    <w:qFormat/>
    <w:uiPriority w:val="0"/>
    <w:pPr>
      <w:adjustRightInd w:val="0"/>
      <w:spacing w:line="312" w:lineRule="auto"/>
      <w:ind w:firstLine="567"/>
    </w:pPr>
    <w:rPr>
      <w:rFonts w:ascii="宋体"/>
      <w:kern w:val="0"/>
      <w:sz w:val="28"/>
    </w:rPr>
  </w:style>
  <w:style w:type="character" w:customStyle="1" w:styleId="75">
    <w:name w:val="批注文字 字符1"/>
    <w:semiHidden/>
    <w:qFormat/>
    <w:uiPriority w:val="0"/>
    <w:rPr>
      <w:rFonts w:ascii="Times New Roman" w:hAnsi="Times New Roman" w:eastAsia="宋体"/>
      <w:sz w:val="24"/>
    </w:rPr>
  </w:style>
  <w:style w:type="character" w:customStyle="1" w:styleId="76">
    <w:name w:val="页脚 字符"/>
    <w:basedOn w:val="64"/>
    <w:qFormat/>
    <w:uiPriority w:val="99"/>
  </w:style>
  <w:style w:type="character" w:customStyle="1" w:styleId="77">
    <w:name w:val="页眉 Char1"/>
    <w:link w:val="40"/>
    <w:qFormat/>
    <w:locked/>
    <w:uiPriority w:val="99"/>
    <w:rPr>
      <w:sz w:val="18"/>
    </w:rPr>
  </w:style>
  <w:style w:type="character" w:customStyle="1" w:styleId="78">
    <w:name w:val="普通(网站) Char1"/>
    <w:link w:val="54"/>
    <w:qFormat/>
    <w:locked/>
    <w:uiPriority w:val="0"/>
    <w:rPr>
      <w:rFonts w:ascii="宋体" w:hAnsi="宋体" w:eastAsia="宋体"/>
      <w:sz w:val="24"/>
    </w:rPr>
  </w:style>
  <w:style w:type="character" w:customStyle="1" w:styleId="79">
    <w:name w:val="正文文本缩进 Char2"/>
    <w:link w:val="3"/>
    <w:qFormat/>
    <w:locked/>
    <w:uiPriority w:val="0"/>
    <w:rPr>
      <w:rFonts w:ascii="Times New Roman" w:hAnsi="Times New Roman" w:eastAsia="宋体"/>
      <w:sz w:val="24"/>
    </w:rPr>
  </w:style>
  <w:style w:type="character" w:customStyle="1" w:styleId="80">
    <w:name w:val="页脚 Char2"/>
    <w:link w:val="39"/>
    <w:qFormat/>
    <w:locked/>
    <w:uiPriority w:val="99"/>
    <w:rPr>
      <w:sz w:val="18"/>
    </w:rPr>
  </w:style>
  <w:style w:type="character" w:customStyle="1" w:styleId="81">
    <w:name w:val="批注主题 Char1"/>
    <w:link w:val="56"/>
    <w:qFormat/>
    <w:locked/>
    <w:uiPriority w:val="99"/>
    <w:rPr>
      <w:rFonts w:ascii="Times New Roman" w:hAnsi="Times New Roman" w:eastAsia="宋体"/>
      <w:b/>
      <w:kern w:val="2"/>
      <w:sz w:val="24"/>
    </w:rPr>
  </w:style>
  <w:style w:type="character" w:customStyle="1" w:styleId="82">
    <w:name w:val="日期 Char1"/>
    <w:link w:val="35"/>
    <w:qFormat/>
    <w:locked/>
    <w:uiPriority w:val="0"/>
    <w:rPr>
      <w:rFonts w:ascii="Times New Roman" w:hAnsi="Times New Roman" w:eastAsia="宋体"/>
      <w:sz w:val="24"/>
    </w:rPr>
  </w:style>
  <w:style w:type="character" w:customStyle="1" w:styleId="83">
    <w:name w:val="正文文本 字符1"/>
    <w:semiHidden/>
    <w:qFormat/>
    <w:uiPriority w:val="0"/>
    <w:rPr>
      <w:rFonts w:ascii="Times New Roman" w:hAnsi="Times New Roman" w:eastAsia="宋体"/>
      <w:sz w:val="24"/>
    </w:rPr>
  </w:style>
  <w:style w:type="character" w:customStyle="1" w:styleId="84">
    <w:name w:val="批注文字 Char2"/>
    <w:link w:val="22"/>
    <w:qFormat/>
    <w:locked/>
    <w:uiPriority w:val="99"/>
    <w:rPr>
      <w:rFonts w:ascii="Times New Roman" w:hAnsi="Times New Roman" w:eastAsia="宋体"/>
      <w:sz w:val="24"/>
    </w:rPr>
  </w:style>
  <w:style w:type="character" w:customStyle="1" w:styleId="85">
    <w:name w:val="正文文本 Char2"/>
    <w:link w:val="25"/>
    <w:qFormat/>
    <w:locked/>
    <w:uiPriority w:val="0"/>
    <w:rPr>
      <w:sz w:val="18"/>
    </w:rPr>
  </w:style>
  <w:style w:type="character" w:customStyle="1" w:styleId="86">
    <w:name w:val="批注框文本 Char2"/>
    <w:link w:val="38"/>
    <w:qFormat/>
    <w:locked/>
    <w:uiPriority w:val="99"/>
    <w:rPr>
      <w:rFonts w:ascii="Times New Roman" w:hAnsi="Times New Roman" w:eastAsia="宋体"/>
      <w:sz w:val="18"/>
    </w:rPr>
  </w:style>
  <w:style w:type="character" w:customStyle="1" w:styleId="87">
    <w:name w:val="表格 Char"/>
    <w:link w:val="88"/>
    <w:qFormat/>
    <w:locked/>
    <w:uiPriority w:val="0"/>
    <w:rPr>
      <w:rFonts w:ascii="宋体"/>
      <w:sz w:val="21"/>
    </w:rPr>
  </w:style>
  <w:style w:type="paragraph" w:customStyle="1" w:styleId="88">
    <w:name w:val="表格"/>
    <w:basedOn w:val="1"/>
    <w:next w:val="1"/>
    <w:link w:val="87"/>
    <w:qFormat/>
    <w:uiPriority w:val="0"/>
    <w:pPr>
      <w:adjustRightInd w:val="0"/>
      <w:snapToGrid w:val="0"/>
      <w:spacing w:beforeLines="10" w:afterLines="10" w:line="259" w:lineRule="auto"/>
      <w:jc w:val="center"/>
    </w:pPr>
    <w:rPr>
      <w:rFonts w:ascii="宋体"/>
      <w:kern w:val="0"/>
      <w:szCs w:val="20"/>
    </w:rPr>
  </w:style>
  <w:style w:type="character" w:customStyle="1" w:styleId="89">
    <w:name w:val="日期 字符"/>
    <w:qFormat/>
    <w:uiPriority w:val="99"/>
    <w:rPr>
      <w:rFonts w:ascii="Times New Roman" w:hAnsi="Times New Roman" w:eastAsia="宋体"/>
      <w:sz w:val="24"/>
    </w:rPr>
  </w:style>
  <w:style w:type="paragraph" w:customStyle="1" w:styleId="90">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1">
    <w:name w:val="普通(网站)2"/>
    <w:basedOn w:val="1"/>
    <w:qFormat/>
    <w:uiPriority w:val="0"/>
    <w:pPr>
      <w:widowControl/>
      <w:spacing w:before="100" w:beforeAutospacing="1" w:after="100" w:afterAutospacing="1"/>
      <w:jc w:val="left"/>
    </w:pPr>
    <w:rPr>
      <w:rFonts w:ascii="宋体" w:hAnsi="宋体"/>
      <w:sz w:val="24"/>
      <w:szCs w:val="20"/>
    </w:rPr>
  </w:style>
  <w:style w:type="character" w:customStyle="1" w:styleId="92">
    <w:name w:val="标题 2 Char"/>
    <w:link w:val="5"/>
    <w:qFormat/>
    <w:uiPriority w:val="99"/>
    <w:rPr>
      <w:rFonts w:ascii="Arial" w:hAnsi="Arial" w:eastAsia="黑体"/>
      <w:b/>
      <w:kern w:val="2"/>
      <w:sz w:val="36"/>
    </w:rPr>
  </w:style>
  <w:style w:type="character" w:customStyle="1" w:styleId="93">
    <w:name w:val="标题 3 Char"/>
    <w:link w:val="6"/>
    <w:qFormat/>
    <w:uiPriority w:val="0"/>
    <w:rPr>
      <w:rFonts w:ascii="Arial" w:hAnsi="Arial" w:eastAsia="黑体"/>
      <w:b/>
      <w:kern w:val="2"/>
      <w:sz w:val="30"/>
    </w:rPr>
  </w:style>
  <w:style w:type="character" w:customStyle="1" w:styleId="94">
    <w:name w:val="标题 4 Char"/>
    <w:link w:val="8"/>
    <w:qFormat/>
    <w:uiPriority w:val="99"/>
    <w:rPr>
      <w:rFonts w:ascii="Arial" w:hAnsi="Arial" w:eastAsia="黑体"/>
      <w:b/>
      <w:kern w:val="2"/>
      <w:sz w:val="28"/>
    </w:rPr>
  </w:style>
  <w:style w:type="character" w:customStyle="1" w:styleId="95">
    <w:name w:val="标题 5 Char"/>
    <w:link w:val="9"/>
    <w:qFormat/>
    <w:uiPriority w:val="0"/>
    <w:rPr>
      <w:rFonts w:ascii="Arial" w:hAnsi="Arial"/>
      <w:b/>
      <w:kern w:val="2"/>
      <w:sz w:val="28"/>
    </w:rPr>
  </w:style>
  <w:style w:type="character" w:customStyle="1" w:styleId="96">
    <w:name w:val="标题 6 Char"/>
    <w:link w:val="10"/>
    <w:qFormat/>
    <w:uiPriority w:val="0"/>
    <w:rPr>
      <w:rFonts w:eastAsia="楷体_GB2312"/>
      <w:b/>
    </w:rPr>
  </w:style>
  <w:style w:type="character" w:customStyle="1" w:styleId="97">
    <w:name w:val="标题 7 Char"/>
    <w:link w:val="11"/>
    <w:qFormat/>
    <w:uiPriority w:val="0"/>
    <w:rPr>
      <w:rFonts w:eastAsia="仿宋_GB2312"/>
      <w:b/>
      <w:sz w:val="24"/>
      <w:szCs w:val="24"/>
    </w:rPr>
  </w:style>
  <w:style w:type="character" w:customStyle="1" w:styleId="98">
    <w:name w:val="标题 8 Char"/>
    <w:link w:val="12"/>
    <w:qFormat/>
    <w:uiPriority w:val="0"/>
    <w:rPr>
      <w:rFonts w:ascii="Arial" w:hAnsi="Arial" w:eastAsia="黑体"/>
      <w:bCs/>
      <w:sz w:val="24"/>
      <w:szCs w:val="24"/>
    </w:rPr>
  </w:style>
  <w:style w:type="character" w:customStyle="1" w:styleId="99">
    <w:name w:val="标题 9 Char"/>
    <w:link w:val="13"/>
    <w:qFormat/>
    <w:uiPriority w:val="0"/>
    <w:rPr>
      <w:rFonts w:ascii="Arial" w:hAnsi="Arial" w:eastAsia="黑体"/>
      <w:bCs/>
      <w:sz w:val="24"/>
      <w:szCs w:val="24"/>
    </w:rPr>
  </w:style>
  <w:style w:type="character" w:customStyle="1" w:styleId="100">
    <w:name w:val="纯文本 Char1"/>
    <w:link w:val="32"/>
    <w:qFormat/>
    <w:locked/>
    <w:uiPriority w:val="0"/>
    <w:rPr>
      <w:rFonts w:ascii="宋体" w:hAnsi="Courier New"/>
      <w:sz w:val="21"/>
    </w:rPr>
  </w:style>
  <w:style w:type="character" w:customStyle="1" w:styleId="101">
    <w:name w:val="纯文本 Char"/>
    <w:qFormat/>
    <w:uiPriority w:val="0"/>
    <w:rPr>
      <w:rFonts w:ascii="宋体" w:hAnsi="Courier New" w:eastAsia="宋体"/>
      <w:kern w:val="0"/>
      <w:sz w:val="21"/>
    </w:rPr>
  </w:style>
  <w:style w:type="character" w:customStyle="1" w:styleId="102">
    <w:name w:val="height"/>
    <w:qFormat/>
    <w:uiPriority w:val="99"/>
    <w:rPr>
      <w:rFonts w:cs="Times New Roman"/>
    </w:rPr>
  </w:style>
  <w:style w:type="character" w:customStyle="1" w:styleId="103">
    <w:name w:val="副标题 Char"/>
    <w:link w:val="45"/>
    <w:qFormat/>
    <w:locked/>
    <w:uiPriority w:val="0"/>
    <w:rPr>
      <w:rFonts w:ascii="Cambria" w:hAnsi="Cambria"/>
      <w:sz w:val="24"/>
      <w:lang w:eastAsia="en-US"/>
    </w:rPr>
  </w:style>
  <w:style w:type="character" w:customStyle="1" w:styleId="104">
    <w:name w:val="正文文本缩进 2 Char"/>
    <w:link w:val="36"/>
    <w:qFormat/>
    <w:locked/>
    <w:uiPriority w:val="99"/>
    <w:rPr>
      <w:rFonts w:eastAsia="仿宋_GB2312"/>
      <w:b/>
    </w:rPr>
  </w:style>
  <w:style w:type="character" w:customStyle="1" w:styleId="105">
    <w:name w:val="apple-converted-space"/>
    <w:qFormat/>
    <w:uiPriority w:val="0"/>
  </w:style>
  <w:style w:type="character" w:customStyle="1" w:styleId="106">
    <w:name w:val="表格内文字 Char Char"/>
    <w:qFormat/>
    <w:uiPriority w:val="0"/>
    <w:rPr>
      <w:rFonts w:eastAsia="仿宋_GB2312"/>
      <w:kern w:val="2"/>
      <w:sz w:val="24"/>
    </w:rPr>
  </w:style>
  <w:style w:type="character" w:customStyle="1" w:styleId="107">
    <w:name w:val="表格文字 Char"/>
    <w:link w:val="108"/>
    <w:qFormat/>
    <w:locked/>
    <w:uiPriority w:val="0"/>
    <w:rPr>
      <w:rFonts w:ascii="仿宋_GB2312" w:hAnsi="Arial Black" w:eastAsia="仿宋_GB2312"/>
      <w:kern w:val="44"/>
      <w:sz w:val="24"/>
    </w:rPr>
  </w:style>
  <w:style w:type="paragraph" w:customStyle="1" w:styleId="108">
    <w:name w:val="表格文字"/>
    <w:basedOn w:val="1"/>
    <w:link w:val="107"/>
    <w:qFormat/>
    <w:uiPriority w:val="0"/>
    <w:pPr>
      <w:jc w:val="center"/>
    </w:pPr>
    <w:rPr>
      <w:rFonts w:ascii="仿宋_GB2312" w:hAnsi="Arial Black" w:eastAsia="仿宋_GB2312"/>
      <w:kern w:val="44"/>
      <w:sz w:val="24"/>
      <w:szCs w:val="20"/>
    </w:rPr>
  </w:style>
  <w:style w:type="character" w:customStyle="1" w:styleId="109">
    <w:name w:val="谏壁正文chen Char Char"/>
    <w:link w:val="110"/>
    <w:qFormat/>
    <w:locked/>
    <w:uiPriority w:val="99"/>
    <w:rPr>
      <w:kern w:val="2"/>
      <w:sz w:val="24"/>
    </w:rPr>
  </w:style>
  <w:style w:type="paragraph" w:customStyle="1" w:styleId="110">
    <w:name w:val="谏壁正文chen"/>
    <w:basedOn w:val="1"/>
    <w:link w:val="109"/>
    <w:qFormat/>
    <w:uiPriority w:val="99"/>
    <w:pPr>
      <w:spacing w:line="360" w:lineRule="auto"/>
      <w:ind w:firstLine="200" w:firstLineChars="200"/>
    </w:pPr>
    <w:rPr>
      <w:sz w:val="24"/>
      <w:szCs w:val="20"/>
    </w:rPr>
  </w:style>
  <w:style w:type="character" w:customStyle="1" w:styleId="111">
    <w:name w:val="正文文本缩进 3 Char"/>
    <w:link w:val="48"/>
    <w:qFormat/>
    <w:locked/>
    <w:uiPriority w:val="0"/>
    <w:rPr>
      <w:rFonts w:eastAsia="楷体_GB2312"/>
      <w:b/>
    </w:rPr>
  </w:style>
  <w:style w:type="character" w:customStyle="1" w:styleId="112">
    <w:name w:val="标题 Char"/>
    <w:link w:val="55"/>
    <w:qFormat/>
    <w:locked/>
    <w:uiPriority w:val="0"/>
    <w:rPr>
      <w:rFonts w:ascii="宋体"/>
      <w:sz w:val="24"/>
    </w:rPr>
  </w:style>
  <w:style w:type="character" w:customStyle="1" w:styleId="113">
    <w:name w:val="正文文本 Char"/>
    <w:qFormat/>
    <w:locked/>
    <w:uiPriority w:val="0"/>
    <w:rPr>
      <w:rFonts w:ascii="Times New Roman" w:hAnsi="Times New Roman" w:eastAsia="宋体" w:cs="Times New Roman"/>
      <w:kern w:val="0"/>
      <w:sz w:val="20"/>
    </w:rPr>
  </w:style>
  <w:style w:type="character" w:customStyle="1" w:styleId="114">
    <w:name w:val="批注主题 Char"/>
    <w:qFormat/>
    <w:locked/>
    <w:uiPriority w:val="99"/>
    <w:rPr>
      <w:rFonts w:ascii="Times New Roman" w:hAnsi="Times New Roman" w:cs="Times New Roman"/>
      <w:b/>
    </w:rPr>
  </w:style>
  <w:style w:type="character" w:customStyle="1" w:styleId="115">
    <w:name w:val="price_unline"/>
    <w:qFormat/>
    <w:uiPriority w:val="99"/>
    <w:rPr>
      <w:rFonts w:cs="Times New Roman"/>
    </w:rPr>
  </w:style>
  <w:style w:type="character" w:customStyle="1" w:styleId="116">
    <w:name w:val="表格样式 Char"/>
    <w:link w:val="117"/>
    <w:qFormat/>
    <w:locked/>
    <w:uiPriority w:val="99"/>
    <w:rPr>
      <w:rFonts w:ascii="宋体"/>
      <w:kern w:val="2"/>
      <w:sz w:val="21"/>
    </w:rPr>
  </w:style>
  <w:style w:type="paragraph" w:customStyle="1" w:styleId="117">
    <w:name w:val="表格样式"/>
    <w:basedOn w:val="1"/>
    <w:link w:val="116"/>
    <w:qFormat/>
    <w:uiPriority w:val="99"/>
    <w:pPr>
      <w:jc w:val="center"/>
    </w:pPr>
    <w:rPr>
      <w:rFonts w:ascii="宋体"/>
      <w:szCs w:val="20"/>
    </w:rPr>
  </w:style>
  <w:style w:type="character" w:customStyle="1" w:styleId="118">
    <w:name w:val="表文字 Char1"/>
    <w:link w:val="119"/>
    <w:qFormat/>
    <w:locked/>
    <w:uiPriority w:val="99"/>
  </w:style>
  <w:style w:type="paragraph" w:customStyle="1" w:styleId="119">
    <w:name w:val="表文字"/>
    <w:basedOn w:val="1"/>
    <w:link w:val="118"/>
    <w:qFormat/>
    <w:uiPriority w:val="0"/>
    <w:pPr>
      <w:overflowPunct w:val="0"/>
      <w:autoSpaceDE w:val="0"/>
      <w:autoSpaceDN w:val="0"/>
      <w:adjustRightInd w:val="0"/>
      <w:spacing w:line="240" w:lineRule="atLeast"/>
      <w:jc w:val="center"/>
      <w:textAlignment w:val="baseline"/>
    </w:pPr>
    <w:rPr>
      <w:kern w:val="0"/>
      <w:sz w:val="20"/>
      <w:szCs w:val="20"/>
    </w:rPr>
  </w:style>
  <w:style w:type="character" w:customStyle="1" w:styleId="120">
    <w:name w:val="aspmaker1"/>
    <w:qFormat/>
    <w:uiPriority w:val="0"/>
    <w:rPr>
      <w:sz w:val="20"/>
    </w:rPr>
  </w:style>
  <w:style w:type="character" w:customStyle="1" w:styleId="121">
    <w:name w:val="正文（首行缩进2字） Char1"/>
    <w:link w:val="122"/>
    <w:qFormat/>
    <w:locked/>
    <w:uiPriority w:val="99"/>
    <w:rPr>
      <w:kern w:val="2"/>
      <w:sz w:val="30"/>
    </w:rPr>
  </w:style>
  <w:style w:type="paragraph" w:customStyle="1" w:styleId="122">
    <w:name w:val="正文（首行缩进2字）"/>
    <w:basedOn w:val="1"/>
    <w:link w:val="121"/>
    <w:qFormat/>
    <w:uiPriority w:val="99"/>
    <w:pPr>
      <w:spacing w:line="440" w:lineRule="exact"/>
      <w:ind w:firstLine="480" w:firstLineChars="200"/>
    </w:pPr>
    <w:rPr>
      <w:sz w:val="30"/>
      <w:szCs w:val="20"/>
    </w:rPr>
  </w:style>
  <w:style w:type="character" w:customStyle="1" w:styleId="123">
    <w:name w:val="正文文本 + MingLiU7"/>
    <w:qFormat/>
    <w:uiPriority w:val="99"/>
    <w:rPr>
      <w:rFonts w:ascii="MingLiU" w:hAnsi="宋体" w:eastAsia="MingLiU"/>
      <w:i/>
      <w:sz w:val="19"/>
    </w:rPr>
  </w:style>
  <w:style w:type="character" w:customStyle="1" w:styleId="124">
    <w:name w:val="表格标题博泵 Char"/>
    <w:link w:val="125"/>
    <w:qFormat/>
    <w:locked/>
    <w:uiPriority w:val="99"/>
    <w:rPr>
      <w:b/>
      <w:color w:val="000000"/>
    </w:rPr>
  </w:style>
  <w:style w:type="paragraph" w:customStyle="1" w:styleId="125">
    <w:name w:val="表格标题博泵"/>
    <w:basedOn w:val="1"/>
    <w:link w:val="124"/>
    <w:qFormat/>
    <w:uiPriority w:val="99"/>
    <w:pPr>
      <w:adjustRightInd w:val="0"/>
      <w:snapToGrid w:val="0"/>
      <w:jc w:val="center"/>
      <w:textAlignment w:val="baseline"/>
    </w:pPr>
    <w:rPr>
      <w:b/>
      <w:color w:val="000000"/>
      <w:kern w:val="0"/>
      <w:sz w:val="20"/>
      <w:szCs w:val="20"/>
    </w:rPr>
  </w:style>
  <w:style w:type="character" w:customStyle="1" w:styleId="126">
    <w:name w:val="正文文本 (6)_"/>
    <w:link w:val="127"/>
    <w:qFormat/>
    <w:locked/>
    <w:uiPriority w:val="99"/>
    <w:rPr>
      <w:rFonts w:ascii="宋体"/>
      <w:shd w:val="clear" w:color="auto" w:fill="FFFFFF"/>
    </w:rPr>
  </w:style>
  <w:style w:type="paragraph" w:customStyle="1" w:styleId="127">
    <w:name w:val="正文文本 (6)"/>
    <w:basedOn w:val="1"/>
    <w:link w:val="126"/>
    <w:qFormat/>
    <w:uiPriority w:val="99"/>
    <w:pPr>
      <w:widowControl/>
      <w:shd w:val="clear" w:color="auto" w:fill="FFFFFF"/>
      <w:spacing w:before="120" w:line="307" w:lineRule="exact"/>
      <w:jc w:val="right"/>
    </w:pPr>
    <w:rPr>
      <w:rFonts w:ascii="宋体"/>
      <w:kern w:val="0"/>
      <w:sz w:val="20"/>
      <w:szCs w:val="20"/>
      <w:shd w:val="clear" w:color="auto" w:fill="FFFFFF"/>
    </w:rPr>
  </w:style>
  <w:style w:type="character" w:customStyle="1" w:styleId="128">
    <w:name w:val="日期 Char"/>
    <w:qFormat/>
    <w:locked/>
    <w:uiPriority w:val="99"/>
    <w:rPr>
      <w:rFonts w:ascii="Times New Roman" w:hAnsi="Times New Roman" w:eastAsia="宋体" w:cs="Times New Roman"/>
      <w:sz w:val="20"/>
    </w:rPr>
  </w:style>
  <w:style w:type="character" w:customStyle="1" w:styleId="129">
    <w:name w:val="博泵1 Char"/>
    <w:link w:val="130"/>
    <w:qFormat/>
    <w:locked/>
    <w:uiPriority w:val="0"/>
    <w:rPr>
      <w:rFonts w:hAnsi="宋体"/>
      <w:color w:val="000000"/>
      <w:sz w:val="24"/>
    </w:rPr>
  </w:style>
  <w:style w:type="paragraph" w:customStyle="1" w:styleId="130">
    <w:name w:val="博泵1"/>
    <w:basedOn w:val="1"/>
    <w:link w:val="129"/>
    <w:qFormat/>
    <w:uiPriority w:val="0"/>
    <w:pPr>
      <w:adjustRightInd w:val="0"/>
      <w:spacing w:line="480" w:lineRule="exact"/>
      <w:ind w:firstLine="200" w:firstLineChars="200"/>
      <w:jc w:val="left"/>
      <w:textAlignment w:val="baseline"/>
    </w:pPr>
    <w:rPr>
      <w:rFonts w:hAnsi="宋体"/>
      <w:color w:val="000000"/>
      <w:kern w:val="0"/>
      <w:sz w:val="24"/>
      <w:szCs w:val="20"/>
    </w:rPr>
  </w:style>
  <w:style w:type="character" w:customStyle="1" w:styleId="131">
    <w:name w:val="批注框文本 Char"/>
    <w:qFormat/>
    <w:locked/>
    <w:uiPriority w:val="99"/>
    <w:rPr>
      <w:rFonts w:ascii="Times New Roman" w:hAnsi="Times New Roman" w:eastAsia="宋体" w:cs="Times New Roman"/>
      <w:kern w:val="0"/>
      <w:sz w:val="18"/>
    </w:rPr>
  </w:style>
  <w:style w:type="character" w:customStyle="1" w:styleId="132">
    <w:name w:val="标题 Char1"/>
    <w:qFormat/>
    <w:uiPriority w:val="99"/>
    <w:rPr>
      <w:rFonts w:ascii="Cambria" w:hAnsi="Cambria" w:eastAsia="宋体"/>
      <w:b/>
      <w:kern w:val="0"/>
      <w:sz w:val="32"/>
    </w:rPr>
  </w:style>
  <w:style w:type="character" w:customStyle="1" w:styleId="133">
    <w:name w:val="正文首行缩进 Char"/>
    <w:link w:val="57"/>
    <w:qFormat/>
    <w:locked/>
    <w:uiPriority w:val="99"/>
  </w:style>
  <w:style w:type="character" w:customStyle="1" w:styleId="134">
    <w:name w:val="正文文本缩进 Char"/>
    <w:qFormat/>
    <w:locked/>
    <w:uiPriority w:val="0"/>
    <w:rPr>
      <w:rFonts w:ascii="Times New Roman" w:hAnsi="Times New Roman" w:eastAsia="楷体_GB2312" w:cs="Times New Roman"/>
      <w:b/>
      <w:kern w:val="0"/>
      <w:sz w:val="20"/>
    </w:rPr>
  </w:style>
  <w:style w:type="character" w:customStyle="1" w:styleId="135">
    <w:name w:val="页眉 Char"/>
    <w:qFormat/>
    <w:locked/>
    <w:uiPriority w:val="99"/>
    <w:rPr>
      <w:rFonts w:cs="Times New Roman"/>
      <w:sz w:val="18"/>
    </w:rPr>
  </w:style>
  <w:style w:type="character" w:customStyle="1" w:styleId="136">
    <w:name w:val="表头 Char"/>
    <w:link w:val="137"/>
    <w:qFormat/>
    <w:locked/>
    <w:uiPriority w:val="0"/>
    <w:rPr>
      <w:rFonts w:eastAsia="黑体"/>
    </w:rPr>
  </w:style>
  <w:style w:type="paragraph" w:customStyle="1" w:styleId="137">
    <w:name w:val="表头"/>
    <w:basedOn w:val="57"/>
    <w:link w:val="136"/>
    <w:qFormat/>
    <w:uiPriority w:val="0"/>
    <w:pPr>
      <w:overflowPunct w:val="0"/>
      <w:autoSpaceDE w:val="0"/>
      <w:autoSpaceDN w:val="0"/>
      <w:adjustRightInd w:val="0"/>
      <w:spacing w:before="60" w:after="60" w:line="360" w:lineRule="auto"/>
      <w:ind w:firstLine="539" w:firstLineChars="0"/>
      <w:jc w:val="center"/>
      <w:textAlignment w:val="baseline"/>
    </w:pPr>
    <w:rPr>
      <w:rFonts w:eastAsia="黑体"/>
    </w:rPr>
  </w:style>
  <w:style w:type="character" w:customStyle="1" w:styleId="138">
    <w:name w:val="标题 1 Char"/>
    <w:link w:val="4"/>
    <w:qFormat/>
    <w:locked/>
    <w:uiPriority w:val="0"/>
    <w:rPr>
      <w:rFonts w:eastAsia="黑体"/>
      <w:b/>
      <w:bCs/>
      <w:color w:val="000000"/>
      <w:kern w:val="44"/>
      <w:sz w:val="30"/>
      <w:szCs w:val="30"/>
    </w:rPr>
  </w:style>
  <w:style w:type="character" w:customStyle="1" w:styleId="139">
    <w:name w:val="文档结构图 Char"/>
    <w:link w:val="20"/>
    <w:qFormat/>
    <w:locked/>
    <w:uiPriority w:val="99"/>
    <w:rPr>
      <w:rFonts w:ascii="宋体"/>
      <w:sz w:val="18"/>
    </w:rPr>
  </w:style>
  <w:style w:type="character" w:customStyle="1" w:styleId="140">
    <w:name w:val="正文缩进 Char"/>
    <w:link w:val="7"/>
    <w:qFormat/>
    <w:locked/>
    <w:uiPriority w:val="0"/>
  </w:style>
  <w:style w:type="character" w:customStyle="1" w:styleId="141">
    <w:name w:val="1正文段落 Char"/>
    <w:link w:val="142"/>
    <w:qFormat/>
    <w:locked/>
    <w:uiPriority w:val="99"/>
    <w:rPr>
      <w:snapToGrid w:val="0"/>
      <w:sz w:val="24"/>
    </w:rPr>
  </w:style>
  <w:style w:type="paragraph" w:customStyle="1" w:styleId="142">
    <w:name w:val="1正文段落"/>
    <w:basedOn w:val="1"/>
    <w:link w:val="141"/>
    <w:qFormat/>
    <w:uiPriority w:val="0"/>
    <w:pPr>
      <w:spacing w:line="360" w:lineRule="auto"/>
      <w:ind w:firstLine="480" w:firstLineChars="200"/>
      <w:jc w:val="left"/>
    </w:pPr>
    <w:rPr>
      <w:snapToGrid w:val="0"/>
      <w:kern w:val="0"/>
      <w:sz w:val="24"/>
      <w:szCs w:val="20"/>
    </w:rPr>
  </w:style>
  <w:style w:type="character" w:customStyle="1" w:styleId="143">
    <w:name w:val="批注文字 Char"/>
    <w:qFormat/>
    <w:locked/>
    <w:uiPriority w:val="0"/>
    <w:rPr>
      <w:rFonts w:ascii="Times New Roman" w:hAnsi="Times New Roman" w:cs="Times New Roman"/>
    </w:rPr>
  </w:style>
  <w:style w:type="character" w:customStyle="1" w:styleId="144">
    <w:name w:val="环评正文 Char1"/>
    <w:link w:val="145"/>
    <w:qFormat/>
    <w:locked/>
    <w:uiPriority w:val="99"/>
    <w:rPr>
      <w:rFonts w:ascii="仿宋_GB2312" w:eastAsia="仿宋_GB2312"/>
      <w:kern w:val="2"/>
      <w:sz w:val="28"/>
      <w:lang w:val="zh-CN"/>
    </w:rPr>
  </w:style>
  <w:style w:type="paragraph" w:customStyle="1" w:styleId="145">
    <w:name w:val="环评正文"/>
    <w:basedOn w:val="35"/>
    <w:link w:val="144"/>
    <w:qFormat/>
    <w:uiPriority w:val="0"/>
    <w:pPr>
      <w:spacing w:line="500" w:lineRule="exact"/>
      <w:ind w:left="0" w:leftChars="0" w:firstLine="560" w:firstLineChars="200"/>
    </w:pPr>
    <w:rPr>
      <w:rFonts w:ascii="仿宋_GB2312" w:eastAsia="仿宋_GB2312"/>
      <w:kern w:val="2"/>
      <w:sz w:val="28"/>
      <w:lang w:val="zh-CN"/>
    </w:rPr>
  </w:style>
  <w:style w:type="character" w:customStyle="1" w:styleId="146">
    <w:name w:val="正文(首行缩进) Char Char"/>
    <w:link w:val="147"/>
    <w:qFormat/>
    <w:locked/>
    <w:uiPriority w:val="99"/>
    <w:rPr>
      <w:snapToGrid w:val="0"/>
      <w:sz w:val="24"/>
    </w:rPr>
  </w:style>
  <w:style w:type="paragraph" w:customStyle="1" w:styleId="147">
    <w:name w:val="正文(首行缩进)"/>
    <w:basedOn w:val="1"/>
    <w:link w:val="146"/>
    <w:qFormat/>
    <w:uiPriority w:val="0"/>
    <w:pPr>
      <w:spacing w:line="360" w:lineRule="auto"/>
      <w:ind w:firstLine="480" w:firstLineChars="200"/>
    </w:pPr>
    <w:rPr>
      <w:snapToGrid w:val="0"/>
      <w:kern w:val="0"/>
      <w:sz w:val="24"/>
      <w:szCs w:val="20"/>
    </w:rPr>
  </w:style>
  <w:style w:type="character" w:customStyle="1" w:styleId="148">
    <w:name w:val="正文01 Char1"/>
    <w:link w:val="149"/>
    <w:qFormat/>
    <w:locked/>
    <w:uiPriority w:val="0"/>
    <w:rPr>
      <w:kern w:val="2"/>
      <w:sz w:val="24"/>
    </w:rPr>
  </w:style>
  <w:style w:type="paragraph" w:customStyle="1" w:styleId="149">
    <w:name w:val="正文01"/>
    <w:basedOn w:val="1"/>
    <w:link w:val="148"/>
    <w:qFormat/>
    <w:uiPriority w:val="0"/>
    <w:pPr>
      <w:adjustRightInd w:val="0"/>
      <w:snapToGrid w:val="0"/>
      <w:spacing w:before="60" w:line="460" w:lineRule="exact"/>
      <w:ind w:firstLine="200" w:firstLineChars="200"/>
    </w:pPr>
    <w:rPr>
      <w:sz w:val="24"/>
      <w:szCs w:val="20"/>
    </w:rPr>
  </w:style>
  <w:style w:type="character" w:customStyle="1" w:styleId="150">
    <w:name w:val="我的样式（正文） Char"/>
    <w:link w:val="151"/>
    <w:qFormat/>
    <w:locked/>
    <w:uiPriority w:val="99"/>
    <w:rPr>
      <w:rFonts w:ascii="宋体"/>
      <w:kern w:val="2"/>
      <w:sz w:val="24"/>
    </w:rPr>
  </w:style>
  <w:style w:type="paragraph" w:customStyle="1" w:styleId="151">
    <w:name w:val="我的样式（正文）"/>
    <w:basedOn w:val="1"/>
    <w:link w:val="150"/>
    <w:qFormat/>
    <w:uiPriority w:val="0"/>
    <w:pPr>
      <w:adjustRightInd w:val="0"/>
      <w:snapToGrid w:val="0"/>
      <w:spacing w:line="360" w:lineRule="auto"/>
      <w:ind w:firstLine="200" w:firstLineChars="200"/>
    </w:pPr>
    <w:rPr>
      <w:rFonts w:ascii="宋体"/>
      <w:sz w:val="24"/>
      <w:szCs w:val="20"/>
    </w:rPr>
  </w:style>
  <w:style w:type="character" w:customStyle="1" w:styleId="152">
    <w:name w:val="页脚 Char"/>
    <w:qFormat/>
    <w:locked/>
    <w:uiPriority w:val="99"/>
    <w:rPr>
      <w:rFonts w:cs="Times New Roman"/>
      <w:sz w:val="18"/>
    </w:rPr>
  </w:style>
  <w:style w:type="character" w:customStyle="1" w:styleId="153">
    <w:name w:val="正文(首行缩进) Char"/>
    <w:qFormat/>
    <w:uiPriority w:val="0"/>
    <w:rPr>
      <w:rFonts w:eastAsia="宋体"/>
      <w:snapToGrid w:val="0"/>
      <w:sz w:val="24"/>
      <w:lang w:val="en-US" w:eastAsia="zh-CN"/>
    </w:rPr>
  </w:style>
  <w:style w:type="character" w:customStyle="1" w:styleId="154">
    <w:name w:val="表格内文字 Char"/>
    <w:link w:val="155"/>
    <w:qFormat/>
    <w:locked/>
    <w:uiPriority w:val="0"/>
    <w:rPr>
      <w:rFonts w:eastAsia="仿宋_GB2312"/>
      <w:sz w:val="24"/>
    </w:rPr>
  </w:style>
  <w:style w:type="paragraph" w:customStyle="1" w:styleId="155">
    <w:name w:val="表格内文字"/>
    <w:basedOn w:val="1"/>
    <w:link w:val="154"/>
    <w:qFormat/>
    <w:uiPriority w:val="0"/>
    <w:pPr>
      <w:tabs>
        <w:tab w:val="left" w:pos="0"/>
      </w:tabs>
      <w:adjustRightInd w:val="0"/>
      <w:snapToGrid w:val="0"/>
      <w:jc w:val="center"/>
    </w:pPr>
    <w:rPr>
      <w:rFonts w:eastAsia="仿宋_GB2312"/>
      <w:kern w:val="0"/>
      <w:sz w:val="24"/>
      <w:szCs w:val="20"/>
    </w:rPr>
  </w:style>
  <w:style w:type="character" w:customStyle="1" w:styleId="156">
    <w:name w:val="正文文本 2 Char"/>
    <w:link w:val="52"/>
    <w:qFormat/>
    <w:locked/>
    <w:uiPriority w:val="99"/>
  </w:style>
  <w:style w:type="character" w:customStyle="1" w:styleId="157">
    <w:name w:val="crumb"/>
    <w:qFormat/>
    <w:uiPriority w:val="99"/>
  </w:style>
  <w:style w:type="character" w:customStyle="1" w:styleId="158">
    <w:name w:val="样式1 Char"/>
    <w:link w:val="159"/>
    <w:qFormat/>
    <w:locked/>
    <w:uiPriority w:val="0"/>
    <w:rPr>
      <w:rFonts w:ascii="Calibri" w:hAnsi="Calibri"/>
      <w:color w:val="000000"/>
      <w:sz w:val="24"/>
    </w:rPr>
  </w:style>
  <w:style w:type="paragraph" w:customStyle="1" w:styleId="159">
    <w:name w:val="样式1"/>
    <w:basedOn w:val="1"/>
    <w:next w:val="27"/>
    <w:link w:val="158"/>
    <w:qFormat/>
    <w:uiPriority w:val="0"/>
    <w:pPr>
      <w:adjustRightInd w:val="0"/>
      <w:snapToGrid w:val="0"/>
      <w:spacing w:line="320" w:lineRule="exact"/>
      <w:jc w:val="center"/>
    </w:pPr>
    <w:rPr>
      <w:rFonts w:ascii="Calibri" w:hAnsi="Calibri"/>
      <w:color w:val="000000"/>
      <w:kern w:val="0"/>
      <w:sz w:val="24"/>
      <w:szCs w:val="20"/>
    </w:rPr>
  </w:style>
  <w:style w:type="character" w:customStyle="1" w:styleId="160">
    <w:name w:val="报告正文-连续目录 Char Char"/>
    <w:link w:val="161"/>
    <w:qFormat/>
    <w:locked/>
    <w:uiPriority w:val="99"/>
    <w:rPr>
      <w:rFonts w:ascii="Arial" w:hAnsi="Arial"/>
      <w:snapToGrid w:val="0"/>
      <w:sz w:val="24"/>
    </w:rPr>
  </w:style>
  <w:style w:type="paragraph" w:customStyle="1" w:styleId="161">
    <w:name w:val="报告正文-连续目录"/>
    <w:basedOn w:val="1"/>
    <w:link w:val="160"/>
    <w:qFormat/>
    <w:uiPriority w:val="99"/>
    <w:pPr>
      <w:spacing w:line="440" w:lineRule="exact"/>
      <w:ind w:firstLine="200" w:firstLineChars="200"/>
    </w:pPr>
    <w:rPr>
      <w:rFonts w:ascii="Arial" w:hAnsi="Arial"/>
      <w:snapToGrid w:val="0"/>
      <w:kern w:val="0"/>
      <w:sz w:val="24"/>
      <w:szCs w:val="20"/>
    </w:rPr>
  </w:style>
  <w:style w:type="character" w:customStyle="1" w:styleId="162">
    <w:name w:val="表格 普通文字 Char"/>
    <w:link w:val="163"/>
    <w:qFormat/>
    <w:uiPriority w:val="0"/>
    <w:rPr>
      <w:rFonts w:eastAsia="仿宋_GB2312"/>
      <w:kern w:val="2"/>
      <w:sz w:val="21"/>
      <w:szCs w:val="21"/>
    </w:rPr>
  </w:style>
  <w:style w:type="paragraph" w:customStyle="1" w:styleId="163">
    <w:name w:val="表格 普通文字"/>
    <w:link w:val="162"/>
    <w:qFormat/>
    <w:uiPriority w:val="0"/>
    <w:pPr>
      <w:jc w:val="center"/>
    </w:pPr>
    <w:rPr>
      <w:rFonts w:ascii="Times New Roman" w:hAnsi="Times New Roman" w:eastAsia="仿宋_GB2312" w:cs="Times New Roman"/>
      <w:kern w:val="2"/>
      <w:sz w:val="21"/>
      <w:szCs w:val="21"/>
      <w:lang w:val="en-US" w:eastAsia="zh-CN" w:bidi="ar-SA"/>
    </w:rPr>
  </w:style>
  <w:style w:type="character" w:customStyle="1" w:styleId="164">
    <w:name w:val="文档结构图 Char1"/>
    <w:qFormat/>
    <w:uiPriority w:val="99"/>
    <w:rPr>
      <w:rFonts w:ascii="宋体"/>
      <w:kern w:val="2"/>
      <w:sz w:val="18"/>
      <w:szCs w:val="18"/>
    </w:rPr>
  </w:style>
  <w:style w:type="paragraph" w:customStyle="1" w:styleId="165">
    <w:name w:val="海尔正文"/>
    <w:basedOn w:val="1"/>
    <w:qFormat/>
    <w:uiPriority w:val="0"/>
    <w:pPr>
      <w:spacing w:line="360" w:lineRule="auto"/>
      <w:ind w:firstLine="200" w:firstLineChars="200"/>
    </w:pPr>
    <w:rPr>
      <w:rFonts w:ascii="宋体" w:cs="宋体"/>
      <w:sz w:val="28"/>
    </w:rPr>
  </w:style>
  <w:style w:type="paragraph" w:customStyle="1" w:styleId="166">
    <w:name w:val="表标题"/>
    <w:basedOn w:val="1"/>
    <w:qFormat/>
    <w:uiPriority w:val="0"/>
    <w:pPr>
      <w:spacing w:line="360" w:lineRule="auto"/>
      <w:ind w:left="3420"/>
    </w:pPr>
    <w:rPr>
      <w:rFonts w:ascii="宋体" w:hAnsi="宋体"/>
      <w:sz w:val="24"/>
    </w:rPr>
  </w:style>
  <w:style w:type="character" w:customStyle="1" w:styleId="167">
    <w:name w:val="正文文本缩进 3 Char1"/>
    <w:qFormat/>
    <w:uiPriority w:val="0"/>
    <w:rPr>
      <w:kern w:val="2"/>
      <w:sz w:val="16"/>
      <w:szCs w:val="16"/>
    </w:rPr>
  </w:style>
  <w:style w:type="paragraph" w:customStyle="1" w:styleId="168">
    <w:name w:val="样式 (中文) 仿宋_GB2312 四号 首行缩进:  0.98 厘米 行距: 固定值 25 磅"/>
    <w:basedOn w:val="1"/>
    <w:qFormat/>
    <w:uiPriority w:val="99"/>
    <w:pPr>
      <w:spacing w:line="360" w:lineRule="auto"/>
      <w:ind w:firstLine="556"/>
    </w:pPr>
    <w:rPr>
      <w:rFonts w:cs="宋体"/>
      <w:sz w:val="24"/>
      <w:szCs w:val="20"/>
    </w:rPr>
  </w:style>
  <w:style w:type="paragraph" w:customStyle="1" w:styleId="169">
    <w:name w:val="正文文本 (8)1"/>
    <w:basedOn w:val="1"/>
    <w:qFormat/>
    <w:uiPriority w:val="99"/>
    <w:pPr>
      <w:widowControl/>
      <w:shd w:val="clear" w:color="auto" w:fill="FFFFFF"/>
      <w:spacing w:before="120" w:line="307" w:lineRule="exact"/>
      <w:jc w:val="right"/>
    </w:pPr>
    <w:rPr>
      <w:rFonts w:ascii="MingLiU" w:eastAsia="MingLiU"/>
      <w:kern w:val="0"/>
      <w:sz w:val="19"/>
      <w:szCs w:val="19"/>
    </w:rPr>
  </w:style>
  <w:style w:type="paragraph" w:customStyle="1" w:styleId="170">
    <w:name w:val="列出段落1"/>
    <w:basedOn w:val="1"/>
    <w:link w:val="543"/>
    <w:qFormat/>
    <w:uiPriority w:val="0"/>
    <w:pPr>
      <w:widowControl/>
      <w:ind w:firstLine="420" w:firstLineChars="200"/>
      <w:jc w:val="left"/>
    </w:pPr>
    <w:rPr>
      <w:kern w:val="0"/>
      <w:sz w:val="20"/>
      <w:szCs w:val="20"/>
    </w:rPr>
  </w:style>
  <w:style w:type="paragraph" w:customStyle="1" w:styleId="171">
    <w:name w:val="Char Char Char Char Char Char Char Char Char Char Char Char Char Char Char Char"/>
    <w:basedOn w:val="1"/>
    <w:qFormat/>
    <w:uiPriority w:val="0"/>
    <w:pPr>
      <w:autoSpaceDE w:val="0"/>
      <w:autoSpaceDN w:val="0"/>
      <w:adjustRightInd w:val="0"/>
      <w:textAlignment w:val="baseline"/>
    </w:pPr>
    <w:rPr>
      <w:szCs w:val="20"/>
    </w:rPr>
  </w:style>
  <w:style w:type="character" w:customStyle="1" w:styleId="172">
    <w:name w:val="正文文本缩进 2 Char1"/>
    <w:qFormat/>
    <w:uiPriority w:val="0"/>
    <w:rPr>
      <w:kern w:val="2"/>
      <w:sz w:val="21"/>
      <w:szCs w:val="24"/>
    </w:rPr>
  </w:style>
  <w:style w:type="paragraph" w:customStyle="1" w:styleId="173">
    <w:name w:val="Char Char Char1 Char Char Char"/>
    <w:basedOn w:val="1"/>
    <w:qFormat/>
    <w:uiPriority w:val="99"/>
    <w:rPr>
      <w:rFonts w:ascii="Courier New" w:hAnsi="Courier New" w:eastAsia="仿宋" w:cs="Courier New"/>
      <w:sz w:val="24"/>
    </w:rPr>
  </w:style>
  <w:style w:type="character" w:customStyle="1" w:styleId="174">
    <w:name w:val="纯文本 Char2"/>
    <w:qFormat/>
    <w:uiPriority w:val="0"/>
    <w:rPr>
      <w:rFonts w:ascii="宋体" w:hAnsi="Courier New" w:cs="Courier New"/>
      <w:kern w:val="2"/>
      <w:sz w:val="21"/>
      <w:szCs w:val="21"/>
    </w:rPr>
  </w:style>
  <w:style w:type="paragraph" w:customStyle="1" w:styleId="175">
    <w:name w:val="a4"/>
    <w:basedOn w:val="1"/>
    <w:qFormat/>
    <w:uiPriority w:val="99"/>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176">
    <w:name w:val="Char Char Char Char1"/>
    <w:basedOn w:val="1"/>
    <w:qFormat/>
    <w:uiPriority w:val="99"/>
    <w:pPr>
      <w:spacing w:line="360" w:lineRule="auto"/>
      <w:ind w:firstLine="200" w:firstLineChars="200"/>
    </w:pPr>
    <w:rPr>
      <w:rFonts w:ascii="宋体" w:hAnsi="宋体" w:cs="宋体"/>
      <w:sz w:val="24"/>
    </w:rPr>
  </w:style>
  <w:style w:type="paragraph" w:customStyle="1" w:styleId="177">
    <w:name w:val="xl42"/>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Cs w:val="21"/>
    </w:rPr>
  </w:style>
  <w:style w:type="paragraph" w:customStyle="1" w:styleId="178">
    <w:name w:val="表格正文"/>
    <w:basedOn w:val="1"/>
    <w:qFormat/>
    <w:uiPriority w:val="0"/>
    <w:pPr>
      <w:spacing w:line="360" w:lineRule="exact"/>
      <w:jc w:val="center"/>
    </w:pPr>
    <w:rPr>
      <w:szCs w:val="20"/>
    </w:rPr>
  </w:style>
  <w:style w:type="paragraph" w:customStyle="1" w:styleId="179">
    <w:name w:val="Char Char4 Char Char"/>
    <w:basedOn w:val="1"/>
    <w:qFormat/>
    <w:uiPriority w:val="99"/>
    <w:rPr>
      <w:szCs w:val="20"/>
    </w:rPr>
  </w:style>
  <w:style w:type="paragraph" w:customStyle="1" w:styleId="180">
    <w:name w:val="Char Char Char Char Char Char Char Char Char1"/>
    <w:basedOn w:val="1"/>
    <w:qFormat/>
    <w:uiPriority w:val="99"/>
    <w:pPr>
      <w:snapToGrid w:val="0"/>
      <w:spacing w:line="360" w:lineRule="auto"/>
      <w:ind w:firstLine="529" w:firstLineChars="200"/>
    </w:pPr>
    <w:rPr>
      <w:rFonts w:ascii="宋体" w:hAnsi="宋体"/>
      <w:b/>
    </w:rPr>
  </w:style>
  <w:style w:type="paragraph" w:customStyle="1" w:styleId="181">
    <w:name w:val="列出段落2"/>
    <w:basedOn w:val="1"/>
    <w:qFormat/>
    <w:uiPriority w:val="99"/>
    <w:pPr>
      <w:widowControl/>
      <w:ind w:firstLine="420" w:firstLineChars="200"/>
      <w:jc w:val="left"/>
    </w:pPr>
    <w:rPr>
      <w:kern w:val="0"/>
      <w:sz w:val="20"/>
      <w:szCs w:val="20"/>
    </w:rPr>
  </w:style>
  <w:style w:type="character" w:customStyle="1" w:styleId="182">
    <w:name w:val="标题 Char2"/>
    <w:qFormat/>
    <w:uiPriority w:val="0"/>
    <w:rPr>
      <w:rFonts w:ascii="Cambria" w:hAnsi="Cambria" w:cs="Times New Roman"/>
      <w:b/>
      <w:bCs/>
      <w:kern w:val="2"/>
      <w:sz w:val="32"/>
      <w:szCs w:val="32"/>
    </w:rPr>
  </w:style>
  <w:style w:type="paragraph" w:customStyle="1" w:styleId="183">
    <w:name w:val="表格下方正文"/>
    <w:basedOn w:val="1"/>
    <w:qFormat/>
    <w:uiPriority w:val="99"/>
    <w:pPr>
      <w:adjustRightInd w:val="0"/>
      <w:snapToGrid w:val="0"/>
      <w:spacing w:before="300" w:line="460" w:lineRule="exact"/>
      <w:ind w:firstLine="482"/>
    </w:pPr>
    <w:rPr>
      <w:sz w:val="24"/>
    </w:rPr>
  </w:style>
  <w:style w:type="paragraph" w:customStyle="1" w:styleId="18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85">
    <w:name w:val="Char Char Char1 Char Char Char Char Char Char Char Char Char Char Char Char 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186">
    <w:name w:val="样式 样式 正文首行缩进 + 首行缩进:  2 字符 + 首行缩进:  2 字符"/>
    <w:basedOn w:val="1"/>
    <w:qFormat/>
    <w:uiPriority w:val="99"/>
    <w:pPr>
      <w:topLinePunct/>
      <w:adjustRightInd w:val="0"/>
      <w:snapToGrid w:val="0"/>
      <w:spacing w:line="360" w:lineRule="auto"/>
      <w:ind w:firstLine="480"/>
      <w:textAlignment w:val="baseline"/>
    </w:pPr>
    <w:rPr>
      <w:rFonts w:hAnsi="宋体" w:eastAsia="Times New Roman"/>
      <w:kern w:val="0"/>
      <w:sz w:val="24"/>
      <w:szCs w:val="20"/>
    </w:rPr>
  </w:style>
  <w:style w:type="paragraph" w:customStyle="1" w:styleId="187">
    <w:name w:val="二级无标题条"/>
    <w:basedOn w:val="1"/>
    <w:qFormat/>
    <w:uiPriority w:val="0"/>
  </w:style>
  <w:style w:type="paragraph" w:customStyle="1" w:styleId="188">
    <w:name w:val="框图"/>
    <w:basedOn w:val="1"/>
    <w:qFormat/>
    <w:uiPriority w:val="99"/>
    <w:pPr>
      <w:adjustRightInd w:val="0"/>
      <w:snapToGrid w:val="0"/>
      <w:jc w:val="center"/>
    </w:pPr>
    <w:rPr>
      <w:rFonts w:ascii="仿宋_GB2312" w:hAnsi="宋体" w:eastAsia="仿宋_GB2312"/>
      <w:szCs w:val="21"/>
    </w:rPr>
  </w:style>
  <w:style w:type="paragraph" w:customStyle="1" w:styleId="189">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90">
    <w:name w:val="默认段落字体 Para Char Char Char Char"/>
    <w:basedOn w:val="1"/>
    <w:qFormat/>
    <w:uiPriority w:val="0"/>
    <w:rPr>
      <w:sz w:val="24"/>
    </w:rPr>
  </w:style>
  <w:style w:type="paragraph" w:customStyle="1" w:styleId="191">
    <w:name w:val="正文文本 (13)"/>
    <w:basedOn w:val="1"/>
    <w:qFormat/>
    <w:uiPriority w:val="99"/>
    <w:pPr>
      <w:widowControl/>
      <w:shd w:val="clear" w:color="auto" w:fill="FFFFFF"/>
      <w:spacing w:line="240" w:lineRule="atLeast"/>
      <w:jc w:val="left"/>
    </w:pPr>
    <w:rPr>
      <w:rFonts w:ascii="Batang" w:eastAsia="Batang"/>
      <w:kern w:val="0"/>
      <w:sz w:val="14"/>
      <w:szCs w:val="14"/>
    </w:rPr>
  </w:style>
  <w:style w:type="paragraph" w:customStyle="1" w:styleId="192">
    <w:name w:val="Char Char Char Char"/>
    <w:basedOn w:val="1"/>
    <w:qFormat/>
    <w:uiPriority w:val="0"/>
    <w:rPr>
      <w:szCs w:val="20"/>
    </w:rPr>
  </w:style>
  <w:style w:type="paragraph" w:customStyle="1" w:styleId="193">
    <w:name w:val="样式 表中文字 +"/>
    <w:basedOn w:val="1"/>
    <w:qFormat/>
    <w:uiPriority w:val="99"/>
    <w:pPr>
      <w:adjustRightInd w:val="0"/>
      <w:snapToGrid w:val="0"/>
      <w:spacing w:line="400" w:lineRule="exact"/>
      <w:jc w:val="center"/>
    </w:pPr>
    <w:rPr>
      <w:kern w:val="0"/>
      <w:szCs w:val="21"/>
    </w:rPr>
  </w:style>
  <w:style w:type="paragraph" w:customStyle="1" w:styleId="194">
    <w:name w:val="无间隔1"/>
    <w:basedOn w:val="1"/>
    <w:qFormat/>
    <w:uiPriority w:val="99"/>
    <w:pPr>
      <w:widowControl/>
      <w:jc w:val="left"/>
    </w:pPr>
    <w:rPr>
      <w:rFonts w:ascii="宋体" w:hAnsi="宋体"/>
      <w:kern w:val="0"/>
      <w:sz w:val="20"/>
      <w:szCs w:val="20"/>
    </w:rPr>
  </w:style>
  <w:style w:type="paragraph" w:customStyle="1" w:styleId="195">
    <w:name w:val="样式 xl27 + (西文) 楷体_GB2312 (符号) Courier New 小四 段前: 0 磅 段后: 0 磅..."/>
    <w:basedOn w:val="1"/>
    <w:qFormat/>
    <w:uiPriority w:val="99"/>
    <w:pPr>
      <w:widowControl/>
      <w:jc w:val="center"/>
    </w:pPr>
    <w:rPr>
      <w:rFonts w:cs="宋体"/>
      <w:sz w:val="24"/>
      <w:szCs w:val="20"/>
    </w:rPr>
  </w:style>
  <w:style w:type="paragraph" w:customStyle="1" w:styleId="196">
    <w:name w:val="表格文字（对中）"/>
    <w:basedOn w:val="7"/>
    <w:qFormat/>
    <w:uiPriority w:val="0"/>
    <w:pPr>
      <w:spacing w:line="480" w:lineRule="exact"/>
      <w:ind w:firstLine="0"/>
      <w:jc w:val="center"/>
    </w:pPr>
    <w:rPr>
      <w:rFonts w:ascii="黑体" w:hAnsi="Calibri" w:eastAsia="黑体"/>
      <w:color w:val="000000"/>
      <w:sz w:val="24"/>
      <w:szCs w:val="21"/>
    </w:rPr>
  </w:style>
  <w:style w:type="character" w:customStyle="1" w:styleId="197">
    <w:name w:val="正文首行缩进 Char1"/>
    <w:qFormat/>
    <w:uiPriority w:val="99"/>
    <w:rPr>
      <w:kern w:val="2"/>
      <w:sz w:val="21"/>
      <w:szCs w:val="24"/>
    </w:rPr>
  </w:style>
  <w:style w:type="character" w:customStyle="1" w:styleId="198">
    <w:name w:val="正文文本 2 Char1"/>
    <w:qFormat/>
    <w:uiPriority w:val="99"/>
    <w:rPr>
      <w:kern w:val="2"/>
      <w:sz w:val="21"/>
      <w:szCs w:val="24"/>
    </w:rPr>
  </w:style>
  <w:style w:type="character" w:customStyle="1" w:styleId="199">
    <w:name w:val="副标题 Char1"/>
    <w:qFormat/>
    <w:uiPriority w:val="11"/>
    <w:rPr>
      <w:rFonts w:ascii="Cambria" w:hAnsi="Cambria" w:cs="Times New Roman"/>
      <w:b/>
      <w:bCs/>
      <w:kern w:val="28"/>
      <w:sz w:val="32"/>
      <w:szCs w:val="32"/>
    </w:rPr>
  </w:style>
  <w:style w:type="paragraph" w:customStyle="1" w:styleId="200">
    <w:name w:val="默认段落字体 Para Char"/>
    <w:basedOn w:val="1"/>
    <w:qFormat/>
    <w:uiPriority w:val="0"/>
  </w:style>
  <w:style w:type="paragraph" w:customStyle="1" w:styleId="201">
    <w:name w:val="标准样式"/>
    <w:qFormat/>
    <w:uiPriority w:val="99"/>
    <w:pPr>
      <w:widowControl w:val="0"/>
      <w:ind w:firstLine="480" w:firstLineChars="200"/>
      <w:jc w:val="both"/>
    </w:pPr>
    <w:rPr>
      <w:rFonts w:ascii="Times New Roman" w:hAnsi="Times New Roman" w:eastAsia="宋体" w:cs="Times New Roman"/>
      <w:b/>
      <w:sz w:val="24"/>
      <w:lang w:val="en-US" w:eastAsia="zh-CN" w:bidi="ar-SA"/>
    </w:rPr>
  </w:style>
  <w:style w:type="paragraph" w:customStyle="1" w:styleId="202">
    <w:name w:val="Char Char Char Char Char Char"/>
    <w:basedOn w:val="1"/>
    <w:qFormat/>
    <w:uiPriority w:val="0"/>
    <w:rPr>
      <w:sz w:val="24"/>
    </w:rPr>
  </w:style>
  <w:style w:type="paragraph" w:customStyle="1" w:styleId="203">
    <w:name w:val="样式 样式 首行缩进:  2 字符 + 首行缩进:  2 字符"/>
    <w:qFormat/>
    <w:uiPriority w:val="0"/>
    <w:pPr>
      <w:spacing w:line="500" w:lineRule="exact"/>
      <w:ind w:firstLine="200" w:firstLineChars="200"/>
    </w:pPr>
    <w:rPr>
      <w:rFonts w:ascii="Times New Roman" w:hAnsi="Times New Roman" w:eastAsia="宋体" w:cs="宋体"/>
      <w:spacing w:val="30"/>
      <w:sz w:val="28"/>
      <w:lang w:val="en-US" w:eastAsia="zh-CN" w:bidi="ar-SA"/>
    </w:rPr>
  </w:style>
  <w:style w:type="paragraph" w:customStyle="1" w:styleId="204">
    <w:name w:val="正文文本 (11)"/>
    <w:basedOn w:val="1"/>
    <w:qFormat/>
    <w:uiPriority w:val="99"/>
    <w:pPr>
      <w:widowControl/>
      <w:shd w:val="clear" w:color="auto" w:fill="FFFFFF"/>
      <w:spacing w:after="120" w:line="240" w:lineRule="atLeast"/>
      <w:jc w:val="left"/>
    </w:pPr>
    <w:rPr>
      <w:rFonts w:ascii="MingLiU" w:eastAsia="MingLiU"/>
      <w:kern w:val="0"/>
      <w:sz w:val="19"/>
      <w:szCs w:val="19"/>
    </w:rPr>
  </w:style>
  <w:style w:type="paragraph" w:customStyle="1" w:styleId="205">
    <w:name w:val="1 Char Char Char Char"/>
    <w:basedOn w:val="1"/>
    <w:qFormat/>
    <w:uiPriority w:val="0"/>
    <w:pPr>
      <w:spacing w:line="360" w:lineRule="auto"/>
      <w:ind w:firstLine="200" w:firstLineChars="200"/>
    </w:pPr>
    <w:rPr>
      <w:rFonts w:ascii="宋体" w:hAnsi="宋体" w:cs="宋体"/>
      <w:sz w:val="24"/>
    </w:rPr>
  </w:style>
  <w:style w:type="paragraph" w:customStyle="1" w:styleId="206">
    <w:name w:val="正文文本 (9)1"/>
    <w:basedOn w:val="1"/>
    <w:qFormat/>
    <w:uiPriority w:val="99"/>
    <w:pPr>
      <w:widowControl/>
      <w:shd w:val="clear" w:color="auto" w:fill="FFFFFF"/>
      <w:spacing w:line="240" w:lineRule="atLeast"/>
      <w:jc w:val="left"/>
    </w:pPr>
    <w:rPr>
      <w:rFonts w:ascii="MingLiU" w:eastAsia="MingLiU"/>
      <w:kern w:val="0"/>
      <w:sz w:val="16"/>
      <w:szCs w:val="16"/>
    </w:rPr>
  </w:style>
  <w:style w:type="paragraph" w:customStyle="1" w:styleId="207">
    <w:name w:val="新格式表"/>
    <w:basedOn w:val="1"/>
    <w:qFormat/>
    <w:uiPriority w:val="99"/>
    <w:pPr>
      <w:spacing w:line="240" w:lineRule="exact"/>
      <w:jc w:val="center"/>
    </w:pPr>
    <w:rPr>
      <w:bCs/>
      <w:szCs w:val="21"/>
    </w:rPr>
  </w:style>
  <w:style w:type="paragraph" w:customStyle="1" w:styleId="208">
    <w:name w:val="Char"/>
    <w:basedOn w:val="1"/>
    <w:qFormat/>
    <w:uiPriority w:val="99"/>
    <w:rPr>
      <w:sz w:val="24"/>
    </w:rPr>
  </w:style>
  <w:style w:type="paragraph" w:customStyle="1" w:styleId="209">
    <w:name w:val="表格内容自定"/>
    <w:basedOn w:val="1"/>
    <w:qFormat/>
    <w:uiPriority w:val="0"/>
    <w:pPr>
      <w:spacing w:line="280" w:lineRule="exact"/>
      <w:jc w:val="center"/>
    </w:pPr>
    <w:rPr>
      <w:kern w:val="0"/>
      <w:sz w:val="18"/>
      <w:szCs w:val="21"/>
    </w:rPr>
  </w:style>
  <w:style w:type="paragraph" w:customStyle="1" w:styleId="210">
    <w:name w:val="Char Char Char1 Char Char Char1"/>
    <w:basedOn w:val="1"/>
    <w:qFormat/>
    <w:uiPriority w:val="99"/>
    <w:rPr>
      <w:rFonts w:ascii="Courier New" w:hAnsi="Courier New" w:eastAsia="仿宋" w:cs="Courier New"/>
      <w:sz w:val="24"/>
    </w:rPr>
  </w:style>
  <w:style w:type="paragraph" w:customStyle="1" w:styleId="211">
    <w:name w:val="WPS Plain"/>
    <w:qFormat/>
    <w:uiPriority w:val="0"/>
    <w:rPr>
      <w:rFonts w:ascii="Times New Roman" w:hAnsi="Times New Roman" w:eastAsia="宋体" w:cs="Times New Roman"/>
      <w:sz w:val="24"/>
      <w:szCs w:val="24"/>
      <w:lang w:val="en-US" w:eastAsia="zh-CN" w:bidi="ar-SA"/>
    </w:rPr>
  </w:style>
  <w:style w:type="paragraph" w:customStyle="1" w:styleId="212">
    <w:name w:val="码头正文"/>
    <w:basedOn w:val="7"/>
    <w:qFormat/>
    <w:uiPriority w:val="99"/>
    <w:pPr>
      <w:adjustRightInd w:val="0"/>
      <w:snapToGrid w:val="0"/>
      <w:spacing w:line="360" w:lineRule="auto"/>
      <w:ind w:firstLine="480" w:firstLineChars="200"/>
      <w:textAlignment w:val="baseline"/>
    </w:pPr>
    <w:rPr>
      <w:rFonts w:hAnsi="宋体"/>
      <w:bCs/>
      <w:color w:val="FF00FF"/>
      <w:sz w:val="24"/>
      <w:szCs w:val="24"/>
    </w:rPr>
  </w:style>
  <w:style w:type="paragraph" w:customStyle="1" w:styleId="213">
    <w:name w:val="Char Char Char Char Char Char Char"/>
    <w:basedOn w:val="1"/>
    <w:qFormat/>
    <w:uiPriority w:val="0"/>
    <w:rPr>
      <w:sz w:val="24"/>
    </w:rPr>
  </w:style>
  <w:style w:type="paragraph" w:customStyle="1" w:styleId="214">
    <w:name w:val="xl23"/>
    <w:basedOn w:val="1"/>
    <w:qFormat/>
    <w:uiPriority w:val="99"/>
    <w:pPr>
      <w:widowControl/>
      <w:spacing w:before="100" w:beforeAutospacing="1" w:after="100" w:afterAutospacing="1"/>
      <w:jc w:val="center"/>
    </w:pPr>
    <w:rPr>
      <w:rFonts w:ascii="Arial Unicode MS" w:hAnsi="Arial Unicode MS"/>
      <w:kern w:val="0"/>
      <w:sz w:val="24"/>
    </w:rPr>
  </w:style>
  <w:style w:type="table" w:customStyle="1" w:styleId="215">
    <w:name w:val="网格型-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6">
    <w:name w:val="ylf"/>
    <w:basedOn w:val="60"/>
    <w:qFormat/>
    <w:uiPriority w:val="99"/>
    <w:pPr>
      <w:widowControl w:val="0"/>
      <w:jc w:val="center"/>
    </w:pPr>
    <w:rPr>
      <w:sz w:val="21"/>
      <w:szCs w:val="21"/>
    </w:rPr>
    <w:tblPr>
      <w:tblBorders>
        <w:top w:val="single" w:color="auto" w:sz="12" w:space="0"/>
        <w:bottom w:val="single" w:color="auto" w:sz="12" w:space="0"/>
      </w:tblBorders>
      <w:tblCellMar>
        <w:top w:w="0" w:type="dxa"/>
        <w:left w:w="108" w:type="dxa"/>
        <w:bottom w:w="0" w:type="dxa"/>
        <w:right w:w="108" w:type="dxa"/>
      </w:tblCellMar>
    </w:tblPr>
  </w:style>
  <w:style w:type="paragraph" w:customStyle="1" w:styleId="217">
    <w:name w:val="表格文字2"/>
    <w:basedOn w:val="1"/>
    <w:qFormat/>
    <w:uiPriority w:val="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218">
    <w:name w:val="Table Paragraph"/>
    <w:basedOn w:val="1"/>
    <w:qFormat/>
    <w:uiPriority w:val="1"/>
    <w:pPr>
      <w:autoSpaceDE w:val="0"/>
      <w:autoSpaceDN w:val="0"/>
      <w:spacing w:before="58"/>
      <w:jc w:val="center"/>
    </w:pPr>
    <w:rPr>
      <w:rFonts w:ascii="宋体" w:hAnsi="宋体" w:cs="宋体"/>
      <w:kern w:val="0"/>
      <w:sz w:val="22"/>
      <w:szCs w:val="22"/>
      <w:lang w:val="zh-CN" w:bidi="zh-CN"/>
    </w:rPr>
  </w:style>
  <w:style w:type="paragraph" w:styleId="219">
    <w:name w:val="List Paragraph"/>
    <w:basedOn w:val="1"/>
    <w:qFormat/>
    <w:uiPriority w:val="34"/>
    <w:pPr>
      <w:widowControl/>
      <w:ind w:firstLine="420" w:firstLineChars="200"/>
      <w:jc w:val="left"/>
    </w:pPr>
    <w:rPr>
      <w:kern w:val="0"/>
      <w:sz w:val="20"/>
      <w:szCs w:val="20"/>
    </w:rPr>
  </w:style>
  <w:style w:type="character" w:styleId="220">
    <w:name w:val="Placeholder Text"/>
    <w:unhideWhenUsed/>
    <w:qFormat/>
    <w:uiPriority w:val="99"/>
    <w:rPr>
      <w:color w:val="808080"/>
    </w:rPr>
  </w:style>
  <w:style w:type="character" w:customStyle="1" w:styleId="221">
    <w:name w:val="正文首行缩进 2 Char"/>
    <w:basedOn w:val="79"/>
    <w:link w:val="2"/>
    <w:qFormat/>
    <w:uiPriority w:val="0"/>
    <w:rPr>
      <w:rFonts w:ascii="Times New Roman" w:hAnsi="Times New Roman" w:eastAsia="宋体"/>
      <w:sz w:val="24"/>
    </w:rPr>
  </w:style>
  <w:style w:type="character" w:customStyle="1" w:styleId="222">
    <w:name w:val="报告表正文 Char"/>
    <w:link w:val="223"/>
    <w:qFormat/>
    <w:uiPriority w:val="0"/>
    <w:rPr>
      <w:sz w:val="24"/>
    </w:rPr>
  </w:style>
  <w:style w:type="paragraph" w:customStyle="1" w:styleId="223">
    <w:name w:val="报告表正文"/>
    <w:basedOn w:val="1"/>
    <w:link w:val="222"/>
    <w:qFormat/>
    <w:uiPriority w:val="0"/>
    <w:pPr>
      <w:adjustRightInd w:val="0"/>
      <w:spacing w:line="300" w:lineRule="auto"/>
      <w:ind w:left="113" w:right="113"/>
      <w:textAlignment w:val="baseline"/>
    </w:pPr>
    <w:rPr>
      <w:kern w:val="0"/>
      <w:sz w:val="24"/>
      <w:szCs w:val="20"/>
    </w:rPr>
  </w:style>
  <w:style w:type="character" w:customStyle="1" w:styleId="224">
    <w:name w:val="Char Char29"/>
    <w:qFormat/>
    <w:uiPriority w:val="0"/>
    <w:rPr>
      <w:rFonts w:eastAsia="宋体"/>
      <w:b/>
      <w:bCs/>
      <w:kern w:val="2"/>
      <w:sz w:val="32"/>
      <w:szCs w:val="32"/>
      <w:lang w:val="en-US" w:eastAsia="zh-CN" w:bidi="ar-SA"/>
    </w:rPr>
  </w:style>
  <w:style w:type="character" w:customStyle="1" w:styleId="225">
    <w:name w:val="tt"/>
    <w:qFormat/>
    <w:uiPriority w:val="0"/>
  </w:style>
  <w:style w:type="character" w:customStyle="1" w:styleId="226">
    <w:name w:val="3zw1"/>
    <w:qFormat/>
    <w:uiPriority w:val="0"/>
    <w:rPr>
      <w:color w:val="000000"/>
      <w:sz w:val="21"/>
      <w:szCs w:val="21"/>
    </w:rPr>
  </w:style>
  <w:style w:type="character" w:customStyle="1" w:styleId="227">
    <w:name w:val="Char Char11"/>
    <w:qFormat/>
    <w:uiPriority w:val="0"/>
    <w:rPr>
      <w:rFonts w:ascii="Calibri" w:hAnsi="Tahoma" w:eastAsia="Calibri" w:cs="Tahoma"/>
      <w:kern w:val="2"/>
      <w:sz w:val="21"/>
      <w:szCs w:val="21"/>
      <w:lang w:val="en-US" w:eastAsia="zh-CN" w:bidi="ar-SA"/>
    </w:rPr>
  </w:style>
  <w:style w:type="character" w:customStyle="1" w:styleId="228">
    <w:name w:val="未命名11"/>
    <w:qFormat/>
    <w:uiPriority w:val="0"/>
    <w:rPr>
      <w:rFonts w:hint="eastAsia" w:ascii="宋体" w:hAnsi="宋体" w:eastAsia="宋体"/>
      <w:sz w:val="18"/>
      <w:szCs w:val="18"/>
    </w:rPr>
  </w:style>
  <w:style w:type="character" w:customStyle="1" w:styleId="229">
    <w:name w:val="正文文本 + 10 pt8"/>
    <w:qFormat/>
    <w:uiPriority w:val="0"/>
    <w:rPr>
      <w:rFonts w:ascii="宋体" w:eastAsia="宋体" w:cs="宋体"/>
      <w:b/>
      <w:bCs/>
      <w:sz w:val="20"/>
      <w:szCs w:val="20"/>
    </w:rPr>
  </w:style>
  <w:style w:type="character" w:customStyle="1" w:styleId="230">
    <w:name w:val="p18-hei"/>
    <w:qFormat/>
    <w:uiPriority w:val="0"/>
  </w:style>
  <w:style w:type="character" w:customStyle="1" w:styleId="231">
    <w:name w:val="表格内容1 Char"/>
    <w:link w:val="232"/>
    <w:qFormat/>
    <w:uiPriority w:val="0"/>
    <w:rPr>
      <w:kern w:val="24"/>
      <w:sz w:val="21"/>
      <w:szCs w:val="21"/>
    </w:rPr>
  </w:style>
  <w:style w:type="paragraph" w:customStyle="1" w:styleId="232">
    <w:name w:val="表格内容1"/>
    <w:basedOn w:val="1"/>
    <w:link w:val="231"/>
    <w:qFormat/>
    <w:uiPriority w:val="0"/>
    <w:pPr>
      <w:widowControl/>
      <w:jc w:val="center"/>
    </w:pPr>
    <w:rPr>
      <w:kern w:val="24"/>
      <w:szCs w:val="21"/>
    </w:rPr>
  </w:style>
  <w:style w:type="character" w:customStyle="1" w:styleId="233">
    <w:name w:val="正文文本 + 10 pt5"/>
    <w:qFormat/>
    <w:uiPriority w:val="0"/>
    <w:rPr>
      <w:rFonts w:ascii="宋体" w:eastAsia="宋体" w:cs="宋体"/>
      <w:b/>
      <w:bCs/>
      <w:sz w:val="20"/>
      <w:szCs w:val="20"/>
    </w:rPr>
  </w:style>
  <w:style w:type="character" w:customStyle="1" w:styleId="234">
    <w:name w:val="edit_font_color"/>
    <w:qFormat/>
    <w:uiPriority w:val="0"/>
  </w:style>
  <w:style w:type="character" w:customStyle="1" w:styleId="235">
    <w:name w:val="keyword1"/>
    <w:qFormat/>
    <w:uiPriority w:val="0"/>
  </w:style>
  <w:style w:type="character" w:customStyle="1" w:styleId="236">
    <w:name w:val="报告 Char"/>
    <w:link w:val="237"/>
    <w:qFormat/>
    <w:uiPriority w:val="0"/>
    <w:rPr>
      <w:rFonts w:ascii="TimesNewRoman" w:hAnsi="TimesNewRoman"/>
      <w:sz w:val="24"/>
    </w:rPr>
  </w:style>
  <w:style w:type="paragraph" w:customStyle="1" w:styleId="237">
    <w:name w:val="报告"/>
    <w:basedOn w:val="1"/>
    <w:link w:val="236"/>
    <w:qFormat/>
    <w:uiPriority w:val="0"/>
    <w:pPr>
      <w:adjustRightInd w:val="0"/>
      <w:spacing w:line="360" w:lineRule="auto"/>
      <w:ind w:firstLine="505"/>
      <w:textAlignment w:val="center"/>
    </w:pPr>
    <w:rPr>
      <w:rFonts w:ascii="TimesNewRoman" w:hAnsi="TimesNewRoman"/>
      <w:kern w:val="0"/>
      <w:sz w:val="24"/>
      <w:szCs w:val="20"/>
    </w:rPr>
  </w:style>
  <w:style w:type="character" w:customStyle="1" w:styleId="238">
    <w:name w:val="px141"/>
    <w:qFormat/>
    <w:uiPriority w:val="0"/>
    <w:rPr>
      <w:rFonts w:hint="default" w:ascii="ˎ̥" w:hAnsi="ˎ̥"/>
      <w:sz w:val="21"/>
      <w:szCs w:val="21"/>
    </w:rPr>
  </w:style>
  <w:style w:type="character" w:customStyle="1" w:styleId="239">
    <w:name w:val="注释标题 Char"/>
    <w:link w:val="16"/>
    <w:qFormat/>
    <w:uiPriority w:val="0"/>
    <w:rPr>
      <w:rFonts w:ascii="宋体"/>
      <w:kern w:val="2"/>
      <w:sz w:val="21"/>
    </w:rPr>
  </w:style>
  <w:style w:type="character" w:customStyle="1" w:styleId="240">
    <w:name w:val="标题1"/>
    <w:qFormat/>
    <w:uiPriority w:val="0"/>
  </w:style>
  <w:style w:type="character" w:customStyle="1" w:styleId="241">
    <w:name w:val="spelle"/>
    <w:qFormat/>
    <w:uiPriority w:val="0"/>
  </w:style>
  <w:style w:type="character" w:customStyle="1" w:styleId="242">
    <w:name w:val="css"/>
    <w:qFormat/>
    <w:uiPriority w:val="0"/>
  </w:style>
  <w:style w:type="character" w:customStyle="1" w:styleId="243">
    <w:name w:val="正文B Char"/>
    <w:link w:val="244"/>
    <w:qFormat/>
    <w:locked/>
    <w:uiPriority w:val="0"/>
    <w:rPr>
      <w:rFonts w:ascii="楷体_GB2312" w:eastAsia="楷体_GB2312"/>
      <w:kern w:val="2"/>
      <w:sz w:val="28"/>
    </w:rPr>
  </w:style>
  <w:style w:type="paragraph" w:customStyle="1" w:styleId="244">
    <w:name w:val="正文B"/>
    <w:basedOn w:val="1"/>
    <w:link w:val="243"/>
    <w:qFormat/>
    <w:uiPriority w:val="0"/>
    <w:pPr>
      <w:spacing w:line="500" w:lineRule="exact"/>
    </w:pPr>
    <w:rPr>
      <w:rFonts w:ascii="楷体_GB2312" w:eastAsia="楷体_GB2312"/>
      <w:sz w:val="28"/>
      <w:szCs w:val="20"/>
    </w:rPr>
  </w:style>
  <w:style w:type="character" w:customStyle="1" w:styleId="245">
    <w:name w:val="标题 3 Char Char2"/>
    <w:qFormat/>
    <w:uiPriority w:val="0"/>
    <w:rPr>
      <w:rFonts w:eastAsia="宋体"/>
      <w:b/>
      <w:bCs/>
      <w:kern w:val="2"/>
      <w:sz w:val="32"/>
      <w:szCs w:val="32"/>
      <w:lang w:val="en-US" w:eastAsia="zh-CN" w:bidi="ar-SA"/>
    </w:rPr>
  </w:style>
  <w:style w:type="character" w:customStyle="1" w:styleId="246">
    <w:name w:val="Char Char4"/>
    <w:qFormat/>
    <w:uiPriority w:val="0"/>
    <w:rPr>
      <w:rFonts w:ascii="宋体" w:hAnsi="Courier New" w:eastAsia="宋体"/>
      <w:kern w:val="2"/>
      <w:sz w:val="21"/>
      <w:lang w:val="en-US" w:eastAsia="zh-CN" w:bidi="ar-SA"/>
    </w:rPr>
  </w:style>
  <w:style w:type="character" w:customStyle="1" w:styleId="247">
    <w:name w:val="正文文本 + 6.5 pt3"/>
    <w:qFormat/>
    <w:uiPriority w:val="0"/>
    <w:rPr>
      <w:rFonts w:ascii="宋体" w:hAnsi="宋体" w:eastAsia="宋体" w:cs="宋体"/>
      <w:b/>
      <w:bCs/>
      <w:sz w:val="13"/>
      <w:szCs w:val="13"/>
      <w:lang w:val="en-US" w:eastAsia="zh-CN"/>
    </w:rPr>
  </w:style>
  <w:style w:type="character" w:customStyle="1" w:styleId="248">
    <w:name w:val="t_tag"/>
    <w:qFormat/>
    <w:uiPriority w:val="0"/>
  </w:style>
  <w:style w:type="character" w:customStyle="1" w:styleId="249">
    <w:name w:val="style31"/>
    <w:qFormat/>
    <w:uiPriority w:val="0"/>
    <w:rPr>
      <w:color w:val="000000"/>
      <w:sz w:val="21"/>
      <w:szCs w:val="21"/>
    </w:rPr>
  </w:style>
  <w:style w:type="character" w:customStyle="1" w:styleId="250">
    <w:name w:val="链接"/>
    <w:qFormat/>
    <w:uiPriority w:val="0"/>
    <w:rPr>
      <w:color w:val="0000FF"/>
      <w:u w:val="single" w:color="0000FF"/>
    </w:rPr>
  </w:style>
  <w:style w:type="character" w:customStyle="1" w:styleId="251">
    <w:name w:val="Char Char9"/>
    <w:qFormat/>
    <w:uiPriority w:val="0"/>
    <w:rPr>
      <w:rFonts w:ascii="宋体" w:hAnsi="宋体" w:eastAsia="宋体"/>
      <w:kern w:val="2"/>
      <w:sz w:val="24"/>
      <w:szCs w:val="24"/>
      <w:lang w:val="en-US" w:eastAsia="zh-CN" w:bidi="ar-SA"/>
    </w:rPr>
  </w:style>
  <w:style w:type="character" w:customStyle="1" w:styleId="252">
    <w:name w:val="正文文本 3 Char"/>
    <w:link w:val="24"/>
    <w:qFormat/>
    <w:locked/>
    <w:uiPriority w:val="99"/>
    <w:rPr>
      <w:rFonts w:ascii="宋体" w:hAnsi="宋体"/>
      <w:kern w:val="2"/>
      <w:sz w:val="16"/>
      <w:szCs w:val="16"/>
    </w:rPr>
  </w:style>
  <w:style w:type="character" w:customStyle="1" w:styleId="253">
    <w:name w:val="表1 Char"/>
    <w:link w:val="254"/>
    <w:qFormat/>
    <w:uiPriority w:val="0"/>
    <w:rPr>
      <w:rFonts w:eastAsia="Times New Roman"/>
      <w:sz w:val="21"/>
    </w:rPr>
  </w:style>
  <w:style w:type="paragraph" w:customStyle="1" w:styleId="254">
    <w:name w:val="表1"/>
    <w:next w:val="1"/>
    <w:link w:val="253"/>
    <w:qFormat/>
    <w:uiPriority w:val="0"/>
    <w:pPr>
      <w:adjustRightInd w:val="0"/>
      <w:snapToGrid w:val="0"/>
      <w:jc w:val="center"/>
    </w:pPr>
    <w:rPr>
      <w:rFonts w:ascii="Times New Roman" w:hAnsi="Times New Roman" w:eastAsia="Times New Roman" w:cs="Times New Roman"/>
      <w:sz w:val="21"/>
      <w:lang w:val="en-US" w:eastAsia="zh-CN" w:bidi="ar-SA"/>
    </w:rPr>
  </w:style>
  <w:style w:type="character" w:customStyle="1" w:styleId="255">
    <w:name w:val="标题 2 Char3"/>
    <w:qFormat/>
    <w:uiPriority w:val="0"/>
    <w:rPr>
      <w:rFonts w:eastAsia="宋体"/>
      <w:b/>
      <w:bCs/>
      <w:kern w:val="2"/>
      <w:sz w:val="21"/>
      <w:szCs w:val="24"/>
      <w:lang w:val="en-US" w:eastAsia="zh-CN" w:bidi="ar-SA"/>
    </w:rPr>
  </w:style>
  <w:style w:type="character" w:customStyle="1" w:styleId="256">
    <w:name w:val="grame"/>
    <w:qFormat/>
    <w:uiPriority w:val="0"/>
  </w:style>
  <w:style w:type="character" w:customStyle="1" w:styleId="257">
    <w:name w:val="纯文本1"/>
    <w:qFormat/>
    <w:uiPriority w:val="0"/>
    <w:rPr>
      <w:rFonts w:ascii="宋体" w:hAnsi="Courier New" w:eastAsia="宋体" w:cs="Courier New"/>
      <w:kern w:val="2"/>
      <w:sz w:val="21"/>
      <w:szCs w:val="21"/>
      <w:lang w:val="en-US" w:eastAsia="zh-CN" w:bidi="ar-SA"/>
    </w:rPr>
  </w:style>
  <w:style w:type="character" w:customStyle="1" w:styleId="258">
    <w:name w:val="ddd"/>
    <w:qFormat/>
    <w:uiPriority w:val="0"/>
  </w:style>
  <w:style w:type="character" w:customStyle="1" w:styleId="259">
    <w:name w:val="表格 Char1"/>
    <w:qFormat/>
    <w:uiPriority w:val="0"/>
    <w:rPr>
      <w:rFonts w:ascii="Times New Roman" w:hAnsi="Times New Roman" w:eastAsia="仿宋_GB2312"/>
      <w:color w:val="auto"/>
      <w:kern w:val="2"/>
      <w:sz w:val="21"/>
      <w:szCs w:val="24"/>
    </w:rPr>
  </w:style>
  <w:style w:type="character" w:customStyle="1" w:styleId="260">
    <w:name w:val="表 Char1"/>
    <w:qFormat/>
    <w:uiPriority w:val="0"/>
    <w:rPr>
      <w:rFonts w:eastAsia="仿宋_GB2312" w:cs="仿宋_GB2312"/>
      <w:kern w:val="2"/>
      <w:sz w:val="21"/>
      <w:szCs w:val="21"/>
      <w:lang w:val="en-US" w:eastAsia="zh-CN" w:bidi="ar-SA"/>
    </w:rPr>
  </w:style>
  <w:style w:type="character" w:customStyle="1" w:styleId="261">
    <w:name w:val="正文1 Char"/>
    <w:link w:val="262"/>
    <w:qFormat/>
    <w:uiPriority w:val="0"/>
    <w:rPr>
      <w:rFonts w:ascii="宋体" w:hAnsi="宋体"/>
      <w:color w:val="000000"/>
      <w:kern w:val="2"/>
      <w:sz w:val="24"/>
    </w:rPr>
  </w:style>
  <w:style w:type="paragraph" w:customStyle="1" w:styleId="262">
    <w:name w:val="正文1"/>
    <w:basedOn w:val="1"/>
    <w:link w:val="261"/>
    <w:qFormat/>
    <w:uiPriority w:val="0"/>
    <w:pPr>
      <w:snapToGrid w:val="0"/>
      <w:spacing w:beforeLines="20" w:afterLines="20" w:line="312" w:lineRule="auto"/>
      <w:ind w:firstLine="475" w:firstLineChars="198"/>
    </w:pPr>
    <w:rPr>
      <w:rFonts w:ascii="宋体" w:hAnsi="宋体"/>
      <w:color w:val="000000"/>
      <w:sz w:val="24"/>
      <w:szCs w:val="20"/>
    </w:rPr>
  </w:style>
  <w:style w:type="character" w:customStyle="1" w:styleId="263">
    <w:name w:val="正文调整 Char"/>
    <w:link w:val="264"/>
    <w:qFormat/>
    <w:uiPriority w:val="0"/>
    <w:rPr>
      <w:kern w:val="2"/>
      <w:sz w:val="24"/>
      <w:szCs w:val="24"/>
    </w:rPr>
  </w:style>
  <w:style w:type="paragraph" w:customStyle="1" w:styleId="264">
    <w:name w:val="正文调整"/>
    <w:basedOn w:val="1"/>
    <w:link w:val="263"/>
    <w:qFormat/>
    <w:uiPriority w:val="0"/>
    <w:pPr>
      <w:spacing w:before="60" w:line="460" w:lineRule="atLeast"/>
      <w:ind w:firstLine="200" w:firstLineChars="200"/>
    </w:pPr>
    <w:rPr>
      <w:sz w:val="24"/>
    </w:rPr>
  </w:style>
  <w:style w:type="character" w:customStyle="1" w:styleId="265">
    <w:name w:val="表格标题 Char Char"/>
    <w:link w:val="266"/>
    <w:qFormat/>
    <w:uiPriority w:val="0"/>
    <w:rPr>
      <w:rFonts w:eastAsia="方正魏碑简体"/>
      <w:kern w:val="2"/>
      <w:sz w:val="24"/>
    </w:rPr>
  </w:style>
  <w:style w:type="paragraph" w:customStyle="1" w:styleId="266">
    <w:name w:val="表格标题"/>
    <w:basedOn w:val="1"/>
    <w:link w:val="265"/>
    <w:qFormat/>
    <w:uiPriority w:val="0"/>
    <w:pPr>
      <w:spacing w:before="120"/>
      <w:jc w:val="center"/>
    </w:pPr>
    <w:rPr>
      <w:rFonts w:eastAsia="方正魏碑简体"/>
      <w:sz w:val="24"/>
      <w:szCs w:val="20"/>
    </w:rPr>
  </w:style>
  <w:style w:type="paragraph" w:customStyle="1" w:styleId="267">
    <w:name w:val="居中正文"/>
    <w:basedOn w:val="57"/>
    <w:qFormat/>
    <w:uiPriority w:val="0"/>
    <w:pPr>
      <w:adjustRightInd w:val="0"/>
      <w:spacing w:before="120" w:after="0" w:line="360" w:lineRule="auto"/>
      <w:ind w:firstLine="0" w:firstLineChars="0"/>
      <w:jc w:val="center"/>
      <w:textAlignment w:val="baseline"/>
    </w:pPr>
    <w:rPr>
      <w:rFonts w:ascii="宋体"/>
      <w:kern w:val="28"/>
      <w:sz w:val="24"/>
      <w:szCs w:val="24"/>
    </w:rPr>
  </w:style>
  <w:style w:type="character" w:customStyle="1" w:styleId="268">
    <w:name w:val="注释标题 Char1"/>
    <w:qFormat/>
    <w:uiPriority w:val="99"/>
    <w:rPr>
      <w:kern w:val="2"/>
      <w:sz w:val="21"/>
      <w:szCs w:val="24"/>
    </w:rPr>
  </w:style>
  <w:style w:type="paragraph" w:customStyle="1" w:styleId="269">
    <w:name w:val="正文首行缩进 2 + Times New Roman"/>
    <w:basedOn w:val="1"/>
    <w:qFormat/>
    <w:uiPriority w:val="0"/>
    <w:pPr>
      <w:tabs>
        <w:tab w:val="left" w:pos="0"/>
        <w:tab w:val="left" w:pos="1080"/>
      </w:tabs>
      <w:autoSpaceDE w:val="0"/>
      <w:autoSpaceDN w:val="0"/>
      <w:spacing w:line="540" w:lineRule="exact"/>
      <w:ind w:firstLine="480" w:firstLineChars="200"/>
    </w:pPr>
    <w:rPr>
      <w:sz w:val="24"/>
    </w:rPr>
  </w:style>
  <w:style w:type="paragraph" w:customStyle="1" w:styleId="270">
    <w:name w:val="CM11"/>
    <w:basedOn w:val="73"/>
    <w:next w:val="73"/>
    <w:qFormat/>
    <w:uiPriority w:val="0"/>
    <w:pPr>
      <w:spacing w:line="460" w:lineRule="atLeast"/>
    </w:pPr>
    <w:rPr>
      <w:rFonts w:ascii="黑体" w:eastAsia="黑体" w:cs="Times New Roman"/>
      <w:color w:val="auto"/>
      <w:sz w:val="20"/>
    </w:rPr>
  </w:style>
  <w:style w:type="character" w:customStyle="1" w:styleId="271">
    <w:name w:val="HTML 预设格式 Char"/>
    <w:link w:val="53"/>
    <w:qFormat/>
    <w:uiPriority w:val="99"/>
    <w:rPr>
      <w:rFonts w:ascii="Arial" w:hAnsi="Arial"/>
      <w:sz w:val="23"/>
      <w:szCs w:val="23"/>
    </w:rPr>
  </w:style>
  <w:style w:type="character" w:customStyle="1" w:styleId="272">
    <w:name w:val="正文文本 3 Char1"/>
    <w:qFormat/>
    <w:uiPriority w:val="99"/>
    <w:rPr>
      <w:kern w:val="2"/>
      <w:sz w:val="16"/>
      <w:szCs w:val="16"/>
    </w:rPr>
  </w:style>
  <w:style w:type="paragraph" w:customStyle="1" w:styleId="273">
    <w:name w:val="IDC A-Head (2nd Line)"/>
    <w:basedOn w:val="1"/>
    <w:next w:val="1"/>
    <w:qFormat/>
    <w:uiPriority w:val="0"/>
    <w:pPr>
      <w:widowControl/>
      <w:jc w:val="center"/>
    </w:pPr>
    <w:rPr>
      <w:caps/>
      <w:kern w:val="0"/>
      <w:sz w:val="24"/>
      <w:szCs w:val="20"/>
    </w:rPr>
  </w:style>
  <w:style w:type="paragraph" w:customStyle="1" w:styleId="274">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275">
    <w:name w:val="默认段落字体 Para Char Char Char Char Char Char Char Char Char Char Char Char Char"/>
    <w:basedOn w:val="1"/>
    <w:qFormat/>
    <w:uiPriority w:val="0"/>
    <w:rPr>
      <w:sz w:val="24"/>
    </w:rPr>
  </w:style>
  <w:style w:type="paragraph" w:customStyle="1" w:styleId="276">
    <w:name w:val="1 Char Char Char Char Char Char Char Char Char Char Char Char Char Char Char Char"/>
    <w:basedOn w:val="1"/>
    <w:qFormat/>
    <w:uiPriority w:val="0"/>
  </w:style>
  <w:style w:type="paragraph" w:customStyle="1" w:styleId="277">
    <w:name w:val="css1"/>
    <w:basedOn w:val="1"/>
    <w:qFormat/>
    <w:uiPriority w:val="0"/>
    <w:pPr>
      <w:widowControl/>
      <w:spacing w:before="100" w:beforeAutospacing="1" w:after="100" w:afterAutospacing="1"/>
      <w:jc w:val="left"/>
    </w:pPr>
    <w:rPr>
      <w:rFonts w:ascii="宋体" w:hAnsi="宋体" w:cs="宋体"/>
      <w:kern w:val="0"/>
      <w:sz w:val="24"/>
    </w:rPr>
  </w:style>
  <w:style w:type="paragraph" w:customStyle="1" w:styleId="278">
    <w:name w:val="表2"/>
    <w:basedOn w:val="7"/>
    <w:qFormat/>
    <w:uiPriority w:val="0"/>
    <w:pPr>
      <w:snapToGrid w:val="0"/>
      <w:ind w:firstLine="0"/>
      <w:jc w:val="center"/>
      <w:textAlignment w:val="baseline"/>
      <w:outlineLvl w:val="7"/>
    </w:pPr>
    <w:rPr>
      <w:rFonts w:eastAsia="仿宋_GB2312"/>
      <w:snapToGrid w:val="0"/>
      <w:color w:val="000000"/>
      <w:sz w:val="21"/>
      <w:szCs w:val="21"/>
    </w:rPr>
  </w:style>
  <w:style w:type="paragraph" w:customStyle="1" w:styleId="279">
    <w:name w:val="xl34"/>
    <w:basedOn w:val="1"/>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280">
    <w:name w:val="码头表"/>
    <w:basedOn w:val="1"/>
    <w:qFormat/>
    <w:uiPriority w:val="0"/>
    <w:pPr>
      <w:jc w:val="center"/>
    </w:pPr>
    <w:rPr>
      <w:rFonts w:ascii="宋体" w:hAnsi="宋体"/>
      <w:color w:val="FF0000"/>
      <w:sz w:val="24"/>
    </w:rPr>
  </w:style>
  <w:style w:type="paragraph" w:customStyle="1" w:styleId="281">
    <w:name w:val="表内式样"/>
    <w:qFormat/>
    <w:uiPriority w:val="0"/>
    <w:pPr>
      <w:widowControl w:val="0"/>
      <w:adjustRightInd w:val="0"/>
      <w:jc w:val="center"/>
      <w:textAlignment w:val="baseline"/>
    </w:pPr>
    <w:rPr>
      <w:rFonts w:ascii="宋体" w:hAnsi="宋体" w:eastAsia="宋体" w:cs="Times New Roman"/>
      <w:kern w:val="2"/>
      <w:sz w:val="21"/>
      <w:lang w:val="en-US" w:eastAsia="zh-CN" w:bidi="ar-SA"/>
    </w:rPr>
  </w:style>
  <w:style w:type="paragraph" w:customStyle="1" w:styleId="282">
    <w:name w:val="Char1"/>
    <w:basedOn w:val="1"/>
    <w:qFormat/>
    <w:uiPriority w:val="0"/>
    <w:rPr>
      <w:sz w:val="24"/>
    </w:rPr>
  </w:style>
  <w:style w:type="paragraph" w:customStyle="1" w:styleId="283">
    <w:name w:val="正文2"/>
    <w:basedOn w:val="1"/>
    <w:qFormat/>
    <w:uiPriority w:val="0"/>
    <w:pPr>
      <w:spacing w:line="500" w:lineRule="exact"/>
      <w:ind w:firstLine="560" w:firstLineChars="200"/>
    </w:pPr>
    <w:rPr>
      <w:rFonts w:ascii="楷体_GB2312" w:eastAsia="楷体_GB2312" w:cs="宋体"/>
      <w:sz w:val="28"/>
      <w:szCs w:val="20"/>
    </w:rPr>
  </w:style>
  <w:style w:type="paragraph" w:customStyle="1" w:styleId="284">
    <w:name w:val="xl37"/>
    <w:basedOn w:val="1"/>
    <w:qFormat/>
    <w:uiPriority w:val="0"/>
    <w:pPr>
      <w:widowControl/>
      <w:pBdr>
        <w:left w:val="single" w:color="auto" w:sz="8" w:space="0"/>
        <w:bottom w:val="single" w:color="auto" w:sz="8"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85">
    <w:name w:val="样式 标题 3ReHead 3 WSAh3标题 3 Char标题 32标题 311Re11Head 3 WSA1..."/>
    <w:basedOn w:val="6"/>
    <w:qFormat/>
    <w:uiPriority w:val="0"/>
    <w:pPr>
      <w:keepNext w:val="0"/>
      <w:keepLines w:val="0"/>
      <w:widowControl/>
      <w:tabs>
        <w:tab w:val="clear" w:pos="567"/>
      </w:tabs>
      <w:spacing w:beforeLines="50" w:after="0"/>
      <w:ind w:left="0" w:firstLine="0"/>
      <w:jc w:val="left"/>
    </w:pPr>
    <w:rPr>
      <w:rFonts w:ascii="宋体" w:hAnsi="宋体" w:eastAsia="宋体" w:cs="宋体"/>
      <w:bCs/>
      <w:color w:val="000000"/>
      <w:kern w:val="0"/>
      <w:sz w:val="24"/>
    </w:rPr>
  </w:style>
  <w:style w:type="paragraph" w:customStyle="1" w:styleId="286">
    <w:name w:val="1 Char Char Char Char Char Char Char Char Char Char"/>
    <w:basedOn w:val="1"/>
    <w:qFormat/>
    <w:uiPriority w:val="0"/>
  </w:style>
  <w:style w:type="paragraph" w:customStyle="1" w:styleId="287">
    <w:name w:val="Char Char Char Char Char Char 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88">
    <w:name w:val="xl26"/>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eastAsia="Arial Unicode MS"/>
      <w:kern w:val="0"/>
      <w:sz w:val="18"/>
      <w:szCs w:val="18"/>
    </w:rPr>
  </w:style>
  <w:style w:type="paragraph" w:customStyle="1" w:styleId="289">
    <w:name w:val="正文两端对齐"/>
    <w:basedOn w:val="1"/>
    <w:qFormat/>
    <w:uiPriority w:val="0"/>
    <w:pPr>
      <w:spacing w:line="480" w:lineRule="exact"/>
    </w:pPr>
    <w:rPr>
      <w:rFonts w:ascii="宋体"/>
      <w:sz w:val="24"/>
    </w:rPr>
  </w:style>
  <w:style w:type="paragraph" w:customStyle="1" w:styleId="290">
    <w:name w:val="Char2"/>
    <w:basedOn w:val="1"/>
    <w:qFormat/>
    <w:uiPriority w:val="0"/>
    <w:pPr>
      <w:ind w:firstLine="200" w:firstLineChars="200"/>
    </w:pPr>
    <w:rPr>
      <w:rFonts w:ascii="宋体" w:hAnsi="宋体" w:cs="宋体"/>
    </w:rPr>
  </w:style>
  <w:style w:type="paragraph" w:customStyle="1" w:styleId="291">
    <w:name w:val="1 Char Char Char Char Char Char Char Char Char Char Char Char Char"/>
    <w:basedOn w:val="1"/>
    <w:qFormat/>
    <w:uiPriority w:val="0"/>
  </w:style>
  <w:style w:type="paragraph" w:customStyle="1" w:styleId="292">
    <w:name w:val="表格1"/>
    <w:basedOn w:val="1"/>
    <w:qFormat/>
    <w:uiPriority w:val="0"/>
    <w:pPr>
      <w:spacing w:before="120" w:line="360" w:lineRule="auto"/>
    </w:pPr>
    <w:rPr>
      <w:sz w:val="24"/>
      <w:szCs w:val="20"/>
    </w:rPr>
  </w:style>
  <w:style w:type="paragraph" w:customStyle="1" w:styleId="293">
    <w:name w:val="中文报告书样式"/>
    <w:basedOn w:val="1"/>
    <w:qFormat/>
    <w:uiPriority w:val="0"/>
    <w:pPr>
      <w:adjustRightInd w:val="0"/>
      <w:spacing w:line="480" w:lineRule="atLeast"/>
      <w:ind w:firstLine="482"/>
      <w:textAlignment w:val="baseline"/>
    </w:pPr>
    <w:rPr>
      <w:rFonts w:ascii="Lucida Console" w:hAnsi="Lucida Console" w:eastAsia="华文中宋" w:cs="Lucida Console"/>
      <w:kern w:val="24"/>
      <w:sz w:val="24"/>
      <w:szCs w:val="20"/>
    </w:rPr>
  </w:style>
  <w:style w:type="paragraph" w:customStyle="1" w:styleId="294">
    <w:name w:val="大表内容"/>
    <w:qFormat/>
    <w:uiPriority w:val="0"/>
    <w:pPr>
      <w:snapToGrid w:val="0"/>
      <w:jc w:val="center"/>
    </w:pPr>
    <w:rPr>
      <w:rFonts w:ascii="Times New Roman" w:hAnsi="Times New Roman" w:eastAsia="宋体" w:cs="Times New Roman"/>
      <w:sz w:val="21"/>
      <w:szCs w:val="21"/>
      <w:lang w:val="en-US" w:eastAsia="zh-CN" w:bidi="ar-SA"/>
    </w:rPr>
  </w:style>
  <w:style w:type="paragraph" w:customStyle="1" w:styleId="295">
    <w:name w:val="简单回函地址"/>
    <w:basedOn w:val="1"/>
    <w:qFormat/>
    <w:uiPriority w:val="0"/>
    <w:rPr>
      <w:szCs w:val="20"/>
    </w:rPr>
  </w:style>
  <w:style w:type="paragraph" w:customStyle="1" w:styleId="296">
    <w:name w:val="Char Char2"/>
    <w:basedOn w:val="1"/>
    <w:qFormat/>
    <w:uiPriority w:val="0"/>
    <w:pPr>
      <w:adjustRightInd w:val="0"/>
      <w:spacing w:line="360" w:lineRule="auto"/>
    </w:pPr>
    <w:rPr>
      <w:kern w:val="0"/>
      <w:sz w:val="24"/>
    </w:rPr>
  </w:style>
  <w:style w:type="paragraph" w:customStyle="1" w:styleId="297">
    <w:name w:val="二级条标题"/>
    <w:basedOn w:val="298"/>
    <w:next w:val="1"/>
    <w:qFormat/>
    <w:uiPriority w:val="0"/>
    <w:pPr>
      <w:tabs>
        <w:tab w:val="left" w:pos="360"/>
        <w:tab w:val="left" w:pos="903"/>
      </w:tabs>
      <w:outlineLvl w:val="3"/>
    </w:pPr>
  </w:style>
  <w:style w:type="paragraph" w:customStyle="1" w:styleId="298">
    <w:name w:val="一级条标题"/>
    <w:basedOn w:val="299"/>
    <w:next w:val="1"/>
    <w:qFormat/>
    <w:uiPriority w:val="0"/>
    <w:pPr>
      <w:tabs>
        <w:tab w:val="left" w:pos="360"/>
        <w:tab w:val="left" w:pos="903"/>
      </w:tabs>
      <w:spacing w:before="0" w:after="0"/>
      <w:ind w:left="0" w:firstLine="0"/>
      <w:outlineLvl w:val="2"/>
    </w:pPr>
  </w:style>
  <w:style w:type="paragraph" w:customStyle="1" w:styleId="299">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300">
    <w:name w:val="正文缩进1"/>
    <w:basedOn w:val="1"/>
    <w:qFormat/>
    <w:uiPriority w:val="0"/>
    <w:pPr>
      <w:spacing w:beforeLines="50" w:afterLines="50" w:line="360" w:lineRule="auto"/>
      <w:ind w:firstLine="482" w:firstLineChars="200"/>
      <w:jc w:val="center"/>
    </w:pPr>
    <w:rPr>
      <w:b/>
      <w:sz w:val="24"/>
      <w:szCs w:val="20"/>
    </w:rPr>
  </w:style>
  <w:style w:type="paragraph" w:customStyle="1" w:styleId="301">
    <w:name w:val="xl27"/>
    <w:basedOn w:val="1"/>
    <w:qFormat/>
    <w:uiPriority w:val="0"/>
    <w:pPr>
      <w:widowControl/>
      <w:pBdr>
        <w:left w:val="single" w:color="auto" w:sz="4" w:space="0"/>
        <w:right w:val="single" w:color="auto" w:sz="4" w:space="0"/>
      </w:pBdr>
      <w:spacing w:before="100" w:beforeAutospacing="1" w:after="100" w:afterAutospacing="1"/>
      <w:jc w:val="center"/>
    </w:pPr>
    <w:rPr>
      <w:rFonts w:eastAsia="Arial Unicode MS"/>
      <w:kern w:val="0"/>
      <w:sz w:val="24"/>
    </w:rPr>
  </w:style>
  <w:style w:type="paragraph" w:customStyle="1" w:styleId="302">
    <w:name w:val="标准"/>
    <w:basedOn w:val="1"/>
    <w:qFormat/>
    <w:uiPriority w:val="0"/>
    <w:pPr>
      <w:adjustRightInd w:val="0"/>
      <w:spacing w:line="360" w:lineRule="auto"/>
      <w:textAlignment w:val="baseline"/>
    </w:pPr>
    <w:rPr>
      <w:rFonts w:ascii="楷体_GB2312" w:eastAsia="楷体_GB2312"/>
      <w:kern w:val="0"/>
      <w:sz w:val="28"/>
      <w:szCs w:val="20"/>
    </w:rPr>
  </w:style>
  <w:style w:type="paragraph" w:customStyle="1" w:styleId="303">
    <w:name w:val="表格001"/>
    <w:basedOn w:val="1"/>
    <w:qFormat/>
    <w:uiPriority w:val="0"/>
    <w:pPr>
      <w:jc w:val="center"/>
    </w:pPr>
    <w:rPr>
      <w:rFonts w:ascii="宋体" w:hAnsi="宋体"/>
      <w:sz w:val="24"/>
      <w:szCs w:val="20"/>
    </w:rPr>
  </w:style>
  <w:style w:type="paragraph" w:customStyle="1" w:styleId="304">
    <w:name w:val="三级标题"/>
    <w:basedOn w:val="1"/>
    <w:next w:val="2"/>
    <w:qFormat/>
    <w:uiPriority w:val="0"/>
    <w:pPr>
      <w:spacing w:line="360" w:lineRule="exact"/>
      <w:jc w:val="center"/>
    </w:pPr>
    <w:rPr>
      <w:sz w:val="24"/>
    </w:rPr>
  </w:style>
  <w:style w:type="paragraph" w:customStyle="1" w:styleId="305">
    <w:name w:val="表格内容"/>
    <w:basedOn w:val="1"/>
    <w:link w:val="463"/>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paragraph" w:customStyle="1" w:styleId="306">
    <w:name w:val="1文章"/>
    <w:basedOn w:val="1"/>
    <w:qFormat/>
    <w:uiPriority w:val="0"/>
    <w:pPr>
      <w:snapToGrid w:val="0"/>
      <w:spacing w:line="420" w:lineRule="auto"/>
      <w:ind w:firstLine="454"/>
      <w:outlineLvl w:val="4"/>
    </w:pPr>
    <w:rPr>
      <w:spacing w:val="4"/>
      <w:sz w:val="24"/>
    </w:rPr>
  </w:style>
  <w:style w:type="paragraph" w:customStyle="1" w:styleId="307">
    <w:name w:val="本文正文"/>
    <w:basedOn w:val="1"/>
    <w:qFormat/>
    <w:uiPriority w:val="0"/>
    <w:pPr>
      <w:autoSpaceDE w:val="0"/>
      <w:autoSpaceDN w:val="0"/>
      <w:adjustRightInd w:val="0"/>
      <w:spacing w:line="300" w:lineRule="auto"/>
      <w:ind w:firstLine="560" w:firstLineChars="200"/>
      <w:textAlignment w:val="baseline"/>
    </w:pPr>
    <w:rPr>
      <w:sz w:val="28"/>
      <w:szCs w:val="20"/>
    </w:rPr>
  </w:style>
  <w:style w:type="paragraph" w:customStyle="1" w:styleId="308">
    <w:name w:val="Char Char Char"/>
    <w:basedOn w:val="1"/>
    <w:qFormat/>
    <w:uiPriority w:val="0"/>
  </w:style>
  <w:style w:type="paragraph" w:customStyle="1" w:styleId="309">
    <w:name w:val="样式"/>
    <w:basedOn w:val="1"/>
    <w:next w:val="32"/>
    <w:qFormat/>
    <w:uiPriority w:val="0"/>
    <w:rPr>
      <w:rFonts w:ascii="宋体" w:hAnsi="Courier New"/>
      <w:sz w:val="24"/>
    </w:rPr>
  </w:style>
  <w:style w:type="paragraph" w:customStyle="1" w:styleId="310">
    <w:name w:val="4级标题"/>
    <w:basedOn w:val="142"/>
    <w:qFormat/>
    <w:uiPriority w:val="0"/>
    <w:pPr>
      <w:ind w:firstLine="0" w:firstLineChars="0"/>
    </w:pPr>
    <w:rPr>
      <w:b/>
      <w:szCs w:val="24"/>
    </w:rPr>
  </w:style>
  <w:style w:type="paragraph" w:customStyle="1" w:styleId="311">
    <w:name w:val="Char Char Char Char Char Char1 Char"/>
    <w:basedOn w:val="1"/>
    <w:qFormat/>
    <w:uiPriority w:val="0"/>
    <w:pPr>
      <w:spacing w:line="360" w:lineRule="auto"/>
    </w:pPr>
    <w:rPr>
      <w:sz w:val="24"/>
    </w:rPr>
  </w:style>
  <w:style w:type="paragraph" w:customStyle="1" w:styleId="312">
    <w:name w:val="样式2"/>
    <w:basedOn w:val="1"/>
    <w:link w:val="402"/>
    <w:qFormat/>
    <w:uiPriority w:val="0"/>
    <w:pPr>
      <w:spacing w:line="240" w:lineRule="exact"/>
      <w:jc w:val="left"/>
      <w:outlineLvl w:val="0"/>
    </w:pPr>
    <w:rPr>
      <w:sz w:val="24"/>
    </w:rPr>
  </w:style>
  <w:style w:type="paragraph" w:customStyle="1" w:styleId="313">
    <w:name w:val="表文"/>
    <w:basedOn w:val="137"/>
    <w:qFormat/>
    <w:uiPriority w:val="0"/>
    <w:pPr>
      <w:overflowPunct/>
      <w:autoSpaceDE/>
      <w:autoSpaceDN/>
      <w:adjustRightInd/>
      <w:spacing w:beforeLines="20" w:afterLines="20" w:line="240" w:lineRule="auto"/>
      <w:ind w:firstLine="0"/>
      <w:textAlignment w:val="auto"/>
    </w:pPr>
    <w:rPr>
      <w:rFonts w:eastAsia="宋体"/>
      <w:b/>
      <w:bCs/>
      <w:kern w:val="2"/>
      <w:sz w:val="24"/>
    </w:rPr>
  </w:style>
  <w:style w:type="paragraph" w:customStyle="1" w:styleId="314">
    <w:name w:val="报告表格"/>
    <w:basedOn w:val="1"/>
    <w:qFormat/>
    <w:uiPriority w:val="0"/>
    <w:pPr>
      <w:autoSpaceDE w:val="0"/>
      <w:autoSpaceDN w:val="0"/>
      <w:adjustRightInd w:val="0"/>
      <w:spacing w:before="40" w:after="40"/>
      <w:jc w:val="center"/>
      <w:textAlignment w:val="bottom"/>
    </w:pPr>
    <w:rPr>
      <w:kern w:val="0"/>
      <w:szCs w:val="20"/>
    </w:rPr>
  </w:style>
  <w:style w:type="paragraph" w:customStyle="1" w:styleId="315">
    <w:name w:val="xl22"/>
    <w:basedOn w:val="1"/>
    <w:qFormat/>
    <w:uiPriority w:val="0"/>
    <w:pPr>
      <w:widowControl/>
      <w:spacing w:before="100" w:after="100"/>
      <w:jc w:val="center"/>
    </w:pPr>
    <w:rPr>
      <w:kern w:val="0"/>
      <w:sz w:val="24"/>
    </w:rPr>
  </w:style>
  <w:style w:type="paragraph" w:customStyle="1" w:styleId="316">
    <w:name w:val="xl29"/>
    <w:basedOn w:val="1"/>
    <w:qFormat/>
    <w:uiPriority w:val="0"/>
    <w:pPr>
      <w:widowControl/>
      <w:pBdr>
        <w:bottom w:val="single" w:color="auto" w:sz="4" w:space="0"/>
        <w:right w:val="single" w:color="auto" w:sz="8" w:space="0"/>
      </w:pBdr>
      <w:spacing w:before="100" w:beforeAutospacing="1" w:after="100" w:afterAutospacing="1"/>
      <w:jc w:val="center"/>
    </w:pPr>
    <w:rPr>
      <w:kern w:val="0"/>
      <w:szCs w:val="21"/>
    </w:rPr>
  </w:style>
  <w:style w:type="paragraph" w:customStyle="1" w:styleId="317">
    <w:name w:val="三级条标题"/>
    <w:basedOn w:val="297"/>
    <w:next w:val="1"/>
    <w:qFormat/>
    <w:uiPriority w:val="0"/>
    <w:pPr>
      <w:tabs>
        <w:tab w:val="clear" w:pos="360"/>
      </w:tabs>
      <w:outlineLvl w:val="4"/>
    </w:pPr>
  </w:style>
  <w:style w:type="paragraph" w:customStyle="1" w:styleId="318">
    <w:name w:val="xl28"/>
    <w:basedOn w:val="1"/>
    <w:qFormat/>
    <w:uiPriority w:val="0"/>
    <w:pPr>
      <w:widowControl/>
      <w:pBdr>
        <w:bottom w:val="single" w:color="auto" w:sz="4" w:space="0"/>
        <w:right w:val="single" w:color="auto" w:sz="4" w:space="0"/>
      </w:pBdr>
      <w:spacing w:before="100" w:beforeAutospacing="1" w:after="100" w:afterAutospacing="1"/>
      <w:jc w:val="center"/>
    </w:pPr>
    <w:rPr>
      <w:kern w:val="0"/>
      <w:sz w:val="24"/>
    </w:rPr>
  </w:style>
  <w:style w:type="paragraph" w:customStyle="1" w:styleId="319">
    <w:name w:val="CM2"/>
    <w:basedOn w:val="73"/>
    <w:next w:val="73"/>
    <w:qFormat/>
    <w:uiPriority w:val="0"/>
    <w:pPr>
      <w:spacing w:line="460" w:lineRule="atLeast"/>
    </w:pPr>
    <w:rPr>
      <w:rFonts w:ascii="黑体" w:eastAsia="黑体" w:cs="Times New Roman"/>
      <w:color w:val="auto"/>
      <w:sz w:val="20"/>
    </w:rPr>
  </w:style>
  <w:style w:type="paragraph" w:customStyle="1" w:styleId="320">
    <w:name w:val="表序号"/>
    <w:basedOn w:val="9"/>
    <w:qFormat/>
    <w:uiPriority w:val="0"/>
    <w:pPr>
      <w:keepLines/>
      <w:tabs>
        <w:tab w:val="clear" w:pos="1080"/>
      </w:tabs>
      <w:spacing w:line="360" w:lineRule="auto"/>
      <w:ind w:left="1134" w:hanging="1134"/>
      <w:jc w:val="center"/>
    </w:pPr>
    <w:rPr>
      <w:rFonts w:ascii="宋体" w:hAnsi="宋体"/>
      <w:sz w:val="24"/>
    </w:rPr>
  </w:style>
  <w:style w:type="paragraph" w:customStyle="1" w:styleId="321">
    <w:name w:val="2"/>
    <w:basedOn w:val="1"/>
    <w:next w:val="48"/>
    <w:qFormat/>
    <w:uiPriority w:val="0"/>
    <w:pPr>
      <w:spacing w:line="360" w:lineRule="auto"/>
      <w:ind w:firstLine="480"/>
    </w:pPr>
    <w:rPr>
      <w:sz w:val="24"/>
      <w:szCs w:val="20"/>
    </w:rPr>
  </w:style>
  <w:style w:type="paragraph" w:customStyle="1" w:styleId="322">
    <w:name w:val="标准文本 首行缩进:2 字符 行距1倍"/>
    <w:basedOn w:val="1"/>
    <w:qFormat/>
    <w:uiPriority w:val="0"/>
    <w:pPr>
      <w:adjustRightInd w:val="0"/>
      <w:snapToGrid w:val="0"/>
      <w:spacing w:line="480" w:lineRule="exact"/>
      <w:textAlignment w:val="center"/>
    </w:pPr>
    <w:rPr>
      <w:rFonts w:cs="宋体"/>
      <w:sz w:val="24"/>
      <w:szCs w:val="20"/>
    </w:rPr>
  </w:style>
  <w:style w:type="paragraph" w:customStyle="1" w:styleId="323">
    <w:name w:val="1"/>
    <w:basedOn w:val="1"/>
    <w:next w:val="7"/>
    <w:qFormat/>
    <w:uiPriority w:val="0"/>
    <w:pPr>
      <w:ind w:firstLine="420"/>
    </w:pPr>
    <w:rPr>
      <w:sz w:val="24"/>
    </w:rPr>
  </w:style>
  <w:style w:type="paragraph" w:customStyle="1" w:styleId="324">
    <w:name w:val="正文样式2"/>
    <w:basedOn w:val="1"/>
    <w:qFormat/>
    <w:uiPriority w:val="0"/>
    <w:pPr>
      <w:adjustRightInd w:val="0"/>
      <w:snapToGrid w:val="0"/>
      <w:spacing w:line="360" w:lineRule="auto"/>
      <w:ind w:firstLine="510"/>
      <w:textAlignment w:val="baseline"/>
    </w:pPr>
    <w:rPr>
      <w:rFonts w:ascii="宋体"/>
      <w:kern w:val="24"/>
      <w:sz w:val="24"/>
      <w:szCs w:val="20"/>
    </w:rPr>
  </w:style>
  <w:style w:type="paragraph" w:customStyle="1" w:styleId="325">
    <w:name w:val="y表格"/>
    <w:basedOn w:val="25"/>
    <w:qFormat/>
    <w:uiPriority w:val="0"/>
    <w:pPr>
      <w:adjustRightInd w:val="0"/>
      <w:spacing w:before="0" w:after="0" w:line="240" w:lineRule="auto"/>
      <w:ind w:right="0"/>
      <w:jc w:val="center"/>
      <w:textAlignment w:val="baseline"/>
    </w:pPr>
    <w:rPr>
      <w:rFonts w:hint="eastAsia" w:ascii="宋体" w:hAnsi="宋体"/>
      <w:sz w:val="24"/>
    </w:rPr>
  </w:style>
  <w:style w:type="paragraph" w:customStyle="1" w:styleId="326">
    <w:name w:val="四级条标题"/>
    <w:basedOn w:val="317"/>
    <w:next w:val="1"/>
    <w:qFormat/>
    <w:uiPriority w:val="0"/>
    <w:pPr>
      <w:outlineLvl w:val="5"/>
    </w:pPr>
  </w:style>
  <w:style w:type="paragraph" w:customStyle="1" w:styleId="327">
    <w:name w:val="五级条标题"/>
    <w:basedOn w:val="326"/>
    <w:next w:val="1"/>
    <w:qFormat/>
    <w:uiPriority w:val="0"/>
    <w:pPr>
      <w:outlineLvl w:val="6"/>
    </w:pPr>
  </w:style>
  <w:style w:type="paragraph" w:customStyle="1" w:styleId="328">
    <w:name w:val="标题b"/>
    <w:basedOn w:val="1"/>
    <w:next w:val="1"/>
    <w:qFormat/>
    <w:uiPriority w:val="0"/>
    <w:pPr>
      <w:spacing w:line="700" w:lineRule="exact"/>
    </w:pPr>
    <w:rPr>
      <w:rFonts w:ascii="楷体_GB2312" w:hAnsi="楷体_GB2312" w:eastAsia="楷体_GB2312"/>
      <w:b/>
      <w:sz w:val="30"/>
      <w:szCs w:val="20"/>
    </w:rPr>
  </w:style>
  <w:style w:type="paragraph" w:customStyle="1" w:styleId="329">
    <w:name w:val="iw_poi_title"/>
    <w:basedOn w:val="1"/>
    <w:qFormat/>
    <w:uiPriority w:val="0"/>
    <w:pPr>
      <w:widowControl/>
      <w:jc w:val="left"/>
    </w:pPr>
    <w:rPr>
      <w:rFonts w:ascii="宋体" w:hAnsi="宋体" w:cs="宋体"/>
      <w:b/>
      <w:bCs/>
      <w:color w:val="CC5522"/>
      <w:kern w:val="0"/>
      <w:szCs w:val="21"/>
    </w:rPr>
  </w:style>
  <w:style w:type="paragraph" w:customStyle="1" w:styleId="330">
    <w:name w:val="表格 32"/>
    <w:basedOn w:val="1"/>
    <w:qFormat/>
    <w:uiPriority w:val="0"/>
    <w:pPr>
      <w:autoSpaceDE w:val="0"/>
      <w:autoSpaceDN w:val="0"/>
      <w:adjustRightInd w:val="0"/>
      <w:spacing w:line="240" w:lineRule="atLeast"/>
      <w:jc w:val="center"/>
      <w:textAlignment w:val="baseline"/>
    </w:pPr>
    <w:rPr>
      <w:kern w:val="0"/>
      <w:sz w:val="24"/>
    </w:rPr>
  </w:style>
  <w:style w:type="paragraph" w:customStyle="1" w:styleId="331">
    <w:name w:val="正文3"/>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332">
    <w:name w:val="样式 表格 32 + 首行缩进:  2 字符"/>
    <w:basedOn w:val="1"/>
    <w:qFormat/>
    <w:uiPriority w:val="0"/>
    <w:pPr>
      <w:autoSpaceDE w:val="0"/>
      <w:autoSpaceDN w:val="0"/>
      <w:adjustRightInd w:val="0"/>
      <w:spacing w:line="0" w:lineRule="atLeast"/>
      <w:jc w:val="center"/>
      <w:textAlignment w:val="baseline"/>
    </w:pPr>
    <w:rPr>
      <w:kern w:val="0"/>
      <w:szCs w:val="21"/>
    </w:rPr>
  </w:style>
  <w:style w:type="paragraph" w:customStyle="1" w:styleId="333">
    <w:name w:val="wpsplain"/>
    <w:basedOn w:val="1"/>
    <w:qFormat/>
    <w:uiPriority w:val="0"/>
    <w:pPr>
      <w:widowControl/>
      <w:spacing w:before="100" w:beforeAutospacing="1" w:after="100" w:afterAutospacing="1"/>
      <w:jc w:val="left"/>
    </w:pPr>
    <w:rPr>
      <w:rFonts w:ascii="宋体" w:hAnsi="宋体" w:cs="宋体"/>
      <w:kern w:val="0"/>
      <w:sz w:val="24"/>
    </w:rPr>
  </w:style>
  <w:style w:type="paragraph" w:customStyle="1" w:styleId="334">
    <w:name w:val="_Style 10"/>
    <w:basedOn w:val="1"/>
    <w:qFormat/>
    <w:uiPriority w:val="0"/>
    <w:rPr>
      <w:sz w:val="24"/>
    </w:rPr>
  </w:style>
  <w:style w:type="paragraph" w:customStyle="1" w:styleId="335">
    <w:name w:val="xl21"/>
    <w:basedOn w:val="1"/>
    <w:qFormat/>
    <w:uiPriority w:val="0"/>
    <w:pPr>
      <w:widowControl/>
      <w:spacing w:before="100" w:beforeAutospacing="1" w:after="100" w:afterAutospacing="1"/>
      <w:jc w:val="center"/>
    </w:pPr>
    <w:rPr>
      <w:rFonts w:ascii="宋体" w:hAnsi="宋体"/>
      <w:kern w:val="0"/>
      <w:sz w:val="24"/>
    </w:rPr>
  </w:style>
  <w:style w:type="paragraph" w:customStyle="1" w:styleId="336">
    <w:name w:val="表前文字"/>
    <w:basedOn w:val="1"/>
    <w:qFormat/>
    <w:uiPriority w:val="0"/>
    <w:pPr>
      <w:jc w:val="center"/>
    </w:pPr>
    <w:rPr>
      <w:sz w:val="24"/>
      <w:szCs w:val="21"/>
    </w:rPr>
  </w:style>
  <w:style w:type="paragraph" w:customStyle="1" w:styleId="337">
    <w:name w:val="表内5号居中"/>
    <w:qFormat/>
    <w:uiPriority w:val="0"/>
    <w:pPr>
      <w:widowControl w:val="0"/>
      <w:ind w:firstLine="1134"/>
      <w:jc w:val="center"/>
    </w:pPr>
    <w:rPr>
      <w:rFonts w:ascii="Times New Roman" w:hAnsi="Times New Roman" w:eastAsia="宋体" w:cs="Times New Roman"/>
      <w:kern w:val="2"/>
      <w:sz w:val="24"/>
      <w:szCs w:val="24"/>
      <w:lang w:val="en-US" w:eastAsia="zh-CN" w:bidi="ar-SA"/>
    </w:rPr>
  </w:style>
  <w:style w:type="paragraph" w:customStyle="1" w:styleId="338">
    <w:name w:val="样式 正文文字缩进 + 小四 首行缩进:  2 字符1"/>
    <w:basedOn w:val="3"/>
    <w:qFormat/>
    <w:uiPriority w:val="0"/>
    <w:pPr>
      <w:spacing w:afterLines="50" w:line="400" w:lineRule="exact"/>
      <w:ind w:left="0" w:leftChars="0" w:firstLine="200" w:firstLineChars="200"/>
    </w:pPr>
    <w:rPr>
      <w:rFonts w:eastAsia="华文楷体" w:cs="宋体"/>
      <w:kern w:val="2"/>
      <w:sz w:val="28"/>
    </w:rPr>
  </w:style>
  <w:style w:type="paragraph" w:customStyle="1" w:styleId="339">
    <w:name w:val="3 Char Char Char Char"/>
    <w:basedOn w:val="1"/>
    <w:next w:val="1"/>
    <w:qFormat/>
    <w:uiPriority w:val="0"/>
    <w:pPr>
      <w:spacing w:line="360" w:lineRule="auto"/>
      <w:ind w:firstLine="200" w:firstLineChars="200"/>
    </w:pPr>
    <w:rPr>
      <w:rFonts w:ascii="宋体" w:hAnsi="宋体" w:eastAsia="汉鼎简书宋" w:cs="宋体"/>
      <w:sz w:val="24"/>
    </w:rPr>
  </w:style>
  <w:style w:type="paragraph" w:customStyle="1" w:styleId="340">
    <w:name w:val="表格 23"/>
    <w:basedOn w:val="1"/>
    <w:qFormat/>
    <w:uiPriority w:val="0"/>
    <w:pPr>
      <w:autoSpaceDE w:val="0"/>
      <w:autoSpaceDN w:val="0"/>
      <w:adjustRightInd w:val="0"/>
      <w:jc w:val="center"/>
    </w:pPr>
    <w:rPr>
      <w:rFonts w:ascii="宋体" w:hAnsi="宋体" w:eastAsia="仿宋体"/>
      <w:kern w:val="0"/>
      <w:sz w:val="24"/>
      <w:szCs w:val="21"/>
    </w:rPr>
  </w:style>
  <w:style w:type="paragraph" w:customStyle="1" w:styleId="341">
    <w:name w:val="引言"/>
    <w:basedOn w:val="1"/>
    <w:next w:val="1"/>
    <w:qFormat/>
    <w:uiPriority w:val="0"/>
    <w:pPr>
      <w:jc w:val="center"/>
    </w:pPr>
    <w:rPr>
      <w:bCs/>
      <w:color w:val="000000"/>
      <w:szCs w:val="20"/>
    </w:rPr>
  </w:style>
  <w:style w:type="paragraph" w:customStyle="1" w:styleId="342">
    <w:name w:val="正文楷体"/>
    <w:basedOn w:val="1"/>
    <w:qFormat/>
    <w:uiPriority w:val="0"/>
    <w:rPr>
      <w:rFonts w:eastAsia="楷体_GB2312"/>
    </w:rPr>
  </w:style>
  <w:style w:type="paragraph" w:customStyle="1" w:styleId="343">
    <w:name w:val="文本正文"/>
    <w:basedOn w:val="1"/>
    <w:qFormat/>
    <w:uiPriority w:val="0"/>
    <w:pPr>
      <w:spacing w:line="480" w:lineRule="exact"/>
      <w:ind w:firstLine="560" w:firstLineChars="200"/>
    </w:pPr>
    <w:rPr>
      <w:rFonts w:ascii="仿宋_GB2312" w:hAnsi="宋体" w:eastAsia="仿宋_GB2312" w:cs="Courier New"/>
      <w:sz w:val="28"/>
      <w:szCs w:val="28"/>
    </w:rPr>
  </w:style>
  <w:style w:type="paragraph" w:customStyle="1" w:styleId="344">
    <w:name w:val="正文文本缩进 31"/>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345">
    <w:name w:val="body"/>
    <w:basedOn w:val="1"/>
    <w:qFormat/>
    <w:uiPriority w:val="0"/>
    <w:pPr>
      <w:spacing w:line="360" w:lineRule="auto"/>
    </w:pPr>
    <w:rPr>
      <w:rFonts w:ascii="宋体" w:hAnsi="宋体" w:cs="宋体"/>
      <w:sz w:val="24"/>
    </w:rPr>
  </w:style>
  <w:style w:type="paragraph" w:customStyle="1" w:styleId="346">
    <w:name w:val="小四表文左齐"/>
    <w:basedOn w:val="1"/>
    <w:qFormat/>
    <w:uiPriority w:val="0"/>
    <w:pPr>
      <w:jc w:val="center"/>
    </w:pPr>
    <w:rPr>
      <w:rFonts w:ascii="宋体" w:hAnsi="宋体"/>
      <w:color w:val="000000"/>
      <w:szCs w:val="21"/>
    </w:rPr>
  </w:style>
  <w:style w:type="paragraph" w:customStyle="1" w:styleId="347">
    <w:name w:val="表1表2"/>
    <w:basedOn w:val="1"/>
    <w:qFormat/>
    <w:uiPriority w:val="0"/>
    <w:pPr>
      <w:autoSpaceDE w:val="0"/>
      <w:autoSpaceDN w:val="0"/>
      <w:adjustRightInd w:val="0"/>
      <w:spacing w:line="360" w:lineRule="auto"/>
      <w:jc w:val="center"/>
      <w:textAlignment w:val="center"/>
    </w:pPr>
    <w:rPr>
      <w:rFonts w:ascii="宋体" w:hAnsi="宋体" w:eastAsia="仿宋体"/>
      <w:kern w:val="0"/>
      <w:sz w:val="24"/>
    </w:rPr>
  </w:style>
  <w:style w:type="paragraph" w:customStyle="1" w:styleId="348">
    <w:name w:val="新正文样式"/>
    <w:basedOn w:val="1"/>
    <w:qFormat/>
    <w:uiPriority w:val="0"/>
    <w:pPr>
      <w:tabs>
        <w:tab w:val="left" w:pos="567"/>
      </w:tabs>
      <w:spacing w:line="360" w:lineRule="auto"/>
      <w:ind w:firstLine="567"/>
    </w:pPr>
    <w:rPr>
      <w:spacing w:val="20"/>
      <w:sz w:val="24"/>
      <w:szCs w:val="20"/>
    </w:rPr>
  </w:style>
  <w:style w:type="paragraph" w:customStyle="1" w:styleId="349">
    <w:name w:val="标题11"/>
    <w:basedOn w:val="1"/>
    <w:qFormat/>
    <w:uiPriority w:val="0"/>
    <w:pPr>
      <w:spacing w:line="360" w:lineRule="auto"/>
    </w:pPr>
    <w:rPr>
      <w:b/>
      <w:bCs/>
      <w:sz w:val="28"/>
    </w:rPr>
  </w:style>
  <w:style w:type="paragraph" w:customStyle="1" w:styleId="350">
    <w:name w:val="字元 字元"/>
    <w:basedOn w:val="1"/>
    <w:qFormat/>
    <w:uiPriority w:val="0"/>
    <w:rPr>
      <w:sz w:val="24"/>
    </w:rPr>
  </w:style>
  <w:style w:type="paragraph" w:customStyle="1" w:styleId="351">
    <w:name w:val="Char Char Char Char Char Char1 Char Char Char Char Char Char Char Char Char"/>
    <w:basedOn w:val="1"/>
    <w:qFormat/>
    <w:uiPriority w:val="0"/>
    <w:rPr>
      <w:sz w:val="24"/>
    </w:rPr>
  </w:style>
  <w:style w:type="paragraph" w:customStyle="1" w:styleId="352">
    <w:name w:val="默认段落字体 Para Char Char Char1 Char Char Char Char Char Char Char Char Char Char"/>
    <w:basedOn w:val="1"/>
    <w:qFormat/>
    <w:uiPriority w:val="0"/>
    <w:rPr>
      <w:sz w:val="24"/>
    </w:rPr>
  </w:style>
  <w:style w:type="paragraph" w:customStyle="1" w:styleId="353">
    <w:name w:val="Char3"/>
    <w:basedOn w:val="1"/>
    <w:qFormat/>
    <w:uiPriority w:val="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354">
    <w:name w:val="正文 1"/>
    <w:basedOn w:val="1"/>
    <w:qFormat/>
    <w:uiPriority w:val="0"/>
    <w:pPr>
      <w:spacing w:line="480" w:lineRule="exact"/>
      <w:ind w:firstLine="567"/>
    </w:pPr>
    <w:rPr>
      <w:sz w:val="28"/>
    </w:rPr>
  </w:style>
  <w:style w:type="paragraph" w:customStyle="1" w:styleId="355">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table" w:customStyle="1" w:styleId="356">
    <w:name w:val="表格主题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7">
    <w:name w:val="网格型 1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58">
    <w:name w:val="网格型4"/>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59">
    <w:name w:val="左右无边框"/>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360">
    <w:name w:val="网格型3"/>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1">
    <w:name w:val="无左右边框型"/>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62">
    <w:name w:val="典雅型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363">
    <w:name w:val="左右无边表格"/>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364">
    <w:name w:val="典雅型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paragraph" w:customStyle="1" w:styleId="365">
    <w:name w:val="Char Char Char1 Char1 Char Char Char"/>
    <w:basedOn w:val="1"/>
    <w:qFormat/>
    <w:uiPriority w:val="0"/>
    <w:pPr>
      <w:spacing w:line="500" w:lineRule="exact"/>
      <w:ind w:firstLine="480" w:firstLineChars="200"/>
    </w:pPr>
    <w:rPr>
      <w:sz w:val="24"/>
      <w:szCs w:val="20"/>
    </w:rPr>
  </w:style>
  <w:style w:type="character" w:customStyle="1" w:styleId="366">
    <w:name w:val="A标准格式 Char Char"/>
    <w:link w:val="367"/>
    <w:qFormat/>
    <w:uiPriority w:val="0"/>
    <w:rPr>
      <w:kern w:val="2"/>
      <w:sz w:val="24"/>
      <w:szCs w:val="24"/>
    </w:rPr>
  </w:style>
  <w:style w:type="paragraph" w:customStyle="1" w:styleId="367">
    <w:name w:val="A标准格式"/>
    <w:basedOn w:val="1"/>
    <w:link w:val="366"/>
    <w:qFormat/>
    <w:uiPriority w:val="0"/>
    <w:pPr>
      <w:spacing w:line="440" w:lineRule="exact"/>
      <w:ind w:firstLine="480" w:firstLineChars="200"/>
    </w:pPr>
    <w:rPr>
      <w:sz w:val="24"/>
    </w:rPr>
  </w:style>
  <w:style w:type="paragraph" w:customStyle="1" w:styleId="368">
    <w:name w:val="reader-word-layer reader-word-s16-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69">
    <w:name w:val="reader-word-layer reader-word-s17-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70">
    <w:name w:val="reader-word-layer reader-word-s17-10"/>
    <w:basedOn w:val="1"/>
    <w:qFormat/>
    <w:uiPriority w:val="0"/>
    <w:pPr>
      <w:widowControl/>
      <w:spacing w:before="100" w:beforeAutospacing="1" w:after="100" w:afterAutospacing="1"/>
      <w:jc w:val="left"/>
    </w:pPr>
    <w:rPr>
      <w:rFonts w:ascii="宋体" w:hAnsi="宋体" w:cs="宋体"/>
      <w:kern w:val="0"/>
      <w:sz w:val="24"/>
    </w:rPr>
  </w:style>
  <w:style w:type="paragraph" w:customStyle="1" w:styleId="371">
    <w:name w:val="reader-word-layer reader-word-s17-11 reader-word-s17-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72">
    <w:name w:val="reader-word-layer reader-word-s17-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73">
    <w:name w:val="reader-word-layer reader-word-s17-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74">
    <w:name w:val="reader-word-layer reader-word-s18-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75">
    <w:name w:val="reader-word-layer reader-word-s18-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76">
    <w:name w:val="reader-word-layer reader-word-s18-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77">
    <w:name w:val="reader-word-layer reader-word-s18-26"/>
    <w:basedOn w:val="1"/>
    <w:qFormat/>
    <w:uiPriority w:val="0"/>
    <w:pPr>
      <w:widowControl/>
      <w:spacing w:before="100" w:beforeAutospacing="1" w:after="100" w:afterAutospacing="1"/>
      <w:jc w:val="left"/>
    </w:pPr>
    <w:rPr>
      <w:rFonts w:ascii="宋体" w:hAnsi="宋体" w:cs="宋体"/>
      <w:kern w:val="0"/>
      <w:sz w:val="24"/>
    </w:rPr>
  </w:style>
  <w:style w:type="paragraph" w:customStyle="1" w:styleId="378">
    <w:name w:val="reader-word-layer reader-word-s19-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79">
    <w:name w:val="reader-word-layer reader-word-s19-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80">
    <w:name w:val="reader-word-layer reader-word-s19-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1">
    <w:name w:val="Normal+3"/>
    <w:basedOn w:val="73"/>
    <w:next w:val="73"/>
    <w:qFormat/>
    <w:uiPriority w:val="0"/>
    <w:rPr>
      <w:rFonts w:cs="Times New Roman"/>
      <w:color w:val="auto"/>
    </w:rPr>
  </w:style>
  <w:style w:type="character" w:customStyle="1" w:styleId="382">
    <w:name w:val="地理段落 Char"/>
    <w:link w:val="383"/>
    <w:qFormat/>
    <w:uiPriority w:val="0"/>
    <w:rPr>
      <w:rFonts w:ascii="仿宋_GB2312" w:eastAsia="仿宋_GB2312"/>
      <w:kern w:val="2"/>
      <w:sz w:val="28"/>
      <w:szCs w:val="28"/>
    </w:rPr>
  </w:style>
  <w:style w:type="paragraph" w:customStyle="1" w:styleId="383">
    <w:name w:val="地理段落"/>
    <w:basedOn w:val="1"/>
    <w:link w:val="382"/>
    <w:qFormat/>
    <w:uiPriority w:val="0"/>
    <w:pPr>
      <w:adjustRightInd w:val="0"/>
      <w:snapToGrid w:val="0"/>
      <w:spacing w:line="360" w:lineRule="auto"/>
      <w:ind w:firstLine="200" w:firstLineChars="200"/>
    </w:pPr>
    <w:rPr>
      <w:rFonts w:ascii="仿宋_GB2312" w:eastAsia="仿宋_GB2312"/>
      <w:sz w:val="28"/>
      <w:szCs w:val="28"/>
    </w:rPr>
  </w:style>
  <w:style w:type="paragraph" w:customStyle="1" w:styleId="384">
    <w:name w:val="报告正文"/>
    <w:basedOn w:val="1"/>
    <w:link w:val="385"/>
    <w:qFormat/>
    <w:uiPriority w:val="0"/>
    <w:pPr>
      <w:spacing w:line="360" w:lineRule="auto"/>
      <w:ind w:firstLine="482"/>
    </w:pPr>
    <w:rPr>
      <w:sz w:val="24"/>
      <w:szCs w:val="21"/>
    </w:rPr>
  </w:style>
  <w:style w:type="character" w:customStyle="1" w:styleId="385">
    <w:name w:val="报告正文 Char"/>
    <w:link w:val="384"/>
    <w:qFormat/>
    <w:uiPriority w:val="0"/>
    <w:rPr>
      <w:kern w:val="2"/>
      <w:sz w:val="24"/>
      <w:szCs w:val="21"/>
    </w:rPr>
  </w:style>
  <w:style w:type="character" w:customStyle="1" w:styleId="386">
    <w:name w:val="Char Char30"/>
    <w:qFormat/>
    <w:uiPriority w:val="0"/>
    <w:rPr>
      <w:rFonts w:eastAsia="宋体"/>
      <w:b/>
      <w:bCs/>
      <w:kern w:val="2"/>
      <w:sz w:val="21"/>
      <w:szCs w:val="24"/>
      <w:lang w:val="en-US" w:eastAsia="zh-CN" w:bidi="ar-SA"/>
    </w:rPr>
  </w:style>
  <w:style w:type="character" w:customStyle="1" w:styleId="387">
    <w:name w:val="Char Char17"/>
    <w:qFormat/>
    <w:locked/>
    <w:uiPriority w:val="0"/>
    <w:rPr>
      <w:rFonts w:eastAsia="宋体"/>
      <w:b/>
      <w:bCs/>
      <w:kern w:val="2"/>
      <w:sz w:val="32"/>
      <w:szCs w:val="32"/>
      <w:lang w:val="en-US" w:eastAsia="zh-CN" w:bidi="ar-SA"/>
    </w:rPr>
  </w:style>
  <w:style w:type="character" w:customStyle="1" w:styleId="388">
    <w:name w:val="Char Char6"/>
    <w:qFormat/>
    <w:locked/>
    <w:uiPriority w:val="0"/>
    <w:rPr>
      <w:rFonts w:eastAsia="宋体"/>
      <w:kern w:val="2"/>
      <w:sz w:val="21"/>
      <w:szCs w:val="24"/>
      <w:lang w:val="en-US" w:eastAsia="zh-CN" w:bidi="ar-SA"/>
    </w:rPr>
  </w:style>
  <w:style w:type="character" w:customStyle="1" w:styleId="389">
    <w:name w:val="Char Char1"/>
    <w:qFormat/>
    <w:uiPriority w:val="0"/>
    <w:rPr>
      <w:rFonts w:eastAsia="宋体"/>
      <w:kern w:val="2"/>
      <w:sz w:val="18"/>
      <w:szCs w:val="18"/>
      <w:lang w:val="en-US" w:eastAsia="zh-CN" w:bidi="ar-SA"/>
    </w:rPr>
  </w:style>
  <w:style w:type="character" w:customStyle="1" w:styleId="390">
    <w:name w:val="text06"/>
    <w:qFormat/>
    <w:uiPriority w:val="0"/>
  </w:style>
  <w:style w:type="character" w:customStyle="1" w:styleId="391">
    <w:name w:val="标题 4 Char1"/>
    <w:qFormat/>
    <w:locked/>
    <w:uiPriority w:val="0"/>
    <w:rPr>
      <w:rFonts w:ascii="Arial" w:hAnsi="Arial" w:eastAsia="黑体"/>
      <w:b/>
      <w:bCs/>
      <w:kern w:val="2"/>
      <w:sz w:val="28"/>
      <w:szCs w:val="28"/>
      <w:lang w:val="en-US" w:eastAsia="zh-CN" w:bidi="ar-SA"/>
    </w:rPr>
  </w:style>
  <w:style w:type="character" w:customStyle="1" w:styleId="392">
    <w:name w:val="表 标题 Char"/>
    <w:link w:val="393"/>
    <w:qFormat/>
    <w:uiPriority w:val="0"/>
    <w:rPr>
      <w:rFonts w:hAnsi="宋体" w:cs="宋体"/>
      <w:b/>
      <w:smallCaps/>
      <w:kern w:val="2"/>
      <w:sz w:val="24"/>
    </w:rPr>
  </w:style>
  <w:style w:type="paragraph" w:customStyle="1" w:styleId="393">
    <w:name w:val="表 标题"/>
    <w:basedOn w:val="49"/>
    <w:next w:val="1"/>
    <w:link w:val="392"/>
    <w:qFormat/>
    <w:uiPriority w:val="0"/>
    <w:pPr>
      <w:spacing w:beforeLines="50"/>
      <w:ind w:left="420" w:leftChars="0" w:firstLine="0" w:firstLineChars="0"/>
      <w:jc w:val="center"/>
    </w:pPr>
    <w:rPr>
      <w:rFonts w:hAnsi="宋体" w:cs="宋体"/>
      <w:b/>
      <w:smallCaps/>
      <w:sz w:val="24"/>
      <w:szCs w:val="20"/>
    </w:rPr>
  </w:style>
  <w:style w:type="character" w:customStyle="1" w:styleId="394">
    <w:name w:val="文本 Char"/>
    <w:link w:val="395"/>
    <w:qFormat/>
    <w:uiPriority w:val="0"/>
    <w:rPr>
      <w:rFonts w:eastAsia="Times New Roman"/>
      <w:kern w:val="2"/>
      <w:sz w:val="24"/>
      <w:szCs w:val="24"/>
    </w:rPr>
  </w:style>
  <w:style w:type="paragraph" w:customStyle="1" w:styleId="395">
    <w:name w:val="文本"/>
    <w:link w:val="394"/>
    <w:qFormat/>
    <w:uiPriority w:val="0"/>
    <w:pPr>
      <w:widowControl w:val="0"/>
      <w:spacing w:line="440" w:lineRule="exact"/>
      <w:ind w:firstLine="200" w:firstLineChars="200"/>
    </w:pPr>
    <w:rPr>
      <w:rFonts w:ascii="Times New Roman" w:hAnsi="Times New Roman" w:eastAsia="Times New Roman" w:cs="Times New Roman"/>
      <w:kern w:val="2"/>
      <w:sz w:val="24"/>
      <w:szCs w:val="24"/>
      <w:lang w:val="en-US" w:eastAsia="zh-CN" w:bidi="ar-SA"/>
    </w:rPr>
  </w:style>
  <w:style w:type="paragraph" w:customStyle="1" w:styleId="396">
    <w:name w:val="dandan6-13正文 Char Char Char"/>
    <w:basedOn w:val="1"/>
    <w:next w:val="1"/>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paragraph" w:customStyle="1" w:styleId="397">
    <w:name w:val="表格1+ 五号"/>
    <w:basedOn w:val="1"/>
    <w:qFormat/>
    <w:uiPriority w:val="0"/>
    <w:pPr>
      <w:widowControl/>
      <w:spacing w:line="300" w:lineRule="exact"/>
      <w:jc w:val="center"/>
    </w:pPr>
    <w:rPr>
      <w:rFonts w:ascii="宋体" w:hAnsi="宋体" w:cs="宋体"/>
      <w:color w:val="000000"/>
      <w:spacing w:val="8"/>
      <w:kern w:val="0"/>
      <w:szCs w:val="20"/>
      <w:lang w:val="en-GB"/>
    </w:rPr>
  </w:style>
  <w:style w:type="character" w:customStyle="1" w:styleId="398">
    <w:name w:val="表格中文字 Char"/>
    <w:link w:val="399"/>
    <w:qFormat/>
    <w:uiPriority w:val="0"/>
    <w:rPr>
      <w:kern w:val="18"/>
      <w:sz w:val="21"/>
      <w:szCs w:val="21"/>
    </w:rPr>
  </w:style>
  <w:style w:type="paragraph" w:customStyle="1" w:styleId="399">
    <w:name w:val="表格中文字"/>
    <w:basedOn w:val="1"/>
    <w:link w:val="398"/>
    <w:qFormat/>
    <w:uiPriority w:val="0"/>
    <w:pPr>
      <w:adjustRightInd w:val="0"/>
      <w:snapToGrid w:val="0"/>
      <w:jc w:val="center"/>
    </w:pPr>
    <w:rPr>
      <w:kern w:val="18"/>
      <w:szCs w:val="21"/>
    </w:rPr>
  </w:style>
  <w:style w:type="character" w:customStyle="1" w:styleId="400">
    <w:name w:val="正本文字 Char"/>
    <w:link w:val="401"/>
    <w:qFormat/>
    <w:uiPriority w:val="0"/>
    <w:rPr>
      <w:kern w:val="18"/>
      <w:sz w:val="24"/>
    </w:rPr>
  </w:style>
  <w:style w:type="paragraph" w:customStyle="1" w:styleId="401">
    <w:name w:val="正本文字"/>
    <w:basedOn w:val="1"/>
    <w:link w:val="400"/>
    <w:qFormat/>
    <w:uiPriority w:val="0"/>
    <w:pPr>
      <w:adjustRightInd w:val="0"/>
      <w:snapToGrid w:val="0"/>
      <w:spacing w:line="360" w:lineRule="auto"/>
      <w:ind w:firstLine="480" w:firstLineChars="200"/>
      <w:jc w:val="left"/>
    </w:pPr>
    <w:rPr>
      <w:kern w:val="18"/>
      <w:sz w:val="24"/>
      <w:szCs w:val="20"/>
    </w:rPr>
  </w:style>
  <w:style w:type="character" w:customStyle="1" w:styleId="402">
    <w:name w:val="样式2 Char"/>
    <w:link w:val="312"/>
    <w:qFormat/>
    <w:uiPriority w:val="0"/>
    <w:rPr>
      <w:kern w:val="2"/>
      <w:sz w:val="24"/>
      <w:szCs w:val="24"/>
    </w:rPr>
  </w:style>
  <w:style w:type="paragraph" w:customStyle="1" w:styleId="403">
    <w:name w:val="Char Char1 Char Char Char Char"/>
    <w:basedOn w:val="1"/>
    <w:qFormat/>
    <w:uiPriority w:val="0"/>
    <w:pPr>
      <w:spacing w:line="360" w:lineRule="auto"/>
    </w:pPr>
    <w:rPr>
      <w:sz w:val="32"/>
    </w:rPr>
  </w:style>
  <w:style w:type="paragraph" w:customStyle="1" w:styleId="404">
    <w:name w:val="正文首行缩进＋湿地"/>
    <w:basedOn w:val="1"/>
    <w:qFormat/>
    <w:uiPriority w:val="0"/>
    <w:pPr>
      <w:spacing w:line="440" w:lineRule="exact"/>
      <w:ind w:firstLine="540" w:firstLineChars="225"/>
    </w:pPr>
    <w:rPr>
      <w:rFonts w:ascii="仿宋_GB2312" w:hAnsi="宋体" w:eastAsia="仿宋_GB2312"/>
      <w:kern w:val="0"/>
      <w:sz w:val="28"/>
      <w:szCs w:val="20"/>
    </w:rPr>
  </w:style>
  <w:style w:type="paragraph" w:customStyle="1" w:styleId="405">
    <w:name w:val="a"/>
    <w:basedOn w:val="1"/>
    <w:qFormat/>
    <w:uiPriority w:val="0"/>
    <w:pPr>
      <w:widowControl/>
      <w:spacing w:before="100" w:beforeAutospacing="1" w:after="100" w:afterAutospacing="1"/>
      <w:jc w:val="left"/>
    </w:pPr>
    <w:rPr>
      <w:rFonts w:ascii="宋体" w:hAnsi="宋体" w:cs="宋体"/>
      <w:kern w:val="0"/>
      <w:sz w:val="24"/>
    </w:rPr>
  </w:style>
  <w:style w:type="character" w:customStyle="1" w:styleId="406">
    <w:name w:val="普通(网站) Char"/>
    <w:qFormat/>
    <w:uiPriority w:val="0"/>
    <w:rPr>
      <w:rFonts w:ascii="宋体" w:hAnsi="宋体" w:cs="宋体"/>
      <w:sz w:val="24"/>
      <w:szCs w:val="24"/>
    </w:rPr>
  </w:style>
  <w:style w:type="character" w:customStyle="1" w:styleId="407">
    <w:name w:val="表格标题新 Char Char Char"/>
    <w:qFormat/>
    <w:uiPriority w:val="0"/>
    <w:rPr>
      <w:rFonts w:ascii="仿宋_GB2312" w:eastAsia="仿宋_GB2312"/>
      <w:kern w:val="2"/>
      <w:sz w:val="24"/>
      <w:szCs w:val="24"/>
      <w:lang w:val="en-US" w:eastAsia="zh-CN" w:bidi="ar-SA"/>
    </w:rPr>
  </w:style>
  <w:style w:type="character" w:customStyle="1" w:styleId="408">
    <w:name w:val="Char Char15"/>
    <w:qFormat/>
    <w:uiPriority w:val="0"/>
    <w:rPr>
      <w:rFonts w:ascii="宋体" w:hAnsi="Courier New" w:eastAsia="宋体"/>
      <w:kern w:val="2"/>
      <w:sz w:val="21"/>
      <w:lang w:val="en-US" w:eastAsia="zh-CN" w:bidi="ar-SA"/>
    </w:rPr>
  </w:style>
  <w:style w:type="character" w:customStyle="1" w:styleId="409">
    <w:name w:val="霍尼韦尔 Char Char"/>
    <w:link w:val="410"/>
    <w:qFormat/>
    <w:uiPriority w:val="0"/>
    <w:rPr>
      <w:rFonts w:cs="宋体"/>
      <w:kern w:val="2"/>
      <w:sz w:val="24"/>
    </w:rPr>
  </w:style>
  <w:style w:type="paragraph" w:customStyle="1" w:styleId="410">
    <w:name w:val="霍尼韦尔"/>
    <w:basedOn w:val="1"/>
    <w:link w:val="409"/>
    <w:qFormat/>
    <w:uiPriority w:val="0"/>
    <w:pPr>
      <w:spacing w:line="480" w:lineRule="exact"/>
      <w:ind w:firstLine="480" w:firstLineChars="200"/>
      <w:jc w:val="left"/>
    </w:pPr>
    <w:rPr>
      <w:rFonts w:cs="宋体"/>
      <w:sz w:val="24"/>
      <w:szCs w:val="20"/>
    </w:rPr>
  </w:style>
  <w:style w:type="character" w:customStyle="1" w:styleId="411">
    <w:name w:val="条标题1.1.1 Char2"/>
    <w:qFormat/>
    <w:uiPriority w:val="0"/>
    <w:rPr>
      <w:rFonts w:eastAsia="宋体"/>
      <w:b/>
      <w:bCs/>
      <w:kern w:val="2"/>
      <w:sz w:val="32"/>
      <w:szCs w:val="32"/>
      <w:lang w:val="en-US" w:eastAsia="zh-CN" w:bidi="ar-SA"/>
    </w:rPr>
  </w:style>
  <w:style w:type="character" w:customStyle="1" w:styleId="412">
    <w:name w:val="z101"/>
    <w:qFormat/>
    <w:uiPriority w:val="0"/>
    <w:rPr>
      <w:color w:val="000000"/>
      <w:sz w:val="21"/>
      <w:szCs w:val="21"/>
    </w:rPr>
  </w:style>
  <w:style w:type="character" w:customStyle="1" w:styleId="413">
    <w:name w:val="正文文本 (2)"/>
    <w:qFormat/>
    <w:uiPriority w:val="0"/>
    <w:rPr>
      <w:rFonts w:ascii="宋体" w:hAnsi="宋体" w:eastAsia="宋体" w:cs="宋体"/>
      <w:color w:val="000000"/>
      <w:spacing w:val="0"/>
      <w:w w:val="100"/>
      <w:position w:val="0"/>
      <w:sz w:val="21"/>
      <w:szCs w:val="21"/>
      <w:u w:val="none"/>
      <w:lang w:val="zh-CN" w:eastAsia="zh-CN" w:bidi="zh-CN"/>
    </w:rPr>
  </w:style>
  <w:style w:type="character" w:customStyle="1" w:styleId="414">
    <w:name w:val="正文文本 (2) + Georgia"/>
    <w:qFormat/>
    <w:uiPriority w:val="0"/>
    <w:rPr>
      <w:rFonts w:ascii="Georgia" w:hAnsi="Georgia" w:eastAsia="Georgia" w:cs="Georgia"/>
      <w:color w:val="000000"/>
      <w:spacing w:val="0"/>
      <w:w w:val="100"/>
      <w:position w:val="0"/>
      <w:sz w:val="22"/>
      <w:szCs w:val="22"/>
      <w:u w:val="none"/>
      <w:lang w:val="en-US" w:eastAsia="en-US" w:bidi="en-US"/>
    </w:rPr>
  </w:style>
  <w:style w:type="character" w:customStyle="1" w:styleId="415">
    <w:name w:val="正文4号 Char Char"/>
    <w:link w:val="416"/>
    <w:qFormat/>
    <w:uiPriority w:val="0"/>
    <w:rPr>
      <w:kern w:val="2"/>
      <w:sz w:val="24"/>
      <w:szCs w:val="24"/>
    </w:rPr>
  </w:style>
  <w:style w:type="paragraph" w:customStyle="1" w:styleId="416">
    <w:name w:val="正文4号"/>
    <w:link w:val="415"/>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17">
    <w:name w:val="图表文字"/>
    <w:basedOn w:val="1"/>
    <w:qFormat/>
    <w:uiPriority w:val="0"/>
    <w:pPr>
      <w:spacing w:line="300" w:lineRule="exact"/>
      <w:jc w:val="center"/>
    </w:pPr>
    <w:rPr>
      <w:bCs/>
      <w:szCs w:val="20"/>
    </w:rPr>
  </w:style>
  <w:style w:type="paragraph" w:customStyle="1" w:styleId="418">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styleId="419">
    <w:name w:val="No Spacing"/>
    <w:link w:val="1036"/>
    <w:qFormat/>
    <w:uiPriority w:val="1"/>
    <w:pPr>
      <w:jc w:val="center"/>
    </w:pPr>
    <w:rPr>
      <w:rFonts w:ascii="Times New Roman" w:hAnsi="Times New Roman" w:eastAsia="宋体" w:cs="Times New Roman"/>
      <w:color w:val="000000"/>
      <w:kern w:val="2"/>
      <w:sz w:val="24"/>
      <w:szCs w:val="24"/>
      <w:lang w:val="en-US" w:eastAsia="zh-CN" w:bidi="ar-SA"/>
    </w:rPr>
  </w:style>
  <w:style w:type="paragraph" w:customStyle="1" w:styleId="420">
    <w:name w:val="二级标题"/>
    <w:basedOn w:val="45"/>
    <w:qFormat/>
    <w:uiPriority w:val="0"/>
    <w:pPr>
      <w:spacing w:before="240" w:after="60" w:line="312" w:lineRule="auto"/>
      <w:ind w:firstLine="200" w:firstLineChars="200"/>
      <w:jc w:val="left"/>
      <w:outlineLvl w:val="1"/>
    </w:pPr>
    <w:rPr>
      <w:b/>
      <w:bCs/>
      <w:kern w:val="28"/>
      <w:sz w:val="32"/>
      <w:szCs w:val="32"/>
      <w:lang w:eastAsia="zh-CN"/>
    </w:rPr>
  </w:style>
  <w:style w:type="character" w:customStyle="1" w:styleId="421">
    <w:name w:val="五号表格 Char Char"/>
    <w:link w:val="422"/>
    <w:qFormat/>
    <w:locked/>
    <w:uiPriority w:val="0"/>
    <w:rPr>
      <w:rFonts w:ascii="宋体" w:hAnsi="宋体"/>
      <w:color w:val="000000"/>
      <w:kern w:val="2"/>
      <w:sz w:val="21"/>
      <w:szCs w:val="21"/>
      <w:lang w:val="en-GB"/>
    </w:rPr>
  </w:style>
  <w:style w:type="paragraph" w:customStyle="1" w:styleId="422">
    <w:name w:val="五号表格"/>
    <w:next w:val="1"/>
    <w:link w:val="421"/>
    <w:qFormat/>
    <w:uiPriority w:val="0"/>
    <w:pPr>
      <w:widowControl w:val="0"/>
      <w:adjustRightInd w:val="0"/>
      <w:snapToGrid w:val="0"/>
      <w:spacing w:line="320" w:lineRule="exact"/>
      <w:jc w:val="both"/>
      <w:textAlignment w:val="center"/>
    </w:pPr>
    <w:rPr>
      <w:rFonts w:ascii="宋体" w:hAnsi="宋体" w:eastAsia="宋体" w:cs="Times New Roman"/>
      <w:color w:val="000000"/>
      <w:kern w:val="2"/>
      <w:sz w:val="21"/>
      <w:szCs w:val="21"/>
      <w:lang w:val="en-GB" w:eastAsia="zh-CN" w:bidi="ar-SA"/>
    </w:rPr>
  </w:style>
  <w:style w:type="character" w:customStyle="1" w:styleId="423">
    <w:name w:val="占位符文本1"/>
    <w:semiHidden/>
    <w:qFormat/>
    <w:uiPriority w:val="99"/>
    <w:rPr>
      <w:rFonts w:cs="Times New Roman"/>
      <w:color w:val="808080"/>
    </w:rPr>
  </w:style>
  <w:style w:type="character" w:customStyle="1" w:styleId="424">
    <w:name w:val="宗兴正文 Char Char"/>
    <w:link w:val="425"/>
    <w:qFormat/>
    <w:locked/>
    <w:uiPriority w:val="0"/>
    <w:rPr>
      <w:sz w:val="24"/>
    </w:rPr>
  </w:style>
  <w:style w:type="paragraph" w:customStyle="1" w:styleId="425">
    <w:name w:val="宗兴正文"/>
    <w:basedOn w:val="1"/>
    <w:link w:val="424"/>
    <w:qFormat/>
    <w:uiPriority w:val="0"/>
    <w:pPr>
      <w:adjustRightInd w:val="0"/>
      <w:spacing w:before="93" w:after="93" w:line="360" w:lineRule="auto"/>
      <w:ind w:firstLine="480" w:firstLineChars="200"/>
      <w:jc w:val="left"/>
      <w:textAlignment w:val="baseline"/>
    </w:pPr>
    <w:rPr>
      <w:kern w:val="0"/>
      <w:sz w:val="24"/>
      <w:szCs w:val="20"/>
    </w:rPr>
  </w:style>
  <w:style w:type="character" w:customStyle="1" w:styleId="426">
    <w:name w:val="表题 Char Char"/>
    <w:link w:val="427"/>
    <w:qFormat/>
    <w:locked/>
    <w:uiPriority w:val="0"/>
    <w:rPr>
      <w:rFonts w:ascii="宋体"/>
      <w:b/>
      <w:sz w:val="24"/>
      <w:lang w:eastAsia="en-US"/>
    </w:rPr>
  </w:style>
  <w:style w:type="paragraph" w:customStyle="1" w:styleId="427">
    <w:name w:val="表题"/>
    <w:basedOn w:val="1"/>
    <w:link w:val="426"/>
    <w:qFormat/>
    <w:uiPriority w:val="0"/>
    <w:pPr>
      <w:widowControl/>
      <w:adjustRightInd w:val="0"/>
      <w:spacing w:before="120" w:line="360" w:lineRule="auto"/>
      <w:jc w:val="center"/>
      <w:textAlignment w:val="baseline"/>
    </w:pPr>
    <w:rPr>
      <w:rFonts w:ascii="宋体"/>
      <w:b/>
      <w:kern w:val="0"/>
      <w:sz w:val="24"/>
      <w:szCs w:val="20"/>
      <w:lang w:eastAsia="en-US"/>
    </w:rPr>
  </w:style>
  <w:style w:type="paragraph" w:customStyle="1" w:styleId="428">
    <w:name w:val="3"/>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429">
    <w:name w:val="样式 样式 标题 2节 + (西文) Times New Roman (中文) 宋体 四号 段前: 0.5 行 段后: 0...... Char Char"/>
    <w:link w:val="430"/>
    <w:qFormat/>
    <w:locked/>
    <w:uiPriority w:val="0"/>
    <w:rPr>
      <w:rFonts w:ascii="宋体"/>
      <w:b/>
      <w:sz w:val="30"/>
    </w:rPr>
  </w:style>
  <w:style w:type="paragraph" w:customStyle="1" w:styleId="430">
    <w:name w:val="样式 样式 标题 2节 + (西文) Times New Roman (中文) 宋体 四号 段前: 0.5 行 段后: 0......"/>
    <w:basedOn w:val="1"/>
    <w:link w:val="429"/>
    <w:qFormat/>
    <w:uiPriority w:val="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431">
    <w:name w:val="纯文本1 Char1"/>
    <w:qFormat/>
    <w:uiPriority w:val="0"/>
    <w:rPr>
      <w:rFonts w:ascii="宋体" w:hAnsi="Courier New" w:eastAsia="宋体"/>
      <w:kern w:val="2"/>
      <w:sz w:val="21"/>
      <w:lang w:val="en-US" w:eastAsia="zh-CN"/>
    </w:rPr>
  </w:style>
  <w:style w:type="character" w:customStyle="1" w:styleId="432">
    <w:name w:val="表格 Char Char"/>
    <w:qFormat/>
    <w:locked/>
    <w:uiPriority w:val="0"/>
    <w:rPr>
      <w:rFonts w:ascii="Times New Roman" w:hAnsi="Times New Roman"/>
      <w:b/>
      <w:sz w:val="24"/>
    </w:rPr>
  </w:style>
  <w:style w:type="character" w:customStyle="1" w:styleId="433">
    <w:name w:val="正文文本缩进 2 Char Char"/>
    <w:qFormat/>
    <w:uiPriority w:val="0"/>
    <w:rPr>
      <w:rFonts w:eastAsia="宋体"/>
      <w:kern w:val="2"/>
      <w:sz w:val="24"/>
      <w:lang w:val="en-US" w:eastAsia="zh-CN"/>
    </w:rPr>
  </w:style>
  <w:style w:type="character" w:customStyle="1" w:styleId="434">
    <w:name w:val="表格的字 Char Char"/>
    <w:link w:val="435"/>
    <w:qFormat/>
    <w:locked/>
    <w:uiPriority w:val="0"/>
    <w:rPr>
      <w:sz w:val="24"/>
    </w:rPr>
  </w:style>
  <w:style w:type="paragraph" w:customStyle="1" w:styleId="435">
    <w:name w:val="表格的字"/>
    <w:basedOn w:val="1"/>
    <w:link w:val="434"/>
    <w:qFormat/>
    <w:uiPriority w:val="0"/>
    <w:pPr>
      <w:adjustRightInd w:val="0"/>
      <w:spacing w:line="312" w:lineRule="atLeast"/>
      <w:jc w:val="center"/>
      <w:textAlignment w:val="baseline"/>
    </w:pPr>
    <w:rPr>
      <w:kern w:val="0"/>
      <w:sz w:val="24"/>
      <w:szCs w:val="20"/>
    </w:rPr>
  </w:style>
  <w:style w:type="character" w:customStyle="1" w:styleId="436">
    <w:name w:val="表名图名 Char Char"/>
    <w:link w:val="437"/>
    <w:qFormat/>
    <w:locked/>
    <w:uiPriority w:val="0"/>
    <w:rPr>
      <w:rFonts w:ascii="宋体"/>
      <w:b/>
      <w:sz w:val="24"/>
      <w:lang w:eastAsia="en-US"/>
    </w:rPr>
  </w:style>
  <w:style w:type="paragraph" w:customStyle="1" w:styleId="437">
    <w:name w:val="表名图名"/>
    <w:basedOn w:val="1"/>
    <w:link w:val="436"/>
    <w:qFormat/>
    <w:uiPriority w:val="0"/>
    <w:pPr>
      <w:widowControl/>
      <w:adjustRightInd w:val="0"/>
      <w:spacing w:before="120" w:line="360" w:lineRule="auto"/>
      <w:jc w:val="center"/>
      <w:textAlignment w:val="baseline"/>
    </w:pPr>
    <w:rPr>
      <w:rFonts w:ascii="宋体"/>
      <w:b/>
      <w:kern w:val="0"/>
      <w:sz w:val="24"/>
      <w:szCs w:val="20"/>
      <w:lang w:eastAsia="en-US"/>
    </w:rPr>
  </w:style>
  <w:style w:type="character" w:customStyle="1" w:styleId="438">
    <w:name w:val="表、图名 Char Char"/>
    <w:link w:val="439"/>
    <w:qFormat/>
    <w:locked/>
    <w:uiPriority w:val="0"/>
    <w:rPr>
      <w:b/>
      <w:kern w:val="2"/>
      <w:sz w:val="21"/>
      <w:szCs w:val="24"/>
    </w:rPr>
  </w:style>
  <w:style w:type="paragraph" w:customStyle="1" w:styleId="439">
    <w:name w:val="表、图名"/>
    <w:link w:val="438"/>
    <w:qFormat/>
    <w:uiPriority w:val="0"/>
    <w:pPr>
      <w:spacing w:before="120" w:line="360" w:lineRule="auto"/>
      <w:jc w:val="center"/>
    </w:pPr>
    <w:rPr>
      <w:rFonts w:ascii="Times New Roman" w:hAnsi="Times New Roman" w:eastAsia="宋体" w:cs="Times New Roman"/>
      <w:b/>
      <w:kern w:val="2"/>
      <w:sz w:val="21"/>
      <w:szCs w:val="24"/>
      <w:lang w:val="en-US" w:eastAsia="zh-CN" w:bidi="ar-SA"/>
    </w:rPr>
  </w:style>
  <w:style w:type="character" w:customStyle="1" w:styleId="440">
    <w:name w:val="Body Text Indent Char"/>
    <w:qFormat/>
    <w:locked/>
    <w:uiPriority w:val="0"/>
    <w:rPr>
      <w:sz w:val="24"/>
    </w:rPr>
  </w:style>
  <w:style w:type="character" w:customStyle="1" w:styleId="441">
    <w:name w:val="样式 标题 2节标题标题21.1H2h2第一层条4.1二级标题标题 lxb2二级标题 Char表标题单位... Char"/>
    <w:qFormat/>
    <w:uiPriority w:val="0"/>
    <w:rPr>
      <w:rFonts w:ascii="Verdana" w:hAnsi="Verdana" w:eastAsia="宋体"/>
      <w:b/>
      <w:kern w:val="32"/>
      <w:sz w:val="28"/>
      <w:lang w:val="en-US" w:eastAsia="zh-CN"/>
    </w:rPr>
  </w:style>
  <w:style w:type="character" w:customStyle="1" w:styleId="442">
    <w:name w:val="Document Map Char"/>
    <w:qFormat/>
    <w:locked/>
    <w:uiPriority w:val="0"/>
    <w:rPr>
      <w:rFonts w:ascii="宋体"/>
      <w:sz w:val="18"/>
    </w:rPr>
  </w:style>
  <w:style w:type="character" w:customStyle="1" w:styleId="443">
    <w:name w:val="Body Text First Indent Char"/>
    <w:qFormat/>
    <w:locked/>
    <w:uiPriority w:val="0"/>
    <w:rPr>
      <w:rFonts w:ascii="Calibri" w:hAnsi="Calibri" w:eastAsia="宋体"/>
      <w:sz w:val="24"/>
    </w:rPr>
  </w:style>
  <w:style w:type="character" w:customStyle="1" w:styleId="444">
    <w:name w:val="表头 Char2"/>
    <w:qFormat/>
    <w:locked/>
    <w:uiPriority w:val="0"/>
    <w:rPr>
      <w:rFonts w:eastAsia="黑体"/>
      <w:color w:val="000000"/>
      <w:spacing w:val="-10"/>
    </w:rPr>
  </w:style>
  <w:style w:type="character" w:customStyle="1" w:styleId="445">
    <w:name w:val="图名 Char Char"/>
    <w:link w:val="446"/>
    <w:qFormat/>
    <w:locked/>
    <w:uiPriority w:val="0"/>
    <w:rPr>
      <w:b/>
      <w:kern w:val="2"/>
      <w:sz w:val="24"/>
      <w:szCs w:val="24"/>
      <w:lang w:eastAsia="en-US"/>
    </w:rPr>
  </w:style>
  <w:style w:type="paragraph" w:customStyle="1" w:styleId="446">
    <w:name w:val="图名"/>
    <w:link w:val="445"/>
    <w:qFormat/>
    <w:uiPriority w:val="0"/>
    <w:pPr>
      <w:spacing w:before="80" w:after="120" w:line="360" w:lineRule="auto"/>
      <w:jc w:val="center"/>
    </w:pPr>
    <w:rPr>
      <w:rFonts w:ascii="Times New Roman" w:hAnsi="Times New Roman" w:eastAsia="宋体" w:cs="Times New Roman"/>
      <w:b/>
      <w:kern w:val="2"/>
      <w:sz w:val="24"/>
      <w:szCs w:val="24"/>
      <w:lang w:val="en-US" w:eastAsia="en-US" w:bidi="ar-SA"/>
    </w:rPr>
  </w:style>
  <w:style w:type="character" w:customStyle="1" w:styleId="447">
    <w:name w:val="样式 标题 3 + (西文) Times New Roman (中文) 宋体 小四 加粗 Char Char"/>
    <w:link w:val="448"/>
    <w:qFormat/>
    <w:locked/>
    <w:uiPriority w:val="0"/>
    <w:rPr>
      <w:sz w:val="24"/>
    </w:rPr>
  </w:style>
  <w:style w:type="paragraph" w:customStyle="1" w:styleId="448">
    <w:name w:val="样式 标题 3 + (西文) Times New Roman (中文) 宋体 小四 加粗"/>
    <w:basedOn w:val="1"/>
    <w:link w:val="447"/>
    <w:qFormat/>
    <w:uiPriority w:val="0"/>
    <w:pPr>
      <w:adjustRightInd w:val="0"/>
      <w:spacing w:line="312" w:lineRule="atLeast"/>
      <w:textAlignment w:val="baseline"/>
    </w:pPr>
    <w:rPr>
      <w:kern w:val="0"/>
      <w:sz w:val="24"/>
      <w:szCs w:val="20"/>
    </w:rPr>
  </w:style>
  <w:style w:type="character" w:customStyle="1" w:styleId="449">
    <w:name w:val="1-正文样式 Char Char"/>
    <w:link w:val="450"/>
    <w:qFormat/>
    <w:locked/>
    <w:uiPriority w:val="0"/>
    <w:rPr>
      <w:sz w:val="24"/>
    </w:rPr>
  </w:style>
  <w:style w:type="paragraph" w:customStyle="1" w:styleId="450">
    <w:name w:val="1-正文样式"/>
    <w:basedOn w:val="1"/>
    <w:link w:val="449"/>
    <w:qFormat/>
    <w:uiPriority w:val="0"/>
    <w:pPr>
      <w:adjustRightInd w:val="0"/>
      <w:spacing w:afterLines="50" w:line="360" w:lineRule="auto"/>
      <w:ind w:firstLine="200" w:firstLineChars="200"/>
      <w:textAlignment w:val="baseline"/>
    </w:pPr>
    <w:rPr>
      <w:kern w:val="0"/>
      <w:sz w:val="24"/>
      <w:szCs w:val="20"/>
    </w:rPr>
  </w:style>
  <w:style w:type="character" w:customStyle="1" w:styleId="451">
    <w:name w:val="我的正文 Char Char"/>
    <w:link w:val="452"/>
    <w:qFormat/>
    <w:locked/>
    <w:uiPriority w:val="0"/>
    <w:rPr>
      <w:kern w:val="2"/>
      <w:sz w:val="24"/>
      <w:szCs w:val="24"/>
    </w:rPr>
  </w:style>
  <w:style w:type="paragraph" w:customStyle="1" w:styleId="452">
    <w:name w:val="我的正文"/>
    <w:link w:val="451"/>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53">
    <w:name w:val="样式1 Char Char"/>
    <w:qFormat/>
    <w:locked/>
    <w:uiPriority w:val="0"/>
    <w:rPr>
      <w:rFonts w:ascii="Calibri" w:hAnsi="Calibri"/>
      <w:color w:val="000000"/>
      <w:sz w:val="24"/>
    </w:rPr>
  </w:style>
  <w:style w:type="character" w:customStyle="1" w:styleId="454">
    <w:name w:val="正文1 Char Char"/>
    <w:qFormat/>
    <w:locked/>
    <w:uiPriority w:val="0"/>
    <w:rPr>
      <w:color w:val="000000"/>
      <w:sz w:val="24"/>
    </w:rPr>
  </w:style>
  <w:style w:type="character" w:customStyle="1" w:styleId="455">
    <w:name w:val="正文（小四） Char Char"/>
    <w:link w:val="456"/>
    <w:qFormat/>
    <w:locked/>
    <w:uiPriority w:val="0"/>
    <w:rPr>
      <w:bCs/>
      <w:kern w:val="2"/>
      <w:sz w:val="24"/>
      <w:szCs w:val="32"/>
    </w:rPr>
  </w:style>
  <w:style w:type="paragraph" w:customStyle="1" w:styleId="456">
    <w:name w:val="正文（小四）"/>
    <w:link w:val="455"/>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character" w:customStyle="1" w:styleId="457">
    <w:name w:val="表格文字 Char Char"/>
    <w:qFormat/>
    <w:locked/>
    <w:uiPriority w:val="0"/>
    <w:rPr>
      <w:kern w:val="2"/>
      <w:sz w:val="21"/>
      <w:szCs w:val="24"/>
    </w:rPr>
  </w:style>
  <w:style w:type="character" w:customStyle="1" w:styleId="458">
    <w:name w:val="我的正文 Char Char Char"/>
    <w:qFormat/>
    <w:uiPriority w:val="0"/>
    <w:rPr>
      <w:kern w:val="2"/>
      <w:sz w:val="24"/>
      <w:lang w:val="en-US" w:eastAsia="zh-CN"/>
    </w:rPr>
  </w:style>
  <w:style w:type="character" w:customStyle="1" w:styleId="459">
    <w:name w:val="样式4 Char"/>
    <w:link w:val="460"/>
    <w:qFormat/>
    <w:locked/>
    <w:uiPriority w:val="0"/>
    <w:rPr>
      <w:rFonts w:eastAsia="仿宋_GB2312"/>
      <w:color w:val="0000FF"/>
      <w:spacing w:val="4"/>
      <w:sz w:val="24"/>
    </w:rPr>
  </w:style>
  <w:style w:type="paragraph" w:customStyle="1" w:styleId="460">
    <w:name w:val="样式4"/>
    <w:basedOn w:val="25"/>
    <w:link w:val="459"/>
    <w:qFormat/>
    <w:uiPriority w:val="0"/>
    <w:pPr>
      <w:widowControl w:val="0"/>
      <w:adjustRightInd w:val="0"/>
      <w:snapToGrid/>
      <w:spacing w:before="0" w:after="0" w:line="360" w:lineRule="auto"/>
      <w:ind w:right="-119" w:firstLine="496" w:firstLineChars="200"/>
      <w:jc w:val="left"/>
      <w:textAlignment w:val="baseline"/>
    </w:pPr>
    <w:rPr>
      <w:rFonts w:eastAsia="仿宋_GB2312"/>
      <w:color w:val="0000FF"/>
      <w:spacing w:val="4"/>
      <w:sz w:val="24"/>
    </w:rPr>
  </w:style>
  <w:style w:type="character" w:customStyle="1" w:styleId="461">
    <w:name w:val="表格文字nana Char Char"/>
    <w:link w:val="462"/>
    <w:qFormat/>
    <w:locked/>
    <w:uiPriority w:val="0"/>
    <w:rPr>
      <w:rFonts w:ascii="宋体" w:hAnsi="宋体" w:eastAsia="仿宋_GB2312"/>
      <w:snapToGrid w:val="0"/>
      <w:color w:val="000000"/>
      <w:sz w:val="21"/>
    </w:rPr>
  </w:style>
  <w:style w:type="paragraph" w:customStyle="1" w:styleId="462">
    <w:name w:val="表格文字nana"/>
    <w:basedOn w:val="1"/>
    <w:link w:val="461"/>
    <w:qFormat/>
    <w:uiPriority w:val="0"/>
    <w:pPr>
      <w:widowControl/>
      <w:adjustRightInd w:val="0"/>
      <w:spacing w:line="300" w:lineRule="auto"/>
      <w:jc w:val="center"/>
      <w:textAlignment w:val="baseline"/>
    </w:pPr>
    <w:rPr>
      <w:rFonts w:ascii="宋体" w:hAnsi="宋体" w:eastAsia="仿宋_GB2312"/>
      <w:snapToGrid w:val="0"/>
      <w:color w:val="000000"/>
      <w:kern w:val="0"/>
      <w:szCs w:val="20"/>
    </w:rPr>
  </w:style>
  <w:style w:type="character" w:customStyle="1" w:styleId="463">
    <w:name w:val="表格内容 Char Char"/>
    <w:link w:val="305"/>
    <w:qFormat/>
    <w:locked/>
    <w:uiPriority w:val="0"/>
    <w:rPr>
      <w:rFonts w:ascii="Arial" w:hAnsi="Arial" w:eastAsia="仿宋_GB2312"/>
      <w:sz w:val="24"/>
    </w:rPr>
  </w:style>
  <w:style w:type="character" w:customStyle="1" w:styleId="464">
    <w:name w:val="样式2 Char Char"/>
    <w:qFormat/>
    <w:locked/>
    <w:uiPriority w:val="0"/>
    <w:rPr>
      <w:rFonts w:ascii="Calibri" w:hAnsi="Calibri"/>
      <w:sz w:val="24"/>
    </w:rPr>
  </w:style>
  <w:style w:type="character" w:customStyle="1" w:styleId="465">
    <w:name w:val="注释 Char Char"/>
    <w:link w:val="466"/>
    <w:qFormat/>
    <w:locked/>
    <w:uiPriority w:val="0"/>
    <w:rPr>
      <w:rFonts w:ascii="宋体"/>
      <w:snapToGrid w:val="0"/>
      <w:spacing w:val="4"/>
      <w:sz w:val="24"/>
    </w:rPr>
  </w:style>
  <w:style w:type="paragraph" w:customStyle="1" w:styleId="466">
    <w:name w:val="注释"/>
    <w:basedOn w:val="1"/>
    <w:link w:val="465"/>
    <w:qFormat/>
    <w:uiPriority w:val="0"/>
    <w:pPr>
      <w:adjustRightInd w:val="0"/>
      <w:snapToGrid w:val="0"/>
      <w:spacing w:line="360" w:lineRule="auto"/>
      <w:textAlignment w:val="baseline"/>
    </w:pPr>
    <w:rPr>
      <w:rFonts w:ascii="宋体"/>
      <w:snapToGrid w:val="0"/>
      <w:spacing w:val="4"/>
      <w:kern w:val="0"/>
      <w:sz w:val="24"/>
      <w:szCs w:val="20"/>
    </w:rPr>
  </w:style>
  <w:style w:type="character" w:customStyle="1" w:styleId="467">
    <w:name w:val="表格字体 Char Char"/>
    <w:link w:val="468"/>
    <w:qFormat/>
    <w:locked/>
    <w:uiPriority w:val="0"/>
    <w:rPr>
      <w:sz w:val="21"/>
    </w:rPr>
  </w:style>
  <w:style w:type="paragraph" w:customStyle="1" w:styleId="468">
    <w:name w:val="表格字体"/>
    <w:basedOn w:val="1"/>
    <w:link w:val="467"/>
    <w:qFormat/>
    <w:uiPriority w:val="0"/>
    <w:pPr>
      <w:adjustRightInd w:val="0"/>
      <w:spacing w:beforeLines="20" w:afterLines="20" w:line="360" w:lineRule="auto"/>
      <w:jc w:val="center"/>
      <w:textAlignment w:val="baseline"/>
    </w:pPr>
    <w:rPr>
      <w:kern w:val="0"/>
      <w:szCs w:val="20"/>
    </w:rPr>
  </w:style>
  <w:style w:type="character" w:customStyle="1" w:styleId="469">
    <w:name w:val="Char Char18"/>
    <w:qFormat/>
    <w:uiPriority w:val="0"/>
    <w:rPr>
      <w:rFonts w:ascii="Cambria" w:hAnsi="Cambria" w:eastAsia="宋体"/>
      <w:sz w:val="24"/>
      <w:lang w:val="en-US" w:eastAsia="en-US"/>
    </w:rPr>
  </w:style>
  <w:style w:type="character" w:customStyle="1" w:styleId="470">
    <w:name w:val="1正文段落 Char Char"/>
    <w:qFormat/>
    <w:locked/>
    <w:uiPriority w:val="0"/>
    <w:rPr>
      <w:snapToGrid w:val="0"/>
      <w:sz w:val="24"/>
      <w:szCs w:val="24"/>
    </w:rPr>
  </w:style>
  <w:style w:type="character" w:customStyle="1" w:styleId="471">
    <w:name w:val="正文B Char Char"/>
    <w:qFormat/>
    <w:locked/>
    <w:uiPriority w:val="0"/>
    <w:rPr>
      <w:rFonts w:ascii="宋体" w:hAnsi="宋体" w:eastAsia="宋体"/>
      <w:sz w:val="24"/>
    </w:rPr>
  </w:style>
  <w:style w:type="character" w:customStyle="1" w:styleId="472">
    <w:name w:val="正文加粗 Char Char"/>
    <w:link w:val="473"/>
    <w:qFormat/>
    <w:locked/>
    <w:uiPriority w:val="0"/>
    <w:rPr>
      <w:rFonts w:eastAsia="仿宋_GB2312"/>
      <w:b/>
      <w:kern w:val="2"/>
      <w:sz w:val="24"/>
      <w:szCs w:val="24"/>
    </w:rPr>
  </w:style>
  <w:style w:type="paragraph" w:customStyle="1" w:styleId="473">
    <w:name w:val="正文加粗"/>
    <w:next w:val="1"/>
    <w:link w:val="472"/>
    <w:qFormat/>
    <w:uiPriority w:val="0"/>
    <w:pPr>
      <w:spacing w:line="360" w:lineRule="auto"/>
      <w:ind w:firstLine="480"/>
    </w:pPr>
    <w:rPr>
      <w:rFonts w:ascii="Times New Roman" w:hAnsi="Times New Roman" w:eastAsia="仿宋_GB2312" w:cs="Times New Roman"/>
      <w:b/>
      <w:kern w:val="2"/>
      <w:sz w:val="24"/>
      <w:szCs w:val="24"/>
      <w:lang w:val="en-US" w:eastAsia="zh-CN" w:bidi="ar-SA"/>
    </w:rPr>
  </w:style>
  <w:style w:type="character" w:customStyle="1" w:styleId="474">
    <w:name w:val="表头 Char1"/>
    <w:qFormat/>
    <w:uiPriority w:val="0"/>
    <w:rPr>
      <w:rFonts w:eastAsia="仿宋_GB2312"/>
      <w:b/>
      <w:snapToGrid w:val="0"/>
      <w:color w:val="000000"/>
      <w:sz w:val="21"/>
    </w:rPr>
  </w:style>
  <w:style w:type="character" w:customStyle="1" w:styleId="475">
    <w:name w:val="正文(首行缩进) Char1"/>
    <w:qFormat/>
    <w:locked/>
    <w:uiPriority w:val="0"/>
    <w:rPr>
      <w:rFonts w:ascii="宋体" w:eastAsia="宋体"/>
      <w:snapToGrid w:val="0"/>
      <w:color w:val="000000"/>
      <w:sz w:val="24"/>
    </w:rPr>
  </w:style>
  <w:style w:type="character" w:customStyle="1" w:styleId="476">
    <w:name w:val="nr"/>
    <w:qFormat/>
    <w:uiPriority w:val="0"/>
    <w:rPr>
      <w:rFonts w:cs="Times New Roman"/>
    </w:rPr>
  </w:style>
  <w:style w:type="character" w:customStyle="1" w:styleId="477">
    <w:name w:val="批注文字 Char1"/>
    <w:qFormat/>
    <w:locked/>
    <w:uiPriority w:val="99"/>
    <w:rPr>
      <w:kern w:val="2"/>
      <w:sz w:val="21"/>
      <w:szCs w:val="24"/>
    </w:rPr>
  </w:style>
  <w:style w:type="paragraph" w:customStyle="1" w:styleId="478">
    <w:name w:val="表格内容格式"/>
    <w:basedOn w:val="1"/>
    <w:qFormat/>
    <w:uiPriority w:val="0"/>
    <w:pPr>
      <w:adjustRightInd w:val="0"/>
      <w:spacing w:line="312" w:lineRule="atLeast"/>
      <w:jc w:val="center"/>
      <w:textAlignment w:val="baseline"/>
    </w:pPr>
    <w:rPr>
      <w:rFonts w:ascii="宋体" w:hAnsi="宋体"/>
      <w:color w:val="FF0000"/>
      <w:kern w:val="0"/>
      <w:szCs w:val="20"/>
    </w:rPr>
  </w:style>
  <w:style w:type="paragraph" w:customStyle="1" w:styleId="479">
    <w:name w:val="表字居中O"/>
    <w:basedOn w:val="1"/>
    <w:qFormat/>
    <w:uiPriority w:val="0"/>
    <w:pPr>
      <w:tabs>
        <w:tab w:val="left" w:pos="3626"/>
      </w:tabs>
      <w:adjustRightInd w:val="0"/>
      <w:spacing w:line="240" w:lineRule="atLeast"/>
      <w:jc w:val="center"/>
      <w:textAlignment w:val="baseline"/>
    </w:pPr>
    <w:rPr>
      <w:spacing w:val="-4"/>
      <w:kern w:val="0"/>
      <w:szCs w:val="21"/>
    </w:rPr>
  </w:style>
  <w:style w:type="character" w:customStyle="1" w:styleId="480">
    <w:name w:val="正文文本缩进 Char1"/>
    <w:semiHidden/>
    <w:qFormat/>
    <w:uiPriority w:val="99"/>
    <w:rPr>
      <w:rFonts w:ascii="Times New Roman" w:hAnsi="Times New Roman" w:eastAsia="宋体" w:cs="Times New Roman"/>
      <w:sz w:val="24"/>
      <w:szCs w:val="24"/>
    </w:rPr>
  </w:style>
  <w:style w:type="paragraph" w:customStyle="1" w:styleId="481">
    <w:name w:val="公参2"/>
    <w:basedOn w:val="1"/>
    <w:qFormat/>
    <w:uiPriority w:val="0"/>
    <w:pPr>
      <w:tabs>
        <w:tab w:val="left" w:pos="-2848"/>
      </w:tabs>
      <w:adjustRightInd w:val="0"/>
      <w:spacing w:line="360" w:lineRule="atLeast"/>
      <w:textAlignment w:val="baseline"/>
    </w:pPr>
    <w:rPr>
      <w:rFonts w:cs="宋体"/>
      <w:kern w:val="0"/>
      <w:position w:val="-10"/>
      <w:szCs w:val="20"/>
    </w:rPr>
  </w:style>
  <w:style w:type="paragraph" w:customStyle="1" w:styleId="482">
    <w:name w:val="a表格"/>
    <w:basedOn w:val="1"/>
    <w:qFormat/>
    <w:uiPriority w:val="0"/>
    <w:pPr>
      <w:adjustRightInd w:val="0"/>
      <w:snapToGrid w:val="0"/>
      <w:spacing w:line="312" w:lineRule="atLeast"/>
      <w:jc w:val="center"/>
      <w:textAlignment w:val="baseline"/>
    </w:pPr>
    <w:rPr>
      <w:kern w:val="0"/>
      <w:szCs w:val="20"/>
    </w:rPr>
  </w:style>
  <w:style w:type="paragraph" w:customStyle="1" w:styleId="483">
    <w:name w:val="Char Char Char Char Char Char Char Char Char Char Char Char Char Char Char Char Char Char Char Char Char Char Char Char Char Char Char Char Char Char Char Char Char Char Char Char Char Char Char Char Char Char Char Char Char Char"/>
    <w:basedOn w:val="1"/>
    <w:next w:val="1"/>
    <w:qFormat/>
    <w:uiPriority w:val="0"/>
    <w:pPr>
      <w:pBdr>
        <w:right w:val="single" w:color="auto" w:sz="12" w:space="4"/>
      </w:pBdr>
      <w:adjustRightInd w:val="0"/>
      <w:spacing w:line="360" w:lineRule="auto"/>
      <w:ind w:firstLine="200" w:firstLineChars="200"/>
      <w:textAlignment w:val="baseline"/>
    </w:pPr>
    <w:rPr>
      <w:rFonts w:ascii="宋体" w:hAnsi="宋体" w:cs="宋体"/>
      <w:kern w:val="0"/>
      <w:sz w:val="28"/>
      <w:szCs w:val="20"/>
    </w:rPr>
  </w:style>
  <w:style w:type="paragraph" w:customStyle="1" w:styleId="484">
    <w:name w:val="我的表格"/>
    <w:qFormat/>
    <w:uiPriority w:val="0"/>
    <w:pPr>
      <w:adjustRightInd w:val="0"/>
      <w:snapToGrid w:val="0"/>
      <w:spacing w:line="300" w:lineRule="exact"/>
      <w:jc w:val="center"/>
    </w:pPr>
    <w:rPr>
      <w:rFonts w:ascii="Times New Roman" w:hAnsi="Times New Roman" w:eastAsia="宋体" w:cs="Times New Roman"/>
      <w:spacing w:val="4"/>
      <w:sz w:val="21"/>
      <w:szCs w:val="24"/>
      <w:lang w:val="en-US" w:eastAsia="zh-CN" w:bidi="th-TH"/>
    </w:rPr>
  </w:style>
  <w:style w:type="character" w:customStyle="1" w:styleId="485">
    <w:name w:val="正文文本 Char1"/>
    <w:qFormat/>
    <w:locked/>
    <w:uiPriority w:val="0"/>
    <w:rPr>
      <w:kern w:val="2"/>
      <w:sz w:val="44"/>
      <w:szCs w:val="24"/>
    </w:rPr>
  </w:style>
  <w:style w:type="paragraph" w:customStyle="1" w:styleId="486">
    <w:name w:val="样式 首行缩进:  0.99 厘米 行距: 1.5 倍行距2"/>
    <w:basedOn w:val="1"/>
    <w:qFormat/>
    <w:uiPriority w:val="0"/>
    <w:pPr>
      <w:adjustRightInd w:val="0"/>
      <w:snapToGrid w:val="0"/>
      <w:spacing w:line="312" w:lineRule="atLeast"/>
      <w:jc w:val="center"/>
      <w:textAlignment w:val="baseline"/>
    </w:pPr>
    <w:rPr>
      <w:rFonts w:ascii="宋体" w:hAnsi="宋体"/>
      <w:color w:val="FF0000"/>
      <w:kern w:val="0"/>
      <w:szCs w:val="21"/>
    </w:rPr>
  </w:style>
  <w:style w:type="paragraph" w:customStyle="1" w:styleId="487">
    <w:name w:val="样式 正文首行缩进 + 首行缩进:  1 字符"/>
    <w:basedOn w:val="57"/>
    <w:qFormat/>
    <w:uiPriority w:val="0"/>
    <w:pPr>
      <w:adjustRightInd w:val="0"/>
      <w:spacing w:after="0" w:line="480" w:lineRule="exact"/>
      <w:ind w:firstLine="200" w:firstLineChars="200"/>
      <w:textAlignment w:val="baseline"/>
    </w:pPr>
    <w:rPr>
      <w:rFonts w:ascii="Calibri" w:hAnsi="Calibri" w:cs="宋体"/>
      <w:bCs/>
      <w:sz w:val="28"/>
    </w:rPr>
  </w:style>
  <w:style w:type="paragraph" w:customStyle="1" w:styleId="488">
    <w:name w:val="正文文字1"/>
    <w:basedOn w:val="1"/>
    <w:qFormat/>
    <w:uiPriority w:val="0"/>
    <w:pPr>
      <w:adjustRightInd w:val="0"/>
      <w:spacing w:line="500" w:lineRule="exact"/>
      <w:ind w:firstLine="480" w:firstLineChars="200"/>
      <w:textAlignment w:val="baseline"/>
    </w:pPr>
    <w:rPr>
      <w:kern w:val="0"/>
      <w:sz w:val="24"/>
      <w:szCs w:val="20"/>
    </w:rPr>
  </w:style>
  <w:style w:type="paragraph" w:customStyle="1" w:styleId="489">
    <w:name w:val="环表头"/>
    <w:basedOn w:val="1"/>
    <w:link w:val="609"/>
    <w:qFormat/>
    <w:uiPriority w:val="0"/>
    <w:pPr>
      <w:adjustRightInd w:val="0"/>
      <w:spacing w:line="480" w:lineRule="exact"/>
      <w:jc w:val="center"/>
      <w:textAlignment w:val="baseline"/>
    </w:pPr>
    <w:rPr>
      <w:rFonts w:ascii="黑体" w:hAnsi="宋体" w:eastAsia="黑体"/>
      <w:iCs/>
      <w:color w:val="000000"/>
      <w:kern w:val="0"/>
      <w:sz w:val="24"/>
      <w:szCs w:val="20"/>
    </w:rPr>
  </w:style>
  <w:style w:type="paragraph" w:customStyle="1" w:styleId="490">
    <w:name w:val="样式 标题 2标题 2 Char + (西文) Times New Roman (中文) 宋体 小四"/>
    <w:basedOn w:val="5"/>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491">
    <w:name w:val="Char Char1 Char Char Char Char Char Char Char Char Char Char Char Char Char Char Char Char Char Char Char Char1 Char"/>
    <w:basedOn w:val="1"/>
    <w:qFormat/>
    <w:uiPriority w:val="0"/>
    <w:pPr>
      <w:adjustRightInd w:val="0"/>
      <w:spacing w:line="360" w:lineRule="auto"/>
      <w:ind w:firstLine="200" w:firstLineChars="200"/>
      <w:textAlignment w:val="baseline"/>
    </w:pPr>
    <w:rPr>
      <w:kern w:val="0"/>
      <w:szCs w:val="20"/>
    </w:rPr>
  </w:style>
  <w:style w:type="paragraph" w:customStyle="1" w:styleId="49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3">
    <w:name w:val="zhang正文"/>
    <w:basedOn w:val="3"/>
    <w:qFormat/>
    <w:uiPriority w:val="0"/>
    <w:pPr>
      <w:autoSpaceDE w:val="0"/>
      <w:autoSpaceDN w:val="0"/>
      <w:adjustRightInd w:val="0"/>
      <w:snapToGrid w:val="0"/>
      <w:spacing w:after="0" w:line="500" w:lineRule="exact"/>
      <w:ind w:left="0" w:leftChars="0" w:firstLine="539"/>
      <w:textAlignment w:val="baseline"/>
    </w:pPr>
    <w:rPr>
      <w:rFonts w:ascii="Calibri" w:hAnsi="Calibri" w:eastAsia="楷体_GB2312"/>
      <w:sz w:val="28"/>
    </w:rPr>
  </w:style>
  <w:style w:type="paragraph" w:customStyle="1" w:styleId="494">
    <w:name w:val="样式 正文首行缩进正文首行缩进 Char + 首行缩进:  1 字符1"/>
    <w:basedOn w:val="57"/>
    <w:qFormat/>
    <w:uiPriority w:val="0"/>
    <w:pPr>
      <w:widowControl/>
      <w:adjustRightInd w:val="0"/>
      <w:spacing w:line="360" w:lineRule="auto"/>
      <w:ind w:firstLine="100"/>
      <w:jc w:val="left"/>
      <w:textAlignment w:val="baseline"/>
    </w:pPr>
    <w:rPr>
      <w:rFonts w:ascii="Calibri" w:hAnsi="Calibri" w:cs="宋体"/>
      <w:sz w:val="24"/>
    </w:rPr>
  </w:style>
  <w:style w:type="paragraph" w:customStyle="1" w:styleId="495">
    <w:name w:val="p19"/>
    <w:basedOn w:val="1"/>
    <w:qFormat/>
    <w:uiPriority w:val="0"/>
    <w:pPr>
      <w:widowControl/>
      <w:adjustRightInd w:val="0"/>
      <w:spacing w:line="360" w:lineRule="atLeast"/>
      <w:jc w:val="center"/>
      <w:textAlignment w:val="baseline"/>
    </w:pPr>
    <w:rPr>
      <w:kern w:val="0"/>
      <w:szCs w:val="21"/>
    </w:rPr>
  </w:style>
  <w:style w:type="paragraph" w:customStyle="1" w:styleId="496">
    <w:name w:val="1表格头"/>
    <w:basedOn w:val="1"/>
    <w:qFormat/>
    <w:uiPriority w:val="0"/>
    <w:pPr>
      <w:adjustRightInd w:val="0"/>
      <w:snapToGrid w:val="0"/>
      <w:spacing w:line="160" w:lineRule="atLeast"/>
      <w:jc w:val="center"/>
      <w:textAlignment w:val="baseline"/>
    </w:pPr>
    <w:rPr>
      <w:rFonts w:eastAsia="仿宋_GB2312"/>
      <w:kern w:val="0"/>
      <w:sz w:val="24"/>
      <w:szCs w:val="20"/>
    </w:rPr>
  </w:style>
  <w:style w:type="paragraph" w:customStyle="1" w:styleId="497">
    <w:name w:val="样式3"/>
    <w:basedOn w:val="5"/>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498">
    <w:name w:val="样式 标题 1 + 黑体 小二 居中 首行缩进:  0 厘米 段前: 12 磅"/>
    <w:basedOn w:val="4"/>
    <w:qFormat/>
    <w:uiPriority w:val="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499">
    <w:name w:val="样式 标题 2 + 首行缩进:  2 字符"/>
    <w:basedOn w:val="5"/>
    <w:qFormat/>
    <w:uiPriority w:val="0"/>
    <w:pPr>
      <w:tabs>
        <w:tab w:val="left" w:pos="-1980"/>
        <w:tab w:val="clear" w:pos="425"/>
      </w:tabs>
      <w:adjustRightInd w:val="0"/>
      <w:spacing w:before="0" w:afterLines="50" w:line="240" w:lineRule="auto"/>
      <w:ind w:left="0" w:firstLine="0"/>
      <w:textAlignment w:val="baseline"/>
    </w:pPr>
    <w:rPr>
      <w:bCs/>
      <w:spacing w:val="1"/>
      <w:kern w:val="0"/>
      <w:sz w:val="28"/>
      <w:szCs w:val="28"/>
    </w:rPr>
  </w:style>
  <w:style w:type="paragraph" w:customStyle="1" w:styleId="500">
    <w:name w:val="样式 标题 4 + (西文) Times New Roman (中文) 宋体 小四"/>
    <w:basedOn w:val="8"/>
    <w:qFormat/>
    <w:uiPriority w:val="0"/>
    <w:pPr>
      <w:tabs>
        <w:tab w:val="left" w:pos="1397"/>
        <w:tab w:val="clear" w:pos="1080"/>
      </w:tabs>
      <w:snapToGrid w:val="0"/>
      <w:spacing w:beforeLines="25" w:afterLines="25" w:line="360" w:lineRule="auto"/>
      <w:ind w:left="1114" w:hanging="964"/>
      <w:textAlignment w:val="baseline"/>
    </w:pPr>
    <w:rPr>
      <w:rFonts w:ascii="宋体" w:hAnsi="宋体" w:eastAsia="宋体"/>
      <w:b w:val="0"/>
      <w:sz w:val="24"/>
      <w:szCs w:val="24"/>
    </w:rPr>
  </w:style>
  <w:style w:type="paragraph" w:customStyle="1" w:styleId="501">
    <w:name w:val="正文11"/>
    <w:basedOn w:val="1"/>
    <w:qFormat/>
    <w:uiPriority w:val="0"/>
    <w:pPr>
      <w:adjustRightInd w:val="0"/>
      <w:spacing w:before="120" w:after="120" w:line="360" w:lineRule="auto"/>
      <w:ind w:firstLine="539"/>
      <w:textAlignment w:val="baseline"/>
    </w:pPr>
    <w:rPr>
      <w:rFonts w:ascii="宋体" w:hAnsi="宋体"/>
      <w:kern w:val="0"/>
      <w:sz w:val="28"/>
      <w:szCs w:val="20"/>
    </w:rPr>
  </w:style>
  <w:style w:type="paragraph" w:customStyle="1" w:styleId="502">
    <w:name w:val="样式 标题 3 + 段前: 0 磅 段后: 8 磅 行距: 固定值 22 磅1"/>
    <w:basedOn w:val="6"/>
    <w:qFormat/>
    <w:uiPriority w:val="0"/>
    <w:pPr>
      <w:tabs>
        <w:tab w:val="left" w:pos="720"/>
        <w:tab w:val="clear" w:pos="567"/>
      </w:tabs>
      <w:adjustRightInd w:val="0"/>
      <w:snapToGrid w:val="0"/>
      <w:spacing w:before="0" w:after="0" w:line="360" w:lineRule="auto"/>
      <w:ind w:left="720" w:hanging="720"/>
      <w:textAlignment w:val="baseline"/>
    </w:pPr>
    <w:rPr>
      <w:rFonts w:eastAsia="宋体" w:cs="Arial"/>
      <w:sz w:val="24"/>
      <w:szCs w:val="30"/>
    </w:rPr>
  </w:style>
  <w:style w:type="paragraph" w:customStyle="1" w:styleId="503">
    <w:name w:val="表目"/>
    <w:basedOn w:val="1"/>
    <w:qFormat/>
    <w:uiPriority w:val="0"/>
    <w:pPr>
      <w:adjustRightInd w:val="0"/>
      <w:spacing w:line="480" w:lineRule="atLeast"/>
      <w:ind w:left="-105" w:leftChars="-50" w:right="-105" w:rightChars="-50"/>
      <w:jc w:val="center"/>
      <w:textAlignment w:val="baseline"/>
    </w:pPr>
    <w:rPr>
      <w:rFonts w:ascii="Arial" w:hAnsi="Arial" w:eastAsia="仿宋_GB2312" w:cs="Arial"/>
      <w:kern w:val="0"/>
      <w:sz w:val="24"/>
      <w:szCs w:val="20"/>
    </w:rPr>
  </w:style>
  <w:style w:type="paragraph" w:customStyle="1" w:styleId="504">
    <w:name w:val="Char Char Char1"/>
    <w:basedOn w:val="1"/>
    <w:qFormat/>
    <w:uiPriority w:val="0"/>
    <w:pPr>
      <w:widowControl/>
      <w:adjustRightInd w:val="0"/>
      <w:spacing w:after="160" w:line="240" w:lineRule="exact"/>
      <w:jc w:val="left"/>
      <w:textAlignment w:val="baseline"/>
    </w:pPr>
    <w:rPr>
      <w:rFonts w:ascii="Verdana" w:hAnsi="Verdana" w:eastAsia="仿宋_GB2312"/>
      <w:kern w:val="0"/>
      <w:sz w:val="24"/>
      <w:szCs w:val="20"/>
      <w:lang w:eastAsia="en-US"/>
    </w:rPr>
  </w:style>
  <w:style w:type="paragraph" w:customStyle="1" w:styleId="505">
    <w:name w:val="5"/>
    <w:basedOn w:val="1"/>
    <w:next w:val="48"/>
    <w:qFormat/>
    <w:uiPriority w:val="0"/>
    <w:pPr>
      <w:adjustRightInd w:val="0"/>
      <w:snapToGrid w:val="0"/>
      <w:spacing w:line="312" w:lineRule="auto"/>
      <w:ind w:firstLine="480" w:firstLineChars="200"/>
      <w:textAlignment w:val="baseline"/>
    </w:pPr>
    <w:rPr>
      <w:rFonts w:ascii="仿宋_GB2312" w:eastAsia="仿宋_GB2312"/>
      <w:kern w:val="0"/>
      <w:sz w:val="24"/>
      <w:szCs w:val="20"/>
    </w:rPr>
  </w:style>
  <w:style w:type="paragraph" w:customStyle="1" w:styleId="506">
    <w:name w:val="2级标题"/>
    <w:basedOn w:val="1"/>
    <w:qFormat/>
    <w:uiPriority w:val="0"/>
    <w:pPr>
      <w:adjustRightInd w:val="0"/>
      <w:spacing w:before="60" w:line="460" w:lineRule="exact"/>
      <w:textAlignment w:val="baseline"/>
      <w:outlineLvl w:val="1"/>
    </w:pPr>
    <w:rPr>
      <w:b/>
      <w:kern w:val="0"/>
      <w:sz w:val="28"/>
      <w:szCs w:val="20"/>
    </w:rPr>
  </w:style>
  <w:style w:type="paragraph" w:customStyle="1" w:styleId="507">
    <w:name w:val="图居中"/>
    <w:basedOn w:val="1"/>
    <w:next w:val="1"/>
    <w:qFormat/>
    <w:uiPriority w:val="0"/>
    <w:pPr>
      <w:tabs>
        <w:tab w:val="left" w:pos="3626"/>
      </w:tabs>
      <w:adjustRightInd w:val="0"/>
      <w:spacing w:line="480" w:lineRule="exact"/>
      <w:jc w:val="center"/>
      <w:textAlignment w:val="baseline"/>
    </w:pPr>
    <w:rPr>
      <w:rFonts w:ascii="黑体" w:eastAsia="黑体"/>
      <w:kern w:val="0"/>
      <w:sz w:val="24"/>
      <w:szCs w:val="20"/>
    </w:rPr>
  </w:style>
  <w:style w:type="paragraph" w:customStyle="1" w:styleId="508">
    <w:name w:val="样式 标题 3H3h33rd level第二层条Re标题 3 Char3条标题1.1.1 Char标题 3 Ch..."/>
    <w:basedOn w:val="6"/>
    <w:qFormat/>
    <w:uiPriority w:val="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509">
    <w:name w:val="样式 首行缩进:  0.85 厘米1"/>
    <w:basedOn w:val="1"/>
    <w:qFormat/>
    <w:uiPriority w:val="0"/>
    <w:pPr>
      <w:adjustRightInd w:val="0"/>
      <w:spacing w:line="360" w:lineRule="auto"/>
      <w:ind w:firstLine="567" w:firstLineChars="200"/>
      <w:textAlignment w:val="baseline"/>
    </w:pPr>
    <w:rPr>
      <w:rFonts w:cs="PMingLiU"/>
      <w:kern w:val="0"/>
      <w:sz w:val="24"/>
      <w:szCs w:val="20"/>
    </w:rPr>
  </w:style>
  <w:style w:type="paragraph" w:customStyle="1" w:styleId="510">
    <w:name w:val="正文001"/>
    <w:qFormat/>
    <w:uiPriority w:val="0"/>
    <w:pPr>
      <w:spacing w:before="60" w:line="460" w:lineRule="exact"/>
      <w:ind w:firstLine="482"/>
    </w:pPr>
    <w:rPr>
      <w:rFonts w:ascii="Times New Roman" w:hAnsi="Times New Roman" w:eastAsia="宋体" w:cs="Times New Roman"/>
      <w:sz w:val="24"/>
      <w:lang w:val="en-US" w:eastAsia="zh-CN" w:bidi="ar-SA"/>
    </w:rPr>
  </w:style>
  <w:style w:type="paragraph" w:customStyle="1" w:styleId="511">
    <w:name w:val="报告1"/>
    <w:basedOn w:val="1"/>
    <w:qFormat/>
    <w:uiPriority w:val="0"/>
    <w:pPr>
      <w:adjustRightInd w:val="0"/>
      <w:spacing w:line="360" w:lineRule="auto"/>
      <w:ind w:firstLine="505"/>
      <w:jc w:val="left"/>
      <w:textAlignment w:val="baseline"/>
    </w:pPr>
    <w:rPr>
      <w:kern w:val="0"/>
      <w:sz w:val="24"/>
      <w:szCs w:val="20"/>
    </w:rPr>
  </w:style>
  <w:style w:type="paragraph" w:customStyle="1" w:styleId="512">
    <w:name w:val="样式 标题 1-*+章标题 11.标题 1h11st levelSection Headl1b1H1Head..."/>
    <w:basedOn w:val="4"/>
    <w:qFormat/>
    <w:uiPriority w:val="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513">
    <w:name w:val="表名（标题）"/>
    <w:basedOn w:val="1"/>
    <w:qFormat/>
    <w:uiPriority w:val="0"/>
    <w:pPr>
      <w:adjustRightInd w:val="0"/>
      <w:spacing w:line="460" w:lineRule="exact"/>
      <w:jc w:val="left"/>
      <w:textAlignment w:val="baseline"/>
    </w:pPr>
    <w:rPr>
      <w:kern w:val="0"/>
      <w:sz w:val="24"/>
      <w:szCs w:val="20"/>
    </w:rPr>
  </w:style>
  <w:style w:type="paragraph" w:customStyle="1" w:styleId="514">
    <w:name w:val="Char11"/>
    <w:basedOn w:val="1"/>
    <w:qFormat/>
    <w:uiPriority w:val="0"/>
    <w:pPr>
      <w:adjustRightInd w:val="0"/>
      <w:spacing w:line="312" w:lineRule="atLeast"/>
      <w:textAlignment w:val="baseline"/>
    </w:pPr>
    <w:rPr>
      <w:kern w:val="0"/>
      <w:szCs w:val="20"/>
    </w:rPr>
  </w:style>
  <w:style w:type="paragraph" w:customStyle="1" w:styleId="515">
    <w:name w:val="样式 标题 2节节标题 1.1H2（一）Underrubrik1prop2Heading 2 HiddenHea...1"/>
    <w:basedOn w:val="5"/>
    <w:qFormat/>
    <w:uiPriority w:val="0"/>
    <w:pPr>
      <w:tabs>
        <w:tab w:val="left" w:pos="-1980"/>
        <w:tab w:val="left" w:pos="576"/>
        <w:tab w:val="clear" w:pos="425"/>
      </w:tabs>
      <w:adjustRightInd w:val="0"/>
      <w:spacing w:beforeLines="50" w:after="0" w:line="360" w:lineRule="auto"/>
      <w:ind w:left="0" w:firstLine="0"/>
      <w:jc w:val="left"/>
      <w:textAlignment w:val="baseline"/>
    </w:pPr>
    <w:rPr>
      <w:rFonts w:ascii="宋体" w:eastAsia="宋体"/>
      <w:b w:val="0"/>
      <w:bCs/>
      <w:color w:val="000000"/>
      <w:kern w:val="0"/>
      <w:sz w:val="30"/>
      <w:szCs w:val="28"/>
    </w:rPr>
  </w:style>
  <w:style w:type="paragraph" w:customStyle="1" w:styleId="516">
    <w:name w:val="图目"/>
    <w:basedOn w:val="1"/>
    <w:qFormat/>
    <w:uiPriority w:val="0"/>
    <w:pPr>
      <w:adjustRightInd w:val="0"/>
      <w:snapToGrid w:val="0"/>
      <w:spacing w:before="360" w:after="360" w:line="440" w:lineRule="atLeast"/>
      <w:jc w:val="center"/>
      <w:textAlignment w:val="baseline"/>
    </w:pPr>
    <w:rPr>
      <w:rFonts w:ascii="黑体" w:hAnsi="Arial" w:eastAsia="黑体"/>
      <w:kern w:val="0"/>
      <w:sz w:val="24"/>
      <w:szCs w:val="20"/>
    </w:rPr>
  </w:style>
  <w:style w:type="paragraph" w:customStyle="1" w:styleId="517">
    <w:name w:val="xl36"/>
    <w:basedOn w:val="1"/>
    <w:qFormat/>
    <w:uiPriority w:val="0"/>
    <w:pPr>
      <w:widowControl/>
      <w:pBdr>
        <w:bottom w:val="single" w:color="auto" w:sz="4" w:space="0"/>
        <w:right w:val="single" w:color="auto" w:sz="4" w:space="0"/>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518">
    <w:name w:val="CM16"/>
    <w:basedOn w:val="73"/>
    <w:next w:val="73"/>
    <w:qFormat/>
    <w:uiPriority w:val="0"/>
    <w:pPr>
      <w:spacing w:line="566" w:lineRule="atLeast"/>
    </w:pPr>
    <w:rPr>
      <w:rFonts w:ascii="华文中宋" w:eastAsia="华文中宋" w:cs="华文中宋"/>
      <w:color w:val="auto"/>
    </w:rPr>
  </w:style>
  <w:style w:type="paragraph" w:customStyle="1" w:styleId="519">
    <w:name w:val="样式 标题 2 + 黑体 小四 非加粗 段前: 0 磅 段后: 0 磅 行距: 固定值 22 磅"/>
    <w:basedOn w:val="5"/>
    <w:qFormat/>
    <w:uiPriority w:val="0"/>
    <w:pPr>
      <w:tabs>
        <w:tab w:val="left" w:pos="-1980"/>
        <w:tab w:val="clear" w:pos="425"/>
      </w:tabs>
      <w:adjustRightInd w:val="0"/>
      <w:spacing w:before="0" w:after="0" w:line="500" w:lineRule="exact"/>
      <w:ind w:left="0" w:firstLine="363" w:firstLineChars="150"/>
      <w:textAlignment w:val="baseline"/>
    </w:pPr>
    <w:rPr>
      <w:rFonts w:ascii="Times New Roman" w:hAnsi="Times New Roman"/>
      <w:b w:val="0"/>
      <w:bCs/>
      <w:spacing w:val="1"/>
      <w:kern w:val="0"/>
      <w:sz w:val="28"/>
      <w:szCs w:val="28"/>
    </w:rPr>
  </w:style>
  <w:style w:type="paragraph" w:customStyle="1" w:styleId="520">
    <w:name w:val="样式 标题 1 + (中文) 宋体 小三 行距: 多倍行距 1.35 字行"/>
    <w:basedOn w:val="4"/>
    <w:qFormat/>
    <w:uiPriority w:val="0"/>
    <w:pPr>
      <w:keepLines/>
      <w:overflowPunct/>
      <w:adjustRightInd w:val="0"/>
      <w:spacing w:beforeLines="150" w:afterLines="150" w:line="240" w:lineRule="auto"/>
      <w:ind w:left="840" w:hanging="420"/>
      <w:jc w:val="center"/>
      <w:textAlignment w:val="baseline"/>
    </w:pPr>
    <w:rPr>
      <w:rFonts w:ascii="宋体" w:hAnsi="宋体"/>
      <w:b w:val="0"/>
      <w:color w:val="auto"/>
      <w:kern w:val="0"/>
      <w:sz w:val="32"/>
      <w:szCs w:val="32"/>
    </w:rPr>
  </w:style>
  <w:style w:type="paragraph" w:customStyle="1" w:styleId="521">
    <w:name w:val="正文（1）"/>
    <w:basedOn w:val="1"/>
    <w:qFormat/>
    <w:uiPriority w:val="0"/>
    <w:pPr>
      <w:autoSpaceDE w:val="0"/>
      <w:autoSpaceDN w:val="0"/>
      <w:adjustRightInd w:val="0"/>
      <w:snapToGrid w:val="0"/>
      <w:spacing w:line="480" w:lineRule="exact"/>
      <w:ind w:left="-17" w:firstLine="540" w:firstLineChars="225"/>
      <w:textAlignment w:val="baseline"/>
    </w:pPr>
    <w:rPr>
      <w:rFonts w:ascii="宋体" w:hAnsi="宋体" w:cs="宋体"/>
      <w:color w:val="FF0000"/>
      <w:kern w:val="0"/>
      <w:sz w:val="24"/>
      <w:szCs w:val="20"/>
      <w:lang w:val="zh-CN"/>
    </w:rPr>
  </w:style>
  <w:style w:type="paragraph" w:customStyle="1" w:styleId="522">
    <w:name w:val="表中正文居中"/>
    <w:qFormat/>
    <w:uiPriority w:val="0"/>
    <w:pPr>
      <w:spacing w:before="120" w:after="120" w:line="240" w:lineRule="atLeast"/>
      <w:jc w:val="center"/>
    </w:pPr>
    <w:rPr>
      <w:rFonts w:ascii="宋体" w:hAnsi="Times New Roman" w:eastAsia="宋体" w:cs="Times New Roman"/>
      <w:kern w:val="2"/>
      <w:sz w:val="21"/>
      <w:lang w:val="en-US" w:eastAsia="zh-CN" w:bidi="ar-SA"/>
    </w:rPr>
  </w:style>
  <w:style w:type="paragraph" w:customStyle="1" w:styleId="523">
    <w:name w:val="正文标准样式"/>
    <w:basedOn w:val="1"/>
    <w:qFormat/>
    <w:uiPriority w:val="0"/>
    <w:pPr>
      <w:adjustRightInd w:val="0"/>
      <w:spacing w:line="300" w:lineRule="auto"/>
      <w:ind w:firstLine="482"/>
      <w:textAlignment w:val="baseline"/>
    </w:pPr>
    <w:rPr>
      <w:kern w:val="0"/>
      <w:sz w:val="24"/>
      <w:szCs w:val="20"/>
    </w:rPr>
  </w:style>
  <w:style w:type="paragraph" w:customStyle="1" w:styleId="524">
    <w:name w:val="p18"/>
    <w:basedOn w:val="1"/>
    <w:qFormat/>
    <w:uiPriority w:val="0"/>
    <w:pPr>
      <w:widowControl/>
      <w:adjustRightInd w:val="0"/>
      <w:spacing w:after="120" w:line="312" w:lineRule="atLeast"/>
      <w:textAlignment w:val="baseline"/>
    </w:pPr>
    <w:rPr>
      <w:kern w:val="0"/>
      <w:szCs w:val="21"/>
    </w:rPr>
  </w:style>
  <w:style w:type="paragraph" w:customStyle="1" w:styleId="525">
    <w:name w:val="样式 正文文本缩进 3 + 12 磅 左侧:  2 字符"/>
    <w:basedOn w:val="48"/>
    <w:qFormat/>
    <w:uiPriority w:val="0"/>
    <w:pPr>
      <w:adjustRightInd w:val="0"/>
      <w:spacing w:after="120" w:line="360" w:lineRule="auto"/>
      <w:ind w:firstLine="200"/>
      <w:jc w:val="left"/>
      <w:textAlignment w:val="baseline"/>
    </w:pPr>
    <w:rPr>
      <w:rFonts w:eastAsia="宋体" w:cs="PMingLiU"/>
      <w:b w:val="0"/>
      <w:sz w:val="24"/>
    </w:rPr>
  </w:style>
  <w:style w:type="paragraph" w:customStyle="1" w:styleId="526">
    <w:name w:val="表格2"/>
    <w:basedOn w:val="1"/>
    <w:qFormat/>
    <w:uiPriority w:val="0"/>
    <w:pPr>
      <w:adjustRightInd w:val="0"/>
      <w:spacing w:line="360" w:lineRule="auto"/>
      <w:textAlignment w:val="baseline"/>
    </w:pPr>
    <w:rPr>
      <w:rFonts w:ascii="Calibri" w:hAnsi="Calibri"/>
      <w:kern w:val="0"/>
      <w:sz w:val="24"/>
      <w:szCs w:val="21"/>
    </w:rPr>
  </w:style>
  <w:style w:type="paragraph" w:customStyle="1" w:styleId="527">
    <w:name w:val="CM4"/>
    <w:basedOn w:val="73"/>
    <w:next w:val="73"/>
    <w:qFormat/>
    <w:uiPriority w:val="0"/>
    <w:pPr>
      <w:spacing w:line="566" w:lineRule="atLeast"/>
    </w:pPr>
    <w:rPr>
      <w:rFonts w:ascii="华文中宋" w:eastAsia="华文中宋" w:cs="华文中宋"/>
      <w:color w:val="auto"/>
    </w:rPr>
  </w:style>
  <w:style w:type="paragraph" w:customStyle="1" w:styleId="528">
    <w:name w:val="缩进"/>
    <w:basedOn w:val="1"/>
    <w:qFormat/>
    <w:uiPriority w:val="0"/>
    <w:pPr>
      <w:autoSpaceDE w:val="0"/>
      <w:autoSpaceDN w:val="0"/>
      <w:adjustRightInd w:val="0"/>
      <w:spacing w:line="400" w:lineRule="atLeast"/>
      <w:ind w:firstLine="425"/>
      <w:textAlignment w:val="baseline"/>
    </w:pPr>
    <w:rPr>
      <w:kern w:val="0"/>
      <w:sz w:val="24"/>
      <w:szCs w:val="20"/>
    </w:rPr>
  </w:style>
  <w:style w:type="paragraph" w:customStyle="1" w:styleId="529">
    <w:name w:val="样式 样式 样式 样式 标题 3 + 左侧:  1.5 厘米 首行缩进:  0 厘米 + 行距: 单倍行距 + 段后: 1 行 ...2"/>
    <w:basedOn w:val="1"/>
    <w:qFormat/>
    <w:uiPriority w:val="0"/>
    <w:pPr>
      <w:keepNext/>
      <w:keepLines/>
      <w:adjustRightInd w:val="0"/>
      <w:spacing w:afterLines="100" w:line="312" w:lineRule="atLeast"/>
      <w:textAlignment w:val="baseline"/>
      <w:outlineLvl w:val="3"/>
    </w:pPr>
    <w:rPr>
      <w:rFonts w:ascii="Arial" w:hAnsi="Arial" w:eastAsia="仿宋_GB2312" w:cs="宋体"/>
      <w:kern w:val="0"/>
      <w:sz w:val="28"/>
      <w:szCs w:val="20"/>
    </w:rPr>
  </w:style>
  <w:style w:type="paragraph" w:customStyle="1" w:styleId="530">
    <w:name w:val="目录"/>
    <w:qFormat/>
    <w:uiPriority w:val="0"/>
    <w:pPr>
      <w:jc w:val="center"/>
    </w:pPr>
    <w:rPr>
      <w:rFonts w:ascii="Times New Roman" w:hAnsi="Times New Roman" w:eastAsia="黑体" w:cs="Times New Roman"/>
      <w:b/>
      <w:bCs/>
      <w:kern w:val="44"/>
      <w:sz w:val="32"/>
      <w:szCs w:val="44"/>
      <w:lang w:val="en-US" w:eastAsia="zh-CN" w:bidi="ar-SA"/>
    </w:rPr>
  </w:style>
  <w:style w:type="paragraph" w:customStyle="1" w:styleId="531">
    <w:name w:val="表格头"/>
    <w:basedOn w:val="1"/>
    <w:qFormat/>
    <w:uiPriority w:val="0"/>
    <w:pPr>
      <w:adjustRightInd w:val="0"/>
      <w:spacing w:beforeLines="50" w:line="500" w:lineRule="exact"/>
      <w:jc w:val="center"/>
      <w:textAlignment w:val="baseline"/>
    </w:pPr>
    <w:rPr>
      <w:rFonts w:ascii="黑体" w:hAnsi="宋体" w:eastAsia="黑体"/>
      <w:kern w:val="0"/>
      <w:sz w:val="24"/>
      <w:szCs w:val="20"/>
    </w:rPr>
  </w:style>
  <w:style w:type="paragraph" w:customStyle="1" w:styleId="532">
    <w:name w:val="风玫瑰图"/>
    <w:qFormat/>
    <w:uiPriority w:val="0"/>
    <w:pPr>
      <w:autoSpaceDE w:val="0"/>
      <w:autoSpaceDN w:val="0"/>
      <w:adjustRightInd w:val="0"/>
      <w:snapToGrid w:val="0"/>
      <w:spacing w:line="500" w:lineRule="exact"/>
      <w:ind w:firstLine="539"/>
      <w:textAlignment w:val="baseline"/>
    </w:pPr>
    <w:rPr>
      <w:rFonts w:ascii="Times New Roman" w:hAnsi="Times New Roman" w:eastAsia="楷体_GB2312" w:cs="Times New Roman"/>
      <w:sz w:val="28"/>
      <w:lang w:val="en-US" w:eastAsia="zh-CN" w:bidi="ar-SA"/>
    </w:rPr>
  </w:style>
  <w:style w:type="paragraph" w:customStyle="1" w:styleId="533">
    <w:name w:val="xl24"/>
    <w:basedOn w:val="1"/>
    <w:qFormat/>
    <w:uiPriority w:val="0"/>
    <w:pPr>
      <w:widowControl/>
      <w:pBdr>
        <w:right w:val="single" w:color="auto" w:sz="4" w:space="0"/>
      </w:pBdr>
      <w:adjustRightInd w:val="0"/>
      <w:spacing w:before="100" w:beforeAutospacing="1" w:after="100" w:afterAutospacing="1" w:line="312" w:lineRule="atLeast"/>
      <w:jc w:val="center"/>
      <w:textAlignment w:val="baseline"/>
    </w:pPr>
    <w:rPr>
      <w:rFonts w:ascii="仿宋_GB2312" w:hAnsi="宋体" w:eastAsia="仿宋_GB2312"/>
      <w:kern w:val="0"/>
      <w:szCs w:val="21"/>
    </w:rPr>
  </w:style>
  <w:style w:type="paragraph" w:customStyle="1" w:styleId="534">
    <w:name w:val="样式 标题 2节节标题 1.1H2（一）Underrubrik1prop2Heading 2 HiddenHea...2"/>
    <w:basedOn w:val="5"/>
    <w:qFormat/>
    <w:uiPriority w:val="0"/>
    <w:pPr>
      <w:tabs>
        <w:tab w:val="left" w:pos="-1980"/>
        <w:tab w:val="left" w:pos="576"/>
        <w:tab w:val="clear" w:pos="425"/>
      </w:tabs>
      <w:adjustRightInd w:val="0"/>
      <w:spacing w:beforeLines="50" w:after="0" w:line="360" w:lineRule="auto"/>
      <w:ind w:left="0" w:firstLine="0"/>
      <w:jc w:val="left"/>
      <w:textAlignment w:val="baseline"/>
    </w:pPr>
    <w:rPr>
      <w:rFonts w:ascii="宋体" w:hAnsi="Times New Roman" w:eastAsia="宋体"/>
      <w:b w:val="0"/>
      <w:bCs/>
      <w:color w:val="000000"/>
      <w:kern w:val="0"/>
      <w:sz w:val="30"/>
      <w:szCs w:val="28"/>
    </w:rPr>
  </w:style>
  <w:style w:type="paragraph" w:customStyle="1" w:styleId="535">
    <w:name w:val="表名"/>
    <w:qFormat/>
    <w:uiPriority w:val="0"/>
    <w:pPr>
      <w:spacing w:before="120" w:line="360" w:lineRule="auto"/>
      <w:jc w:val="center"/>
    </w:pPr>
    <w:rPr>
      <w:rFonts w:ascii="Times New Roman" w:hAnsi="Times New Roman" w:eastAsia="宋体" w:cs="Times New Roman"/>
      <w:b/>
      <w:bCs/>
      <w:kern w:val="2"/>
      <w:sz w:val="21"/>
      <w:szCs w:val="32"/>
      <w:lang w:val="en-US" w:eastAsia="zh-CN" w:bidi="ar-SA"/>
    </w:rPr>
  </w:style>
  <w:style w:type="paragraph" w:customStyle="1" w:styleId="536">
    <w:name w:val="1char"/>
    <w:basedOn w:val="1"/>
    <w:qFormat/>
    <w:uiPriority w:val="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537">
    <w:name w:val="javascript1"/>
    <w:qFormat/>
    <w:uiPriority w:val="0"/>
    <w:rPr>
      <w:rFonts w:ascii="Tahoma" w:hAnsi="Tahoma" w:eastAsia="宋体"/>
      <w:kern w:val="2"/>
      <w:sz w:val="24"/>
      <w:lang w:val="en-US" w:eastAsia="zh-CN"/>
    </w:rPr>
  </w:style>
  <w:style w:type="paragraph" w:customStyle="1" w:styleId="538">
    <w:name w:val="A正文"/>
    <w:basedOn w:val="1"/>
    <w:qFormat/>
    <w:uiPriority w:val="0"/>
    <w:pPr>
      <w:snapToGrid w:val="0"/>
      <w:spacing w:line="500" w:lineRule="exact"/>
      <w:ind w:firstLine="480"/>
    </w:pPr>
    <w:rPr>
      <w:sz w:val="24"/>
    </w:rPr>
  </w:style>
  <w:style w:type="paragraph" w:customStyle="1" w:styleId="539">
    <w:name w:val="1.1.1"/>
    <w:basedOn w:val="1"/>
    <w:qFormat/>
    <w:uiPriority w:val="0"/>
    <w:pPr>
      <w:spacing w:line="360" w:lineRule="auto"/>
      <w:ind w:firstLine="200" w:firstLineChars="200"/>
    </w:pPr>
    <w:rPr>
      <w:rFonts w:ascii="黑体"/>
      <w:sz w:val="24"/>
      <w:szCs w:val="20"/>
    </w:rPr>
  </w:style>
  <w:style w:type="character" w:customStyle="1" w:styleId="540">
    <w:name w:val="尾注文本 Char"/>
    <w:link w:val="37"/>
    <w:qFormat/>
    <w:uiPriority w:val="99"/>
    <w:rPr>
      <w:sz w:val="21"/>
    </w:rPr>
  </w:style>
  <w:style w:type="paragraph" w:customStyle="1" w:styleId="541">
    <w:name w:val="小表"/>
    <w:basedOn w:val="1"/>
    <w:qFormat/>
    <w:uiPriority w:val="0"/>
    <w:pPr>
      <w:widowControl/>
      <w:tabs>
        <w:tab w:val="left" w:pos="352"/>
      </w:tabs>
      <w:overflowPunct w:val="0"/>
      <w:autoSpaceDE w:val="0"/>
      <w:autoSpaceDN w:val="0"/>
      <w:adjustRightInd w:val="0"/>
      <w:spacing w:line="360" w:lineRule="auto"/>
      <w:ind w:firstLine="200" w:firstLineChars="200"/>
      <w:jc w:val="center"/>
      <w:textAlignment w:val="bottom"/>
    </w:pPr>
    <w:rPr>
      <w:rFonts w:ascii="宋体" w:hAnsi="宋体"/>
      <w:kern w:val="0"/>
      <w:sz w:val="24"/>
      <w:szCs w:val="20"/>
    </w:rPr>
  </w:style>
  <w:style w:type="character" w:customStyle="1" w:styleId="542">
    <w:name w:val="apple-style-span"/>
    <w:qFormat/>
    <w:uiPriority w:val="0"/>
  </w:style>
  <w:style w:type="character" w:customStyle="1" w:styleId="543">
    <w:name w:val="List Paragraph Char"/>
    <w:link w:val="170"/>
    <w:qFormat/>
    <w:locked/>
    <w:uiPriority w:val="0"/>
  </w:style>
  <w:style w:type="paragraph" w:customStyle="1" w:styleId="544">
    <w:name w:val="Char6"/>
    <w:basedOn w:val="1"/>
    <w:qFormat/>
    <w:uiPriority w:val="0"/>
  </w:style>
  <w:style w:type="table" w:customStyle="1" w:styleId="545">
    <w:name w:val="网格型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46">
    <w:name w:val="网格型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547">
    <w:name w:val="Char5"/>
    <w:basedOn w:val="1"/>
    <w:qFormat/>
    <w:uiPriority w:val="0"/>
  </w:style>
  <w:style w:type="table" w:customStyle="1" w:styleId="548">
    <w:name w:val="网格型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549">
    <w:name w:val="Char4"/>
    <w:basedOn w:val="1"/>
    <w:qFormat/>
    <w:uiPriority w:val="0"/>
  </w:style>
  <w:style w:type="paragraph" w:customStyle="1" w:styleId="550">
    <w:name w:val="Char Char Char Char Char Char Char Char Char1 Char Char Char Char"/>
    <w:basedOn w:val="1"/>
    <w:qFormat/>
    <w:uiPriority w:val="0"/>
    <w:rPr>
      <w:sz w:val="24"/>
    </w:rPr>
  </w:style>
  <w:style w:type="paragraph" w:customStyle="1" w:styleId="551">
    <w:name w:val="Char Char Char Char Char Char Char Char Char1 Char Char Char Char1"/>
    <w:basedOn w:val="1"/>
    <w:qFormat/>
    <w:uiPriority w:val="0"/>
    <w:rPr>
      <w:sz w:val="24"/>
    </w:rPr>
  </w:style>
  <w:style w:type="paragraph" w:customStyle="1" w:styleId="552">
    <w:name w:val="新正文"/>
    <w:basedOn w:val="1"/>
    <w:link w:val="553"/>
    <w:qFormat/>
    <w:uiPriority w:val="0"/>
    <w:pPr>
      <w:adjustRightInd w:val="0"/>
      <w:snapToGrid w:val="0"/>
      <w:spacing w:line="480" w:lineRule="exact"/>
      <w:ind w:firstLine="482" w:firstLineChars="200"/>
    </w:pPr>
    <w:rPr>
      <w:rFonts w:ascii="仿宋_GB2312" w:eastAsia="仿宋_GB2312"/>
      <w:kern w:val="0"/>
      <w:sz w:val="20"/>
      <w:szCs w:val="20"/>
    </w:rPr>
  </w:style>
  <w:style w:type="character" w:customStyle="1" w:styleId="553">
    <w:name w:val="新正文 Char"/>
    <w:link w:val="552"/>
    <w:qFormat/>
    <w:locked/>
    <w:uiPriority w:val="0"/>
    <w:rPr>
      <w:rFonts w:ascii="仿宋_GB2312" w:eastAsia="仿宋_GB2312"/>
    </w:rPr>
  </w:style>
  <w:style w:type="table" w:customStyle="1" w:styleId="554">
    <w:name w:val="网格型13"/>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555">
    <w:name w:val="Char21"/>
    <w:basedOn w:val="1"/>
    <w:qFormat/>
    <w:uiPriority w:val="0"/>
  </w:style>
  <w:style w:type="paragraph" w:customStyle="1" w:styleId="556">
    <w:name w:val="TOC 标题1"/>
    <w:basedOn w:val="4"/>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557">
    <w:name w:val="网格型5"/>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558">
    <w:name w:val="show-img-bd"/>
    <w:qFormat/>
    <w:uiPriority w:val="0"/>
  </w:style>
  <w:style w:type="character" w:customStyle="1" w:styleId="559">
    <w:name w:val="图 标题 Char"/>
    <w:link w:val="560"/>
    <w:qFormat/>
    <w:uiPriority w:val="0"/>
    <w:rPr>
      <w:b/>
      <w:kern w:val="2"/>
      <w:sz w:val="24"/>
    </w:rPr>
  </w:style>
  <w:style w:type="paragraph" w:customStyle="1" w:styleId="560">
    <w:name w:val="图 标题"/>
    <w:basedOn w:val="1"/>
    <w:link w:val="559"/>
    <w:qFormat/>
    <w:uiPriority w:val="0"/>
    <w:pPr>
      <w:adjustRightInd w:val="0"/>
      <w:snapToGrid w:val="0"/>
      <w:spacing w:line="360" w:lineRule="auto"/>
      <w:jc w:val="center"/>
    </w:pPr>
    <w:rPr>
      <w:b/>
      <w:sz w:val="24"/>
      <w:szCs w:val="20"/>
    </w:rPr>
  </w:style>
  <w:style w:type="character" w:customStyle="1" w:styleId="561">
    <w:name w:val="aa正文 Char"/>
    <w:link w:val="562"/>
    <w:qFormat/>
    <w:uiPriority w:val="0"/>
    <w:rPr>
      <w:sz w:val="24"/>
      <w:szCs w:val="24"/>
    </w:rPr>
  </w:style>
  <w:style w:type="paragraph" w:customStyle="1" w:styleId="562">
    <w:name w:val="aa正文"/>
    <w:basedOn w:val="1"/>
    <w:link w:val="561"/>
    <w:qFormat/>
    <w:uiPriority w:val="0"/>
    <w:pPr>
      <w:spacing w:line="360" w:lineRule="auto"/>
      <w:ind w:firstLine="200" w:firstLineChars="200"/>
    </w:pPr>
    <w:rPr>
      <w:kern w:val="0"/>
      <w:sz w:val="24"/>
    </w:rPr>
  </w:style>
  <w:style w:type="character" w:customStyle="1" w:styleId="563">
    <w:name w:val="words-outer-wrap"/>
    <w:qFormat/>
    <w:uiPriority w:val="0"/>
  </w:style>
  <w:style w:type="character" w:customStyle="1" w:styleId="564">
    <w:name w:val="split-word"/>
    <w:qFormat/>
    <w:uiPriority w:val="0"/>
  </w:style>
  <w:style w:type="paragraph" w:customStyle="1" w:styleId="565">
    <w:name w:val="List Paragraph1"/>
    <w:basedOn w:val="1"/>
    <w:qFormat/>
    <w:uiPriority w:val="0"/>
    <w:pPr>
      <w:widowControl/>
      <w:spacing w:after="160" w:line="259" w:lineRule="auto"/>
      <w:ind w:left="720"/>
      <w:contextualSpacing/>
      <w:jc w:val="left"/>
    </w:pPr>
    <w:rPr>
      <w:rFonts w:ascii="Calibri" w:hAnsi="Calibri"/>
      <w:kern w:val="0"/>
      <w:sz w:val="22"/>
      <w:szCs w:val="22"/>
    </w:rPr>
  </w:style>
  <w:style w:type="character" w:customStyle="1" w:styleId="566">
    <w:name w:val="表格标题 Char"/>
    <w:qFormat/>
    <w:uiPriority w:val="0"/>
    <w:rPr>
      <w:rFonts w:ascii="TimesNewRoman" w:hAnsi="TimesNewRoman"/>
      <w:b/>
      <w:sz w:val="24"/>
    </w:rPr>
  </w:style>
  <w:style w:type="paragraph" w:customStyle="1" w:styleId="567">
    <w:name w:val="Char Char21"/>
    <w:basedOn w:val="1"/>
    <w:qFormat/>
    <w:uiPriority w:val="0"/>
    <w:rPr>
      <w:szCs w:val="21"/>
    </w:rPr>
  </w:style>
  <w:style w:type="paragraph" w:customStyle="1" w:styleId="568">
    <w:name w:val="333333333333333"/>
    <w:basedOn w:val="6"/>
    <w:qFormat/>
    <w:uiPriority w:val="0"/>
    <w:pPr>
      <w:tabs>
        <w:tab w:val="clear" w:pos="567"/>
      </w:tabs>
      <w:spacing w:before="0" w:after="0" w:line="360" w:lineRule="auto"/>
      <w:ind w:left="0" w:firstLine="0"/>
    </w:pPr>
    <w:rPr>
      <w:rFonts w:ascii="宋体" w:hAnsi="宋体" w:eastAsia="宋体" w:cs="宋体"/>
      <w:bCs/>
      <w:sz w:val="28"/>
    </w:rPr>
  </w:style>
  <w:style w:type="paragraph" w:customStyle="1" w:styleId="569">
    <w:name w:val="正文图"/>
    <w:basedOn w:val="1"/>
    <w:qFormat/>
    <w:uiPriority w:val="0"/>
    <w:pPr>
      <w:adjustRightInd w:val="0"/>
      <w:snapToGrid w:val="0"/>
      <w:spacing w:before="40"/>
      <w:jc w:val="center"/>
    </w:pPr>
    <w:rPr>
      <w:rFonts w:hint="eastAsia" w:ascii="宋体"/>
      <w:kern w:val="0"/>
      <w:sz w:val="24"/>
      <w:szCs w:val="20"/>
    </w:rPr>
  </w:style>
  <w:style w:type="paragraph" w:customStyle="1" w:styleId="570">
    <w:name w:val="Default Paragraph Font Para Char Char Char"/>
    <w:basedOn w:val="1"/>
    <w:qFormat/>
    <w:uiPriority w:val="0"/>
    <w:pPr>
      <w:widowControl/>
      <w:spacing w:after="160" w:line="240" w:lineRule="exact"/>
      <w:jc w:val="left"/>
    </w:pPr>
    <w:rPr>
      <w:rFonts w:ascii="Verdana" w:hAnsi="Verdana" w:eastAsia="Times New Roman"/>
      <w:kern w:val="0"/>
      <w:sz w:val="20"/>
      <w:szCs w:val="20"/>
      <w:lang w:eastAsia="en-US"/>
    </w:rPr>
  </w:style>
  <w:style w:type="character" w:customStyle="1" w:styleId="571">
    <w:name w:val="表的标题 Char"/>
    <w:link w:val="572"/>
    <w:qFormat/>
    <w:uiPriority w:val="0"/>
    <w:rPr>
      <w:rFonts w:eastAsia="黑体" w:cs="宋体"/>
      <w:kern w:val="2"/>
      <w:sz w:val="24"/>
    </w:rPr>
  </w:style>
  <w:style w:type="paragraph" w:customStyle="1" w:styleId="572">
    <w:name w:val="表的标题"/>
    <w:basedOn w:val="1"/>
    <w:next w:val="1"/>
    <w:link w:val="571"/>
    <w:qFormat/>
    <w:uiPriority w:val="0"/>
    <w:pPr>
      <w:adjustRightInd w:val="0"/>
      <w:snapToGrid w:val="0"/>
      <w:spacing w:beforeLines="50"/>
      <w:jc w:val="center"/>
    </w:pPr>
    <w:rPr>
      <w:rFonts w:eastAsia="黑体" w:cs="宋体"/>
      <w:sz w:val="24"/>
      <w:szCs w:val="20"/>
    </w:rPr>
  </w:style>
  <w:style w:type="character" w:customStyle="1" w:styleId="573">
    <w:name w:val="4正文 Char"/>
    <w:link w:val="574"/>
    <w:qFormat/>
    <w:uiPriority w:val="0"/>
    <w:rPr>
      <w:kern w:val="2"/>
      <w:sz w:val="24"/>
    </w:rPr>
  </w:style>
  <w:style w:type="paragraph" w:customStyle="1" w:styleId="574">
    <w:name w:val="4正文"/>
    <w:basedOn w:val="1"/>
    <w:link w:val="573"/>
    <w:qFormat/>
    <w:uiPriority w:val="0"/>
    <w:pPr>
      <w:spacing w:line="360" w:lineRule="auto"/>
      <w:ind w:firstLine="480" w:firstLineChars="200"/>
    </w:pPr>
    <w:rPr>
      <w:sz w:val="24"/>
      <w:szCs w:val="20"/>
    </w:rPr>
  </w:style>
  <w:style w:type="paragraph" w:customStyle="1" w:styleId="575">
    <w:name w:val="目录1"/>
    <w:basedOn w:val="1"/>
    <w:qFormat/>
    <w:uiPriority w:val="0"/>
    <w:pPr>
      <w:tabs>
        <w:tab w:val="left" w:pos="2850"/>
        <w:tab w:val="center" w:pos="4649"/>
      </w:tabs>
      <w:spacing w:line="480" w:lineRule="exact"/>
      <w:jc w:val="center"/>
    </w:pPr>
    <w:rPr>
      <w:rFonts w:ascii="黑体" w:eastAsia="黑体"/>
      <w:sz w:val="36"/>
      <w:szCs w:val="36"/>
    </w:rPr>
  </w:style>
  <w:style w:type="character" w:customStyle="1" w:styleId="576">
    <w:name w:val="Char Char291"/>
    <w:qFormat/>
    <w:uiPriority w:val="0"/>
    <w:rPr>
      <w:rFonts w:eastAsia="宋体"/>
      <w:b/>
      <w:bCs/>
      <w:kern w:val="2"/>
      <w:sz w:val="32"/>
      <w:szCs w:val="32"/>
      <w:lang w:val="en-US" w:eastAsia="zh-CN" w:bidi="ar-SA"/>
    </w:rPr>
  </w:style>
  <w:style w:type="character" w:customStyle="1" w:styleId="577">
    <w:name w:val="Char Char111"/>
    <w:qFormat/>
    <w:uiPriority w:val="0"/>
    <w:rPr>
      <w:rFonts w:ascii="Calibri" w:hAnsi="Tahoma" w:eastAsia="Calibri" w:cs="Tahoma"/>
      <w:kern w:val="2"/>
      <w:sz w:val="21"/>
      <w:szCs w:val="21"/>
      <w:lang w:val="en-US" w:eastAsia="zh-CN" w:bidi="ar-SA"/>
    </w:rPr>
  </w:style>
  <w:style w:type="character" w:customStyle="1" w:styleId="578">
    <w:name w:val="Char Char41"/>
    <w:qFormat/>
    <w:uiPriority w:val="0"/>
    <w:rPr>
      <w:rFonts w:ascii="宋体" w:hAnsi="Courier New" w:eastAsia="宋体"/>
      <w:kern w:val="2"/>
      <w:sz w:val="21"/>
      <w:lang w:val="en-US" w:eastAsia="zh-CN" w:bidi="ar-SA"/>
    </w:rPr>
  </w:style>
  <w:style w:type="character" w:customStyle="1" w:styleId="579">
    <w:name w:val="Char Char91"/>
    <w:qFormat/>
    <w:uiPriority w:val="0"/>
    <w:rPr>
      <w:rFonts w:ascii="宋体" w:hAnsi="宋体" w:eastAsia="宋体"/>
      <w:kern w:val="2"/>
      <w:sz w:val="24"/>
      <w:szCs w:val="24"/>
      <w:lang w:val="en-US" w:eastAsia="zh-CN" w:bidi="ar-SA"/>
    </w:rPr>
  </w:style>
  <w:style w:type="character" w:customStyle="1" w:styleId="580">
    <w:name w:val="正文文本缩进 2 Char2"/>
    <w:semiHidden/>
    <w:qFormat/>
    <w:uiPriority w:val="99"/>
    <w:rPr>
      <w:kern w:val="2"/>
      <w:sz w:val="21"/>
      <w:szCs w:val="24"/>
    </w:rPr>
  </w:style>
  <w:style w:type="character" w:customStyle="1" w:styleId="581">
    <w:name w:val="页脚 Char1"/>
    <w:qFormat/>
    <w:uiPriority w:val="0"/>
    <w:rPr>
      <w:kern w:val="2"/>
      <w:sz w:val="18"/>
      <w:szCs w:val="18"/>
    </w:rPr>
  </w:style>
  <w:style w:type="paragraph" w:customStyle="1" w:styleId="582">
    <w:name w:val="Char Char Char Char Char Char Char2"/>
    <w:basedOn w:val="1"/>
    <w:qFormat/>
    <w:uiPriority w:val="0"/>
    <w:pPr>
      <w:adjustRightInd w:val="0"/>
      <w:spacing w:line="360" w:lineRule="auto"/>
    </w:pPr>
    <w:rPr>
      <w:kern w:val="0"/>
      <w:sz w:val="24"/>
      <w:szCs w:val="20"/>
    </w:rPr>
  </w:style>
  <w:style w:type="character" w:customStyle="1" w:styleId="583">
    <w:name w:val="批注框文本 Char1"/>
    <w:semiHidden/>
    <w:qFormat/>
    <w:uiPriority w:val="99"/>
    <w:rPr>
      <w:kern w:val="2"/>
      <w:sz w:val="18"/>
      <w:szCs w:val="18"/>
    </w:rPr>
  </w:style>
  <w:style w:type="character" w:customStyle="1" w:styleId="584">
    <w:name w:val="正文首行缩进 2 Char1"/>
    <w:semiHidden/>
    <w:qFormat/>
    <w:uiPriority w:val="99"/>
    <w:rPr>
      <w:rFonts w:ascii="Times New Roman" w:hAnsi="Times New Roman" w:eastAsia="宋体" w:cs="Times New Roman"/>
      <w:kern w:val="2"/>
      <w:sz w:val="21"/>
      <w:szCs w:val="24"/>
    </w:rPr>
  </w:style>
  <w:style w:type="paragraph" w:customStyle="1" w:styleId="585">
    <w:name w:val="Char12"/>
    <w:basedOn w:val="1"/>
    <w:qFormat/>
    <w:uiPriority w:val="0"/>
    <w:rPr>
      <w:sz w:val="24"/>
    </w:rPr>
  </w:style>
  <w:style w:type="paragraph" w:customStyle="1" w:styleId="586">
    <w:name w:val="Char22"/>
    <w:basedOn w:val="1"/>
    <w:qFormat/>
    <w:uiPriority w:val="0"/>
    <w:pPr>
      <w:ind w:firstLine="200" w:firstLineChars="200"/>
    </w:pPr>
    <w:rPr>
      <w:rFonts w:ascii="宋体" w:hAnsi="宋体" w:cs="宋体"/>
    </w:rPr>
  </w:style>
  <w:style w:type="paragraph" w:customStyle="1" w:styleId="587">
    <w:name w:val="Char Char Char2"/>
    <w:basedOn w:val="1"/>
    <w:qFormat/>
    <w:uiPriority w:val="0"/>
  </w:style>
  <w:style w:type="paragraph" w:customStyle="1" w:styleId="588">
    <w:name w:val="正文4"/>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589">
    <w:name w:val="正文文本缩进 32"/>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590">
    <w:name w:val="字元 字元1"/>
    <w:basedOn w:val="1"/>
    <w:qFormat/>
    <w:uiPriority w:val="0"/>
    <w:rPr>
      <w:sz w:val="24"/>
    </w:rPr>
  </w:style>
  <w:style w:type="paragraph" w:customStyle="1" w:styleId="591">
    <w:name w:val="Char Char Char Char Char Char1 Char Char Char Char Char Char Char Char Char1"/>
    <w:basedOn w:val="1"/>
    <w:qFormat/>
    <w:uiPriority w:val="0"/>
    <w:rPr>
      <w:sz w:val="24"/>
    </w:rPr>
  </w:style>
  <w:style w:type="paragraph" w:customStyle="1" w:styleId="592">
    <w:name w:val="Char Char Char1 Char1 Char Char Char1"/>
    <w:basedOn w:val="1"/>
    <w:qFormat/>
    <w:uiPriority w:val="0"/>
    <w:pPr>
      <w:spacing w:line="500" w:lineRule="exact"/>
      <w:ind w:firstLine="480" w:firstLineChars="200"/>
    </w:pPr>
    <w:rPr>
      <w:sz w:val="24"/>
      <w:szCs w:val="20"/>
    </w:rPr>
  </w:style>
  <w:style w:type="character" w:customStyle="1" w:styleId="593">
    <w:name w:val="Char Char301"/>
    <w:qFormat/>
    <w:uiPriority w:val="0"/>
    <w:rPr>
      <w:rFonts w:eastAsia="宋体"/>
      <w:b/>
      <w:bCs/>
      <w:kern w:val="2"/>
      <w:sz w:val="21"/>
      <w:szCs w:val="24"/>
      <w:lang w:val="en-US" w:eastAsia="zh-CN" w:bidi="ar-SA"/>
    </w:rPr>
  </w:style>
  <w:style w:type="character" w:customStyle="1" w:styleId="594">
    <w:name w:val="Char Char171"/>
    <w:qFormat/>
    <w:locked/>
    <w:uiPriority w:val="0"/>
    <w:rPr>
      <w:rFonts w:eastAsia="宋体"/>
      <w:b/>
      <w:bCs/>
      <w:kern w:val="2"/>
      <w:sz w:val="32"/>
      <w:szCs w:val="32"/>
      <w:lang w:val="en-US" w:eastAsia="zh-CN" w:bidi="ar-SA"/>
    </w:rPr>
  </w:style>
  <w:style w:type="character" w:customStyle="1" w:styleId="595">
    <w:name w:val="Char Char61"/>
    <w:qFormat/>
    <w:locked/>
    <w:uiPriority w:val="0"/>
    <w:rPr>
      <w:rFonts w:eastAsia="宋体"/>
      <w:kern w:val="2"/>
      <w:sz w:val="21"/>
      <w:szCs w:val="24"/>
      <w:lang w:val="en-US" w:eastAsia="zh-CN" w:bidi="ar-SA"/>
    </w:rPr>
  </w:style>
  <w:style w:type="character" w:customStyle="1" w:styleId="596">
    <w:name w:val="Char Char12"/>
    <w:qFormat/>
    <w:uiPriority w:val="0"/>
    <w:rPr>
      <w:rFonts w:eastAsia="宋体"/>
      <w:kern w:val="2"/>
      <w:sz w:val="18"/>
      <w:szCs w:val="18"/>
      <w:lang w:val="en-US" w:eastAsia="zh-CN" w:bidi="ar-SA"/>
    </w:rPr>
  </w:style>
  <w:style w:type="character" w:customStyle="1" w:styleId="597">
    <w:name w:val="Char Char151"/>
    <w:qFormat/>
    <w:uiPriority w:val="0"/>
    <w:rPr>
      <w:rFonts w:ascii="宋体" w:hAnsi="Courier New" w:eastAsia="宋体"/>
      <w:kern w:val="2"/>
      <w:sz w:val="21"/>
      <w:lang w:val="en-US" w:eastAsia="zh-CN" w:bidi="ar-SA"/>
    </w:rPr>
  </w:style>
  <w:style w:type="character" w:customStyle="1" w:styleId="598">
    <w:name w:val="占位符文本2"/>
    <w:semiHidden/>
    <w:qFormat/>
    <w:uiPriority w:val="99"/>
    <w:rPr>
      <w:rFonts w:cs="Times New Roman"/>
      <w:color w:val="808080"/>
    </w:rPr>
  </w:style>
  <w:style w:type="paragraph" w:customStyle="1" w:styleId="599">
    <w:name w:val="TOC 标题2"/>
    <w:basedOn w:val="4"/>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character" w:customStyle="1" w:styleId="600">
    <w:name w:val="description"/>
    <w:qFormat/>
    <w:uiPriority w:val="0"/>
  </w:style>
  <w:style w:type="character" w:customStyle="1" w:styleId="601">
    <w:name w:val="Char Char1 Char"/>
    <w:qFormat/>
    <w:uiPriority w:val="0"/>
    <w:rPr>
      <w:rFonts w:ascii="宋体" w:hAnsi="宋体" w:cs="宋体"/>
      <w:kern w:val="2"/>
      <w:sz w:val="24"/>
      <w:szCs w:val="24"/>
    </w:rPr>
  </w:style>
  <w:style w:type="character" w:customStyle="1" w:styleId="602">
    <w:name w:val="5文章(治) Char Char"/>
    <w:link w:val="603"/>
    <w:qFormat/>
    <w:uiPriority w:val="0"/>
    <w:rPr>
      <w:kern w:val="2"/>
      <w:sz w:val="24"/>
    </w:rPr>
  </w:style>
  <w:style w:type="paragraph" w:customStyle="1" w:styleId="603">
    <w:name w:val="5文章(治)"/>
    <w:basedOn w:val="1"/>
    <w:link w:val="602"/>
    <w:qFormat/>
    <w:uiPriority w:val="0"/>
    <w:pPr>
      <w:spacing w:line="360" w:lineRule="auto"/>
      <w:ind w:firstLine="560" w:firstLineChars="200"/>
    </w:pPr>
    <w:rPr>
      <w:sz w:val="24"/>
      <w:szCs w:val="20"/>
    </w:rPr>
  </w:style>
  <w:style w:type="character" w:customStyle="1" w:styleId="604">
    <w:name w:val="bjh-p"/>
    <w:qFormat/>
    <w:uiPriority w:val="0"/>
  </w:style>
  <w:style w:type="paragraph" w:customStyle="1" w:styleId="605">
    <w:name w:val="正文我要"/>
    <w:basedOn w:val="1"/>
    <w:qFormat/>
    <w:uiPriority w:val="0"/>
    <w:pPr>
      <w:tabs>
        <w:tab w:val="left" w:pos="320"/>
        <w:tab w:val="center" w:pos="709"/>
      </w:tabs>
      <w:spacing w:line="360" w:lineRule="auto"/>
      <w:ind w:firstLine="200" w:firstLineChars="200"/>
      <w:jc w:val="left"/>
      <w:textAlignment w:val="baseline"/>
    </w:pPr>
    <w:rPr>
      <w:color w:val="000000"/>
      <w:sz w:val="24"/>
      <w:szCs w:val="21"/>
    </w:rPr>
  </w:style>
  <w:style w:type="character" w:customStyle="1" w:styleId="606">
    <w:name w:val="002"/>
    <w:qFormat/>
    <w:uiPriority w:val="0"/>
    <w:rPr>
      <w:rFonts w:ascii="黑体" w:hAnsi="黑体" w:eastAsia="黑体"/>
      <w:sz w:val="28"/>
    </w:rPr>
  </w:style>
  <w:style w:type="character" w:customStyle="1" w:styleId="607">
    <w:name w:val="表格标题新 Char"/>
    <w:link w:val="608"/>
    <w:qFormat/>
    <w:uiPriority w:val="0"/>
    <w:rPr>
      <w:rFonts w:ascii="仿宋_GB2312" w:eastAsia="黑体"/>
      <w:b/>
      <w:snapToGrid w:val="0"/>
      <w:spacing w:val="4"/>
      <w:sz w:val="24"/>
      <w:szCs w:val="24"/>
    </w:rPr>
  </w:style>
  <w:style w:type="paragraph" w:customStyle="1" w:styleId="608">
    <w:name w:val="表格标题新"/>
    <w:basedOn w:val="155"/>
    <w:link w:val="607"/>
    <w:qFormat/>
    <w:uiPriority w:val="0"/>
    <w:pPr>
      <w:spacing w:beforeLines="50"/>
      <w:ind w:firstLine="562"/>
    </w:pPr>
    <w:rPr>
      <w:rFonts w:ascii="仿宋_GB2312" w:eastAsia="黑体"/>
      <w:b/>
      <w:snapToGrid w:val="0"/>
      <w:spacing w:val="4"/>
      <w:szCs w:val="24"/>
    </w:rPr>
  </w:style>
  <w:style w:type="character" w:customStyle="1" w:styleId="609">
    <w:name w:val="环表头 Char Char"/>
    <w:link w:val="489"/>
    <w:qFormat/>
    <w:uiPriority w:val="0"/>
    <w:rPr>
      <w:rFonts w:ascii="黑体" w:hAnsi="宋体" w:eastAsia="黑体"/>
      <w:iCs/>
      <w:color w:val="000000"/>
      <w:sz w:val="24"/>
    </w:rPr>
  </w:style>
  <w:style w:type="character" w:customStyle="1" w:styleId="610">
    <w:name w:val="书籍标题1"/>
    <w:qFormat/>
    <w:uiPriority w:val="33"/>
    <w:rPr>
      <w:b/>
      <w:bCs/>
      <w:smallCaps/>
      <w:spacing w:val="5"/>
    </w:rPr>
  </w:style>
  <w:style w:type="character" w:customStyle="1" w:styleId="611">
    <w:name w:val="large1"/>
    <w:qFormat/>
    <w:uiPriority w:val="0"/>
    <w:rPr>
      <w:rFonts w:hint="eastAsia" w:ascii="宋体" w:hAnsi="宋体" w:eastAsia="宋体"/>
      <w:sz w:val="22"/>
      <w:szCs w:val="22"/>
    </w:rPr>
  </w:style>
  <w:style w:type="character" w:customStyle="1" w:styleId="612">
    <w:name w:val="fontstyle11"/>
    <w:qFormat/>
    <w:uiPriority w:val="0"/>
    <w:rPr>
      <w:rFonts w:hint="eastAsia" w:ascii="宋体" w:hAnsi="宋体" w:eastAsia="宋体"/>
      <w:color w:val="000000"/>
      <w:sz w:val="22"/>
      <w:szCs w:val="22"/>
    </w:rPr>
  </w:style>
  <w:style w:type="character" w:customStyle="1" w:styleId="613">
    <w:name w:val="3级 Char"/>
    <w:link w:val="614"/>
    <w:qFormat/>
    <w:uiPriority w:val="0"/>
    <w:rPr>
      <w:rFonts w:eastAsia="仿宋_GB2312"/>
      <w:bCs/>
      <w:kern w:val="2"/>
      <w:sz w:val="28"/>
      <w:szCs w:val="32"/>
    </w:rPr>
  </w:style>
  <w:style w:type="paragraph" w:customStyle="1" w:styleId="614">
    <w:name w:val="3级"/>
    <w:basedOn w:val="1"/>
    <w:link w:val="613"/>
    <w:qFormat/>
    <w:uiPriority w:val="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615">
    <w:name w:val="表题前1后0.5行 Char"/>
    <w:link w:val="616"/>
    <w:qFormat/>
    <w:uiPriority w:val="0"/>
    <w:rPr>
      <w:rFonts w:ascii="宋体"/>
      <w:kern w:val="2"/>
      <w:sz w:val="26"/>
      <w:szCs w:val="24"/>
    </w:rPr>
  </w:style>
  <w:style w:type="paragraph" w:customStyle="1" w:styleId="616">
    <w:name w:val="表题前1后0.5行"/>
    <w:basedOn w:val="1"/>
    <w:link w:val="615"/>
    <w:qFormat/>
    <w:uiPriority w:val="0"/>
    <w:pPr>
      <w:keepNext/>
      <w:overflowPunct w:val="0"/>
      <w:topLinePunct/>
      <w:autoSpaceDE w:val="0"/>
      <w:autoSpaceDN w:val="0"/>
      <w:adjustRightInd w:val="0"/>
      <w:spacing w:beforeLines="30" w:afterLines="30"/>
      <w:jc w:val="center"/>
    </w:pPr>
    <w:rPr>
      <w:rFonts w:ascii="宋体"/>
      <w:sz w:val="26"/>
    </w:rPr>
  </w:style>
  <w:style w:type="character" w:customStyle="1" w:styleId="617">
    <w:name w:val="height21"/>
    <w:qFormat/>
    <w:uiPriority w:val="0"/>
    <w:rPr>
      <w:sz w:val="18"/>
      <w:szCs w:val="18"/>
    </w:rPr>
  </w:style>
  <w:style w:type="character" w:customStyle="1" w:styleId="618">
    <w:name w:val="fontstyle21"/>
    <w:qFormat/>
    <w:uiPriority w:val="0"/>
    <w:rPr>
      <w:rFonts w:hint="default" w:ascii="TimesNewRomanPSMT" w:hAnsi="TimesNewRomanPSMT"/>
      <w:color w:val="000000"/>
      <w:sz w:val="28"/>
      <w:szCs w:val="28"/>
    </w:rPr>
  </w:style>
  <w:style w:type="character" w:customStyle="1" w:styleId="619">
    <w:name w:val="正文01 Char Char"/>
    <w:qFormat/>
    <w:uiPriority w:val="0"/>
    <w:rPr>
      <w:kern w:val="2"/>
      <w:sz w:val="24"/>
      <w:szCs w:val="24"/>
    </w:rPr>
  </w:style>
  <w:style w:type="character" w:customStyle="1" w:styleId="620">
    <w:name w:val="fontstyle01"/>
    <w:qFormat/>
    <w:uiPriority w:val="0"/>
    <w:rPr>
      <w:rFonts w:hint="default" w:ascii="Times New Roman" w:hAnsi="Times New Roman" w:cs="Times New Roman"/>
      <w:color w:val="000000"/>
      <w:sz w:val="22"/>
      <w:szCs w:val="22"/>
    </w:rPr>
  </w:style>
  <w:style w:type="paragraph" w:customStyle="1" w:styleId="621">
    <w:name w:val="Char33"/>
    <w:basedOn w:val="1"/>
    <w:qFormat/>
    <w:uiPriority w:val="0"/>
    <w:rPr>
      <w:sz w:val="24"/>
    </w:rPr>
  </w:style>
  <w:style w:type="paragraph" w:customStyle="1" w:styleId="622">
    <w:name w:val="Hu表内"/>
    <w:basedOn w:val="623"/>
    <w:qFormat/>
    <w:uiPriority w:val="0"/>
    <w:rPr>
      <w:sz w:val="24"/>
    </w:rPr>
  </w:style>
  <w:style w:type="paragraph" w:customStyle="1" w:styleId="623">
    <w:name w:val="表内"/>
    <w:basedOn w:val="1"/>
    <w:qFormat/>
    <w:uiPriority w:val="0"/>
    <w:pPr>
      <w:adjustRightInd w:val="0"/>
      <w:spacing w:line="240" w:lineRule="atLeast"/>
      <w:jc w:val="center"/>
      <w:textAlignment w:val="baseline"/>
    </w:pPr>
    <w:rPr>
      <w:rFonts w:ascii="宋体" w:hAnsi="宋体"/>
      <w:kern w:val="0"/>
      <w:szCs w:val="20"/>
    </w:rPr>
  </w:style>
  <w:style w:type="paragraph" w:customStyle="1" w:styleId="624">
    <w:name w:val="中等深浅网格 1 - 强调文字颜色 21"/>
    <w:basedOn w:val="1"/>
    <w:qFormat/>
    <w:uiPriority w:val="34"/>
    <w:pPr>
      <w:ind w:firstLine="420" w:firstLineChars="200"/>
    </w:pPr>
    <w:rPr>
      <w:rFonts w:ascii="Calibri" w:hAnsi="Calibri"/>
      <w:szCs w:val="22"/>
    </w:rPr>
  </w:style>
  <w:style w:type="paragraph" w:customStyle="1" w:styleId="625">
    <w:name w:val="纯文本2"/>
    <w:basedOn w:val="1"/>
    <w:qFormat/>
    <w:uiPriority w:val="0"/>
    <w:pPr>
      <w:adjustRightInd w:val="0"/>
      <w:textAlignment w:val="baseline"/>
    </w:pPr>
    <w:rPr>
      <w:rFonts w:ascii="宋体" w:hAnsi="Courier New" w:eastAsia="仿宋_GB2312"/>
      <w:sz w:val="28"/>
      <w:szCs w:val="28"/>
    </w:rPr>
  </w:style>
  <w:style w:type="paragraph" w:customStyle="1" w:styleId="626">
    <w:name w:val="二级大标题"/>
    <w:basedOn w:val="5"/>
    <w:qFormat/>
    <w:uiPriority w:val="0"/>
    <w:pPr>
      <w:keepNext w:val="0"/>
      <w:keepLines w:val="0"/>
      <w:tabs>
        <w:tab w:val="left" w:pos="720"/>
        <w:tab w:val="clear" w:pos="425"/>
      </w:tabs>
      <w:adjustRightInd w:val="0"/>
      <w:snapToGrid w:val="0"/>
      <w:spacing w:before="0" w:after="0" w:line="360" w:lineRule="auto"/>
    </w:pPr>
    <w:rPr>
      <w:rFonts w:ascii="Times New Roman" w:hAnsi="Times New Roman" w:eastAsia="仿宋_GB2312"/>
      <w:sz w:val="28"/>
      <w:szCs w:val="28"/>
    </w:rPr>
  </w:style>
  <w:style w:type="paragraph" w:customStyle="1" w:styleId="627">
    <w:name w:val="Char Char Char5"/>
    <w:basedOn w:val="1"/>
    <w:qFormat/>
    <w:uiPriority w:val="0"/>
    <w:pPr>
      <w:spacing w:line="360" w:lineRule="auto"/>
    </w:pPr>
    <w:rPr>
      <w:rFonts w:ascii="Tahoma" w:hAnsi="Tahoma"/>
      <w:sz w:val="24"/>
      <w:szCs w:val="20"/>
    </w:rPr>
  </w:style>
  <w:style w:type="paragraph" w:customStyle="1" w:styleId="628">
    <w:name w:val="Char Char1 Char Char Char Char Char Char Char Char Char Char Char Char Char"/>
    <w:basedOn w:val="1"/>
    <w:qFormat/>
    <w:uiPriority w:val="0"/>
    <w:pPr>
      <w:spacing w:line="360" w:lineRule="auto"/>
    </w:pPr>
    <w:rPr>
      <w:rFonts w:ascii="Tahoma" w:hAnsi="Tahoma"/>
      <w:sz w:val="24"/>
      <w:szCs w:val="20"/>
    </w:rPr>
  </w:style>
  <w:style w:type="paragraph" w:customStyle="1" w:styleId="629">
    <w:name w:val="项目编号"/>
    <w:basedOn w:val="1"/>
    <w:next w:val="1"/>
    <w:qFormat/>
    <w:uiPriority w:val="0"/>
    <w:pPr>
      <w:spacing w:before="120" w:after="120" w:line="360" w:lineRule="auto"/>
    </w:pPr>
    <w:rPr>
      <w:rFonts w:ascii="仿宋_GB2312" w:eastAsia="仿宋_GB2312"/>
      <w:sz w:val="24"/>
      <w:szCs w:val="20"/>
    </w:rPr>
  </w:style>
  <w:style w:type="paragraph" w:customStyle="1" w:styleId="630">
    <w:name w:val="默认段落字体 Para Char Char Char Char Char Char Char Char Char Char"/>
    <w:basedOn w:val="6"/>
    <w:qFormat/>
    <w:uiPriority w:val="0"/>
    <w:pPr>
      <w:framePr w:wrap="around" w:vAnchor="margin" w:hAnchor="text" w:yAlign="top"/>
      <w:tabs>
        <w:tab w:val="left" w:pos="360"/>
        <w:tab w:val="left" w:pos="900"/>
        <w:tab w:val="clear" w:pos="567"/>
      </w:tabs>
      <w:snapToGrid w:val="0"/>
      <w:spacing w:line="360" w:lineRule="auto"/>
      <w:ind w:left="542" w:leftChars="-12" w:firstLine="200" w:firstLineChars="200"/>
    </w:pPr>
    <w:rPr>
      <w:rFonts w:ascii="Times New Roman" w:hAnsi="Times New Roman"/>
      <w:snapToGrid w:val="0"/>
      <w:sz w:val="21"/>
    </w:rPr>
  </w:style>
  <w:style w:type="paragraph" w:customStyle="1" w:styleId="631">
    <w:name w:val="表格文字1"/>
    <w:basedOn w:val="1"/>
    <w:qFormat/>
    <w:uiPriority w:val="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632">
    <w:name w:val="标题06"/>
    <w:basedOn w:val="1"/>
    <w:qFormat/>
    <w:uiPriority w:val="0"/>
    <w:pPr>
      <w:adjustRightInd w:val="0"/>
      <w:spacing w:before="2040" w:line="400" w:lineRule="atLeast"/>
      <w:textAlignment w:val="baseline"/>
    </w:pPr>
    <w:rPr>
      <w:rFonts w:eastAsia="黑体"/>
      <w:spacing w:val="10"/>
      <w:kern w:val="0"/>
      <w:sz w:val="28"/>
    </w:rPr>
  </w:style>
  <w:style w:type="paragraph" w:customStyle="1" w:styleId="633">
    <w:name w:val="z-窗体底端1"/>
    <w:basedOn w:val="1"/>
    <w:next w:val="1"/>
    <w:link w:val="634"/>
    <w:qFormat/>
    <w:uiPriority w:val="0"/>
    <w:pPr>
      <w:pBdr>
        <w:top w:val="single" w:color="auto" w:sz="6" w:space="1"/>
      </w:pBdr>
      <w:jc w:val="center"/>
    </w:pPr>
    <w:rPr>
      <w:rFonts w:ascii="Arial"/>
      <w:vanish/>
      <w:sz w:val="16"/>
    </w:rPr>
  </w:style>
  <w:style w:type="character" w:customStyle="1" w:styleId="634">
    <w:name w:val="z-窗体底端 Char"/>
    <w:link w:val="633"/>
    <w:qFormat/>
    <w:uiPriority w:val="0"/>
    <w:rPr>
      <w:rFonts w:ascii="Arial"/>
      <w:vanish/>
      <w:kern w:val="2"/>
      <w:sz w:val="16"/>
      <w:szCs w:val="24"/>
    </w:rPr>
  </w:style>
  <w:style w:type="paragraph" w:customStyle="1" w:styleId="635">
    <w:name w:val="7表格(治)"/>
    <w:qFormat/>
    <w:uiPriority w:val="0"/>
    <w:pPr>
      <w:spacing w:line="240" w:lineRule="exact"/>
      <w:jc w:val="center"/>
    </w:pPr>
    <w:rPr>
      <w:rFonts w:ascii="Times New Roman" w:hAnsi="Times New Roman" w:eastAsia="楷体_GB2312" w:cs="Times New Roman"/>
      <w:sz w:val="21"/>
      <w:lang w:val="en-US" w:eastAsia="zh-CN" w:bidi="ar-SA"/>
    </w:rPr>
  </w:style>
  <w:style w:type="paragraph" w:customStyle="1" w:styleId="636">
    <w:name w:val="Char Char Char Char Char Char Char5"/>
    <w:basedOn w:val="1"/>
    <w:qFormat/>
    <w:uiPriority w:val="0"/>
    <w:rPr>
      <w:sz w:val="24"/>
    </w:rPr>
  </w:style>
  <w:style w:type="paragraph" w:customStyle="1" w:styleId="637">
    <w:name w:val="z-窗体顶端1"/>
    <w:basedOn w:val="1"/>
    <w:next w:val="1"/>
    <w:link w:val="638"/>
    <w:qFormat/>
    <w:uiPriority w:val="0"/>
    <w:pPr>
      <w:pBdr>
        <w:bottom w:val="single" w:color="auto" w:sz="6" w:space="1"/>
      </w:pBdr>
      <w:jc w:val="center"/>
    </w:pPr>
    <w:rPr>
      <w:rFonts w:ascii="Arial"/>
      <w:vanish/>
      <w:sz w:val="16"/>
    </w:rPr>
  </w:style>
  <w:style w:type="character" w:customStyle="1" w:styleId="638">
    <w:name w:val="z-窗体顶端 Char"/>
    <w:link w:val="637"/>
    <w:qFormat/>
    <w:uiPriority w:val="0"/>
    <w:rPr>
      <w:rFonts w:ascii="Arial"/>
      <w:vanish/>
      <w:kern w:val="2"/>
      <w:sz w:val="16"/>
      <w:szCs w:val="24"/>
    </w:rPr>
  </w:style>
  <w:style w:type="paragraph" w:customStyle="1" w:styleId="639">
    <w:name w:val="Char15"/>
    <w:basedOn w:val="1"/>
    <w:qFormat/>
    <w:uiPriority w:val="0"/>
    <w:pPr>
      <w:widowControl/>
      <w:spacing w:line="360" w:lineRule="auto"/>
      <w:ind w:firstLine="200" w:firstLineChars="200"/>
      <w:jc w:val="left"/>
    </w:pPr>
    <w:rPr>
      <w:kern w:val="0"/>
      <w:sz w:val="24"/>
      <w:szCs w:val="20"/>
    </w:rPr>
  </w:style>
  <w:style w:type="paragraph" w:customStyle="1" w:styleId="640">
    <w:name w:val="_Style 5"/>
    <w:basedOn w:val="1"/>
    <w:qFormat/>
    <w:uiPriority w:val="0"/>
  </w:style>
  <w:style w:type="paragraph" w:customStyle="1" w:styleId="641">
    <w:name w:val="日期1"/>
    <w:basedOn w:val="1"/>
    <w:next w:val="1"/>
    <w:qFormat/>
    <w:uiPriority w:val="0"/>
    <w:pPr>
      <w:adjustRightInd w:val="0"/>
      <w:textAlignment w:val="baseline"/>
    </w:pPr>
    <w:rPr>
      <w:sz w:val="28"/>
      <w:szCs w:val="20"/>
    </w:rPr>
  </w:style>
  <w:style w:type="character" w:customStyle="1" w:styleId="642">
    <w:name w:val="4biaoge neibu Char"/>
    <w:link w:val="643"/>
    <w:qFormat/>
    <w:uiPriority w:val="0"/>
    <w:rPr>
      <w:rFonts w:cs="黑体"/>
      <w:kern w:val="2"/>
      <w:sz w:val="21"/>
      <w:szCs w:val="16"/>
    </w:rPr>
  </w:style>
  <w:style w:type="paragraph" w:customStyle="1" w:styleId="643">
    <w:name w:val="4biaoge neibu"/>
    <w:basedOn w:val="1"/>
    <w:link w:val="642"/>
    <w:qFormat/>
    <w:uiPriority w:val="0"/>
    <w:pPr>
      <w:jc w:val="center"/>
    </w:pPr>
    <w:rPr>
      <w:rFonts w:cs="黑体"/>
      <w:szCs w:val="16"/>
    </w:rPr>
  </w:style>
  <w:style w:type="paragraph" w:customStyle="1" w:styleId="644">
    <w:name w:val="图表标题"/>
    <w:basedOn w:val="1"/>
    <w:next w:val="1"/>
    <w:qFormat/>
    <w:uiPriority w:val="0"/>
    <w:pPr>
      <w:spacing w:line="360" w:lineRule="auto"/>
      <w:ind w:firstLine="640" w:firstLineChars="200"/>
      <w:jc w:val="center"/>
    </w:pPr>
    <w:rPr>
      <w:b/>
      <w:bCs/>
    </w:rPr>
  </w:style>
  <w:style w:type="paragraph" w:customStyle="1" w:styleId="645">
    <w:name w:val="1正文"/>
    <w:basedOn w:val="1"/>
    <w:qFormat/>
    <w:uiPriority w:val="0"/>
    <w:pPr>
      <w:widowControl/>
      <w:spacing w:line="360" w:lineRule="auto"/>
      <w:ind w:firstLine="200" w:firstLineChars="200"/>
    </w:pPr>
    <w:rPr>
      <w:kern w:val="0"/>
      <w:sz w:val="24"/>
      <w:szCs w:val="20"/>
      <w:lang w:val="en-GB"/>
    </w:rPr>
  </w:style>
  <w:style w:type="character" w:customStyle="1" w:styleId="646">
    <w:name w:val="doc_title"/>
    <w:qFormat/>
    <w:uiPriority w:val="0"/>
  </w:style>
  <w:style w:type="paragraph" w:customStyle="1" w:styleId="647">
    <w:name w:val="ql-align-justify"/>
    <w:basedOn w:val="1"/>
    <w:qFormat/>
    <w:uiPriority w:val="0"/>
    <w:pPr>
      <w:widowControl/>
      <w:spacing w:before="100" w:beforeAutospacing="1" w:after="100" w:afterAutospacing="1"/>
      <w:jc w:val="left"/>
    </w:pPr>
    <w:rPr>
      <w:rFonts w:ascii="宋体" w:hAnsi="宋体" w:cs="宋体"/>
      <w:kern w:val="0"/>
      <w:sz w:val="24"/>
    </w:rPr>
  </w:style>
  <w:style w:type="character" w:customStyle="1" w:styleId="648">
    <w:name w:val="表格内容 Char1"/>
    <w:qFormat/>
    <w:uiPriority w:val="0"/>
    <w:rPr>
      <w:kern w:val="20481"/>
      <w:sz w:val="21"/>
    </w:rPr>
  </w:style>
  <w:style w:type="table" w:customStyle="1" w:styleId="649">
    <w:name w:val="网格型6"/>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50">
    <w:name w:val="标题2"/>
    <w:qFormat/>
    <w:uiPriority w:val="0"/>
  </w:style>
  <w:style w:type="table" w:customStyle="1" w:styleId="651">
    <w:name w:val="表格主题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2">
    <w:name w:val="网格型-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3">
    <w:name w:val="网格型 5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4">
    <w:name w:val="典雅型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655">
    <w:name w:val="网格型 1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6">
    <w:name w:val="网格型4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7">
    <w:name w:val="左右无边框1"/>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658">
    <w:name w:val="网格型3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59">
    <w:name w:val="无左右边框型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0">
    <w:name w:val="典雅型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1">
    <w:name w:val="左右无边表格1"/>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662">
    <w:name w:val="典雅型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3">
    <w:name w:val="网格型21"/>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64">
    <w:name w:val="网格型1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665">
    <w:name w:val="网格型12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666">
    <w:name w:val="网格型13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667">
    <w:name w:val="网格型51"/>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68">
    <w:name w:val="Char32"/>
    <w:basedOn w:val="1"/>
    <w:qFormat/>
    <w:uiPriority w:val="0"/>
    <w:rPr>
      <w:sz w:val="24"/>
    </w:rPr>
  </w:style>
  <w:style w:type="paragraph" w:customStyle="1" w:styleId="669">
    <w:name w:val="纯文本3"/>
    <w:basedOn w:val="1"/>
    <w:qFormat/>
    <w:uiPriority w:val="0"/>
    <w:pPr>
      <w:adjustRightInd w:val="0"/>
      <w:textAlignment w:val="baseline"/>
    </w:pPr>
    <w:rPr>
      <w:rFonts w:ascii="宋体" w:hAnsi="Courier New" w:eastAsia="仿宋_GB2312"/>
      <w:sz w:val="28"/>
      <w:szCs w:val="28"/>
    </w:rPr>
  </w:style>
  <w:style w:type="paragraph" w:customStyle="1" w:styleId="670">
    <w:name w:val="Char Char Char4"/>
    <w:basedOn w:val="1"/>
    <w:qFormat/>
    <w:uiPriority w:val="0"/>
    <w:pPr>
      <w:spacing w:line="360" w:lineRule="auto"/>
    </w:pPr>
    <w:rPr>
      <w:rFonts w:ascii="Tahoma" w:hAnsi="Tahoma"/>
      <w:sz w:val="24"/>
      <w:szCs w:val="20"/>
    </w:rPr>
  </w:style>
  <w:style w:type="paragraph" w:customStyle="1" w:styleId="671">
    <w:name w:val="Char Char1 Char Char Char Char Char Char Char Char Char Char Char Char Char2"/>
    <w:basedOn w:val="1"/>
    <w:qFormat/>
    <w:uiPriority w:val="0"/>
    <w:pPr>
      <w:spacing w:line="360" w:lineRule="auto"/>
    </w:pPr>
    <w:rPr>
      <w:rFonts w:ascii="Tahoma" w:hAnsi="Tahoma"/>
      <w:sz w:val="24"/>
      <w:szCs w:val="20"/>
    </w:rPr>
  </w:style>
  <w:style w:type="paragraph" w:customStyle="1" w:styleId="672">
    <w:name w:val="Char Char Char Char Char Char Char4"/>
    <w:basedOn w:val="1"/>
    <w:qFormat/>
    <w:uiPriority w:val="0"/>
    <w:rPr>
      <w:sz w:val="24"/>
    </w:rPr>
  </w:style>
  <w:style w:type="paragraph" w:customStyle="1" w:styleId="673">
    <w:name w:val="Char14"/>
    <w:basedOn w:val="1"/>
    <w:qFormat/>
    <w:uiPriority w:val="0"/>
    <w:pPr>
      <w:widowControl/>
      <w:spacing w:line="360" w:lineRule="auto"/>
      <w:ind w:firstLine="200" w:firstLineChars="200"/>
      <w:jc w:val="left"/>
    </w:pPr>
    <w:rPr>
      <w:kern w:val="0"/>
      <w:sz w:val="24"/>
      <w:szCs w:val="20"/>
    </w:rPr>
  </w:style>
  <w:style w:type="paragraph" w:customStyle="1" w:styleId="674">
    <w:name w:val="日期2"/>
    <w:basedOn w:val="1"/>
    <w:next w:val="1"/>
    <w:qFormat/>
    <w:uiPriority w:val="0"/>
    <w:pPr>
      <w:adjustRightInd w:val="0"/>
      <w:textAlignment w:val="baseline"/>
    </w:pPr>
    <w:rPr>
      <w:sz w:val="28"/>
      <w:szCs w:val="20"/>
    </w:rPr>
  </w:style>
  <w:style w:type="table" w:customStyle="1" w:styleId="675">
    <w:name w:val="网格型61"/>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6">
    <w:name w:val="网格型7"/>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77">
    <w:name w:val="网格型8"/>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678">
    <w:name w:val="font01"/>
    <w:qFormat/>
    <w:uiPriority w:val="0"/>
    <w:rPr>
      <w:rFonts w:ascii="font-weight : 400" w:hAnsi="font-weight : 400" w:eastAsia="font-weight : 400" w:cs="font-weight : 400"/>
      <w:color w:val="000000"/>
      <w:sz w:val="22"/>
      <w:szCs w:val="22"/>
      <w:u w:val="none"/>
    </w:rPr>
  </w:style>
  <w:style w:type="table" w:customStyle="1" w:styleId="679">
    <w:name w:val="网格型9"/>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680">
    <w:name w:val="Pa17"/>
    <w:basedOn w:val="73"/>
    <w:next w:val="73"/>
    <w:qFormat/>
    <w:uiPriority w:val="99"/>
    <w:pPr>
      <w:spacing w:line="161" w:lineRule="atLeast"/>
    </w:pPr>
    <w:rPr>
      <w:rFonts w:ascii="黑体" w:eastAsia="黑体" w:cs="Times New Roman"/>
      <w:color w:val="auto"/>
    </w:rPr>
  </w:style>
  <w:style w:type="paragraph" w:customStyle="1" w:styleId="681">
    <w:name w:val="Pa29"/>
    <w:basedOn w:val="73"/>
    <w:next w:val="73"/>
    <w:qFormat/>
    <w:uiPriority w:val="99"/>
    <w:pPr>
      <w:spacing w:line="161" w:lineRule="atLeast"/>
    </w:pPr>
    <w:rPr>
      <w:rFonts w:ascii="黑体" w:eastAsia="黑体" w:cs="Times New Roman"/>
      <w:color w:val="auto"/>
    </w:rPr>
  </w:style>
  <w:style w:type="character" w:customStyle="1" w:styleId="682">
    <w:name w:val="A24"/>
    <w:qFormat/>
    <w:uiPriority w:val="99"/>
    <w:rPr>
      <w:rFonts w:ascii="Times New Roman"/>
      <w:i/>
      <w:iCs/>
      <w:color w:val="211D1E"/>
      <w:sz w:val="9"/>
      <w:szCs w:val="9"/>
    </w:rPr>
  </w:style>
  <w:style w:type="character" w:customStyle="1" w:styleId="683">
    <w:name w:val="A25"/>
    <w:qFormat/>
    <w:uiPriority w:val="99"/>
    <w:rPr>
      <w:rFonts w:ascii="仓耳今楷01-27533 W01" w:eastAsia="仓耳今楷01-27533 W01" w:cs="仓耳今楷01-27533 W01"/>
      <w:color w:val="211D1E"/>
      <w:sz w:val="20"/>
      <w:szCs w:val="20"/>
    </w:rPr>
  </w:style>
  <w:style w:type="character" w:customStyle="1" w:styleId="684">
    <w:name w:val="HTML 预设格式 字符"/>
    <w:qFormat/>
    <w:locked/>
    <w:uiPriority w:val="99"/>
    <w:rPr>
      <w:rFonts w:ascii="Arial" w:hAnsi="Arial" w:cs="Arial"/>
      <w:sz w:val="23"/>
      <w:szCs w:val="23"/>
    </w:rPr>
  </w:style>
  <w:style w:type="character" w:customStyle="1" w:styleId="685">
    <w:name w:val="标题 1 字符"/>
    <w:qFormat/>
    <w:uiPriority w:val="0"/>
    <w:rPr>
      <w:rFonts w:eastAsia="宋体"/>
      <w:b/>
      <w:bCs/>
      <w:kern w:val="2"/>
      <w:sz w:val="24"/>
      <w:szCs w:val="24"/>
      <w:lang w:val="en-US" w:eastAsia="zh-CN" w:bidi="ar-SA"/>
    </w:rPr>
  </w:style>
  <w:style w:type="character" w:customStyle="1" w:styleId="686">
    <w:name w:val="标题 3 字符"/>
    <w:qFormat/>
    <w:uiPriority w:val="0"/>
    <w:rPr>
      <w:rFonts w:eastAsia="宋体"/>
      <w:b/>
      <w:bCs/>
      <w:kern w:val="2"/>
      <w:sz w:val="32"/>
      <w:szCs w:val="32"/>
      <w:lang w:val="en-US" w:eastAsia="zh-CN" w:bidi="ar-SA"/>
    </w:rPr>
  </w:style>
  <w:style w:type="character" w:customStyle="1" w:styleId="687">
    <w:name w:val="标题 7 字符"/>
    <w:qFormat/>
    <w:locked/>
    <w:uiPriority w:val="0"/>
    <w:rPr>
      <w:rFonts w:eastAsia="仿宋_GB2312"/>
      <w:b/>
      <w:sz w:val="24"/>
      <w:szCs w:val="24"/>
    </w:rPr>
  </w:style>
  <w:style w:type="character" w:customStyle="1" w:styleId="688">
    <w:name w:val="尾注文本 字符"/>
    <w:qFormat/>
    <w:uiPriority w:val="99"/>
    <w:rPr>
      <w:sz w:val="21"/>
    </w:rPr>
  </w:style>
  <w:style w:type="character" w:customStyle="1" w:styleId="689">
    <w:name w:val="标题 8 字符"/>
    <w:qFormat/>
    <w:locked/>
    <w:uiPriority w:val="0"/>
    <w:rPr>
      <w:rFonts w:ascii="Arial" w:hAnsi="Arial" w:eastAsia="黑体"/>
      <w:bCs/>
      <w:sz w:val="24"/>
      <w:szCs w:val="24"/>
    </w:rPr>
  </w:style>
  <w:style w:type="character" w:customStyle="1" w:styleId="690">
    <w:name w:val="正文缩进 字符"/>
    <w:qFormat/>
    <w:uiPriority w:val="0"/>
    <w:rPr>
      <w:rFonts w:eastAsia="宋体"/>
      <w:kern w:val="2"/>
      <w:sz w:val="28"/>
      <w:szCs w:val="21"/>
      <w:lang w:val="en-US" w:eastAsia="zh-CN" w:bidi="ar-SA"/>
    </w:rPr>
  </w:style>
  <w:style w:type="character" w:customStyle="1" w:styleId="691">
    <w:name w:val="副标题 字符"/>
    <w:qFormat/>
    <w:uiPriority w:val="0"/>
    <w:rPr>
      <w:rFonts w:ascii="Cambria" w:hAnsi="Cambria" w:eastAsia="宋体"/>
      <w:sz w:val="21"/>
      <w:szCs w:val="24"/>
      <w:lang w:val="en-US" w:eastAsia="en-US" w:bidi="en-US"/>
    </w:rPr>
  </w:style>
  <w:style w:type="character" w:customStyle="1" w:styleId="692">
    <w:name w:val="正文文本 2 字符"/>
    <w:qFormat/>
    <w:locked/>
    <w:uiPriority w:val="99"/>
    <w:rPr>
      <w:rFonts w:eastAsia="宋体"/>
      <w:kern w:val="2"/>
      <w:sz w:val="24"/>
      <w:szCs w:val="24"/>
      <w:lang w:val="en-US" w:eastAsia="zh-CN" w:bidi="ar-SA"/>
    </w:rPr>
  </w:style>
  <w:style w:type="character" w:customStyle="1" w:styleId="693">
    <w:name w:val="正文文本缩进 2 字符"/>
    <w:qFormat/>
    <w:uiPriority w:val="0"/>
    <w:rPr>
      <w:rFonts w:eastAsia="宋体"/>
      <w:kern w:val="2"/>
      <w:sz w:val="21"/>
      <w:szCs w:val="24"/>
      <w:lang w:val="en-US" w:eastAsia="zh-CN" w:bidi="ar-SA"/>
    </w:rPr>
  </w:style>
  <w:style w:type="character" w:customStyle="1" w:styleId="694">
    <w:name w:val="z-窗体底端 字符"/>
    <w:qFormat/>
    <w:uiPriority w:val="0"/>
    <w:rPr>
      <w:rFonts w:ascii="Arial"/>
      <w:vanish/>
      <w:kern w:val="2"/>
      <w:sz w:val="16"/>
      <w:szCs w:val="24"/>
    </w:rPr>
  </w:style>
  <w:style w:type="character" w:customStyle="1" w:styleId="695">
    <w:name w:val="注释标题 字符"/>
    <w:qFormat/>
    <w:uiPriority w:val="0"/>
    <w:rPr>
      <w:rFonts w:ascii="宋体" w:eastAsia="宋体"/>
      <w:kern w:val="2"/>
      <w:sz w:val="21"/>
      <w:lang w:val="en-US" w:eastAsia="zh-CN" w:bidi="ar-SA"/>
    </w:rPr>
  </w:style>
  <w:style w:type="character" w:customStyle="1" w:styleId="696">
    <w:name w:val="标题 2 字符"/>
    <w:qFormat/>
    <w:uiPriority w:val="0"/>
    <w:rPr>
      <w:rFonts w:eastAsia="宋体"/>
      <w:b/>
      <w:bCs/>
      <w:kern w:val="2"/>
      <w:sz w:val="21"/>
      <w:szCs w:val="24"/>
      <w:lang w:val="en-US" w:eastAsia="zh-CN" w:bidi="ar-SA"/>
    </w:rPr>
  </w:style>
  <w:style w:type="character" w:customStyle="1" w:styleId="697">
    <w:name w:val="标题 字符"/>
    <w:qFormat/>
    <w:uiPriority w:val="0"/>
    <w:rPr>
      <w:rFonts w:ascii="Cambria" w:hAnsi="Cambria"/>
      <w:b/>
      <w:bCs/>
      <w:kern w:val="2"/>
      <w:sz w:val="32"/>
      <w:szCs w:val="32"/>
    </w:rPr>
  </w:style>
  <w:style w:type="character" w:customStyle="1" w:styleId="698">
    <w:name w:val="正文文本首行缩进 2 字符"/>
    <w:qFormat/>
    <w:locked/>
    <w:uiPriority w:val="0"/>
    <w:rPr>
      <w:rFonts w:eastAsia="宋体"/>
      <w:kern w:val="2"/>
      <w:sz w:val="21"/>
      <w:szCs w:val="24"/>
      <w:lang w:val="en-US" w:eastAsia="zh-CN" w:bidi="ar-SA"/>
    </w:rPr>
  </w:style>
  <w:style w:type="character" w:customStyle="1" w:styleId="699">
    <w:name w:val="标题 4 字符"/>
    <w:qFormat/>
    <w:locked/>
    <w:uiPriority w:val="0"/>
    <w:rPr>
      <w:rFonts w:ascii="Arial" w:hAnsi="Arial" w:eastAsia="黑体"/>
      <w:b/>
      <w:bCs/>
      <w:kern w:val="2"/>
      <w:sz w:val="28"/>
      <w:szCs w:val="28"/>
      <w:lang w:val="en-US" w:eastAsia="zh-CN" w:bidi="ar-SA"/>
    </w:rPr>
  </w:style>
  <w:style w:type="character" w:customStyle="1" w:styleId="700">
    <w:name w:val="标题 9 字符"/>
    <w:qFormat/>
    <w:locked/>
    <w:uiPriority w:val="0"/>
    <w:rPr>
      <w:rFonts w:ascii="Arial" w:hAnsi="Arial" w:eastAsia="黑体"/>
      <w:bCs/>
      <w:sz w:val="24"/>
      <w:szCs w:val="24"/>
    </w:rPr>
  </w:style>
  <w:style w:type="character" w:customStyle="1" w:styleId="701">
    <w:name w:val="文档结构图 字符"/>
    <w:qFormat/>
    <w:locked/>
    <w:uiPriority w:val="99"/>
    <w:rPr>
      <w:kern w:val="2"/>
      <w:sz w:val="21"/>
      <w:szCs w:val="24"/>
      <w:shd w:val="clear" w:color="auto" w:fill="000080"/>
    </w:rPr>
  </w:style>
  <w:style w:type="character" w:customStyle="1" w:styleId="702">
    <w:name w:val="正文文本缩进 3 字符"/>
    <w:qFormat/>
    <w:locked/>
    <w:uiPriority w:val="0"/>
    <w:rPr>
      <w:rFonts w:eastAsia="宋体"/>
      <w:kern w:val="2"/>
      <w:sz w:val="16"/>
      <w:szCs w:val="16"/>
      <w:lang w:val="en-US" w:eastAsia="zh-CN" w:bidi="ar-SA"/>
    </w:rPr>
  </w:style>
  <w:style w:type="character" w:customStyle="1" w:styleId="703">
    <w:name w:val="纯文本 字符"/>
    <w:qFormat/>
    <w:uiPriority w:val="0"/>
    <w:rPr>
      <w:rFonts w:ascii="宋体" w:hAnsi="Courier New" w:eastAsia="宋体" w:cs="Courier New"/>
      <w:kern w:val="2"/>
      <w:sz w:val="21"/>
      <w:szCs w:val="21"/>
      <w:lang w:val="en-US" w:eastAsia="zh-CN" w:bidi="ar-SA"/>
    </w:rPr>
  </w:style>
  <w:style w:type="character" w:customStyle="1" w:styleId="704">
    <w:name w:val="正文文本 3 字符"/>
    <w:qFormat/>
    <w:locked/>
    <w:uiPriority w:val="99"/>
    <w:rPr>
      <w:rFonts w:ascii="宋体" w:hAnsi="宋体" w:eastAsia="宋体"/>
      <w:kern w:val="2"/>
      <w:sz w:val="16"/>
      <w:szCs w:val="16"/>
      <w:lang w:val="en-US" w:eastAsia="zh-CN" w:bidi="ar-SA"/>
    </w:rPr>
  </w:style>
  <w:style w:type="character" w:customStyle="1" w:styleId="705">
    <w:name w:val="标题 6 字符"/>
    <w:qFormat/>
    <w:locked/>
    <w:uiPriority w:val="0"/>
    <w:rPr>
      <w:rFonts w:ascii="Arial" w:hAnsi="Arial" w:eastAsia="黑体"/>
      <w:b/>
      <w:sz w:val="24"/>
      <w:szCs w:val="24"/>
    </w:rPr>
  </w:style>
  <w:style w:type="character" w:customStyle="1" w:styleId="706">
    <w:name w:val="标题 5 字符"/>
    <w:qFormat/>
    <w:locked/>
    <w:uiPriority w:val="0"/>
    <w:rPr>
      <w:rFonts w:eastAsia="宋体"/>
      <w:b/>
      <w:bCs/>
      <w:kern w:val="2"/>
      <w:sz w:val="28"/>
      <w:szCs w:val="28"/>
      <w:lang w:val="en-US" w:eastAsia="zh-CN" w:bidi="ar-SA"/>
    </w:rPr>
  </w:style>
  <w:style w:type="character" w:customStyle="1" w:styleId="707">
    <w:name w:val="正文文本首行缩进 字符"/>
    <w:qFormat/>
    <w:locked/>
    <w:uiPriority w:val="99"/>
    <w:rPr>
      <w:kern w:val="2"/>
      <w:sz w:val="21"/>
      <w:szCs w:val="24"/>
    </w:rPr>
  </w:style>
  <w:style w:type="character" w:customStyle="1" w:styleId="708">
    <w:name w:val="z-窗体顶端 字符"/>
    <w:qFormat/>
    <w:uiPriority w:val="0"/>
    <w:rPr>
      <w:rFonts w:ascii="Arial"/>
      <w:vanish/>
      <w:kern w:val="2"/>
      <w:sz w:val="16"/>
      <w:szCs w:val="24"/>
    </w:rPr>
  </w:style>
  <w:style w:type="table" w:customStyle="1" w:styleId="709">
    <w:name w:val="网格型 11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0">
    <w:name w:val="典雅型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11">
    <w:name w:val="网格型 51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2">
    <w:name w:val="典雅型2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3">
    <w:name w:val="典雅型1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4">
    <w:name w:val="MFS表格"/>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character" w:customStyle="1" w:styleId="715">
    <w:name w:val="标题 5 字符1"/>
    <w:qFormat/>
    <w:locked/>
    <w:uiPriority w:val="0"/>
    <w:rPr>
      <w:rFonts w:eastAsia="宋体"/>
      <w:b/>
      <w:bCs/>
      <w:kern w:val="2"/>
      <w:sz w:val="28"/>
      <w:szCs w:val="28"/>
      <w:lang w:val="en-US" w:eastAsia="zh-CN" w:bidi="ar-SA"/>
    </w:rPr>
  </w:style>
  <w:style w:type="character" w:customStyle="1" w:styleId="716">
    <w:name w:val="纯文本 字符1"/>
    <w:qFormat/>
    <w:uiPriority w:val="0"/>
    <w:rPr>
      <w:rFonts w:ascii="宋体" w:hAnsi="Courier New" w:eastAsia="宋体" w:cs="Courier New"/>
      <w:kern w:val="2"/>
      <w:sz w:val="21"/>
      <w:szCs w:val="21"/>
      <w:lang w:val="en-US" w:eastAsia="zh-CN" w:bidi="ar-SA"/>
    </w:rPr>
  </w:style>
  <w:style w:type="table" w:customStyle="1" w:styleId="717">
    <w:name w:val="王新建"/>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character" w:customStyle="1" w:styleId="718">
    <w:name w:val="font141"/>
    <w:qFormat/>
    <w:uiPriority w:val="0"/>
    <w:rPr>
      <w:rFonts w:hint="default" w:ascii="Times New Roman" w:hAnsi="Times New Roman" w:cs="Times New Roman"/>
      <w:b/>
      <w:color w:val="000000"/>
      <w:sz w:val="21"/>
      <w:szCs w:val="21"/>
      <w:u w:val="none"/>
    </w:rPr>
  </w:style>
  <w:style w:type="character" w:customStyle="1" w:styleId="719">
    <w:name w:val="font91"/>
    <w:qFormat/>
    <w:uiPriority w:val="0"/>
    <w:rPr>
      <w:rFonts w:hint="eastAsia" w:ascii="宋体" w:hAnsi="宋体" w:eastAsia="宋体" w:cs="宋体"/>
      <w:color w:val="000000"/>
      <w:sz w:val="18"/>
      <w:szCs w:val="18"/>
      <w:u w:val="none"/>
    </w:rPr>
  </w:style>
  <w:style w:type="character" w:customStyle="1" w:styleId="720">
    <w:name w:val="font31"/>
    <w:qFormat/>
    <w:uiPriority w:val="0"/>
    <w:rPr>
      <w:rFonts w:hint="eastAsia" w:ascii="宋体" w:hAnsi="宋体" w:eastAsia="宋体" w:cs="宋体"/>
      <w:color w:val="000000"/>
      <w:sz w:val="21"/>
      <w:szCs w:val="21"/>
      <w:u w:val="none"/>
    </w:rPr>
  </w:style>
  <w:style w:type="character" w:customStyle="1" w:styleId="721">
    <w:name w:val="标题 1 Char Char"/>
    <w:qFormat/>
    <w:uiPriority w:val="0"/>
    <w:rPr>
      <w:rFonts w:eastAsia="宋体"/>
      <w:b/>
      <w:bCs/>
      <w:kern w:val="44"/>
      <w:sz w:val="44"/>
      <w:szCs w:val="44"/>
      <w:lang w:val="en-US" w:eastAsia="zh-CN" w:bidi="ar-SA"/>
    </w:rPr>
  </w:style>
  <w:style w:type="character" w:customStyle="1" w:styleId="722">
    <w:name w:val="font21"/>
    <w:qFormat/>
    <w:uiPriority w:val="0"/>
    <w:rPr>
      <w:rFonts w:hint="default" w:ascii="Times New Roman" w:hAnsi="Times New Roman" w:cs="Times New Roman"/>
      <w:color w:val="000000"/>
      <w:sz w:val="21"/>
      <w:szCs w:val="21"/>
      <w:u w:val="none"/>
      <w:vertAlign w:val="superscript"/>
    </w:rPr>
  </w:style>
  <w:style w:type="character" w:customStyle="1" w:styleId="723">
    <w:name w:val="font71"/>
    <w:qFormat/>
    <w:uiPriority w:val="0"/>
    <w:rPr>
      <w:rFonts w:hint="default" w:ascii="Times New Roman" w:hAnsi="Times New Roman" w:cs="Times New Roman"/>
      <w:color w:val="000000"/>
      <w:sz w:val="21"/>
      <w:szCs w:val="21"/>
      <w:u w:val="none"/>
      <w:vertAlign w:val="subscript"/>
    </w:rPr>
  </w:style>
  <w:style w:type="character" w:customStyle="1" w:styleId="724">
    <w:name w:val="font41"/>
    <w:qFormat/>
    <w:uiPriority w:val="0"/>
    <w:rPr>
      <w:rFonts w:hint="eastAsia" w:ascii="宋体" w:hAnsi="宋体" w:eastAsia="宋体" w:cs="宋体"/>
      <w:color w:val="000000"/>
      <w:sz w:val="18"/>
      <w:szCs w:val="18"/>
      <w:u w:val="none"/>
    </w:rPr>
  </w:style>
  <w:style w:type="character" w:customStyle="1" w:styleId="725">
    <w:name w:val="font51"/>
    <w:qFormat/>
    <w:uiPriority w:val="0"/>
    <w:rPr>
      <w:rFonts w:hint="default" w:ascii="Times New Roman" w:hAnsi="Times New Roman" w:cs="Times New Roman"/>
      <w:color w:val="000000"/>
      <w:sz w:val="21"/>
      <w:szCs w:val="21"/>
      <w:u w:val="none"/>
    </w:rPr>
  </w:style>
  <w:style w:type="character" w:customStyle="1" w:styleId="726">
    <w:name w:val="font101"/>
    <w:qFormat/>
    <w:uiPriority w:val="0"/>
    <w:rPr>
      <w:rFonts w:hint="default" w:ascii="Times New Roman" w:hAnsi="Times New Roman" w:cs="Times New Roman"/>
      <w:color w:val="000000"/>
      <w:sz w:val="18"/>
      <w:szCs w:val="18"/>
      <w:u w:val="none"/>
    </w:rPr>
  </w:style>
  <w:style w:type="character" w:customStyle="1" w:styleId="727">
    <w:name w:val="font131"/>
    <w:qFormat/>
    <w:uiPriority w:val="0"/>
    <w:rPr>
      <w:rFonts w:hint="eastAsia" w:ascii="宋体" w:hAnsi="宋体" w:eastAsia="宋体" w:cs="宋体"/>
      <w:b/>
      <w:color w:val="000000"/>
      <w:sz w:val="21"/>
      <w:szCs w:val="21"/>
      <w:u w:val="none"/>
    </w:rPr>
  </w:style>
  <w:style w:type="character" w:customStyle="1" w:styleId="728">
    <w:name w:val="2号标题 Char Char"/>
    <w:qFormat/>
    <w:uiPriority w:val="0"/>
    <w:rPr>
      <w:rFonts w:ascii="Arial" w:hAnsi="Arial" w:eastAsia="宋体"/>
      <w:b/>
      <w:bCs/>
      <w:kern w:val="2"/>
      <w:sz w:val="28"/>
      <w:szCs w:val="32"/>
      <w:lang w:val="en-US" w:eastAsia="zh-CN" w:bidi="ar-SA"/>
    </w:rPr>
  </w:style>
  <w:style w:type="character" w:customStyle="1" w:styleId="729">
    <w:name w:val="标题 3 Char Char Char Char Char Char"/>
    <w:qFormat/>
    <w:uiPriority w:val="0"/>
    <w:rPr>
      <w:rFonts w:eastAsia="宋体"/>
      <w:b/>
      <w:bCs/>
      <w:kern w:val="2"/>
      <w:sz w:val="32"/>
      <w:szCs w:val="32"/>
      <w:lang w:val="en-US" w:eastAsia="zh-CN" w:bidi="ar-SA"/>
    </w:rPr>
  </w:style>
  <w:style w:type="character" w:customStyle="1" w:styleId="730">
    <w:name w:val="font121"/>
    <w:qFormat/>
    <w:uiPriority w:val="0"/>
    <w:rPr>
      <w:rFonts w:hint="eastAsia" w:ascii="宋体" w:hAnsi="宋体" w:eastAsia="宋体" w:cs="宋体"/>
      <w:color w:val="000000"/>
      <w:sz w:val="21"/>
      <w:szCs w:val="21"/>
      <w:u w:val="none"/>
    </w:rPr>
  </w:style>
  <w:style w:type="character" w:customStyle="1" w:styleId="731">
    <w:name w:val="font11"/>
    <w:qFormat/>
    <w:uiPriority w:val="0"/>
    <w:rPr>
      <w:rFonts w:hint="default" w:ascii="Times New Roman" w:hAnsi="Times New Roman" w:cs="Times New Roman"/>
      <w:color w:val="000000"/>
      <w:sz w:val="21"/>
      <w:szCs w:val="21"/>
      <w:u w:val="none"/>
      <w:vertAlign w:val="subscript"/>
    </w:rPr>
  </w:style>
  <w:style w:type="paragraph" w:customStyle="1" w:styleId="732">
    <w:name w:val="WPSOffice手动目录 1"/>
    <w:qFormat/>
    <w:uiPriority w:val="0"/>
    <w:rPr>
      <w:rFonts w:ascii="Times New Roman" w:hAnsi="Times New Roman" w:eastAsia="宋体" w:cs="Times New Roman"/>
      <w:lang w:val="en-US" w:eastAsia="zh-CN" w:bidi="ar-SA"/>
    </w:rPr>
  </w:style>
  <w:style w:type="paragraph" w:customStyle="1" w:styleId="733">
    <w:name w:val="B2"/>
    <w:qFormat/>
    <w:uiPriority w:val="0"/>
    <w:pPr>
      <w:widowControl w:val="0"/>
      <w:spacing w:line="48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734">
    <w:name w:val="正文 首行缩进:  2 字符"/>
    <w:basedOn w:val="1"/>
    <w:qFormat/>
    <w:uiPriority w:val="0"/>
    <w:pPr>
      <w:ind w:firstLine="579" w:firstLineChars="200"/>
    </w:pPr>
    <w:rPr>
      <w:rFonts w:cs="宋体"/>
      <w:szCs w:val="20"/>
    </w:rPr>
  </w:style>
  <w:style w:type="paragraph" w:customStyle="1" w:styleId="735">
    <w:name w:val="默认 A"/>
    <w:qFormat/>
    <w:uiPriority w:val="0"/>
    <w:rPr>
      <w:rFonts w:ascii="Helvetica" w:hAnsi="Helvetica" w:eastAsia="Arial Unicode MS" w:cs="Arial Unicode MS"/>
      <w:color w:val="000000"/>
      <w:sz w:val="22"/>
      <w:szCs w:val="22"/>
      <w:lang w:val="en-US" w:eastAsia="zh-CN" w:bidi="ar-SA"/>
    </w:rPr>
  </w:style>
  <w:style w:type="paragraph" w:customStyle="1" w:styleId="736">
    <w:name w:val="正文王"/>
    <w:basedOn w:val="32"/>
    <w:qFormat/>
    <w:uiPriority w:val="0"/>
    <w:pPr>
      <w:spacing w:line="440" w:lineRule="exact"/>
    </w:pPr>
    <w:rPr>
      <w:rFonts w:ascii="Arial" w:hAnsi="Arial"/>
      <w:sz w:val="24"/>
    </w:rPr>
  </w:style>
  <w:style w:type="paragraph" w:customStyle="1" w:styleId="737">
    <w:name w:val="正文 A"/>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738">
    <w:name w:val="一级目录 1"/>
    <w:basedOn w:val="1"/>
    <w:qFormat/>
    <w:uiPriority w:val="0"/>
    <w:pPr>
      <w:jc w:val="center"/>
    </w:pPr>
    <w:rPr>
      <w:rFonts w:eastAsia="黑体"/>
      <w:b/>
      <w:sz w:val="36"/>
      <w:szCs w:val="36"/>
    </w:rPr>
  </w:style>
  <w:style w:type="paragraph" w:customStyle="1" w:styleId="739">
    <w:name w:val="正文文本缩进1"/>
    <w:basedOn w:val="1"/>
    <w:qFormat/>
    <w:uiPriority w:val="0"/>
    <w:pPr>
      <w:spacing w:beforeLines="50" w:afterLines="50" w:line="360" w:lineRule="auto"/>
      <w:ind w:firstLine="480" w:firstLineChars="200"/>
    </w:pPr>
    <w:rPr>
      <w:rFonts w:ascii="Arial" w:hAnsi="Arial" w:cs="Arial"/>
      <w:sz w:val="24"/>
    </w:rPr>
  </w:style>
  <w:style w:type="paragraph" w:customStyle="1" w:styleId="740">
    <w:name w:val="1号标题"/>
    <w:basedOn w:val="1"/>
    <w:qFormat/>
    <w:uiPriority w:val="0"/>
    <w:pPr>
      <w:pageBreakBefore/>
      <w:spacing w:beforeLines="150" w:afterLines="100" w:line="360" w:lineRule="auto"/>
      <w:jc w:val="center"/>
      <w:outlineLvl w:val="0"/>
    </w:pPr>
    <w:rPr>
      <w:rFonts w:eastAsia="黑体" w:cs="Arial"/>
      <w:b/>
      <w:sz w:val="36"/>
    </w:rPr>
  </w:style>
  <w:style w:type="paragraph" w:customStyle="1" w:styleId="741">
    <w:name w:val="本文格式"/>
    <w:qFormat/>
    <w:uiPriority w:val="0"/>
    <w:pPr>
      <w:widowControl w:val="0"/>
      <w:spacing w:line="360" w:lineRule="exact"/>
      <w:ind w:firstLine="476"/>
      <w:jc w:val="both"/>
    </w:pPr>
    <w:rPr>
      <w:rFonts w:ascii="Arial Unicode MS" w:hAnsi="Arial Unicode MS" w:eastAsia="Arial Unicode MS" w:cs="Arial Unicode MS"/>
      <w:color w:val="000000"/>
      <w:sz w:val="24"/>
      <w:szCs w:val="24"/>
      <w:lang w:val="en-US" w:eastAsia="zh-CN" w:bidi="ar-SA"/>
    </w:rPr>
  </w:style>
  <w:style w:type="paragraph" w:customStyle="1" w:styleId="742">
    <w:name w:val="11111111111"/>
    <w:basedOn w:val="1"/>
    <w:qFormat/>
    <w:uiPriority w:val="0"/>
    <w:pPr>
      <w:spacing w:line="480" w:lineRule="exact"/>
      <w:ind w:firstLine="643" w:firstLineChars="200"/>
      <w:jc w:val="center"/>
    </w:pPr>
    <w:rPr>
      <w:rFonts w:eastAsia="黑体"/>
      <w:b/>
      <w:bCs/>
      <w:color w:val="000000"/>
      <w:sz w:val="44"/>
    </w:rPr>
  </w:style>
  <w:style w:type="paragraph" w:customStyle="1" w:styleId="743">
    <w:name w:val="33333333"/>
    <w:basedOn w:val="1"/>
    <w:qFormat/>
    <w:uiPriority w:val="0"/>
    <w:pPr>
      <w:spacing w:line="500" w:lineRule="exact"/>
    </w:pPr>
    <w:rPr>
      <w:sz w:val="28"/>
      <w:szCs w:val="28"/>
    </w:rPr>
  </w:style>
  <w:style w:type="paragraph" w:customStyle="1" w:styleId="744">
    <w:name w:val="表内格式"/>
    <w:basedOn w:val="1"/>
    <w:qFormat/>
    <w:uiPriority w:val="0"/>
    <w:pPr>
      <w:jc w:val="center"/>
    </w:pPr>
    <w:rPr>
      <w:sz w:val="18"/>
    </w:rPr>
  </w:style>
  <w:style w:type="paragraph" w:customStyle="1" w:styleId="745">
    <w:name w:val="_Style 158"/>
    <w:basedOn w:val="1"/>
    <w:next w:val="1"/>
    <w:qFormat/>
    <w:uiPriority w:val="0"/>
    <w:rPr>
      <w:sz w:val="24"/>
    </w:rPr>
  </w:style>
  <w:style w:type="paragraph" w:customStyle="1" w:styleId="746">
    <w:name w:val="22222"/>
    <w:basedOn w:val="1"/>
    <w:qFormat/>
    <w:uiPriority w:val="0"/>
    <w:pPr>
      <w:spacing w:beforeLines="100" w:line="360" w:lineRule="auto"/>
      <w:jc w:val="left"/>
      <w:outlineLvl w:val="1"/>
    </w:pPr>
    <w:rPr>
      <w:rFonts w:ascii="黑体" w:eastAsia="黑体"/>
      <w:b/>
      <w:sz w:val="30"/>
      <w:szCs w:val="30"/>
    </w:rPr>
  </w:style>
  <w:style w:type="paragraph" w:customStyle="1" w:styleId="747">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48">
    <w:name w:val="君邦正文"/>
    <w:qFormat/>
    <w:uiPriority w:val="0"/>
    <w:pPr>
      <w:widowControl w:val="0"/>
      <w:adjustRightInd w:val="0"/>
      <w:spacing w:after="60" w:line="360" w:lineRule="auto"/>
      <w:ind w:firstLine="480" w:firstLineChars="200"/>
      <w:jc w:val="both"/>
      <w:textAlignment w:val="baseline"/>
    </w:pPr>
    <w:rPr>
      <w:rFonts w:ascii="Times New Roman" w:hAnsi="Times New Roman" w:eastAsia="Times New Roman" w:cs="Times New Roman"/>
      <w:bCs/>
      <w:snapToGrid w:val="0"/>
      <w:sz w:val="24"/>
      <w:szCs w:val="22"/>
      <w:lang w:val="en-US" w:eastAsia="zh-CN" w:bidi="ar-SA"/>
    </w:rPr>
  </w:style>
  <w:style w:type="paragraph" w:customStyle="1" w:styleId="749">
    <w:name w:val="Normal_144"/>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750">
    <w:name w:val="1级标题"/>
    <w:basedOn w:val="4"/>
    <w:qFormat/>
    <w:uiPriority w:val="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751">
    <w:name w:val="样式 首行缩进:  1.04 厘米"/>
    <w:qFormat/>
    <w:uiPriority w:val="0"/>
    <w:pPr>
      <w:widowControl w:val="0"/>
      <w:spacing w:line="360" w:lineRule="auto"/>
    </w:pPr>
    <w:rPr>
      <w:rFonts w:ascii="Times New Roman" w:hAnsi="Times New Roman" w:eastAsia="Arial Unicode MS" w:cs="Arial Unicode MS"/>
      <w:color w:val="000000"/>
      <w:sz w:val="24"/>
      <w:szCs w:val="24"/>
      <w:lang w:val="en-US" w:eastAsia="zh-CN" w:bidi="ar-SA"/>
    </w:rPr>
  </w:style>
  <w:style w:type="paragraph" w:customStyle="1" w:styleId="752">
    <w:name w:val="表内小410"/>
    <w:basedOn w:val="1"/>
    <w:qFormat/>
    <w:uiPriority w:val="0"/>
    <w:pPr>
      <w:adjustRightInd w:val="0"/>
      <w:snapToGrid w:val="0"/>
      <w:ind w:left="240" w:hanging="240"/>
    </w:pPr>
    <w:rPr>
      <w:rFonts w:ascii="宋体" w:hAnsi="Times"/>
      <w:sz w:val="24"/>
      <w:szCs w:val="20"/>
    </w:rPr>
  </w:style>
  <w:style w:type="paragraph" w:customStyle="1" w:styleId="753">
    <w:name w:val="表头样式1"/>
    <w:basedOn w:val="1"/>
    <w:qFormat/>
    <w:uiPriority w:val="0"/>
    <w:pPr>
      <w:spacing w:beforeLines="50"/>
      <w:jc w:val="center"/>
    </w:pPr>
    <w:rPr>
      <w:rFonts w:eastAsia="黑体"/>
      <w:b/>
      <w:kern w:val="0"/>
      <w:sz w:val="24"/>
      <w:szCs w:val="20"/>
    </w:rPr>
  </w:style>
  <w:style w:type="paragraph" w:customStyle="1" w:styleId="754">
    <w:name w:val="3级标题"/>
    <w:basedOn w:val="6"/>
    <w:qFormat/>
    <w:uiPriority w:val="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755">
    <w:name w:val="reader-word-layer reader-word-s48-8"/>
    <w:basedOn w:val="1"/>
    <w:qFormat/>
    <w:uiPriority w:val="0"/>
    <w:pPr>
      <w:widowControl/>
      <w:spacing w:before="100" w:beforeAutospacing="1" w:after="100" w:afterAutospacing="1"/>
      <w:jc w:val="left"/>
    </w:pPr>
    <w:rPr>
      <w:rFonts w:ascii="宋体" w:hAnsi="宋体" w:cs="宋体"/>
      <w:kern w:val="0"/>
      <w:sz w:val="24"/>
    </w:rPr>
  </w:style>
  <w:style w:type="paragraph" w:customStyle="1" w:styleId="756">
    <w:name w:val="正文小四"/>
    <w:basedOn w:val="1"/>
    <w:qFormat/>
    <w:uiPriority w:val="0"/>
    <w:pPr>
      <w:adjustRightInd w:val="0"/>
      <w:snapToGrid w:val="0"/>
      <w:spacing w:line="360" w:lineRule="auto"/>
      <w:ind w:firstLine="482" w:firstLineChars="200"/>
      <w:textAlignment w:val="baseline"/>
    </w:pPr>
    <w:rPr>
      <w:kern w:val="0"/>
      <w:sz w:val="24"/>
      <w:szCs w:val="20"/>
    </w:rPr>
  </w:style>
  <w:style w:type="character" w:customStyle="1" w:styleId="757">
    <w:name w:val="标题3"/>
    <w:qFormat/>
    <w:uiPriority w:val="0"/>
  </w:style>
  <w:style w:type="table" w:customStyle="1" w:styleId="758">
    <w:name w:val="表格主题3"/>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59">
    <w:name w:val="网格型-3"/>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0">
    <w:name w:val="网格型 5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1">
    <w:name w:val="典雅型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62">
    <w:name w:val="网格型 13"/>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3">
    <w:name w:val="网格型4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4">
    <w:name w:val="左右无边框2"/>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765">
    <w:name w:val="网格型3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6">
    <w:name w:val="无左右边框型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67">
    <w:name w:val="典雅型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68">
    <w:name w:val="左右无边表格2"/>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769">
    <w:name w:val="典雅型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70">
    <w:name w:val="网格型2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71">
    <w:name w:val="网格型1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72">
    <w:name w:val="网格型12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73">
    <w:name w:val="网格型13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74">
    <w:name w:val="网格型52"/>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775">
    <w:name w:val="Char31"/>
    <w:basedOn w:val="1"/>
    <w:qFormat/>
    <w:uiPriority w:val="0"/>
    <w:rPr>
      <w:sz w:val="24"/>
    </w:rPr>
  </w:style>
  <w:style w:type="paragraph" w:customStyle="1" w:styleId="776">
    <w:name w:val="纯文本4"/>
    <w:basedOn w:val="1"/>
    <w:qFormat/>
    <w:uiPriority w:val="0"/>
    <w:pPr>
      <w:adjustRightInd w:val="0"/>
      <w:textAlignment w:val="baseline"/>
    </w:pPr>
    <w:rPr>
      <w:rFonts w:ascii="宋体" w:hAnsi="Courier New" w:eastAsia="仿宋_GB2312"/>
      <w:sz w:val="28"/>
      <w:szCs w:val="28"/>
    </w:rPr>
  </w:style>
  <w:style w:type="paragraph" w:customStyle="1" w:styleId="777">
    <w:name w:val="Char Char Char3"/>
    <w:basedOn w:val="1"/>
    <w:qFormat/>
    <w:uiPriority w:val="0"/>
    <w:pPr>
      <w:spacing w:line="360" w:lineRule="auto"/>
    </w:pPr>
    <w:rPr>
      <w:rFonts w:ascii="Tahoma" w:hAnsi="Tahoma"/>
      <w:sz w:val="24"/>
      <w:szCs w:val="20"/>
    </w:rPr>
  </w:style>
  <w:style w:type="paragraph" w:customStyle="1" w:styleId="778">
    <w:name w:val="Char Char1 Char Char Char Char Char Char Char Char Char Char Char Char Char1"/>
    <w:basedOn w:val="1"/>
    <w:qFormat/>
    <w:uiPriority w:val="0"/>
    <w:pPr>
      <w:spacing w:line="360" w:lineRule="auto"/>
    </w:pPr>
    <w:rPr>
      <w:rFonts w:ascii="Tahoma" w:hAnsi="Tahoma"/>
      <w:sz w:val="24"/>
      <w:szCs w:val="20"/>
    </w:rPr>
  </w:style>
  <w:style w:type="paragraph" w:customStyle="1" w:styleId="779">
    <w:name w:val="Char Char Char Char Char Char Char3"/>
    <w:basedOn w:val="1"/>
    <w:qFormat/>
    <w:uiPriority w:val="0"/>
    <w:rPr>
      <w:sz w:val="24"/>
    </w:rPr>
  </w:style>
  <w:style w:type="paragraph" w:customStyle="1" w:styleId="780">
    <w:name w:val="Char13"/>
    <w:basedOn w:val="1"/>
    <w:qFormat/>
    <w:uiPriority w:val="0"/>
    <w:pPr>
      <w:widowControl/>
      <w:spacing w:line="360" w:lineRule="auto"/>
      <w:ind w:firstLine="200" w:firstLineChars="200"/>
      <w:jc w:val="left"/>
    </w:pPr>
    <w:rPr>
      <w:kern w:val="0"/>
      <w:sz w:val="24"/>
      <w:szCs w:val="20"/>
    </w:rPr>
  </w:style>
  <w:style w:type="paragraph" w:customStyle="1" w:styleId="781">
    <w:name w:val="日期3"/>
    <w:basedOn w:val="1"/>
    <w:next w:val="1"/>
    <w:qFormat/>
    <w:uiPriority w:val="0"/>
    <w:pPr>
      <w:adjustRightInd w:val="0"/>
      <w:textAlignment w:val="baseline"/>
    </w:pPr>
    <w:rPr>
      <w:sz w:val="28"/>
      <w:szCs w:val="20"/>
    </w:rPr>
  </w:style>
  <w:style w:type="table" w:customStyle="1" w:styleId="782">
    <w:name w:val="网格型62"/>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3">
    <w:name w:val="网格型7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84">
    <w:name w:val="网格型81"/>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85">
    <w:name w:val="网格型91"/>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786">
    <w:name w:val="网格型 11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87">
    <w:name w:val="典雅型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88">
    <w:name w:val="网格型 51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89">
    <w:name w:val="典雅型2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0">
    <w:name w:val="典雅型1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1">
    <w:name w:val="MFS表格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792">
    <w:name w:val="王新建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793">
    <w:name w:val="表格主题4"/>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4">
    <w:name w:val="网格型-4"/>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5">
    <w:name w:val="网格型 53"/>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6">
    <w:name w:val="典雅型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97">
    <w:name w:val="网格型 14"/>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8">
    <w:name w:val="网格型43"/>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99">
    <w:name w:val="左右无边框3"/>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00">
    <w:name w:val="网格型33"/>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01">
    <w:name w:val="无左右边框型3"/>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02">
    <w:name w:val="典雅型2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3">
    <w:name w:val="左右无边表格3"/>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804">
    <w:name w:val="典雅型1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5">
    <w:name w:val="网格型23"/>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06">
    <w:name w:val="网格型113"/>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07">
    <w:name w:val="网格型123"/>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08">
    <w:name w:val="网格型133"/>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09">
    <w:name w:val="网格型53"/>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10">
    <w:name w:val="网格型63"/>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11">
    <w:name w:val="网格型7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12">
    <w:name w:val="网格型82"/>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13">
    <w:name w:val="网格型92"/>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14">
    <w:name w:val="网格型 113"/>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15">
    <w:name w:val="典雅型3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16">
    <w:name w:val="网格型 513"/>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17">
    <w:name w:val="典雅型21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8">
    <w:name w:val="典雅型11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9">
    <w:name w:val="MFS表格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20">
    <w:name w:val="王新建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821">
    <w:name w:val="TOC 标题3"/>
    <w:basedOn w:val="4"/>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822">
    <w:name w:val="网格型 15"/>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823">
    <w:name w:val="网格型-5"/>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24">
    <w:name w:val="表格主题5"/>
    <w:basedOn w:val="5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25">
    <w:name w:val="ylf1"/>
    <w:basedOn w:val="60"/>
    <w:qFormat/>
    <w:uiPriority w:val="99"/>
    <w:pPr>
      <w:widowControl w:val="0"/>
      <w:jc w:val="center"/>
    </w:pPr>
    <w:rPr>
      <w:sz w:val="21"/>
      <w:szCs w:val="21"/>
    </w:r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26">
    <w:name w:val="表格主题1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27">
    <w:name w:val="网格型-1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28">
    <w:name w:val="网格型 54"/>
    <w:basedOn w:val="58"/>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29">
    <w:name w:val="典雅型6"/>
    <w:basedOn w:val="58"/>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30">
    <w:name w:val="网格型 114"/>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1">
    <w:name w:val="网格型44"/>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32">
    <w:name w:val="左右无边框4"/>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33">
    <w:name w:val="网格型34"/>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34">
    <w:name w:val="无左右边框型4"/>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35">
    <w:name w:val="典雅型2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36">
    <w:name w:val="左右无边表格4"/>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837">
    <w:name w:val="典雅型1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38">
    <w:name w:val="网格型24"/>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39">
    <w:name w:val="网格型114"/>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40">
    <w:name w:val="网格型124"/>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41">
    <w:name w:val="网格型134"/>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42">
    <w:name w:val="网格型54"/>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3">
    <w:name w:val="网格型64"/>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4">
    <w:name w:val="表格主题2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5">
    <w:name w:val="网格型-2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46">
    <w:name w:val="网格型 514"/>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47">
    <w:name w:val="典雅型3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48">
    <w:name w:val="网格型 12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49">
    <w:name w:val="网格型41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0">
    <w:name w:val="左右无边框11"/>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51">
    <w:name w:val="网格型31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2">
    <w:name w:val="无左右边框型1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3">
    <w:name w:val="典雅型21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4">
    <w:name w:val="左右无边表格11"/>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855">
    <w:name w:val="典雅型11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6">
    <w:name w:val="网格型211"/>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7">
    <w:name w:val="网格型11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58">
    <w:name w:val="网格型12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59">
    <w:name w:val="网格型13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60">
    <w:name w:val="网格型511"/>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61">
    <w:name w:val="网格型611"/>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62">
    <w:name w:val="网格型73"/>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63">
    <w:name w:val="网格型83"/>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64">
    <w:name w:val="网格型93"/>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65">
    <w:name w:val="网格型 111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66">
    <w:name w:val="典雅型3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67">
    <w:name w:val="网格型 511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68">
    <w:name w:val="典雅型21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69">
    <w:name w:val="典雅型11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0">
    <w:name w:val="MFS表格3"/>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71">
    <w:name w:val="王新建3"/>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872">
    <w:name w:val="表格主题3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73">
    <w:name w:val="网格型-3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74">
    <w:name w:val="网格型 52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5">
    <w:name w:val="典雅型4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76">
    <w:name w:val="网格型 13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7">
    <w:name w:val="网格型42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78">
    <w:name w:val="左右无边框21"/>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879">
    <w:name w:val="网格型32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80">
    <w:name w:val="无左右边框型2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81">
    <w:name w:val="典雅型2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2">
    <w:name w:val="左右无边表格21"/>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883">
    <w:name w:val="典雅型1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4">
    <w:name w:val="网格型221"/>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85">
    <w:name w:val="网格型112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86">
    <w:name w:val="网格型122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87">
    <w:name w:val="网格型132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88">
    <w:name w:val="网格型521"/>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89">
    <w:name w:val="网格型621"/>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90">
    <w:name w:val="网格型71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91">
    <w:name w:val="网格型811"/>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92">
    <w:name w:val="网格型911"/>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893">
    <w:name w:val="网格型 112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4">
    <w:name w:val="典雅型3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95">
    <w:name w:val="网格型 512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6">
    <w:name w:val="典雅型21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7">
    <w:name w:val="典雅型11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8">
    <w:name w:val="MFS表格1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99">
    <w:name w:val="王新建1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00">
    <w:name w:val="表格主题4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1">
    <w:name w:val="网格型-4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2">
    <w:name w:val="网格型 53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3">
    <w:name w:val="典雅型5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04">
    <w:name w:val="网格型 14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5">
    <w:name w:val="网格型43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6">
    <w:name w:val="左右无边框31"/>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07">
    <w:name w:val="网格型33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8">
    <w:name w:val="无左右边框型3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09">
    <w:name w:val="典雅型2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0">
    <w:name w:val="左右无边表格31"/>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911">
    <w:name w:val="典雅型1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2">
    <w:name w:val="网格型231"/>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3">
    <w:name w:val="网格型113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14">
    <w:name w:val="网格型123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15">
    <w:name w:val="网格型133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16">
    <w:name w:val="网格型531"/>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7">
    <w:name w:val="网格型631"/>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8">
    <w:name w:val="网格型72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19">
    <w:name w:val="网格型821"/>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20">
    <w:name w:val="网格型921"/>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21">
    <w:name w:val="网格型 113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2">
    <w:name w:val="典雅型3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23">
    <w:name w:val="网格型 513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4">
    <w:name w:val="典雅型21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25">
    <w:name w:val="典雅型11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26">
    <w:name w:val="MFS表格2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27">
    <w:name w:val="王新建2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928">
    <w:name w:val="正文_34"/>
    <w:qFormat/>
    <w:uiPriority w:val="0"/>
    <w:pPr>
      <w:widowControl w:val="0"/>
      <w:jc w:val="both"/>
    </w:pPr>
    <w:rPr>
      <w:rFonts w:ascii="Calibri" w:hAnsi="Calibri" w:eastAsia="宋体" w:cs="Times New Roman"/>
      <w:kern w:val="2"/>
      <w:sz w:val="21"/>
      <w:lang w:val="en-US" w:eastAsia="zh-CN" w:bidi="ar-SA"/>
    </w:rPr>
  </w:style>
  <w:style w:type="table" w:customStyle="1" w:styleId="929">
    <w:name w:val="网格型 16"/>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930">
    <w:name w:val="网格型-6"/>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1">
    <w:name w:val="表格主题6"/>
    <w:basedOn w:val="5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2">
    <w:name w:val="ylf2"/>
    <w:basedOn w:val="60"/>
    <w:qFormat/>
    <w:uiPriority w:val="99"/>
    <w:pPr>
      <w:widowControl w:val="0"/>
      <w:jc w:val="center"/>
    </w:pPr>
    <w:rPr>
      <w:sz w:val="21"/>
      <w:szCs w:val="21"/>
    </w:r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33">
    <w:name w:val="表格主题1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4">
    <w:name w:val="网格型-1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5">
    <w:name w:val="网格型 55"/>
    <w:basedOn w:val="58"/>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6">
    <w:name w:val="典雅型7"/>
    <w:basedOn w:val="58"/>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37">
    <w:name w:val="网格型 115"/>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8">
    <w:name w:val="网格型45"/>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39">
    <w:name w:val="左右无边框5"/>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40">
    <w:name w:val="网格型35"/>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41">
    <w:name w:val="无左右边框型5"/>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42">
    <w:name w:val="典雅型2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3">
    <w:name w:val="左右无边表格5"/>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944">
    <w:name w:val="典雅型1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5">
    <w:name w:val="网格型25"/>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46">
    <w:name w:val="网格型115"/>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47">
    <w:name w:val="网格型125"/>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48">
    <w:name w:val="网格型135"/>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49">
    <w:name w:val="网格型55"/>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0">
    <w:name w:val="网格型65"/>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1">
    <w:name w:val="表格主题2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2">
    <w:name w:val="网格型-2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3">
    <w:name w:val="网格型 515"/>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4">
    <w:name w:val="典雅型3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55">
    <w:name w:val="网格型 12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6">
    <w:name w:val="网格型41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7">
    <w:name w:val="左右无边框12"/>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58">
    <w:name w:val="网格型31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59">
    <w:name w:val="无左右边框型1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0">
    <w:name w:val="典雅型21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1">
    <w:name w:val="左右无边表格12"/>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962">
    <w:name w:val="典雅型11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3">
    <w:name w:val="网格型21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4">
    <w:name w:val="网格型11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65">
    <w:name w:val="网格型12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66">
    <w:name w:val="网格型13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67">
    <w:name w:val="网格型512"/>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8">
    <w:name w:val="网格型612"/>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69">
    <w:name w:val="网格型74"/>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70">
    <w:name w:val="网格型84"/>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71">
    <w:name w:val="网格型94"/>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72">
    <w:name w:val="网格型 111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3">
    <w:name w:val="典雅型3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74">
    <w:name w:val="网格型 511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5">
    <w:name w:val="典雅型21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76">
    <w:name w:val="典雅型11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77">
    <w:name w:val="MFS表格4"/>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78">
    <w:name w:val="王新建4"/>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79">
    <w:name w:val="表格主题3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0">
    <w:name w:val="网格型-3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1">
    <w:name w:val="网格型 52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2">
    <w:name w:val="典雅型4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83">
    <w:name w:val="网格型 13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4">
    <w:name w:val="网格型42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5">
    <w:name w:val="左右无边框22"/>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986">
    <w:name w:val="网格型32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7">
    <w:name w:val="无左右边框型2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88">
    <w:name w:val="典雅型2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89">
    <w:name w:val="左右无边表格22"/>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990">
    <w:name w:val="典雅型1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1">
    <w:name w:val="网格型22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92">
    <w:name w:val="网格型112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3">
    <w:name w:val="网格型122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4">
    <w:name w:val="网格型132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5">
    <w:name w:val="网格型522"/>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96">
    <w:name w:val="网格型622"/>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97">
    <w:name w:val="网格型71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98">
    <w:name w:val="网格型812"/>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999">
    <w:name w:val="网格型912"/>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00">
    <w:name w:val="网格型 112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1">
    <w:name w:val="典雅型3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02">
    <w:name w:val="网格型 512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3">
    <w:name w:val="典雅型21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4">
    <w:name w:val="典雅型11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5">
    <w:name w:val="MFS表格1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06">
    <w:name w:val="王新建1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07">
    <w:name w:val="表格主题4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08">
    <w:name w:val="网格型-4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09">
    <w:name w:val="网格型 53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0">
    <w:name w:val="典雅型5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11">
    <w:name w:val="网格型 14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2">
    <w:name w:val="网格型43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3">
    <w:name w:val="左右无边框32"/>
    <w:basedOn w:val="60"/>
    <w:qFormat/>
    <w:uiPriority w:val="0"/>
    <w:pPr>
      <w:widowControl w:val="0"/>
      <w:jc w:val="both"/>
    </w:pPr>
    <w:tblPr>
      <w:tblBorders>
        <w:top w:val="single" w:color="auto" w:sz="12" w:space="0"/>
        <w:bottom w:val="single" w:color="auto" w:sz="12" w:space="0"/>
      </w:tblBorders>
      <w:tblCellMar>
        <w:top w:w="0" w:type="dxa"/>
        <w:left w:w="108" w:type="dxa"/>
        <w:bottom w:w="0" w:type="dxa"/>
        <w:right w:w="108" w:type="dxa"/>
      </w:tblCellMar>
    </w:tblPr>
  </w:style>
  <w:style w:type="table" w:customStyle="1" w:styleId="1014">
    <w:name w:val="网格型33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5">
    <w:name w:val="无左右边框型3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16">
    <w:name w:val="典雅型2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7">
    <w:name w:val="左右无边表格32"/>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top w:w="0" w:type="dxa"/>
        <w:left w:w="0" w:type="dxa"/>
        <w:bottom w:w="0" w:type="dxa"/>
        <w:right w:w="0" w:type="dxa"/>
      </w:tblCellMar>
    </w:tblPr>
    <w:tcPr>
      <w:vAlign w:val="center"/>
    </w:tcPr>
  </w:style>
  <w:style w:type="table" w:customStyle="1" w:styleId="1018">
    <w:name w:val="典雅型1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9">
    <w:name w:val="网格型23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0">
    <w:name w:val="网格型113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1">
    <w:name w:val="网格型123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2">
    <w:name w:val="网格型133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3">
    <w:name w:val="网格型532"/>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4">
    <w:name w:val="网格型632"/>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5">
    <w:name w:val="网格型72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26">
    <w:name w:val="网格型822"/>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7">
    <w:name w:val="网格型922"/>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028">
    <w:name w:val="网格型 113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29">
    <w:name w:val="典雅型3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30">
    <w:name w:val="网格型 513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1">
    <w:name w:val="典雅型21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2">
    <w:name w:val="典雅型11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3">
    <w:name w:val="MFS表格2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34">
    <w:name w:val="王新建2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35">
    <w:name w:val="网格型-7"/>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36">
    <w:name w:val="无间隔 Char"/>
    <w:basedOn w:val="64"/>
    <w:link w:val="419"/>
    <w:qFormat/>
    <w:uiPriority w:val="1"/>
    <w:rPr>
      <w:color w:val="000000"/>
      <w:kern w:val="2"/>
      <w:sz w:val="24"/>
      <w:szCs w:val="24"/>
    </w:rPr>
  </w:style>
  <w:style w:type="paragraph" w:customStyle="1" w:styleId="1037">
    <w:name w:val="！正文"/>
    <w:basedOn w:val="1"/>
    <w:qFormat/>
    <w:uiPriority w:val="0"/>
    <w:pPr>
      <w:spacing w:line="360" w:lineRule="auto"/>
      <w:ind w:firstLine="480" w:firstLineChars="200"/>
    </w:pPr>
    <w:rPr>
      <w:rFonts w:hint="eastAsia" w:ascii="宋体" w:cs="宋体"/>
      <w:kern w:val="0"/>
      <w:sz w:val="24"/>
      <w:szCs w:val="20"/>
    </w:rPr>
  </w:style>
  <w:style w:type="paragraph" w:customStyle="1" w:styleId="1038">
    <w:name w:val="4"/>
    <w:basedOn w:val="1"/>
    <w:next w:val="219"/>
    <w:qFormat/>
    <w:uiPriority w:val="34"/>
    <w:pPr>
      <w:widowControl/>
      <w:ind w:firstLine="420" w:firstLineChars="200"/>
      <w:jc w:val="left"/>
    </w:pPr>
    <w:rPr>
      <w:spacing w:val="-2"/>
      <w:kern w:val="0"/>
      <w:sz w:val="28"/>
      <w:szCs w:val="20"/>
    </w:rPr>
  </w:style>
  <w:style w:type="character" w:customStyle="1" w:styleId="1039">
    <w:name w:val="样式 表格 + 黑色 Char"/>
    <w:link w:val="1040"/>
    <w:qFormat/>
    <w:locked/>
    <w:uiPriority w:val="0"/>
    <w:rPr>
      <w:snapToGrid w:val="0"/>
      <w:color w:val="000000"/>
      <w:spacing w:val="-4"/>
      <w:sz w:val="21"/>
      <w:szCs w:val="21"/>
    </w:rPr>
  </w:style>
  <w:style w:type="paragraph" w:customStyle="1" w:styleId="1040">
    <w:name w:val="样式 表格 + 黑色"/>
    <w:basedOn w:val="1"/>
    <w:link w:val="1039"/>
    <w:qFormat/>
    <w:uiPriority w:val="0"/>
    <w:rPr>
      <w:snapToGrid w:val="0"/>
      <w:color w:val="000000"/>
      <w:spacing w:val="-4"/>
      <w:kern w:val="0"/>
      <w:szCs w:val="21"/>
    </w:rPr>
  </w:style>
  <w:style w:type="character" w:customStyle="1" w:styleId="1041">
    <w:name w:val="Default Char"/>
    <w:link w:val="73"/>
    <w:qFormat/>
    <w:uiPriority w:val="0"/>
    <w:rPr>
      <w:rFonts w:ascii="宋体" w:cs="宋体"/>
      <w:color w:val="000000"/>
      <w:sz w:val="24"/>
      <w:szCs w:val="24"/>
    </w:rPr>
  </w:style>
  <w:style w:type="paragraph" w:customStyle="1" w:styleId="1042">
    <w:name w:val="表格 标题"/>
    <w:link w:val="1043"/>
    <w:qFormat/>
    <w:uiPriority w:val="0"/>
    <w:pPr>
      <w:snapToGrid w:val="0"/>
      <w:spacing w:beforeLines="20" w:afterLines="20" w:line="500" w:lineRule="exact"/>
      <w:jc w:val="center"/>
    </w:pPr>
    <w:rPr>
      <w:rFonts w:ascii="Times New Roman" w:hAnsi="Times New Roman" w:eastAsia="宋体" w:cs="Times New Roman"/>
      <w:b/>
      <w:kern w:val="2"/>
      <w:sz w:val="24"/>
      <w:szCs w:val="24"/>
      <w:lang w:val="en-US" w:eastAsia="zh-CN" w:bidi="ar-SA"/>
    </w:rPr>
  </w:style>
  <w:style w:type="character" w:customStyle="1" w:styleId="1043">
    <w:name w:val="表格 标题 Char"/>
    <w:link w:val="1042"/>
    <w:qFormat/>
    <w:uiPriority w:val="0"/>
    <w:rPr>
      <w:b/>
      <w:kern w:val="2"/>
      <w:sz w:val="24"/>
      <w:szCs w:val="24"/>
    </w:rPr>
  </w:style>
  <w:style w:type="paragraph" w:customStyle="1" w:styleId="1044">
    <w:name w:val="表格 首行"/>
    <w:link w:val="1045"/>
    <w:qFormat/>
    <w:uiPriority w:val="0"/>
    <w:pPr>
      <w:snapToGrid w:val="0"/>
      <w:jc w:val="center"/>
    </w:pPr>
    <w:rPr>
      <w:rFonts w:ascii="Times New Roman" w:hAnsi="Times New Roman" w:eastAsia="仿宋_GB2312" w:cs="Times New Roman"/>
      <w:b/>
      <w:kern w:val="2"/>
      <w:sz w:val="21"/>
      <w:szCs w:val="21"/>
      <w:lang w:val="en-US" w:eastAsia="zh-CN" w:bidi="ar-SA"/>
    </w:rPr>
  </w:style>
  <w:style w:type="character" w:customStyle="1" w:styleId="1045">
    <w:name w:val="表格 首行 Char"/>
    <w:link w:val="1044"/>
    <w:qFormat/>
    <w:uiPriority w:val="0"/>
    <w:rPr>
      <w:rFonts w:eastAsia="仿宋_GB2312"/>
      <w:b/>
      <w:kern w:val="2"/>
      <w:sz w:val="21"/>
      <w:szCs w:val="21"/>
    </w:rPr>
  </w:style>
  <w:style w:type="table" w:customStyle="1" w:styleId="1046">
    <w:name w:val="Table Normal"/>
    <w:basedOn w:val="58"/>
    <w:qFormat/>
    <w:uiPriority w:val="0"/>
    <w:pPr>
      <w:widowControl w:val="0"/>
    </w:pPr>
    <w:rPr>
      <w:rFonts w:eastAsia="Times New Roman"/>
      <w:sz w:val="22"/>
      <w:szCs w:val="22"/>
      <w:lang w:eastAsia="en-US"/>
    </w:rPr>
    <w:tblPr>
      <w:tblCellMar>
        <w:left w:w="0" w:type="dxa"/>
        <w:right w:w="0" w:type="dxa"/>
      </w:tblCellMar>
    </w:tblPr>
  </w:style>
  <w:style w:type="paragraph" w:customStyle="1" w:styleId="1047">
    <w:name w:val="曹1.1"/>
    <w:basedOn w:val="1"/>
    <w:qFormat/>
    <w:uiPriority w:val="0"/>
    <w:pPr>
      <w:spacing w:line="360" w:lineRule="auto"/>
    </w:pPr>
    <w:rPr>
      <w:b/>
      <w:sz w:val="24"/>
    </w:rPr>
  </w:style>
  <w:style w:type="character" w:customStyle="1" w:styleId="1048">
    <w:name w:val="cur"/>
    <w:basedOn w:val="64"/>
    <w:qFormat/>
    <w:uiPriority w:val="0"/>
    <w:rPr>
      <w:color w:val="FFFFFF"/>
      <w:shd w:val="clear" w:fill="2F6B98"/>
    </w:rPr>
  </w:style>
  <w:style w:type="character" w:customStyle="1" w:styleId="1049">
    <w:name w:val="lishishuju"/>
    <w:basedOn w:val="64"/>
    <w:qFormat/>
    <w:uiPriority w:val="0"/>
    <w:rPr>
      <w:b/>
      <w:bCs/>
      <w:color w:val="000052"/>
      <w:sz w:val="24"/>
      <w:szCs w:val="24"/>
      <w:bdr w:val="single" w:color="E3E3E3" w:sz="6" w:space="0"/>
    </w:rPr>
  </w:style>
  <w:style w:type="character" w:customStyle="1" w:styleId="1050">
    <w:name w:val="radio-btn"/>
    <w:basedOn w:val="64"/>
    <w:qFormat/>
    <w:uiPriority w:val="0"/>
    <w:rPr>
      <w:sz w:val="24"/>
      <w:szCs w:val="24"/>
    </w:rPr>
  </w:style>
  <w:style w:type="character" w:customStyle="1" w:styleId="1051">
    <w:name w:val="radio-btn1"/>
    <w:basedOn w:val="64"/>
    <w:qFormat/>
    <w:uiPriority w:val="0"/>
    <w:rPr>
      <w:sz w:val="24"/>
      <w:szCs w:val="24"/>
    </w:rPr>
  </w:style>
  <w:style w:type="character" w:customStyle="1" w:styleId="1052">
    <w:name w:val="radio-btn2"/>
    <w:basedOn w:val="64"/>
    <w:qFormat/>
    <w:uiPriority w:val="0"/>
    <w:rPr>
      <w:sz w:val="24"/>
      <w:szCs w:val="24"/>
    </w:rPr>
  </w:style>
  <w:style w:type="character" w:customStyle="1" w:styleId="1053">
    <w:name w:val="znspantitle"/>
    <w:basedOn w:val="64"/>
    <w:qFormat/>
    <w:uiPriority w:val="0"/>
    <w:rPr>
      <w:b/>
      <w:bCs/>
      <w:color w:val="333333"/>
    </w:rPr>
  </w:style>
  <w:style w:type="character" w:customStyle="1" w:styleId="1054">
    <w:name w:val="lable"/>
    <w:basedOn w:val="64"/>
    <w:qFormat/>
    <w:uiPriority w:val="0"/>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numbering" Target="numbering.xml"/><Relationship Id="rId17" Type="http://schemas.openxmlformats.org/officeDocument/2006/relationships/image" Target="media/image9.png"/><Relationship Id="rId16" Type="http://schemas.openxmlformats.org/officeDocument/2006/relationships/image" Target="media/image8.wmf"/><Relationship Id="rId15" Type="http://schemas.openxmlformats.org/officeDocument/2006/relationships/image" Target="media/image7.wmf"/><Relationship Id="rId14" Type="http://schemas.openxmlformats.org/officeDocument/2006/relationships/image" Target="media/image6.wmf"/><Relationship Id="rId13" Type="http://schemas.openxmlformats.org/officeDocument/2006/relationships/image" Target="media/image5.wmf"/><Relationship Id="rId12" Type="http://schemas.openxmlformats.org/officeDocument/2006/relationships/image" Target="media/image4.wmf"/><Relationship Id="rId11" Type="http://schemas.openxmlformats.org/officeDocument/2006/relationships/image" Target="media/image3.wmf"/><Relationship Id="rId10" Type="http://schemas.openxmlformats.org/officeDocument/2006/relationships/image" Target="media/image2.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9DB68B-B79C-42ED-9253-A294AACB66EC}">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59</Pages>
  <Words>32272</Words>
  <Characters>36837</Characters>
  <Lines>1</Lines>
  <Paragraphs>1</Paragraphs>
  <TotalTime>88</TotalTime>
  <ScaleCrop>false</ScaleCrop>
  <LinksUpToDate>false</LinksUpToDate>
  <CharactersWithSpaces>38852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2021-12-07T03:35:00Z</dcterms:created>
  <dc:creator>lhj</dc:creator>
  <cp:lastModifiedBy>庄小豆</cp:lastModifiedBy>
  <cp:lastPrinted>2022-01-26T00:59:00Z</cp:lastPrinted>
  <dcterms:modified xsi:type="dcterms:W3CDTF">2022-05-31T07:32:51Z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3E5C908DA6404935977AD51D4F354B78</vt:lpwstr>
  </property>
</Properties>
</file>