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Autospacing="0" w:afterAutospacing="0"/>
        <w:jc w:val="center"/>
        <w:rPr>
          <w:rFonts w:hint="default"/>
          <w:color w:val="000000" w:themeColor="text1"/>
          <w14:textFill>
            <w14:solidFill>
              <w14:schemeClr w14:val="tx1"/>
            </w14:solidFill>
          </w14:textFill>
        </w:rPr>
      </w:pPr>
      <w:bookmarkStart w:id="0" w:name="_Toc15804"/>
      <w:r>
        <w:rPr>
          <w:rFonts w:ascii="黑体" w:hAnsi="黑体" w:eastAsia="黑体"/>
          <w:b w:val="0"/>
          <w:bCs w:val="0"/>
          <w:snapToGrid w:val="0"/>
          <w:color w:val="000000" w:themeColor="text1"/>
          <w:kern w:val="0"/>
          <w:sz w:val="30"/>
          <w:szCs w:val="30"/>
          <w14:textFill>
            <w14:solidFill>
              <w14:schemeClr w14:val="tx1"/>
            </w14:solidFill>
          </w14:textFill>
        </w:rPr>
        <w:t>一、建设项目基本情况</w:t>
      </w:r>
      <w:bookmarkEnd w:id="0"/>
    </w:p>
    <w:tbl>
      <w:tblPr>
        <w:tblStyle w:val="29"/>
        <w:tblW w:w="504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09"/>
        <w:gridCol w:w="2044"/>
        <w:gridCol w:w="1903"/>
        <w:gridCol w:w="29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建设项目名称</w:t>
            </w:r>
          </w:p>
        </w:tc>
        <w:tc>
          <w:tcPr>
            <w:tcW w:w="3743" w:type="pct"/>
            <w:gridSpan w:val="3"/>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年产4亿平方米隔膜涂布项目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项目代码</w:t>
            </w:r>
          </w:p>
        </w:tc>
        <w:tc>
          <w:tcPr>
            <w:tcW w:w="3743" w:type="pct"/>
            <w:gridSpan w:val="3"/>
            <w:vAlign w:val="center"/>
          </w:tcPr>
          <w:p>
            <w:pPr>
              <w:spacing w:line="360" w:lineRule="auto"/>
              <w:jc w:val="center"/>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2210-340262-04-01-407397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建设单位联系人</w:t>
            </w:r>
          </w:p>
        </w:tc>
        <w:tc>
          <w:tcPr>
            <w:tcW w:w="1112"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王建</w:t>
            </w:r>
          </w:p>
        </w:tc>
        <w:tc>
          <w:tcPr>
            <w:tcW w:w="1035" w:type="pct"/>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联系方式</w:t>
            </w:r>
          </w:p>
        </w:tc>
        <w:tc>
          <w:tcPr>
            <w:tcW w:w="1595"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13052379058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建设地点</w:t>
            </w:r>
          </w:p>
        </w:tc>
        <w:tc>
          <w:tcPr>
            <w:tcW w:w="3743" w:type="pct"/>
            <w:gridSpan w:val="3"/>
            <w:vAlign w:val="center"/>
          </w:tcPr>
          <w:p>
            <w:pPr>
              <w:spacing w:line="360" w:lineRule="auto"/>
              <w:jc w:val="center"/>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安徽省芜湖市鸠江区沈巷镇江北产业集中区中小企业园新能源新材料产业聚集区4#厂房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地理坐标</w:t>
            </w:r>
          </w:p>
        </w:tc>
        <w:tc>
          <w:tcPr>
            <w:tcW w:w="3743" w:type="pct"/>
            <w:gridSpan w:val="3"/>
            <w:vAlign w:val="center"/>
          </w:tcPr>
          <w:p>
            <w:pPr>
              <w:spacing w:line="360" w:lineRule="auto"/>
              <w:jc w:val="center"/>
              <w:rPr>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北纬 N31°27′31.393″ 东经 E118°14′54.765″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24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国民经济</w:t>
            </w:r>
          </w:p>
          <w:p>
            <w:pPr>
              <w:spacing w:line="240" w:lineRule="atLeast"/>
              <w:jc w:val="center"/>
              <w:rPr>
                <w:color w:val="000000" w:themeColor="text1"/>
                <w:highlight w:val="yellow"/>
                <w14:textFill>
                  <w14:solidFill>
                    <w14:schemeClr w14:val="tx1"/>
                  </w14:solidFill>
                </w14:textFill>
              </w:rPr>
            </w:pPr>
            <w:r>
              <w:rPr>
                <w:color w:val="000000" w:themeColor="text1"/>
                <w14:textFill>
                  <w14:solidFill>
                    <w14:schemeClr w14:val="tx1"/>
                  </w14:solidFill>
                </w14:textFill>
              </w:rPr>
              <w:t>行业类别</w:t>
            </w:r>
          </w:p>
        </w:tc>
        <w:tc>
          <w:tcPr>
            <w:tcW w:w="1112" w:type="pct"/>
            <w:vAlign w:val="center"/>
          </w:tcPr>
          <w:p>
            <w:pPr>
              <w:spacing w:line="240" w:lineRule="atLeas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塑料薄膜制造C2921</w:t>
            </w:r>
          </w:p>
        </w:tc>
        <w:tc>
          <w:tcPr>
            <w:tcW w:w="1035" w:type="pct"/>
            <w:vAlign w:val="center"/>
          </w:tcPr>
          <w:p>
            <w:pPr>
              <w:spacing w:line="240" w:lineRule="atLeast"/>
              <w:jc w:val="center"/>
              <w:rPr>
                <w:color w:val="000000" w:themeColor="text1"/>
                <w14:textFill>
                  <w14:solidFill>
                    <w14:schemeClr w14:val="tx1"/>
                  </w14:solidFill>
                </w14:textFill>
              </w:rPr>
            </w:pPr>
            <w:bookmarkStart w:id="1" w:name="_Hlk49843745"/>
            <w:r>
              <w:rPr>
                <w:color w:val="000000" w:themeColor="text1"/>
                <w14:textFill>
                  <w14:solidFill>
                    <w14:schemeClr w14:val="tx1"/>
                  </w14:solidFill>
                </w14:textFill>
              </w:rPr>
              <w:t>建设项目</w:t>
            </w:r>
          </w:p>
          <w:p>
            <w:pPr>
              <w:spacing w:line="240" w:lineRule="atLeast"/>
              <w:jc w:val="center"/>
              <w:rPr>
                <w:color w:val="000000" w:themeColor="text1"/>
                <w14:textFill>
                  <w14:solidFill>
                    <w14:schemeClr w14:val="tx1"/>
                  </w14:solidFill>
                </w14:textFill>
              </w:rPr>
            </w:pPr>
            <w:r>
              <w:rPr>
                <w:color w:val="000000" w:themeColor="text1"/>
                <w14:textFill>
                  <w14:solidFill>
                    <w14:schemeClr w14:val="tx1"/>
                  </w14:solidFill>
                </w14:textFill>
              </w:rPr>
              <w:t>行业类别</w:t>
            </w:r>
            <w:bookmarkEnd w:id="1"/>
          </w:p>
        </w:tc>
        <w:tc>
          <w:tcPr>
            <w:tcW w:w="1595" w:type="pct"/>
            <w:vAlign w:val="center"/>
          </w:tcPr>
          <w:p>
            <w:pPr>
              <w:spacing w:line="240" w:lineRule="atLeas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二十六 “橡胶和塑料制品业29”中第53塑料制品业 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建设性质</w:t>
            </w:r>
          </w:p>
        </w:tc>
        <w:tc>
          <w:tcPr>
            <w:tcW w:w="1112" w:type="pct"/>
            <w:vAlign w:val="center"/>
          </w:tcPr>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sym w:font="Wingdings 2" w:char="0052"/>
            </w:r>
            <w:r>
              <w:rPr>
                <w:rFonts w:hint="eastAsia" w:ascii="宋体" w:hAnsi="宋体" w:cs="宋体"/>
                <w:color w:val="000000" w:themeColor="text1"/>
                <w14:textFill>
                  <w14:solidFill>
                    <w14:schemeClr w14:val="tx1"/>
                  </w14:solidFill>
                </w14:textFill>
              </w:rPr>
              <w:t>新建</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sym w:font="Wingdings 2" w:char="00A3"/>
            </w:r>
            <w:r>
              <w:rPr>
                <w:rFonts w:hint="eastAsia" w:ascii="宋体" w:hAnsi="宋体" w:cs="宋体"/>
                <w:color w:val="000000" w:themeColor="text1"/>
                <w14:textFill>
                  <w14:solidFill>
                    <w14:schemeClr w14:val="tx1"/>
                  </w14:solidFill>
                </w14:textFill>
              </w:rPr>
              <w:t>改建</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sym w:font="Wingdings 2" w:char="00A3"/>
            </w:r>
            <w:r>
              <w:rPr>
                <w:rFonts w:hint="eastAsia" w:ascii="宋体" w:hAnsi="宋体" w:cs="宋体"/>
                <w:color w:val="000000" w:themeColor="text1"/>
                <w14:textFill>
                  <w14:solidFill>
                    <w14:schemeClr w14:val="tx1"/>
                  </w14:solidFill>
                </w14:textFill>
              </w:rPr>
              <w:t>扩建</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□技术改造</w:t>
            </w:r>
          </w:p>
        </w:tc>
        <w:tc>
          <w:tcPr>
            <w:tcW w:w="1035" w:type="pct"/>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建设项目</w:t>
            </w:r>
          </w:p>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申报情形</w:t>
            </w:r>
          </w:p>
        </w:tc>
        <w:tc>
          <w:tcPr>
            <w:tcW w:w="1595" w:type="pct"/>
            <w:vAlign w:val="center"/>
          </w:tcPr>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☑首次申报项目</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□不予批准后再次申报项目</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□超五年重新审核项目</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项目审批（核准/</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备案）部门（选填）</w:t>
            </w:r>
          </w:p>
        </w:tc>
        <w:tc>
          <w:tcPr>
            <w:tcW w:w="1112"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芜湖市江北产业集中区管委会</w:t>
            </w:r>
          </w:p>
        </w:tc>
        <w:tc>
          <w:tcPr>
            <w:tcW w:w="1035" w:type="pct"/>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项目审批（核准/</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备案）文号（选填）</w:t>
            </w:r>
          </w:p>
        </w:tc>
        <w:tc>
          <w:tcPr>
            <w:tcW w:w="1595"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总投资（万元）</w:t>
            </w:r>
          </w:p>
        </w:tc>
        <w:tc>
          <w:tcPr>
            <w:tcW w:w="1112"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15000</w:t>
            </w:r>
          </w:p>
        </w:tc>
        <w:tc>
          <w:tcPr>
            <w:tcW w:w="1035"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环保投资（万元）</w:t>
            </w:r>
          </w:p>
        </w:tc>
        <w:tc>
          <w:tcPr>
            <w:tcW w:w="1595"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环保投资占比（%）</w:t>
            </w:r>
          </w:p>
        </w:tc>
        <w:tc>
          <w:tcPr>
            <w:tcW w:w="1112"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0.467</w:t>
            </w:r>
            <w:r>
              <w:rPr>
                <w:color w:val="000000" w:themeColor="text1"/>
                <w14:textFill>
                  <w14:solidFill>
                    <w14:schemeClr w14:val="tx1"/>
                  </w14:solidFill>
                </w14:textFill>
              </w:rPr>
              <w:t>%</w:t>
            </w:r>
          </w:p>
        </w:tc>
        <w:tc>
          <w:tcPr>
            <w:tcW w:w="1035"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施工工期</w:t>
            </w:r>
          </w:p>
        </w:tc>
        <w:tc>
          <w:tcPr>
            <w:tcW w:w="1595"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56" w:type="pct"/>
            <w:tcMar>
              <w:top w:w="16" w:type="dxa"/>
              <w:left w:w="16" w:type="dxa"/>
              <w:right w:w="16" w:type="dxa"/>
            </w:tcMar>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是否开工建设</w:t>
            </w:r>
          </w:p>
        </w:tc>
        <w:tc>
          <w:tcPr>
            <w:tcW w:w="1112" w:type="pct"/>
            <w:vAlign w:val="center"/>
          </w:tcPr>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☑否</w:t>
            </w:r>
          </w:p>
          <w:p>
            <w:pPr>
              <w:spacing w:line="360" w:lineRule="auto"/>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□是：</w:t>
            </w:r>
            <w:r>
              <w:rPr>
                <w:rFonts w:hint="eastAsia" w:ascii="宋体" w:hAnsi="宋体" w:cs="宋体"/>
                <w:color w:val="000000" w:themeColor="text1"/>
                <w:u w:val="single"/>
                <w14:textFill>
                  <w14:solidFill>
                    <w14:schemeClr w14:val="tx1"/>
                  </w14:solidFill>
                </w14:textFill>
              </w:rPr>
              <w:t xml:space="preserve">  / </w:t>
            </w:r>
          </w:p>
        </w:tc>
        <w:tc>
          <w:tcPr>
            <w:tcW w:w="1035" w:type="pct"/>
            <w:tcMar>
              <w:top w:w="16" w:type="dxa"/>
              <w:left w:w="16" w:type="dxa"/>
              <w:right w:w="16" w:type="dxa"/>
            </w:tcMar>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用地（用海）</w:t>
            </w:r>
          </w:p>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面积（m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w:t>
            </w:r>
          </w:p>
        </w:tc>
        <w:tc>
          <w:tcPr>
            <w:tcW w:w="1595" w:type="pct"/>
            <w:vAlign w:val="center"/>
          </w:tcPr>
          <w:p>
            <w:pPr>
              <w:spacing w:line="36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5473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pct"/>
            <w:vAlign w:val="center"/>
          </w:tcPr>
          <w:p>
            <w:pPr>
              <w:autoSpaceDE w:val="0"/>
              <w:autoSpaceDN w:val="0"/>
              <w:spacing w:line="360" w:lineRule="auto"/>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专项评价设置情况</w:t>
            </w:r>
          </w:p>
        </w:tc>
        <w:tc>
          <w:tcPr>
            <w:tcW w:w="3743" w:type="pct"/>
            <w:gridSpan w:val="3"/>
            <w:vAlign w:val="center"/>
          </w:tcPr>
          <w:p>
            <w:pPr>
              <w:autoSpaceDE w:val="0"/>
              <w:autoSpaceDN w:val="0"/>
              <w:spacing w:line="360" w:lineRule="auto"/>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pct"/>
            <w:vAlign w:val="center"/>
          </w:tcPr>
          <w:p>
            <w:pPr>
              <w:autoSpaceDE w:val="0"/>
              <w:autoSpaceDN w:val="0"/>
              <w:spacing w:line="360" w:lineRule="auto"/>
              <w:jc w:val="center"/>
              <w:rPr>
                <w:color w:val="000000" w:themeColor="text1"/>
                <w:kern w:val="0"/>
                <w14:textFill>
                  <w14:solidFill>
                    <w14:schemeClr w14:val="tx1"/>
                  </w14:solidFill>
                </w14:textFill>
              </w:rPr>
            </w:pPr>
            <w:r>
              <w:rPr>
                <w:color w:val="000000" w:themeColor="text1"/>
                <w14:textFill>
                  <w14:solidFill>
                    <w14:schemeClr w14:val="tx1"/>
                  </w14:solidFill>
                </w14:textFill>
              </w:rPr>
              <w:t>规划情况</w:t>
            </w:r>
          </w:p>
        </w:tc>
        <w:tc>
          <w:tcPr>
            <w:tcW w:w="3743" w:type="pct"/>
            <w:gridSpan w:val="3"/>
            <w:vAlign w:val="center"/>
          </w:tcPr>
          <w:p>
            <w:pPr>
              <w:autoSpaceDE w:val="0"/>
              <w:autoSpaceDN w:val="0"/>
              <w:adjustRightInd w:val="0"/>
              <w:snapToGrid w:val="0"/>
              <w:spacing w:line="360" w:lineRule="auto"/>
              <w:jc w:val="left"/>
              <w:rPr>
                <w:color w:val="000000" w:themeColor="text1"/>
                <w:kern w:val="21"/>
                <w14:textFill>
                  <w14:solidFill>
                    <w14:schemeClr w14:val="tx1"/>
                  </w14:solidFill>
                </w14:textFill>
              </w:rPr>
            </w:pPr>
            <w:r>
              <w:rPr>
                <w:color w:val="000000" w:themeColor="text1"/>
                <w:kern w:val="21"/>
                <w14:textFill>
                  <w14:solidFill>
                    <w14:schemeClr w14:val="tx1"/>
                  </w14:solidFill>
                </w14:textFill>
              </w:rPr>
              <w:t>规划名称：《安徽省江北产业集中区总体规划（2013-2030 年）》；</w:t>
            </w:r>
          </w:p>
          <w:p>
            <w:pPr>
              <w:autoSpaceDE w:val="0"/>
              <w:autoSpaceDN w:val="0"/>
              <w:adjustRightInd w:val="0"/>
              <w:snapToGrid w:val="0"/>
              <w:spacing w:line="360" w:lineRule="auto"/>
              <w:jc w:val="left"/>
              <w:rPr>
                <w:color w:val="000000" w:themeColor="text1"/>
                <w:kern w:val="21"/>
                <w14:textFill>
                  <w14:solidFill>
                    <w14:schemeClr w14:val="tx1"/>
                  </w14:solidFill>
                </w14:textFill>
              </w:rPr>
            </w:pPr>
            <w:r>
              <w:rPr>
                <w:color w:val="000000" w:themeColor="text1"/>
                <w:kern w:val="21"/>
                <w14:textFill>
                  <w14:solidFill>
                    <w14:schemeClr w14:val="tx1"/>
                  </w14:solidFill>
                </w14:textFill>
              </w:rPr>
              <w:t>召集审查机关：安徽省人民政府；</w:t>
            </w:r>
          </w:p>
          <w:p>
            <w:pPr>
              <w:autoSpaceDE w:val="0"/>
              <w:autoSpaceDN w:val="0"/>
              <w:adjustRightInd w:val="0"/>
              <w:snapToGrid w:val="0"/>
              <w:spacing w:line="360" w:lineRule="auto"/>
              <w:jc w:val="left"/>
              <w:rPr>
                <w:color w:val="000000" w:themeColor="text1"/>
                <w:kern w:val="21"/>
                <w14:textFill>
                  <w14:solidFill>
                    <w14:schemeClr w14:val="tx1"/>
                  </w14:solidFill>
                </w14:textFill>
              </w:rPr>
            </w:pPr>
            <w:r>
              <w:rPr>
                <w:color w:val="000000" w:themeColor="text1"/>
                <w:kern w:val="21"/>
                <w14:textFill>
                  <w14:solidFill>
                    <w14:schemeClr w14:val="tx1"/>
                  </w14:solidFill>
                </w14:textFill>
              </w:rPr>
              <w:t>审查文件名称及文号：皖政秘【2016】139号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6" w:type="pct"/>
            <w:vAlign w:val="center"/>
          </w:tcPr>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t>规划环境影响</w:t>
            </w:r>
          </w:p>
          <w:p>
            <w:pPr>
              <w:spacing w:line="360" w:lineRule="auto"/>
              <w:jc w:val="center"/>
              <w:rPr>
                <w:color w:val="000000" w:themeColor="text1"/>
                <w:kern w:val="0"/>
                <w14:textFill>
                  <w14:solidFill>
                    <w14:schemeClr w14:val="tx1"/>
                  </w14:solidFill>
                </w14:textFill>
              </w:rPr>
            </w:pPr>
            <w:r>
              <w:rPr>
                <w:color w:val="000000" w:themeColor="text1"/>
                <w14:textFill>
                  <w14:solidFill>
                    <w14:schemeClr w14:val="tx1"/>
                  </w14:solidFill>
                </w14:textFill>
              </w:rPr>
              <w:t>评价情况</w:t>
            </w:r>
          </w:p>
        </w:tc>
        <w:tc>
          <w:tcPr>
            <w:tcW w:w="3743" w:type="pct"/>
            <w:gridSpan w:val="3"/>
            <w:vAlign w:val="center"/>
          </w:tcPr>
          <w:p>
            <w:pPr>
              <w:autoSpaceDE w:val="0"/>
              <w:autoSpaceDN w:val="0"/>
              <w:adjustRightInd w:val="0"/>
              <w:snapToGrid w:val="0"/>
              <w:spacing w:line="360" w:lineRule="auto"/>
              <w:jc w:val="left"/>
              <w:rPr>
                <w:color w:val="000000" w:themeColor="text1"/>
                <w:kern w:val="21"/>
                <w14:textFill>
                  <w14:solidFill>
                    <w14:schemeClr w14:val="tx1"/>
                  </w14:solidFill>
                </w14:textFill>
              </w:rPr>
            </w:pPr>
            <w:r>
              <w:rPr>
                <w:color w:val="000000" w:themeColor="text1"/>
                <w:kern w:val="21"/>
                <w14:textFill>
                  <w14:solidFill>
                    <w14:schemeClr w14:val="tx1"/>
                  </w14:solidFill>
                </w14:textFill>
              </w:rPr>
              <w:t>规划环境影响评价文件名称：《安徽省江北产业集中区起步区规划环境影响报告书》 规划环评审批机关：安徽省环境保护厅 规划环评文件名称及环评文号：《安徽省环境保护厅关于安徽省江 北产业集中区起步区规划环境影响报告书审查意见的函》（皖环函 [2013]419 号）</w:t>
            </w:r>
            <w:r>
              <w:rPr>
                <w:rFonts w:hint="eastAsia"/>
                <w:color w:val="000000" w:themeColor="text1"/>
                <w:kern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56" w:type="pct"/>
            <w:vAlign w:val="center"/>
          </w:tcPr>
          <w:p>
            <w:pPr>
              <w:autoSpaceDE w:val="0"/>
              <w:autoSpaceDN w:val="0"/>
              <w:spacing w:line="360" w:lineRule="auto"/>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规划及规划环境</w:t>
            </w:r>
          </w:p>
          <w:p>
            <w:pPr>
              <w:autoSpaceDE w:val="0"/>
              <w:autoSpaceDN w:val="0"/>
              <w:spacing w:line="360" w:lineRule="auto"/>
              <w:jc w:val="center"/>
              <w:rPr>
                <w:color w:val="000000" w:themeColor="text1"/>
                <w:kern w:val="0"/>
                <w:highlight w:val="yellow"/>
                <w14:textFill>
                  <w14:solidFill>
                    <w14:schemeClr w14:val="tx1"/>
                  </w14:solidFill>
                </w14:textFill>
              </w:rPr>
            </w:pPr>
            <w:r>
              <w:rPr>
                <w:color w:val="000000" w:themeColor="text1"/>
                <w:kern w:val="0"/>
                <w14:textFill>
                  <w14:solidFill>
                    <w14:schemeClr w14:val="tx1"/>
                  </w14:solidFill>
                </w14:textFill>
              </w:rPr>
              <w:t>影响评价符合性分析</w:t>
            </w:r>
          </w:p>
        </w:tc>
        <w:tc>
          <w:tcPr>
            <w:tcW w:w="3743" w:type="pct"/>
            <w:gridSpan w:val="3"/>
            <w:vAlign w:val="center"/>
          </w:tcPr>
          <w:p>
            <w:pPr>
              <w:widowControl/>
              <w:spacing w:line="360" w:lineRule="auto"/>
              <w:jc w:val="left"/>
              <w:rPr>
                <w:b/>
                <w:bCs/>
                <w:color w:val="000000" w:themeColor="text1"/>
                <w:kern w:val="0"/>
                <w:lang w:bidi="ar"/>
                <w14:textFill>
                  <w14:solidFill>
                    <w14:schemeClr w14:val="tx1"/>
                  </w14:solidFill>
                </w14:textFill>
              </w:rPr>
            </w:pPr>
            <w:r>
              <w:rPr>
                <w:b/>
                <w:bCs/>
                <w:color w:val="000000" w:themeColor="text1"/>
                <w:kern w:val="0"/>
                <w:lang w:bidi="ar"/>
                <w14:textFill>
                  <w14:solidFill>
                    <w14:schemeClr w14:val="tx1"/>
                  </w14:solidFill>
                </w14:textFill>
              </w:rPr>
              <w:t>1、规划用地相符性分析</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（1）园区规划概况</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根据《安徽省江北产业集中区总体规划（2013-2030 年）》，依据主导产业和生态隔离划定的四个产城综合功能区，发挥产业集聚效应，配套完善的生产生活服务功能，划分为包括沈巷片区、大龙湾片区、白茆片区和现代农业示范区。2013年4月25日《安徽省江北产业集中区起步区规划环境影响报告书》经安徽省环境保护厅审查。</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为适应产业大规模、集群式转移需求，省委省政府设立了江北产业集中区。规划面积200平方公里，区内人口34.1万（其中沈巷镇12.5万）。起步区规划面积20平方公里。2010年6月，江北产业集中区管委会正式运转。2012年2月，省委省政府为加快集中区建设，破除集中区发展的体制障碍，对集中区管理体制进行了调整完善，集中区由“省市共建、以省为主”调整为“省市共建、以市为主”，由芜湖市代管。产业上，主导产业明确（主要承接装备制造、电子信息、高新技术、节能环保、新能源、新材料、文化教育、现代服务），周边地区产业基础良好，配套能力较强。</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（2）发展定位</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安徽省江北产业集中区发展定位：①总体发展定位——联手江南主城区，再造一个新芜湖，共同打造长江第五城。②规划定位——以先进制造业为主、现代服务业集聚、宜居宜业的现代化滨江新城。③功能定位——高端产业密集区、生态滨江新城区、改革创新实验区。</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安徽省江北产业集中区发展战略：①融入区域战略----- 对接上海，构建上海-合肥南通道，成为安徽省全面融入长三角的桥头堡和枢纽。②大江大港战略-----紧密围绕港口和岸线组织集中区功能，布局集中区产业，实现城市功能转型和升级。③两岸联动战略-----借助江南的基础设施、交通走廊发展江北，利用江北建设促进江南城区的功能完善。④低碳生态战略-----树立“生态优先”的理念依托良好生态基础，推进低碳城市建设和生态文明建设。</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安徽省江北产业集中区产业定位：以保税物流、新能源汽车、港口物流、科技研发与孵化、先进制造业、新能源材料、生物医药及健康产业、电子信息为主导产业。起步区主导产业为装备制造、高新技术、港口物流和现代服务业，园区禁止行业有造纸及纸制品业、皮革、毛皮、羽毛及其制品和制鞋业、黑色金属治炼和压延加工业、有色金属治炼和压延加工业。项目用地为工业用地，项目属于</w:t>
            </w:r>
            <w:r>
              <w:rPr>
                <w:rFonts w:hint="eastAsia"/>
                <w:color w:val="000000" w:themeColor="text1"/>
                <w:kern w:val="0"/>
                <w:lang w:bidi="ar"/>
                <w14:textFill>
                  <w14:solidFill>
                    <w14:schemeClr w14:val="tx1"/>
                  </w14:solidFill>
                </w14:textFill>
              </w:rPr>
              <w:t>塑料薄膜制造C2921</w:t>
            </w:r>
            <w:r>
              <w:rPr>
                <w:color w:val="000000" w:themeColor="text1"/>
                <w:kern w:val="0"/>
                <w:lang w:bidi="ar"/>
                <w14:textFill>
                  <w14:solidFill>
                    <w14:schemeClr w14:val="tx1"/>
                  </w14:solidFill>
                </w14:textFill>
              </w:rPr>
              <w:t>，不属于园区的禁止行业范围内，项目的建设将缓解周围固废处置压力，对环境有积极的效益，与园区定位及规划相符。</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（3）用地规划</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起步区用地主要为工业用地、居住用地、公共设施用地和绿地，辅以适量仓储用地、市政设施用地和部分综合用地。</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规划工业用地面积47.8平方公里，占园区建设用地总面积的32.3%；规划物流仓储用地面积13.7平方公里，占园区建设用地总面积的9.3%；规划居住用地面积30.3平方公里，占园区建设用地总面积的20.5%；规划公共管理与公共服务设施用地面积9.4平方公里，占园区建设用地总面积的6.3%；规划商业服务业设施11.5平方公里，占园区建设用地总面积的7.8%；规划绿地与广场用地12.5平方公里，占园区建设用地总面积的8.4%，其中公园绿地面积10.9平方公里，占园区建设用地总面积的7.4%；规划道路与交通设施用地21.2平方公里，占园区建设用地总面积的14.3%。</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4</w:t>
            </w:r>
            <w:r>
              <w:rPr>
                <w:color w:val="000000" w:themeColor="text1"/>
                <w:kern w:val="0"/>
                <w:lang w:bidi="ar"/>
                <w14:textFill>
                  <w14:solidFill>
                    <w14:schemeClr w14:val="tx1"/>
                  </w14:solidFill>
                </w14:textFill>
              </w:rPr>
              <w:t>）相符性分析</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根据《安徽省江北产业集中区总体规划（2013—2030）》，本项目不属于园区禁止入园产业；本项目的选址符合安徽省江北产业集中区总体规划及用地规划。此外，入园项目要采用先进的生产工艺和装备，建设完善的环境保护、安全生产和事故防范系统，强化节能、节水等各项环保措施。清洁生产水平现阶段要按国内先进水平要求。集中区内的污水应做到全收集、全处理。本项目使用的生产工艺、生产设备等均不属于《部分工业行业淘汰落后生产工艺装备和产品指导目录（2010年本）》中的淘汰类；项目产生的各类污染物均得到合理有效的处理处置，做到达标排放；生产过程采取节能、节水措施，能源采用清洁能源电能，并在生产过程中积极贯彻能源资源重复综合利用的原则，清洁生产可以达到国内先进水平，项目产生的污水纳入集中式污水处理厂处理。</w:t>
            </w:r>
          </w:p>
          <w:p>
            <w:pPr>
              <w:widowControl/>
              <w:spacing w:line="360" w:lineRule="auto"/>
              <w:jc w:val="left"/>
              <w:rPr>
                <w:color w:val="000000" w:themeColor="text1"/>
                <w14:textFill>
                  <w14:solidFill>
                    <w14:schemeClr w14:val="tx1"/>
                  </w14:solidFill>
                </w14:textFill>
              </w:rPr>
            </w:pPr>
            <w:r>
              <w:rPr>
                <w:b/>
                <w:bCs/>
                <w:color w:val="000000" w:themeColor="text1"/>
                <w:kern w:val="0"/>
                <w:lang w:bidi="ar"/>
                <w14:textFill>
                  <w14:solidFill>
                    <w14:schemeClr w14:val="tx1"/>
                  </w14:solidFill>
                </w14:textFill>
              </w:rPr>
              <w:t xml:space="preserve">2、与规划环评及其审查意见相符性分析 </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本项目位于安徽省芜湖市鸠江区沈巷镇江北产业集中区中小企业园新能源新材料产业聚集区4#厂房。根据安徽省江北产业集中区总体规划，项目建设用地性质为工业用地，且本项目未被列入国土资源部国家发展和改革委员会关于发布实施《限制用地项目目录 (2012年本) 》和《禁止用地项目目录 (2012年本) 》内。因此，建设项目与区域规划相符，与用地性质相符。</w:t>
            </w:r>
          </w:p>
          <w:p>
            <w:pPr>
              <w:autoSpaceDE w:val="0"/>
              <w:autoSpaceDN w:val="0"/>
              <w:spacing w:line="360" w:lineRule="auto"/>
              <w:ind w:firstLine="482" w:firstLineChars="20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表1-3 项目与规划环评技术评估意见符合性分析</w:t>
            </w:r>
          </w:p>
          <w:tbl>
            <w:tblPr>
              <w:tblStyle w:val="67"/>
              <w:tblW w:w="504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22"/>
              <w:gridCol w:w="3424"/>
              <w:gridCol w:w="1656"/>
              <w:gridCol w:w="9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top w:val="single" w:color="auto" w:sz="4" w:space="0"/>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pacing w:val="3"/>
                      <w:sz w:val="21"/>
                      <w:szCs w:val="21"/>
                      <w14:textFill>
                        <w14:solidFill>
                          <w14:schemeClr w14:val="tx1"/>
                        </w14:solidFill>
                      </w14:textFill>
                    </w:rPr>
                  </w:pPr>
                  <w:r>
                    <w:rPr>
                      <w:color w:val="000000" w:themeColor="text1"/>
                      <w:spacing w:val="3"/>
                      <w:sz w:val="21"/>
                      <w:szCs w:val="21"/>
                      <w14:textFill>
                        <w14:solidFill>
                          <w14:schemeClr w14:val="tx1"/>
                        </w14:solidFill>
                      </w14:textFill>
                    </w:rPr>
                    <w:t>序号</w:t>
                  </w:r>
                </w:p>
              </w:tc>
              <w:tc>
                <w:tcPr>
                  <w:tcW w:w="4201" w:type="dxa"/>
                  <w:tcBorders>
                    <w:top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pacing w:val="3"/>
                      <w:sz w:val="21"/>
                      <w:szCs w:val="21"/>
                      <w14:textFill>
                        <w14:solidFill>
                          <w14:schemeClr w14:val="tx1"/>
                        </w14:solidFill>
                      </w14:textFill>
                    </w:rPr>
                  </w:pPr>
                  <w:r>
                    <w:rPr>
                      <w:color w:val="000000" w:themeColor="text1"/>
                      <w:spacing w:val="3"/>
                      <w:sz w:val="21"/>
                      <w:szCs w:val="21"/>
                      <w14:textFill>
                        <w14:solidFill>
                          <w14:schemeClr w14:val="tx1"/>
                        </w14:solidFill>
                      </w14:textFill>
                    </w:rPr>
                    <w:t>规划环评审查意见</w:t>
                  </w:r>
                </w:p>
              </w:tc>
              <w:tc>
                <w:tcPr>
                  <w:tcW w:w="2028" w:type="dxa"/>
                  <w:tcBorders>
                    <w:top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pacing w:val="3"/>
                      <w:sz w:val="21"/>
                      <w:szCs w:val="21"/>
                      <w14:textFill>
                        <w14:solidFill>
                          <w14:schemeClr w14:val="tx1"/>
                        </w14:solidFill>
                      </w14:textFill>
                    </w:rPr>
                  </w:pPr>
                  <w:r>
                    <w:rPr>
                      <w:color w:val="000000" w:themeColor="text1"/>
                      <w:spacing w:val="3"/>
                      <w:sz w:val="21"/>
                      <w:szCs w:val="21"/>
                      <w14:textFill>
                        <w14:solidFill>
                          <w14:schemeClr w14:val="tx1"/>
                        </w14:solidFill>
                      </w14:textFill>
                    </w:rPr>
                    <w:t>本项目建设内容</w:t>
                  </w:r>
                </w:p>
              </w:tc>
              <w:tc>
                <w:tcPr>
                  <w:tcW w:w="1219" w:type="dxa"/>
                  <w:tcBorders>
                    <w:top w:val="single" w:color="auto" w:sz="4" w:space="0"/>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pacing w:val="3"/>
                      <w:sz w:val="21"/>
                      <w:szCs w:val="21"/>
                      <w14:textFill>
                        <w14:solidFill>
                          <w14:schemeClr w14:val="tx1"/>
                        </w14:solidFill>
                      </w14:textFill>
                    </w:rPr>
                  </w:pPr>
                  <w:r>
                    <w:rPr>
                      <w:color w:val="000000" w:themeColor="text1"/>
                      <w:spacing w:val="3"/>
                      <w:sz w:val="21"/>
                      <w:szCs w:val="21"/>
                      <w14:textFill>
                        <w14:solidFill>
                          <w14:schemeClr w14:val="tx1"/>
                        </w14:solidFill>
                      </w14:textFill>
                    </w:rPr>
                    <w:t>相符性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4"/>
                      <w:sz w:val="21"/>
                      <w:szCs w:val="21"/>
                      <w14:textFill>
                        <w14:solidFill>
                          <w14:schemeClr w14:val="tx1"/>
                        </w14:solidFill>
                      </w14:textFill>
                    </w:rPr>
                    <w:t>根</w:t>
                  </w:r>
                  <w:r>
                    <w:rPr>
                      <w:color w:val="000000" w:themeColor="text1"/>
                      <w:spacing w:val="9"/>
                      <w:sz w:val="21"/>
                      <w:szCs w:val="21"/>
                      <w14:textFill>
                        <w14:solidFill>
                          <w14:schemeClr w14:val="tx1"/>
                        </w14:solidFill>
                      </w14:textFill>
                    </w:rPr>
                    <w:t>据安徽省江北产业集中区起步区</w:t>
                  </w:r>
                  <w:r>
                    <w:rPr>
                      <w:color w:val="000000" w:themeColor="text1"/>
                      <w:spacing w:val="3"/>
                      <w:sz w:val="21"/>
                      <w:szCs w:val="21"/>
                      <w14:textFill>
                        <w14:solidFill>
                          <w14:schemeClr w14:val="tx1"/>
                        </w14:solidFill>
                      </w14:textFill>
                    </w:rPr>
                    <w:t>(以下简称“起步区”)规划，起步区沈巷</w:t>
                  </w:r>
                  <w:r>
                    <w:rPr>
                      <w:color w:val="000000" w:themeColor="text1"/>
                      <w:spacing w:val="1"/>
                      <w:sz w:val="21"/>
                      <w:szCs w:val="21"/>
                      <w14:textFill>
                        <w14:solidFill>
                          <w14:schemeClr w14:val="tx1"/>
                        </w14:solidFill>
                      </w14:textFill>
                    </w:rPr>
                    <w:t>片区规划面积为15平方公里，四至</w:t>
                  </w:r>
                  <w:r>
                    <w:rPr>
                      <w:color w:val="000000" w:themeColor="text1"/>
                      <w:sz w:val="21"/>
                      <w:szCs w:val="21"/>
                      <w14:textFill>
                        <w14:solidFill>
                          <w14:schemeClr w14:val="tx1"/>
                        </w14:solidFill>
                      </w14:textFill>
                    </w:rPr>
                    <w:t>范</w:t>
                  </w:r>
                  <w:r>
                    <w:rPr>
                      <w:color w:val="000000" w:themeColor="text1"/>
                      <w:spacing w:val="4"/>
                      <w:sz w:val="21"/>
                      <w:szCs w:val="21"/>
                      <w14:textFill>
                        <w14:solidFill>
                          <w14:schemeClr w14:val="tx1"/>
                        </w14:solidFill>
                      </w14:textFill>
                    </w:rPr>
                    <w:t>围已经确</w:t>
                  </w:r>
                  <w:r>
                    <w:rPr>
                      <w:color w:val="000000" w:themeColor="text1"/>
                      <w:spacing w:val="2"/>
                      <w:sz w:val="21"/>
                      <w:szCs w:val="21"/>
                      <w14:textFill>
                        <w14:solidFill>
                          <w14:schemeClr w14:val="tx1"/>
                        </w14:solidFill>
                      </w14:textFill>
                    </w:rPr>
                    <w:t>认。规划年限为2010年-2015</w:t>
                  </w:r>
                  <w:r>
                    <w:rPr>
                      <w:color w:val="000000" w:themeColor="text1"/>
                      <w:spacing w:val="4"/>
                      <w:sz w:val="21"/>
                      <w:szCs w:val="21"/>
                      <w14:textFill>
                        <w14:solidFill>
                          <w14:schemeClr w14:val="tx1"/>
                        </w14:solidFill>
                      </w14:textFill>
                    </w:rPr>
                    <w:t>年。</w:t>
                  </w:r>
                  <w:r>
                    <w:rPr>
                      <w:color w:val="000000" w:themeColor="text1"/>
                      <w:spacing w:val="3"/>
                      <w:sz w:val="21"/>
                      <w:szCs w:val="21"/>
                      <w14:textFill>
                        <w14:solidFill>
                          <w14:schemeClr w14:val="tx1"/>
                        </w14:solidFill>
                      </w14:textFill>
                    </w:rPr>
                    <w:t>主</w:t>
                  </w:r>
                  <w:r>
                    <w:rPr>
                      <w:color w:val="000000" w:themeColor="text1"/>
                      <w:spacing w:val="2"/>
                      <w:sz w:val="21"/>
                      <w:szCs w:val="21"/>
                      <w14:textFill>
                        <w14:solidFill>
                          <w14:schemeClr w14:val="tx1"/>
                        </w14:solidFill>
                      </w14:textFill>
                    </w:rPr>
                    <w:t>导产业为装备制造、高新技术、</w:t>
                  </w:r>
                  <w:r>
                    <w:rPr>
                      <w:color w:val="000000" w:themeColor="text1"/>
                      <w:spacing w:val="10"/>
                      <w:sz w:val="21"/>
                      <w:szCs w:val="21"/>
                      <w14:textFill>
                        <w14:solidFill>
                          <w14:schemeClr w14:val="tx1"/>
                        </w14:solidFill>
                      </w14:textFill>
                    </w:rPr>
                    <w:t>港</w:t>
                  </w:r>
                  <w:r>
                    <w:rPr>
                      <w:color w:val="000000" w:themeColor="text1"/>
                      <w:spacing w:val="8"/>
                      <w:sz w:val="21"/>
                      <w:szCs w:val="21"/>
                      <w14:textFill>
                        <w14:solidFill>
                          <w14:schemeClr w14:val="tx1"/>
                        </w14:solidFill>
                      </w14:textFill>
                    </w:rPr>
                    <w:t>口物流和现代服务业。园区禁止行业有造纸及纸制品业、皮革、毛皮、羽毛及其制品和制鞋业、黑色金属治炼和压延加工业、有色金属治炼和压延加工业</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2"/>
                      <w:sz w:val="21"/>
                      <w:szCs w:val="21"/>
                      <w14:textFill>
                        <w14:solidFill>
                          <w14:schemeClr w14:val="tx1"/>
                        </w14:solidFill>
                      </w14:textFill>
                    </w:rPr>
                    <w:t>本</w:t>
                  </w:r>
                  <w:r>
                    <w:rPr>
                      <w:color w:val="000000" w:themeColor="text1"/>
                      <w:spacing w:val="8"/>
                      <w:sz w:val="21"/>
                      <w:szCs w:val="21"/>
                      <w14:textFill>
                        <w14:solidFill>
                          <w14:schemeClr w14:val="tx1"/>
                        </w14:solidFill>
                      </w14:textFill>
                    </w:rPr>
                    <w:t>项目位于安徽</w:t>
                  </w:r>
                  <w:r>
                    <w:rPr>
                      <w:color w:val="000000" w:themeColor="text1"/>
                      <w:spacing w:val="9"/>
                      <w:sz w:val="21"/>
                      <w:szCs w:val="21"/>
                      <w14:textFill>
                        <w14:solidFill>
                          <w14:schemeClr w14:val="tx1"/>
                        </w14:solidFill>
                      </w14:textFill>
                    </w:rPr>
                    <w:t>省江北产业集</w:t>
                  </w:r>
                  <w:r>
                    <w:rPr>
                      <w:color w:val="000000" w:themeColor="text1"/>
                      <w:spacing w:val="7"/>
                      <w:sz w:val="21"/>
                      <w:szCs w:val="21"/>
                      <w14:textFill>
                        <w14:solidFill>
                          <w14:schemeClr w14:val="tx1"/>
                        </w14:solidFill>
                      </w14:textFill>
                    </w:rPr>
                    <w:t>中</w:t>
                  </w:r>
                  <w:r>
                    <w:rPr>
                      <w:color w:val="000000" w:themeColor="text1"/>
                      <w:spacing w:val="9"/>
                      <w:sz w:val="21"/>
                      <w:szCs w:val="21"/>
                      <w14:textFill>
                        <w14:solidFill>
                          <w14:schemeClr w14:val="tx1"/>
                        </w14:solidFill>
                      </w14:textFill>
                    </w:rPr>
                    <w:t>区起步区，本</w:t>
                  </w:r>
                  <w:r>
                    <w:rPr>
                      <w:color w:val="000000" w:themeColor="text1"/>
                      <w:spacing w:val="7"/>
                      <w:sz w:val="21"/>
                      <w:szCs w:val="21"/>
                      <w14:textFill>
                        <w14:solidFill>
                          <w14:schemeClr w14:val="tx1"/>
                        </w14:solidFill>
                      </w14:textFill>
                    </w:rPr>
                    <w:t>项</w:t>
                  </w:r>
                  <w:r>
                    <w:rPr>
                      <w:color w:val="000000" w:themeColor="text1"/>
                      <w:spacing w:val="9"/>
                      <w:sz w:val="21"/>
                      <w:szCs w:val="21"/>
                      <w14:textFill>
                        <w14:solidFill>
                          <w14:schemeClr w14:val="tx1"/>
                        </w14:solidFill>
                      </w14:textFill>
                    </w:rPr>
                    <w:t>目属于</w:t>
                  </w:r>
                  <w:r>
                    <w:rPr>
                      <w:color w:val="000000" w:themeColor="text1"/>
                      <w:sz w:val="21"/>
                      <w:szCs w:val="21"/>
                      <w14:textFill>
                        <w14:solidFill>
                          <w14:schemeClr w14:val="tx1"/>
                        </w14:solidFill>
                      </w14:textFill>
                    </w:rPr>
                    <w:t>塑料薄膜制造C2921</w:t>
                  </w:r>
                  <w:r>
                    <w:rPr>
                      <w:color w:val="000000" w:themeColor="text1"/>
                      <w:spacing w:val="7"/>
                      <w:sz w:val="21"/>
                      <w:szCs w:val="21"/>
                      <w14:textFill>
                        <w14:solidFill>
                          <w14:schemeClr w14:val="tx1"/>
                        </w14:solidFill>
                      </w14:textFill>
                    </w:rPr>
                    <w:t>，不在园区的禁止行业内</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6"/>
                      <w:sz w:val="21"/>
                      <w:szCs w:val="21"/>
                      <w14:textFill>
                        <w14:solidFill>
                          <w14:schemeClr w14:val="tx1"/>
                        </w14:solidFill>
                      </w14:textFill>
                    </w:rPr>
                    <w:t>进</w:t>
                  </w:r>
                  <w:r>
                    <w:rPr>
                      <w:color w:val="000000" w:themeColor="text1"/>
                      <w:spacing w:val="9"/>
                      <w:sz w:val="21"/>
                      <w:szCs w:val="21"/>
                      <w14:textFill>
                        <w14:solidFill>
                          <w14:schemeClr w14:val="tx1"/>
                        </w14:solidFill>
                      </w14:textFill>
                    </w:rPr>
                    <w:t>一步优化起步区的空间布局。根据</w:t>
                  </w:r>
                  <w:r>
                    <w:rPr>
                      <w:color w:val="000000" w:themeColor="text1"/>
                      <w:spacing w:val="14"/>
                      <w:sz w:val="21"/>
                      <w:szCs w:val="21"/>
                      <w14:textFill>
                        <w14:solidFill>
                          <w14:schemeClr w14:val="tx1"/>
                        </w14:solidFill>
                      </w14:textFill>
                    </w:rPr>
                    <w:t>起</w:t>
                  </w:r>
                  <w:r>
                    <w:rPr>
                      <w:color w:val="000000" w:themeColor="text1"/>
                      <w:spacing w:val="9"/>
                      <w:sz w:val="21"/>
                      <w:szCs w:val="21"/>
                      <w14:textFill>
                        <w14:solidFill>
                          <w14:schemeClr w14:val="tx1"/>
                        </w14:solidFill>
                      </w14:textFill>
                    </w:rPr>
                    <w:t>步区各产业特点，充分考虑居住区</w:t>
                  </w:r>
                  <w:r>
                    <w:rPr>
                      <w:color w:val="000000" w:themeColor="text1"/>
                      <w:spacing w:val="14"/>
                      <w:sz w:val="21"/>
                      <w:szCs w:val="21"/>
                      <w14:textFill>
                        <w14:solidFill>
                          <w14:schemeClr w14:val="tx1"/>
                        </w14:solidFill>
                      </w14:textFill>
                    </w:rPr>
                    <w:t>域</w:t>
                  </w:r>
                  <w:r>
                    <w:rPr>
                      <w:color w:val="000000" w:themeColor="text1"/>
                      <w:spacing w:val="9"/>
                      <w:sz w:val="21"/>
                      <w:szCs w:val="21"/>
                      <w14:textFill>
                        <w14:solidFill>
                          <w14:schemeClr w14:val="tx1"/>
                        </w14:solidFill>
                      </w14:textFill>
                    </w:rPr>
                    <w:t>环境要求，进一步优化调整空间布</w:t>
                  </w:r>
                  <w:r>
                    <w:rPr>
                      <w:color w:val="000000" w:themeColor="text1"/>
                      <w:spacing w:val="14"/>
                      <w:sz w:val="21"/>
                      <w:szCs w:val="21"/>
                      <w14:textFill>
                        <w14:solidFill>
                          <w14:schemeClr w14:val="tx1"/>
                        </w14:solidFill>
                      </w14:textFill>
                    </w:rPr>
                    <w:t>局</w:t>
                  </w:r>
                  <w:r>
                    <w:rPr>
                      <w:color w:val="000000" w:themeColor="text1"/>
                      <w:spacing w:val="9"/>
                      <w:sz w:val="21"/>
                      <w:szCs w:val="21"/>
                      <w14:textFill>
                        <w14:solidFill>
                          <w14:schemeClr w14:val="tx1"/>
                        </w14:solidFill>
                      </w14:textFill>
                    </w:rPr>
                    <w:t>，减轻和避免各功能区之间、项目</w:t>
                  </w:r>
                  <w:r>
                    <w:rPr>
                      <w:color w:val="000000" w:themeColor="text1"/>
                      <w:spacing w:val="14"/>
                      <w:sz w:val="21"/>
                      <w:szCs w:val="21"/>
                      <w14:textFill>
                        <w14:solidFill>
                          <w14:schemeClr w14:val="tx1"/>
                        </w14:solidFill>
                      </w14:textFill>
                    </w:rPr>
                    <w:t>之</w:t>
                  </w:r>
                  <w:r>
                    <w:rPr>
                      <w:color w:val="000000" w:themeColor="text1"/>
                      <w:spacing w:val="9"/>
                      <w:sz w:val="21"/>
                      <w:szCs w:val="21"/>
                      <w14:textFill>
                        <w14:solidFill>
                          <w14:schemeClr w14:val="tx1"/>
                        </w14:solidFill>
                      </w14:textFill>
                    </w:rPr>
                    <w:t>间在环境要求方面的相互影响。在</w:t>
                  </w:r>
                  <w:r>
                    <w:rPr>
                      <w:color w:val="000000" w:themeColor="text1"/>
                      <w:spacing w:val="14"/>
                      <w:sz w:val="21"/>
                      <w:szCs w:val="21"/>
                      <w14:textFill>
                        <w14:solidFill>
                          <w14:schemeClr w14:val="tx1"/>
                        </w14:solidFill>
                      </w14:textFill>
                    </w:rPr>
                    <w:t>与</w:t>
                  </w:r>
                  <w:r>
                    <w:rPr>
                      <w:color w:val="000000" w:themeColor="text1"/>
                      <w:spacing w:val="9"/>
                      <w:sz w:val="21"/>
                      <w:szCs w:val="21"/>
                      <w14:textFill>
                        <w14:solidFill>
                          <w14:schemeClr w14:val="tx1"/>
                        </w14:solidFill>
                      </w14:textFill>
                    </w:rPr>
                    <w:t>居住区相邻的工业区项目选择及布</w:t>
                  </w:r>
                  <w:r>
                    <w:rPr>
                      <w:color w:val="000000" w:themeColor="text1"/>
                      <w:spacing w:val="14"/>
                      <w:sz w:val="21"/>
                      <w:szCs w:val="21"/>
                      <w14:textFill>
                        <w14:solidFill>
                          <w14:schemeClr w14:val="tx1"/>
                        </w14:solidFill>
                      </w14:textFill>
                    </w:rPr>
                    <w:t>点</w:t>
                  </w:r>
                  <w:r>
                    <w:rPr>
                      <w:color w:val="000000" w:themeColor="text1"/>
                      <w:spacing w:val="9"/>
                      <w:sz w:val="21"/>
                      <w:szCs w:val="21"/>
                      <w14:textFill>
                        <w14:solidFill>
                          <w14:schemeClr w14:val="tx1"/>
                        </w14:solidFill>
                      </w14:textFill>
                    </w:rPr>
                    <w:t>时，充分考虑与居住区之间的关系</w:t>
                  </w:r>
                  <w:r>
                    <w:rPr>
                      <w:color w:val="000000" w:themeColor="text1"/>
                      <w:spacing w:val="14"/>
                      <w:sz w:val="21"/>
                      <w:szCs w:val="21"/>
                      <w14:textFill>
                        <w14:solidFill>
                          <w14:schemeClr w14:val="tx1"/>
                        </w14:solidFill>
                      </w14:textFill>
                    </w:rPr>
                    <w:t>和</w:t>
                  </w:r>
                  <w:r>
                    <w:rPr>
                      <w:color w:val="000000" w:themeColor="text1"/>
                      <w:spacing w:val="9"/>
                      <w:sz w:val="21"/>
                      <w:szCs w:val="21"/>
                      <w14:textFill>
                        <w14:solidFill>
                          <w14:schemeClr w14:val="tx1"/>
                        </w14:solidFill>
                      </w14:textFill>
                    </w:rPr>
                    <w:t>卫生防护问题，确保居民区环境质</w:t>
                  </w:r>
                  <w:r>
                    <w:rPr>
                      <w:color w:val="000000" w:themeColor="text1"/>
                      <w:spacing w:val="14"/>
                      <w:sz w:val="21"/>
                      <w:szCs w:val="21"/>
                      <w14:textFill>
                        <w14:solidFill>
                          <w14:schemeClr w14:val="tx1"/>
                        </w14:solidFill>
                      </w14:textFill>
                    </w:rPr>
                    <w:t>量</w:t>
                  </w:r>
                  <w:r>
                    <w:rPr>
                      <w:color w:val="000000" w:themeColor="text1"/>
                      <w:spacing w:val="9"/>
                      <w:sz w:val="21"/>
                      <w:szCs w:val="21"/>
                      <w14:textFill>
                        <w14:solidFill>
                          <w14:schemeClr w14:val="tx1"/>
                        </w14:solidFill>
                      </w14:textFill>
                    </w:rPr>
                    <w:t>。需要设置卫生防护距离的企业，</w:t>
                  </w:r>
                  <w:r>
                    <w:rPr>
                      <w:color w:val="000000" w:themeColor="text1"/>
                      <w:spacing w:val="14"/>
                      <w:sz w:val="21"/>
                      <w:szCs w:val="21"/>
                      <w14:textFill>
                        <w14:solidFill>
                          <w14:schemeClr w14:val="tx1"/>
                        </w14:solidFill>
                      </w14:textFill>
                    </w:rPr>
                    <w:t>应</w:t>
                  </w:r>
                  <w:r>
                    <w:rPr>
                      <w:color w:val="000000" w:themeColor="text1"/>
                      <w:spacing w:val="9"/>
                      <w:sz w:val="21"/>
                      <w:szCs w:val="21"/>
                      <w14:textFill>
                        <w14:solidFill>
                          <w14:schemeClr w14:val="tx1"/>
                        </w14:solidFill>
                      </w14:textFill>
                    </w:rPr>
                    <w:t>按规定设置防护距离。严格控制起</w:t>
                  </w:r>
                  <w:r>
                    <w:rPr>
                      <w:color w:val="000000" w:themeColor="text1"/>
                      <w:spacing w:val="14"/>
                      <w:sz w:val="21"/>
                      <w:szCs w:val="21"/>
                      <w14:textFill>
                        <w14:solidFill>
                          <w14:schemeClr w14:val="tx1"/>
                        </w14:solidFill>
                      </w14:textFill>
                    </w:rPr>
                    <w:t>步</w:t>
                  </w:r>
                  <w:r>
                    <w:rPr>
                      <w:color w:val="000000" w:themeColor="text1"/>
                      <w:spacing w:val="9"/>
                      <w:sz w:val="21"/>
                      <w:szCs w:val="21"/>
                      <w14:textFill>
                        <w14:solidFill>
                          <w14:schemeClr w14:val="tx1"/>
                        </w14:solidFill>
                      </w14:textFill>
                    </w:rPr>
                    <w:t>区周边用地性质，加强对环境敏感</w:t>
                  </w:r>
                  <w:r>
                    <w:rPr>
                      <w:color w:val="000000" w:themeColor="text1"/>
                      <w:spacing w:val="14"/>
                      <w:sz w:val="21"/>
                      <w:szCs w:val="21"/>
                      <w14:textFill>
                        <w14:solidFill>
                          <w14:schemeClr w14:val="tx1"/>
                        </w14:solidFill>
                      </w14:textFill>
                    </w:rPr>
                    <w:t>点</w:t>
                  </w:r>
                  <w:r>
                    <w:rPr>
                      <w:color w:val="000000" w:themeColor="text1"/>
                      <w:spacing w:val="9"/>
                      <w:sz w:val="21"/>
                      <w:szCs w:val="21"/>
                      <w14:textFill>
                        <w14:solidFill>
                          <w14:schemeClr w14:val="tx1"/>
                        </w14:solidFill>
                      </w14:textFill>
                    </w:rPr>
                    <w:t>的保护。起步区内现有的天然水体</w:t>
                  </w:r>
                  <w:r>
                    <w:rPr>
                      <w:color w:val="000000" w:themeColor="text1"/>
                      <w:spacing w:val="7"/>
                      <w:sz w:val="21"/>
                      <w:szCs w:val="21"/>
                      <w14:textFill>
                        <w14:solidFill>
                          <w14:schemeClr w14:val="tx1"/>
                        </w14:solidFill>
                      </w14:textFill>
                    </w:rPr>
                    <w:t>应予以保留</w:t>
                  </w:r>
                  <w:r>
                    <w:rPr>
                      <w:color w:val="000000" w:themeColor="text1"/>
                      <w:spacing w:val="5"/>
                      <w:sz w:val="21"/>
                      <w:szCs w:val="21"/>
                      <w14:textFill>
                        <w14:solidFill>
                          <w14:schemeClr w14:val="tx1"/>
                        </w14:solidFill>
                      </w14:textFill>
                    </w:rPr>
                    <w:t>。</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1"/>
                      <w:sz w:val="21"/>
                      <w:szCs w:val="21"/>
                      <w14:textFill>
                        <w14:solidFill>
                          <w14:schemeClr w14:val="tx1"/>
                        </w14:solidFill>
                      </w14:textFill>
                    </w:rPr>
                    <w:t>本</w:t>
                  </w:r>
                  <w:r>
                    <w:rPr>
                      <w:color w:val="000000" w:themeColor="text1"/>
                      <w:spacing w:val="8"/>
                      <w:sz w:val="21"/>
                      <w:szCs w:val="21"/>
                      <w14:textFill>
                        <w14:solidFill>
                          <w14:schemeClr w14:val="tx1"/>
                        </w14:solidFill>
                      </w14:textFill>
                    </w:rPr>
                    <w:t>项目用地属于</w:t>
                  </w:r>
                  <w:r>
                    <w:rPr>
                      <w:color w:val="000000" w:themeColor="text1"/>
                      <w:spacing w:val="10"/>
                      <w:sz w:val="21"/>
                      <w:szCs w:val="21"/>
                      <w14:textFill>
                        <w14:solidFill>
                          <w14:schemeClr w14:val="tx1"/>
                        </w14:solidFill>
                      </w14:textFill>
                    </w:rPr>
                    <w:t>工</w:t>
                  </w:r>
                  <w:r>
                    <w:rPr>
                      <w:color w:val="000000" w:themeColor="text1"/>
                      <w:spacing w:val="8"/>
                      <w:sz w:val="21"/>
                      <w:szCs w:val="21"/>
                      <w14:textFill>
                        <w14:solidFill>
                          <w14:schemeClr w14:val="tx1"/>
                        </w14:solidFill>
                      </w14:textFill>
                    </w:rPr>
                    <w:t>业用地，本项</w:t>
                  </w:r>
                  <w:r>
                    <w:rPr>
                      <w:color w:val="000000" w:themeColor="text1"/>
                      <w:spacing w:val="3"/>
                      <w:sz w:val="21"/>
                      <w:szCs w:val="21"/>
                      <w14:textFill>
                        <w14:solidFill>
                          <w14:schemeClr w14:val="tx1"/>
                        </w14:solidFill>
                      </w14:textFill>
                    </w:rPr>
                    <w:t>目设置50米</w:t>
                  </w:r>
                  <w:r>
                    <w:rPr>
                      <w:color w:val="000000" w:themeColor="text1"/>
                      <w:spacing w:val="2"/>
                      <w:sz w:val="21"/>
                      <w:szCs w:val="21"/>
                      <w14:textFill>
                        <w14:solidFill>
                          <w14:schemeClr w14:val="tx1"/>
                        </w14:solidFill>
                      </w14:textFill>
                    </w:rPr>
                    <w:t>防</w:t>
                  </w:r>
                  <w:r>
                    <w:rPr>
                      <w:color w:val="000000" w:themeColor="text1"/>
                      <w:spacing w:val="7"/>
                      <w:sz w:val="21"/>
                      <w:szCs w:val="21"/>
                      <w14:textFill>
                        <w14:solidFill>
                          <w14:schemeClr w14:val="tx1"/>
                        </w14:solidFill>
                      </w14:textFill>
                    </w:rPr>
                    <w:t>护</w:t>
                  </w:r>
                  <w:r>
                    <w:rPr>
                      <w:color w:val="000000" w:themeColor="text1"/>
                      <w:spacing w:val="6"/>
                      <w:sz w:val="21"/>
                      <w:szCs w:val="21"/>
                      <w14:textFill>
                        <w14:solidFill>
                          <w14:schemeClr w14:val="tx1"/>
                        </w14:solidFill>
                      </w14:textFill>
                    </w:rPr>
                    <w:t>距离，防护距离内无环境保护目标分布</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2"/>
                      <w:sz w:val="21"/>
                      <w:szCs w:val="21"/>
                      <w14:textFill>
                        <w14:solidFill>
                          <w14:schemeClr w14:val="tx1"/>
                        </w14:solidFill>
                      </w14:textFill>
                    </w:rPr>
                    <w:t>充</w:t>
                  </w:r>
                  <w:r>
                    <w:rPr>
                      <w:color w:val="000000" w:themeColor="text1"/>
                      <w:spacing w:val="9"/>
                      <w:sz w:val="21"/>
                      <w:szCs w:val="21"/>
                      <w14:textFill>
                        <w14:solidFill>
                          <w14:schemeClr w14:val="tx1"/>
                        </w14:solidFill>
                      </w14:textFill>
                    </w:rPr>
                    <w:t>分考虑起步区产业与区域产业的定</w:t>
                  </w:r>
                  <w:r>
                    <w:rPr>
                      <w:color w:val="000000" w:themeColor="text1"/>
                      <w:spacing w:val="18"/>
                      <w:sz w:val="21"/>
                      <w:szCs w:val="21"/>
                      <w14:textFill>
                        <w14:solidFill>
                          <w14:schemeClr w14:val="tx1"/>
                        </w14:solidFill>
                      </w14:textFill>
                    </w:rPr>
                    <w:t>位</w:t>
                  </w:r>
                  <w:r>
                    <w:rPr>
                      <w:color w:val="000000" w:themeColor="text1"/>
                      <w:spacing w:val="10"/>
                      <w:sz w:val="21"/>
                      <w:szCs w:val="21"/>
                      <w14:textFill>
                        <w14:solidFill>
                          <w14:schemeClr w14:val="tx1"/>
                        </w14:solidFill>
                      </w14:textFill>
                    </w:rPr>
                    <w:t>互</w:t>
                  </w:r>
                  <w:r>
                    <w:rPr>
                      <w:color w:val="000000" w:themeColor="text1"/>
                      <w:spacing w:val="9"/>
                      <w:sz w:val="21"/>
                      <w:szCs w:val="21"/>
                      <w14:textFill>
                        <w14:solidFill>
                          <w14:schemeClr w14:val="tx1"/>
                        </w14:solidFill>
                      </w14:textFill>
                    </w:rPr>
                    <w:t>补，在规划的产业定位总体框架</w:t>
                  </w:r>
                  <w:r>
                    <w:rPr>
                      <w:color w:val="000000" w:themeColor="text1"/>
                      <w:spacing w:val="18"/>
                      <w:sz w:val="21"/>
                      <w:szCs w:val="21"/>
                      <w14:textFill>
                        <w14:solidFill>
                          <w14:schemeClr w14:val="tx1"/>
                        </w14:solidFill>
                      </w14:textFill>
                    </w:rPr>
                    <w:t>下</w:t>
                  </w:r>
                  <w:r>
                    <w:rPr>
                      <w:color w:val="000000" w:themeColor="text1"/>
                      <w:spacing w:val="10"/>
                      <w:sz w:val="21"/>
                      <w:szCs w:val="21"/>
                      <w14:textFill>
                        <w14:solidFill>
                          <w14:schemeClr w14:val="tx1"/>
                        </w14:solidFill>
                      </w14:textFill>
                    </w:rPr>
                    <w:t>，</w:t>
                  </w:r>
                  <w:r>
                    <w:rPr>
                      <w:color w:val="000000" w:themeColor="text1"/>
                      <w:spacing w:val="9"/>
                      <w:sz w:val="21"/>
                      <w:szCs w:val="21"/>
                      <w14:textFill>
                        <w14:solidFill>
                          <w14:schemeClr w14:val="tx1"/>
                        </w14:solidFill>
                      </w14:textFill>
                    </w:rPr>
                    <w:t>进一步论证和优化发展重点，严</w:t>
                  </w:r>
                  <w:r>
                    <w:rPr>
                      <w:color w:val="000000" w:themeColor="text1"/>
                      <w:spacing w:val="18"/>
                      <w:sz w:val="21"/>
                      <w:szCs w:val="21"/>
                      <w14:textFill>
                        <w14:solidFill>
                          <w14:schemeClr w14:val="tx1"/>
                        </w14:solidFill>
                      </w14:textFill>
                    </w:rPr>
                    <w:t>格</w:t>
                  </w:r>
                  <w:r>
                    <w:rPr>
                      <w:color w:val="000000" w:themeColor="text1"/>
                      <w:spacing w:val="10"/>
                      <w:sz w:val="21"/>
                      <w:szCs w:val="21"/>
                      <w14:textFill>
                        <w14:solidFill>
                          <w14:schemeClr w14:val="tx1"/>
                        </w14:solidFill>
                      </w14:textFill>
                    </w:rPr>
                    <w:t>控</w:t>
                  </w:r>
                  <w:r>
                    <w:rPr>
                      <w:color w:val="000000" w:themeColor="text1"/>
                      <w:spacing w:val="9"/>
                      <w:sz w:val="21"/>
                      <w:szCs w:val="21"/>
                      <w14:textFill>
                        <w14:solidFill>
                          <w14:schemeClr w14:val="tx1"/>
                        </w14:solidFill>
                      </w14:textFill>
                    </w:rPr>
                    <w:t>制非主导产业定位方向的项目入</w:t>
                  </w:r>
                  <w:r>
                    <w:rPr>
                      <w:color w:val="000000" w:themeColor="text1"/>
                      <w:spacing w:val="18"/>
                      <w:sz w:val="21"/>
                      <w:szCs w:val="21"/>
                      <w14:textFill>
                        <w14:solidFill>
                          <w14:schemeClr w14:val="tx1"/>
                        </w14:solidFill>
                      </w14:textFill>
                    </w:rPr>
                    <w:t>区</w:t>
                  </w:r>
                  <w:r>
                    <w:rPr>
                      <w:color w:val="000000" w:themeColor="text1"/>
                      <w:spacing w:val="10"/>
                      <w:sz w:val="21"/>
                      <w:szCs w:val="21"/>
                      <w14:textFill>
                        <w14:solidFill>
                          <w14:schemeClr w14:val="tx1"/>
                        </w14:solidFill>
                      </w14:textFill>
                    </w:rPr>
                    <w:t>建</w:t>
                  </w:r>
                  <w:r>
                    <w:rPr>
                      <w:color w:val="000000" w:themeColor="text1"/>
                      <w:spacing w:val="9"/>
                      <w:sz w:val="21"/>
                      <w:szCs w:val="21"/>
                      <w14:textFill>
                        <w14:solidFill>
                          <w14:schemeClr w14:val="tx1"/>
                        </w14:solidFill>
                      </w14:textFill>
                    </w:rPr>
                    <w:t>设。入区项目要采用先进的生产</w:t>
                  </w:r>
                  <w:r>
                    <w:rPr>
                      <w:color w:val="000000" w:themeColor="text1"/>
                      <w:spacing w:val="18"/>
                      <w:sz w:val="21"/>
                      <w:szCs w:val="21"/>
                      <w14:textFill>
                        <w14:solidFill>
                          <w14:schemeClr w14:val="tx1"/>
                        </w14:solidFill>
                      </w14:textFill>
                    </w:rPr>
                    <w:t>工</w:t>
                  </w:r>
                  <w:r>
                    <w:rPr>
                      <w:color w:val="000000" w:themeColor="text1"/>
                      <w:spacing w:val="10"/>
                      <w:sz w:val="21"/>
                      <w:szCs w:val="21"/>
                      <w14:textFill>
                        <w14:solidFill>
                          <w14:schemeClr w14:val="tx1"/>
                        </w14:solidFill>
                      </w14:textFill>
                    </w:rPr>
                    <w:t>艺和装备，建设完善的环境保护、</w:t>
                  </w:r>
                  <w:r>
                    <w:rPr>
                      <w:color w:val="000000" w:themeColor="text1"/>
                      <w:spacing w:val="3"/>
                      <w:sz w:val="21"/>
                      <w:szCs w:val="21"/>
                      <w14:textFill>
                        <w14:solidFill>
                          <w14:schemeClr w14:val="tx1"/>
                        </w14:solidFill>
                      </w14:textFill>
                    </w:rPr>
                    <w:t>安</w:t>
                  </w:r>
                  <w:r>
                    <w:rPr>
                      <w:color w:val="000000" w:themeColor="text1"/>
                      <w:spacing w:val="2"/>
                      <w:sz w:val="21"/>
                      <w:szCs w:val="21"/>
                      <w14:textFill>
                        <w14:solidFill>
                          <w14:schemeClr w14:val="tx1"/>
                        </w14:solidFill>
                      </w14:textFill>
                    </w:rPr>
                    <w:t>全生产和事故防范系统，强化节能、</w:t>
                  </w:r>
                  <w:r>
                    <w:rPr>
                      <w:color w:val="000000" w:themeColor="text1"/>
                      <w:spacing w:val="18"/>
                      <w:sz w:val="21"/>
                      <w:szCs w:val="21"/>
                      <w14:textFill>
                        <w14:solidFill>
                          <w14:schemeClr w14:val="tx1"/>
                        </w14:solidFill>
                      </w14:textFill>
                    </w:rPr>
                    <w:t>节</w:t>
                  </w:r>
                  <w:r>
                    <w:rPr>
                      <w:color w:val="000000" w:themeColor="text1"/>
                      <w:spacing w:val="10"/>
                      <w:sz w:val="21"/>
                      <w:szCs w:val="21"/>
                      <w14:textFill>
                        <w14:solidFill>
                          <w14:schemeClr w14:val="tx1"/>
                        </w14:solidFill>
                      </w14:textFill>
                    </w:rPr>
                    <w:t>水</w:t>
                  </w:r>
                  <w:r>
                    <w:rPr>
                      <w:color w:val="000000" w:themeColor="text1"/>
                      <w:spacing w:val="9"/>
                      <w:sz w:val="21"/>
                      <w:szCs w:val="21"/>
                      <w14:textFill>
                        <w14:solidFill>
                          <w14:schemeClr w14:val="tx1"/>
                        </w14:solidFill>
                      </w14:textFill>
                    </w:rPr>
                    <w:t>等各项环保措施。清洁生产水平</w:t>
                  </w:r>
                  <w:r>
                    <w:rPr>
                      <w:color w:val="000000" w:themeColor="text1"/>
                      <w:spacing w:val="18"/>
                      <w:sz w:val="21"/>
                      <w:szCs w:val="21"/>
                      <w14:textFill>
                        <w14:solidFill>
                          <w14:schemeClr w14:val="tx1"/>
                        </w14:solidFill>
                      </w14:textFill>
                    </w:rPr>
                    <w:t>现</w:t>
                  </w:r>
                  <w:r>
                    <w:rPr>
                      <w:color w:val="000000" w:themeColor="text1"/>
                      <w:spacing w:val="10"/>
                      <w:sz w:val="21"/>
                      <w:szCs w:val="21"/>
                      <w14:textFill>
                        <w14:solidFill>
                          <w14:schemeClr w14:val="tx1"/>
                        </w14:solidFill>
                      </w14:textFill>
                    </w:rPr>
                    <w:t>阶</w:t>
                  </w:r>
                  <w:r>
                    <w:rPr>
                      <w:color w:val="000000" w:themeColor="text1"/>
                      <w:spacing w:val="9"/>
                      <w:sz w:val="21"/>
                      <w:szCs w:val="21"/>
                      <w14:textFill>
                        <w14:solidFill>
                          <w14:schemeClr w14:val="tx1"/>
                        </w14:solidFill>
                      </w14:textFill>
                    </w:rPr>
                    <w:t>段要按国内先进水平要求，并逐</w:t>
                  </w:r>
                  <w:r>
                    <w:rPr>
                      <w:color w:val="000000" w:themeColor="text1"/>
                      <w:spacing w:val="18"/>
                      <w:sz w:val="21"/>
                      <w:szCs w:val="21"/>
                      <w14:textFill>
                        <w14:solidFill>
                          <w14:schemeClr w14:val="tx1"/>
                        </w14:solidFill>
                      </w14:textFill>
                    </w:rPr>
                    <w:t>步</w:t>
                  </w:r>
                  <w:r>
                    <w:rPr>
                      <w:color w:val="000000" w:themeColor="text1"/>
                      <w:spacing w:val="10"/>
                      <w:sz w:val="21"/>
                      <w:szCs w:val="21"/>
                      <w14:textFill>
                        <w14:solidFill>
                          <w14:schemeClr w14:val="tx1"/>
                        </w14:solidFill>
                      </w14:textFill>
                    </w:rPr>
                    <w:t>提</w:t>
                  </w:r>
                  <w:r>
                    <w:rPr>
                      <w:color w:val="000000" w:themeColor="text1"/>
                      <w:spacing w:val="9"/>
                      <w:sz w:val="21"/>
                      <w:szCs w:val="21"/>
                      <w14:textFill>
                        <w14:solidFill>
                          <w14:schemeClr w14:val="tx1"/>
                        </w14:solidFill>
                      </w14:textFill>
                    </w:rPr>
                    <w:t>高，大中型建设项目的资源环境</w:t>
                  </w:r>
                  <w:r>
                    <w:rPr>
                      <w:color w:val="000000" w:themeColor="text1"/>
                      <w:spacing w:val="18"/>
                      <w:sz w:val="21"/>
                      <w:szCs w:val="21"/>
                      <w14:textFill>
                        <w14:solidFill>
                          <w14:schemeClr w14:val="tx1"/>
                        </w14:solidFill>
                      </w14:textFill>
                    </w:rPr>
                    <w:t>效</w:t>
                  </w:r>
                  <w:r>
                    <w:rPr>
                      <w:color w:val="000000" w:themeColor="text1"/>
                      <w:spacing w:val="10"/>
                      <w:sz w:val="21"/>
                      <w:szCs w:val="21"/>
                      <w14:textFill>
                        <w14:solidFill>
                          <w14:schemeClr w14:val="tx1"/>
                        </w14:solidFill>
                      </w14:textFill>
                    </w:rPr>
                    <w:t>率</w:t>
                  </w:r>
                  <w:r>
                    <w:rPr>
                      <w:color w:val="000000" w:themeColor="text1"/>
                      <w:spacing w:val="9"/>
                      <w:sz w:val="21"/>
                      <w:szCs w:val="21"/>
                      <w14:textFill>
                        <w14:solidFill>
                          <w14:schemeClr w14:val="tx1"/>
                        </w14:solidFill>
                      </w14:textFill>
                    </w:rPr>
                    <w:t>项目与主导产业定位相符，项目</w:t>
                  </w:r>
                  <w:r>
                    <w:rPr>
                      <w:color w:val="000000" w:themeColor="text1"/>
                      <w:spacing w:val="13"/>
                      <w:sz w:val="21"/>
                      <w:szCs w:val="21"/>
                      <w14:textFill>
                        <w14:solidFill>
                          <w14:schemeClr w14:val="tx1"/>
                        </w14:solidFill>
                      </w14:textFill>
                    </w:rPr>
                    <w:t>要</w:t>
                  </w:r>
                  <w:r>
                    <w:rPr>
                      <w:color w:val="000000" w:themeColor="text1"/>
                      <w:spacing w:val="9"/>
                      <w:sz w:val="21"/>
                      <w:szCs w:val="21"/>
                      <w14:textFill>
                        <w14:solidFill>
                          <w14:schemeClr w14:val="tx1"/>
                        </w14:solidFill>
                      </w14:textFill>
                    </w:rPr>
                    <w:t>采用先进的自动化生产工艺和装</w:t>
                  </w:r>
                  <w:r>
                    <w:rPr>
                      <w:color w:val="000000" w:themeColor="text1"/>
                      <w:spacing w:val="13"/>
                      <w:sz w:val="21"/>
                      <w:szCs w:val="21"/>
                      <w14:textFill>
                        <w14:solidFill>
                          <w14:schemeClr w14:val="tx1"/>
                        </w14:solidFill>
                      </w14:textFill>
                    </w:rPr>
                    <w:t>备</w:t>
                  </w:r>
                  <w:r>
                    <w:rPr>
                      <w:color w:val="000000" w:themeColor="text1"/>
                      <w:spacing w:val="9"/>
                      <w:sz w:val="21"/>
                      <w:szCs w:val="21"/>
                      <w14:textFill>
                        <w14:solidFill>
                          <w14:schemeClr w14:val="tx1"/>
                        </w14:solidFill>
                      </w14:textFill>
                    </w:rPr>
                    <w:t>；项目废气废水处理后达标排放，</w:t>
                  </w:r>
                  <w:r>
                    <w:rPr>
                      <w:color w:val="000000" w:themeColor="text1"/>
                      <w:spacing w:val="13"/>
                      <w:sz w:val="21"/>
                      <w:szCs w:val="21"/>
                      <w14:textFill>
                        <w14:solidFill>
                          <w14:schemeClr w14:val="tx1"/>
                        </w14:solidFill>
                      </w14:textFill>
                    </w:rPr>
                    <w:t>严</w:t>
                  </w:r>
                  <w:r>
                    <w:rPr>
                      <w:color w:val="000000" w:themeColor="text1"/>
                      <w:spacing w:val="9"/>
                      <w:sz w:val="21"/>
                      <w:szCs w:val="21"/>
                      <w14:textFill>
                        <w14:solidFill>
                          <w14:schemeClr w14:val="tx1"/>
                        </w14:solidFill>
                      </w14:textFill>
                    </w:rPr>
                    <w:t>格控制污染物排放量，排放浓度要</w:t>
                  </w:r>
                  <w:r>
                    <w:rPr>
                      <w:color w:val="000000" w:themeColor="text1"/>
                      <w:spacing w:val="13"/>
                      <w:sz w:val="21"/>
                      <w:szCs w:val="21"/>
                      <w14:textFill>
                        <w14:solidFill>
                          <w14:schemeClr w14:val="tx1"/>
                        </w14:solidFill>
                      </w14:textFill>
                    </w:rPr>
                    <w:t>达</w:t>
                  </w:r>
                  <w:r>
                    <w:rPr>
                      <w:color w:val="000000" w:themeColor="text1"/>
                      <w:spacing w:val="9"/>
                      <w:sz w:val="21"/>
                      <w:szCs w:val="21"/>
                      <w14:textFill>
                        <w14:solidFill>
                          <w14:schemeClr w14:val="tx1"/>
                        </w14:solidFill>
                      </w14:textFill>
                    </w:rPr>
                    <w:t>到同期国际先进水平，最大限</w:t>
                  </w:r>
                  <w:r>
                    <w:rPr>
                      <w:color w:val="000000" w:themeColor="text1"/>
                      <w:spacing w:val="15"/>
                      <w:sz w:val="21"/>
                      <w:szCs w:val="21"/>
                      <w14:textFill>
                        <w14:solidFill>
                          <w14:schemeClr w14:val="tx1"/>
                        </w14:solidFill>
                      </w14:textFill>
                    </w:rPr>
                    <w:t>度</w:t>
                  </w:r>
                  <w:r>
                    <w:rPr>
                      <w:color w:val="000000" w:themeColor="text1"/>
                      <w:spacing w:val="9"/>
                      <w:sz w:val="21"/>
                      <w:szCs w:val="21"/>
                      <w14:textFill>
                        <w14:solidFill>
                          <w14:schemeClr w14:val="tx1"/>
                        </w14:solidFill>
                      </w14:textFill>
                    </w:rPr>
                    <w:t>控制起步区污染物排放量和排放浓</w:t>
                  </w:r>
                  <w:r>
                    <w:rPr>
                      <w:color w:val="000000" w:themeColor="text1"/>
                      <w:spacing w:val="15"/>
                      <w:sz w:val="21"/>
                      <w:szCs w:val="21"/>
                      <w14:textFill>
                        <w14:solidFill>
                          <w14:schemeClr w14:val="tx1"/>
                        </w14:solidFill>
                      </w14:textFill>
                    </w:rPr>
                    <w:t>度</w:t>
                  </w:r>
                  <w:r>
                    <w:rPr>
                      <w:color w:val="000000" w:themeColor="text1"/>
                      <w:spacing w:val="9"/>
                      <w:sz w:val="21"/>
                      <w:szCs w:val="21"/>
                      <w14:textFill>
                        <w14:solidFill>
                          <w14:schemeClr w14:val="tx1"/>
                        </w14:solidFill>
                      </w14:textFill>
                    </w:rPr>
                    <w:t>。认真执行环保部等五部委联合下</w:t>
                  </w:r>
                  <w:r>
                    <w:rPr>
                      <w:color w:val="000000" w:themeColor="text1"/>
                      <w:spacing w:val="11"/>
                      <w:sz w:val="21"/>
                      <w:szCs w:val="21"/>
                      <w14:textFill>
                        <w14:solidFill>
                          <w14:schemeClr w14:val="tx1"/>
                        </w14:solidFill>
                      </w14:textFill>
                    </w:rPr>
                    <w:t>发</w:t>
                  </w:r>
                  <w:r>
                    <w:rPr>
                      <w:color w:val="000000" w:themeColor="text1"/>
                      <w:spacing w:val="9"/>
                      <w:sz w:val="21"/>
                      <w:szCs w:val="21"/>
                      <w14:textFill>
                        <w14:solidFill>
                          <w14:schemeClr w14:val="tx1"/>
                        </w14:solidFill>
                      </w14:textFill>
                    </w:rPr>
                    <w:t>的《长江中下游水污染防治规划</w:t>
                  </w:r>
                  <w:r>
                    <w:rPr>
                      <w:color w:val="000000" w:themeColor="text1"/>
                      <w:spacing w:val="10"/>
                      <w:position w:val="2"/>
                      <w:sz w:val="21"/>
                      <w:szCs w:val="21"/>
                      <w14:textFill>
                        <w14:solidFill>
                          <w14:schemeClr w14:val="tx1"/>
                        </w14:solidFill>
                      </w14:textFill>
                    </w:rPr>
                    <w:t>(</w:t>
                  </w:r>
                  <w:r>
                    <w:rPr>
                      <w:color w:val="000000" w:themeColor="text1"/>
                      <w:spacing w:val="7"/>
                      <w:position w:val="2"/>
                      <w:sz w:val="21"/>
                      <w:szCs w:val="21"/>
                      <w14:textFill>
                        <w14:solidFill>
                          <w14:schemeClr w14:val="tx1"/>
                        </w14:solidFill>
                      </w14:textFill>
                    </w:rPr>
                    <w:t>2</w:t>
                  </w:r>
                  <w:r>
                    <w:rPr>
                      <w:color w:val="000000" w:themeColor="text1"/>
                      <w:spacing w:val="5"/>
                      <w:position w:val="2"/>
                      <w:sz w:val="21"/>
                      <w:szCs w:val="21"/>
                      <w14:textFill>
                        <w14:solidFill>
                          <w14:schemeClr w14:val="tx1"/>
                        </w14:solidFill>
                      </w14:textFill>
                    </w:rPr>
                    <w:t>011-2015年)》中的相关要</w:t>
                  </w:r>
                  <w:r>
                    <w:rPr>
                      <w:color w:val="000000" w:themeColor="text1"/>
                      <w:spacing w:val="12"/>
                      <w:sz w:val="21"/>
                      <w:szCs w:val="21"/>
                      <w14:textFill>
                        <w14:solidFill>
                          <w14:schemeClr w14:val="tx1"/>
                        </w14:solidFill>
                      </w14:textFill>
                    </w:rPr>
                    <w:t>求</w:t>
                  </w:r>
                  <w:r>
                    <w:rPr>
                      <w:color w:val="000000" w:themeColor="text1"/>
                      <w:spacing w:val="9"/>
                      <w:sz w:val="21"/>
                      <w:szCs w:val="21"/>
                      <w14:textFill>
                        <w14:solidFill>
                          <w14:schemeClr w14:val="tx1"/>
                        </w14:solidFill>
                      </w14:textFill>
                    </w:rPr>
                    <w:t>，物流业不应建设危险化学品仓储</w:t>
                  </w:r>
                  <w:r>
                    <w:rPr>
                      <w:color w:val="000000" w:themeColor="text1"/>
                      <w:spacing w:val="7"/>
                      <w:sz w:val="21"/>
                      <w:szCs w:val="21"/>
                      <w14:textFill>
                        <w14:solidFill>
                          <w14:schemeClr w14:val="tx1"/>
                        </w14:solidFill>
                      </w14:textFill>
                    </w:rPr>
                    <w:t>建</w:t>
                  </w:r>
                  <w:r>
                    <w:rPr>
                      <w:color w:val="000000" w:themeColor="text1"/>
                      <w:spacing w:val="5"/>
                      <w:sz w:val="21"/>
                      <w:szCs w:val="21"/>
                      <w14:textFill>
                        <w14:solidFill>
                          <w14:schemeClr w14:val="tx1"/>
                        </w14:solidFill>
                      </w14:textFill>
                    </w:rPr>
                    <w:t>设项目。</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9"/>
                      <w:sz w:val="21"/>
                      <w:szCs w:val="21"/>
                      <w14:textFill>
                        <w14:solidFill>
                          <w14:schemeClr w14:val="tx1"/>
                        </w14:solidFill>
                      </w14:textFill>
                    </w:rPr>
                    <w:t>项</w:t>
                  </w:r>
                  <w:r>
                    <w:rPr>
                      <w:color w:val="000000" w:themeColor="text1"/>
                      <w:spacing w:val="8"/>
                      <w:sz w:val="21"/>
                      <w:szCs w:val="21"/>
                      <w14:textFill>
                        <w14:solidFill>
                          <w14:schemeClr w14:val="tx1"/>
                        </w14:solidFill>
                      </w14:textFill>
                    </w:rPr>
                    <w:t>目与主导产业定位相符，项</w:t>
                  </w:r>
                  <w:r>
                    <w:rPr>
                      <w:color w:val="000000" w:themeColor="text1"/>
                      <w:spacing w:val="7"/>
                      <w:sz w:val="21"/>
                      <w:szCs w:val="21"/>
                      <w14:textFill>
                        <w14:solidFill>
                          <w14:schemeClr w14:val="tx1"/>
                        </w14:solidFill>
                      </w14:textFill>
                    </w:rPr>
                    <w:t>目</w:t>
                  </w:r>
                  <w:r>
                    <w:rPr>
                      <w:color w:val="000000" w:themeColor="text1"/>
                      <w:spacing w:val="11"/>
                      <w:sz w:val="21"/>
                      <w:szCs w:val="21"/>
                      <w14:textFill>
                        <w14:solidFill>
                          <w14:schemeClr w14:val="tx1"/>
                        </w14:solidFill>
                      </w14:textFill>
                    </w:rPr>
                    <w:t>要</w:t>
                  </w:r>
                  <w:r>
                    <w:rPr>
                      <w:color w:val="000000" w:themeColor="text1"/>
                      <w:spacing w:val="8"/>
                      <w:sz w:val="21"/>
                      <w:szCs w:val="21"/>
                      <w14:textFill>
                        <w14:solidFill>
                          <w14:schemeClr w14:val="tx1"/>
                        </w14:solidFill>
                      </w14:textFill>
                    </w:rPr>
                    <w:t>采用先进的自</w:t>
                  </w:r>
                  <w:r>
                    <w:rPr>
                      <w:color w:val="000000" w:themeColor="text1"/>
                      <w:spacing w:val="11"/>
                      <w:sz w:val="21"/>
                      <w:szCs w:val="21"/>
                      <w14:textFill>
                        <w14:solidFill>
                          <w14:schemeClr w14:val="tx1"/>
                        </w14:solidFill>
                      </w14:textFill>
                    </w:rPr>
                    <w:t>动</w:t>
                  </w:r>
                  <w:r>
                    <w:rPr>
                      <w:color w:val="000000" w:themeColor="text1"/>
                      <w:spacing w:val="8"/>
                      <w:sz w:val="21"/>
                      <w:szCs w:val="21"/>
                      <w14:textFill>
                        <w14:solidFill>
                          <w14:schemeClr w14:val="tx1"/>
                        </w14:solidFill>
                      </w14:textFill>
                    </w:rPr>
                    <w:t>化生产工艺和</w:t>
                  </w:r>
                  <w:r>
                    <w:rPr>
                      <w:color w:val="000000" w:themeColor="text1"/>
                      <w:spacing w:val="12"/>
                      <w:sz w:val="21"/>
                      <w:szCs w:val="21"/>
                      <w14:textFill>
                        <w14:solidFill>
                          <w14:schemeClr w14:val="tx1"/>
                        </w14:solidFill>
                      </w14:textFill>
                    </w:rPr>
                    <w:t>装</w:t>
                  </w:r>
                  <w:r>
                    <w:rPr>
                      <w:color w:val="000000" w:themeColor="text1"/>
                      <w:spacing w:val="8"/>
                      <w:sz w:val="21"/>
                      <w:szCs w:val="21"/>
                      <w14:textFill>
                        <w14:solidFill>
                          <w14:schemeClr w14:val="tx1"/>
                        </w14:solidFill>
                      </w14:textFill>
                    </w:rPr>
                    <w:t>备；项目废气</w:t>
                  </w:r>
                  <w:r>
                    <w:rPr>
                      <w:color w:val="000000" w:themeColor="text1"/>
                      <w:spacing w:val="9"/>
                      <w:sz w:val="21"/>
                      <w:szCs w:val="21"/>
                      <w14:textFill>
                        <w14:solidFill>
                          <w14:schemeClr w14:val="tx1"/>
                        </w14:solidFill>
                      </w14:textFill>
                    </w:rPr>
                    <w:t>废水处理后达</w:t>
                  </w:r>
                  <w:r>
                    <w:rPr>
                      <w:color w:val="000000" w:themeColor="text1"/>
                      <w:spacing w:val="7"/>
                      <w:sz w:val="21"/>
                      <w:szCs w:val="21"/>
                      <w14:textFill>
                        <w14:solidFill>
                          <w14:schemeClr w14:val="tx1"/>
                        </w14:solidFill>
                      </w14:textFill>
                    </w:rPr>
                    <w:t>标</w:t>
                  </w:r>
                  <w:r>
                    <w:rPr>
                      <w:color w:val="000000" w:themeColor="text1"/>
                      <w:spacing w:val="12"/>
                      <w:sz w:val="21"/>
                      <w:szCs w:val="21"/>
                      <w14:textFill>
                        <w14:solidFill>
                          <w14:schemeClr w14:val="tx1"/>
                        </w14:solidFill>
                      </w14:textFill>
                    </w:rPr>
                    <w:t>排</w:t>
                  </w:r>
                  <w:r>
                    <w:rPr>
                      <w:color w:val="000000" w:themeColor="text1"/>
                      <w:spacing w:val="8"/>
                      <w:sz w:val="21"/>
                      <w:szCs w:val="21"/>
                      <w14:textFill>
                        <w14:solidFill>
                          <w14:schemeClr w14:val="tx1"/>
                        </w14:solidFill>
                      </w14:textFill>
                    </w:rPr>
                    <w:t>放，严格控制</w:t>
                  </w:r>
                  <w:r>
                    <w:rPr>
                      <w:color w:val="000000" w:themeColor="text1"/>
                      <w:spacing w:val="11"/>
                      <w:sz w:val="21"/>
                      <w:szCs w:val="21"/>
                      <w14:textFill>
                        <w14:solidFill>
                          <w14:schemeClr w14:val="tx1"/>
                        </w14:solidFill>
                      </w14:textFill>
                    </w:rPr>
                    <w:t>污</w:t>
                  </w:r>
                  <w:r>
                    <w:rPr>
                      <w:color w:val="000000" w:themeColor="text1"/>
                      <w:spacing w:val="8"/>
                      <w:sz w:val="21"/>
                      <w:szCs w:val="21"/>
                      <w14:textFill>
                        <w14:solidFill>
                          <w14:schemeClr w14:val="tx1"/>
                        </w14:solidFill>
                      </w14:textFill>
                    </w:rPr>
                    <w:t>染物排放量和排</w:t>
                  </w:r>
                  <w:r>
                    <w:rPr>
                      <w:color w:val="000000" w:themeColor="text1"/>
                      <w:spacing w:val="7"/>
                      <w:sz w:val="21"/>
                      <w:szCs w:val="21"/>
                      <w14:textFill>
                        <w14:solidFill>
                          <w14:schemeClr w14:val="tx1"/>
                        </w14:solidFill>
                      </w14:textFill>
                    </w:rPr>
                    <w:t>放浓度</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
                      <w:sz w:val="21"/>
                      <w:szCs w:val="21"/>
                      <w14:textFill>
                        <w14:solidFill>
                          <w14:schemeClr w14:val="tx1"/>
                        </w14:solidFill>
                      </w14:textFill>
                    </w:rPr>
                    <w:t>4</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9"/>
                      <w:sz w:val="21"/>
                      <w:szCs w:val="21"/>
                      <w14:textFill>
                        <w14:solidFill>
                          <w14:schemeClr w14:val="tx1"/>
                        </w14:solidFill>
                      </w14:textFill>
                    </w:rPr>
                    <w:t>强化污染治理基础设施建设，起步区</w:t>
                  </w:r>
                  <w:r>
                    <w:rPr>
                      <w:color w:val="000000" w:themeColor="text1"/>
                      <w:spacing w:val="10"/>
                      <w:sz w:val="21"/>
                      <w:szCs w:val="21"/>
                      <w14:textFill>
                        <w14:solidFill>
                          <w14:schemeClr w14:val="tx1"/>
                        </w14:solidFill>
                      </w14:textFill>
                    </w:rPr>
                    <w:t>内的污水应做到全收集、全处理。</w:t>
                  </w:r>
                  <w:r>
                    <w:rPr>
                      <w:color w:val="000000" w:themeColor="text1"/>
                      <w:spacing w:val="7"/>
                      <w:sz w:val="21"/>
                      <w:szCs w:val="21"/>
                      <w14:textFill>
                        <w14:solidFill>
                          <w14:schemeClr w14:val="tx1"/>
                        </w14:solidFill>
                      </w14:textFill>
                    </w:rPr>
                    <w:t>加</w:t>
                  </w:r>
                  <w:r>
                    <w:rPr>
                      <w:color w:val="000000" w:themeColor="text1"/>
                      <w:spacing w:val="10"/>
                      <w:sz w:val="21"/>
                      <w:szCs w:val="21"/>
                      <w14:textFill>
                        <w14:solidFill>
                          <w14:schemeClr w14:val="tx1"/>
                        </w14:solidFill>
                      </w14:textFill>
                    </w:rPr>
                    <w:t>快规划的江北污水一厂及其配套管</w:t>
                  </w:r>
                  <w:r>
                    <w:rPr>
                      <w:color w:val="000000" w:themeColor="text1"/>
                      <w:spacing w:val="7"/>
                      <w:sz w:val="21"/>
                      <w:szCs w:val="21"/>
                      <w14:textFill>
                        <w14:solidFill>
                          <w14:schemeClr w14:val="tx1"/>
                        </w14:solidFill>
                      </w14:textFill>
                    </w:rPr>
                    <w:t>网</w:t>
                  </w:r>
                  <w:r>
                    <w:rPr>
                      <w:color w:val="000000" w:themeColor="text1"/>
                      <w:spacing w:val="6"/>
                      <w:sz w:val="21"/>
                      <w:szCs w:val="21"/>
                      <w14:textFill>
                        <w14:solidFill>
                          <w14:schemeClr w14:val="tx1"/>
                        </w14:solidFill>
                      </w14:textFill>
                    </w:rPr>
                    <w:t>建设，2013年底形成处理能力；在此</w:t>
                  </w:r>
                  <w:r>
                    <w:rPr>
                      <w:color w:val="000000" w:themeColor="text1"/>
                      <w:spacing w:val="10"/>
                      <w:sz w:val="21"/>
                      <w:szCs w:val="21"/>
                      <w14:textFill>
                        <w14:solidFill>
                          <w14:schemeClr w14:val="tx1"/>
                        </w14:solidFill>
                      </w14:textFill>
                    </w:rPr>
                    <w:t>之前，现有入区企业的生产污水必</w:t>
                  </w:r>
                  <w:r>
                    <w:rPr>
                      <w:color w:val="000000" w:themeColor="text1"/>
                      <w:spacing w:val="7"/>
                      <w:sz w:val="21"/>
                      <w:szCs w:val="21"/>
                      <w14:textFill>
                        <w14:solidFill>
                          <w14:schemeClr w14:val="tx1"/>
                        </w14:solidFill>
                      </w14:textFill>
                    </w:rPr>
                    <w:t>须</w:t>
                  </w:r>
                  <w:r>
                    <w:rPr>
                      <w:color w:val="000000" w:themeColor="text1"/>
                      <w:spacing w:val="10"/>
                      <w:sz w:val="21"/>
                      <w:szCs w:val="21"/>
                      <w14:textFill>
                        <w14:solidFill>
                          <w14:schemeClr w14:val="tx1"/>
                        </w14:solidFill>
                      </w14:textFill>
                    </w:rPr>
                    <w:t>严格实现达标排放。污水处理厂处</w:t>
                  </w:r>
                  <w:r>
                    <w:rPr>
                      <w:color w:val="000000" w:themeColor="text1"/>
                      <w:spacing w:val="7"/>
                      <w:sz w:val="21"/>
                      <w:szCs w:val="21"/>
                      <w14:textFill>
                        <w14:solidFill>
                          <w14:schemeClr w14:val="tx1"/>
                        </w14:solidFill>
                      </w14:textFill>
                    </w:rPr>
                    <w:t>理</w:t>
                  </w:r>
                  <w:r>
                    <w:rPr>
                      <w:color w:val="000000" w:themeColor="text1"/>
                      <w:spacing w:val="10"/>
                      <w:sz w:val="21"/>
                      <w:szCs w:val="21"/>
                      <w14:textFill>
                        <w14:solidFill>
                          <w14:schemeClr w14:val="tx1"/>
                        </w14:solidFill>
                      </w14:textFill>
                    </w:rPr>
                    <w:t>工艺应充分考虑到拟接纳工业污水</w:t>
                  </w:r>
                  <w:r>
                    <w:rPr>
                      <w:color w:val="000000" w:themeColor="text1"/>
                      <w:spacing w:val="7"/>
                      <w:sz w:val="21"/>
                      <w:szCs w:val="21"/>
                      <w14:textFill>
                        <w14:solidFill>
                          <w14:schemeClr w14:val="tx1"/>
                        </w14:solidFill>
                      </w14:textFill>
                    </w:rPr>
                    <w:t>的</w:t>
                  </w:r>
                  <w:r>
                    <w:rPr>
                      <w:color w:val="000000" w:themeColor="text1"/>
                      <w:spacing w:val="10"/>
                      <w:sz w:val="21"/>
                      <w:szCs w:val="21"/>
                      <w14:textFill>
                        <w14:solidFill>
                          <w14:schemeClr w14:val="tx1"/>
                        </w14:solidFill>
                      </w14:textFill>
                    </w:rPr>
                    <w:t>特性进行优化，污水处理厂污水排</w:t>
                  </w:r>
                  <w:r>
                    <w:rPr>
                      <w:color w:val="000000" w:themeColor="text1"/>
                      <w:spacing w:val="7"/>
                      <w:sz w:val="21"/>
                      <w:szCs w:val="21"/>
                      <w14:textFill>
                        <w14:solidFill>
                          <w14:schemeClr w14:val="tx1"/>
                        </w14:solidFill>
                      </w14:textFill>
                    </w:rPr>
                    <w:t>放</w:t>
                  </w:r>
                  <w:r>
                    <w:rPr>
                      <w:color w:val="000000" w:themeColor="text1"/>
                      <w:spacing w:val="10"/>
                      <w:sz w:val="21"/>
                      <w:szCs w:val="21"/>
                      <w14:textFill>
                        <w14:solidFill>
                          <w14:schemeClr w14:val="tx1"/>
                        </w14:solidFill>
                      </w14:textFill>
                    </w:rPr>
                    <w:t>执行《城镇污水处理厂污染物排放</w:t>
                  </w:r>
                  <w:r>
                    <w:rPr>
                      <w:color w:val="000000" w:themeColor="text1"/>
                      <w:spacing w:val="7"/>
                      <w:sz w:val="21"/>
                      <w:szCs w:val="21"/>
                      <w14:textFill>
                        <w14:solidFill>
                          <w14:schemeClr w14:val="tx1"/>
                        </w14:solidFill>
                      </w14:textFill>
                    </w:rPr>
                    <w:t>标</w:t>
                  </w:r>
                  <w:r>
                    <w:rPr>
                      <w:color w:val="000000" w:themeColor="text1"/>
                      <w:spacing w:val="-2"/>
                      <w:sz w:val="21"/>
                      <w:szCs w:val="21"/>
                      <w14:textFill>
                        <w14:solidFill>
                          <w14:schemeClr w14:val="tx1"/>
                        </w14:solidFill>
                      </w14:textFill>
                    </w:rPr>
                    <w:t>准》(G</w:t>
                  </w:r>
                  <w:r>
                    <w:rPr>
                      <w:color w:val="000000" w:themeColor="text1"/>
                      <w:spacing w:val="-1"/>
                      <w:sz w:val="21"/>
                      <w:szCs w:val="21"/>
                      <w14:textFill>
                        <w14:solidFill>
                          <w14:schemeClr w14:val="tx1"/>
                        </w14:solidFill>
                      </w14:textFill>
                    </w:rPr>
                    <w:t>B</w:t>
                  </w:r>
                  <w:r>
                    <w:rPr>
                      <w:color w:val="000000" w:themeColor="text1"/>
                      <w:spacing w:val="-2"/>
                      <w:sz w:val="21"/>
                      <w:szCs w:val="21"/>
                      <w14:textFill>
                        <w14:solidFill>
                          <w14:schemeClr w14:val="tx1"/>
                        </w14:solidFill>
                      </w14:textFill>
                    </w:rPr>
                    <w:t>18918-2002)中的一级</w:t>
                  </w:r>
                  <w:r>
                    <w:rPr>
                      <w:color w:val="000000" w:themeColor="text1"/>
                      <w:sz w:val="21"/>
                      <w:szCs w:val="21"/>
                      <w14:textFill>
                        <w14:solidFill>
                          <w14:schemeClr w14:val="tx1"/>
                        </w14:solidFill>
                      </w14:textFill>
                    </w:rPr>
                    <w:t>A</w:t>
                  </w:r>
                  <w:r>
                    <w:rPr>
                      <w:color w:val="000000" w:themeColor="text1"/>
                      <w:spacing w:val="-2"/>
                      <w:sz w:val="21"/>
                      <w:szCs w:val="21"/>
                      <w14:textFill>
                        <w14:solidFill>
                          <w14:schemeClr w14:val="tx1"/>
                        </w14:solidFill>
                      </w14:textFill>
                    </w:rPr>
                    <w:t>标准，</w:t>
                  </w:r>
                  <w:r>
                    <w:rPr>
                      <w:color w:val="000000" w:themeColor="text1"/>
                      <w:spacing w:val="10"/>
                      <w:sz w:val="21"/>
                      <w:szCs w:val="21"/>
                      <w14:textFill>
                        <w14:solidFill>
                          <w14:schemeClr w14:val="tx1"/>
                        </w14:solidFill>
                      </w14:textFill>
                    </w:rPr>
                    <w:t>按照省水利厅批准的位置设置入河</w:t>
                  </w:r>
                  <w:r>
                    <w:rPr>
                      <w:color w:val="000000" w:themeColor="text1"/>
                      <w:spacing w:val="7"/>
                      <w:sz w:val="21"/>
                      <w:szCs w:val="21"/>
                      <w14:textFill>
                        <w14:solidFill>
                          <w14:schemeClr w14:val="tx1"/>
                        </w14:solidFill>
                      </w14:textFill>
                    </w:rPr>
                    <w:t>排</w:t>
                  </w:r>
                  <w:r>
                    <w:rPr>
                      <w:color w:val="000000" w:themeColor="text1"/>
                      <w:spacing w:val="10"/>
                      <w:sz w:val="21"/>
                      <w:szCs w:val="21"/>
                      <w14:textFill>
                        <w14:solidFill>
                          <w14:schemeClr w14:val="tx1"/>
                        </w14:solidFill>
                      </w14:textFill>
                    </w:rPr>
                    <w:t>污口。结合区域水环境综合整治，</w:t>
                  </w:r>
                  <w:r>
                    <w:rPr>
                      <w:color w:val="000000" w:themeColor="text1"/>
                      <w:spacing w:val="7"/>
                      <w:sz w:val="21"/>
                      <w:szCs w:val="21"/>
                      <w14:textFill>
                        <w14:solidFill>
                          <w14:schemeClr w14:val="tx1"/>
                        </w14:solidFill>
                      </w14:textFill>
                    </w:rPr>
                    <w:t>确</w:t>
                  </w:r>
                  <w:r>
                    <w:rPr>
                      <w:color w:val="000000" w:themeColor="text1"/>
                      <w:spacing w:val="10"/>
                      <w:sz w:val="21"/>
                      <w:szCs w:val="21"/>
                      <w14:textFill>
                        <w14:solidFill>
                          <w14:schemeClr w14:val="tx1"/>
                        </w14:solidFill>
                      </w14:textFill>
                    </w:rPr>
                    <w:t>保区域水环境质量达标。进一步论</w:t>
                  </w:r>
                  <w:r>
                    <w:rPr>
                      <w:color w:val="000000" w:themeColor="text1"/>
                      <w:spacing w:val="7"/>
                      <w:sz w:val="21"/>
                      <w:szCs w:val="21"/>
                      <w14:textFill>
                        <w14:solidFill>
                          <w14:schemeClr w14:val="tx1"/>
                        </w14:solidFill>
                      </w14:textFill>
                    </w:rPr>
                    <w:t>证</w:t>
                  </w:r>
                  <w:r>
                    <w:rPr>
                      <w:color w:val="000000" w:themeColor="text1"/>
                      <w:spacing w:val="10"/>
                      <w:sz w:val="21"/>
                      <w:szCs w:val="21"/>
                      <w14:textFill>
                        <w14:solidFill>
                          <w14:schemeClr w14:val="tx1"/>
                        </w14:solidFill>
                      </w14:textFill>
                    </w:rPr>
                    <w:t>集中供热方案，加快集中供热、天</w:t>
                  </w:r>
                  <w:r>
                    <w:rPr>
                      <w:color w:val="000000" w:themeColor="text1"/>
                      <w:spacing w:val="7"/>
                      <w:sz w:val="21"/>
                      <w:szCs w:val="21"/>
                      <w14:textFill>
                        <w14:solidFill>
                          <w14:schemeClr w14:val="tx1"/>
                        </w14:solidFill>
                      </w14:textFill>
                    </w:rPr>
                    <w:t>然</w:t>
                  </w:r>
                  <w:r>
                    <w:rPr>
                      <w:color w:val="000000" w:themeColor="text1"/>
                      <w:spacing w:val="10"/>
                      <w:sz w:val="21"/>
                      <w:szCs w:val="21"/>
                      <w14:textFill>
                        <w14:solidFill>
                          <w14:schemeClr w14:val="tx1"/>
                        </w14:solidFill>
                      </w14:textFill>
                    </w:rPr>
                    <w:t>气管道等基础设施建设进度，禁止</w:t>
                  </w:r>
                  <w:r>
                    <w:rPr>
                      <w:color w:val="000000" w:themeColor="text1"/>
                      <w:spacing w:val="7"/>
                      <w:sz w:val="21"/>
                      <w:szCs w:val="21"/>
                      <w14:textFill>
                        <w14:solidFill>
                          <w14:schemeClr w14:val="tx1"/>
                        </w14:solidFill>
                      </w14:textFill>
                    </w:rPr>
                    <w:t>新</w:t>
                  </w:r>
                  <w:r>
                    <w:rPr>
                      <w:color w:val="000000" w:themeColor="text1"/>
                      <w:spacing w:val="10"/>
                      <w:sz w:val="21"/>
                      <w:szCs w:val="21"/>
                      <w14:textFill>
                        <w14:solidFill>
                          <w14:schemeClr w14:val="tx1"/>
                        </w14:solidFill>
                      </w14:textFill>
                    </w:rPr>
                    <w:t>建燃煤锅炉，限期淘汰现有的燃煤</w:t>
                  </w:r>
                  <w:r>
                    <w:rPr>
                      <w:color w:val="000000" w:themeColor="text1"/>
                      <w:spacing w:val="7"/>
                      <w:sz w:val="21"/>
                      <w:szCs w:val="21"/>
                      <w14:textFill>
                        <w14:solidFill>
                          <w14:schemeClr w14:val="tx1"/>
                        </w14:solidFill>
                      </w14:textFill>
                    </w:rPr>
                    <w:t>锅</w:t>
                  </w:r>
                  <w:r>
                    <w:rPr>
                      <w:color w:val="000000" w:themeColor="text1"/>
                      <w:spacing w:val="10"/>
                      <w:sz w:val="21"/>
                      <w:szCs w:val="21"/>
                      <w14:textFill>
                        <w14:solidFill>
                          <w14:schemeClr w14:val="tx1"/>
                        </w14:solidFill>
                      </w14:textFill>
                    </w:rPr>
                    <w:t>炉。环境保护规划中环境空气质量</w:t>
                  </w:r>
                  <w:r>
                    <w:rPr>
                      <w:color w:val="000000" w:themeColor="text1"/>
                      <w:spacing w:val="7"/>
                      <w:sz w:val="21"/>
                      <w:szCs w:val="21"/>
                      <w14:textFill>
                        <w14:solidFill>
                          <w14:schemeClr w14:val="tx1"/>
                        </w14:solidFill>
                      </w14:textFill>
                    </w:rPr>
                    <w:t>标</w:t>
                  </w:r>
                  <w:r>
                    <w:rPr>
                      <w:color w:val="000000" w:themeColor="text1"/>
                      <w:spacing w:val="11"/>
                      <w:sz w:val="21"/>
                      <w:szCs w:val="21"/>
                      <w14:textFill>
                        <w14:solidFill>
                          <w14:schemeClr w14:val="tx1"/>
                        </w14:solidFill>
                      </w14:textFill>
                    </w:rPr>
                    <w:t>准</w:t>
                  </w:r>
                  <w:r>
                    <w:rPr>
                      <w:color w:val="000000" w:themeColor="text1"/>
                      <w:spacing w:val="8"/>
                      <w:sz w:val="21"/>
                      <w:szCs w:val="21"/>
                      <w14:textFill>
                        <w14:solidFill>
                          <w14:schemeClr w14:val="tx1"/>
                        </w14:solidFill>
                      </w14:textFill>
                    </w:rPr>
                    <w:t>采用《环境空气质量标准》(</w:t>
                  </w:r>
                  <w:r>
                    <w:rPr>
                      <w:color w:val="000000" w:themeColor="text1"/>
                      <w:sz w:val="21"/>
                      <w:szCs w:val="21"/>
                      <w14:textFill>
                        <w14:solidFill>
                          <w14:schemeClr w14:val="tx1"/>
                        </w14:solidFill>
                      </w14:textFill>
                    </w:rPr>
                    <w:t>GB</w:t>
                  </w:r>
                  <w:r>
                    <w:rPr>
                      <w:color w:val="000000" w:themeColor="text1"/>
                      <w:spacing w:val="6"/>
                      <w:sz w:val="21"/>
                      <w:szCs w:val="21"/>
                      <w14:textFill>
                        <w14:solidFill>
                          <w14:schemeClr w14:val="tx1"/>
                        </w14:solidFill>
                      </w14:textFill>
                    </w:rPr>
                    <w:t>3</w:t>
                  </w:r>
                  <w:r>
                    <w:rPr>
                      <w:color w:val="000000" w:themeColor="text1"/>
                      <w:spacing w:val="4"/>
                      <w:sz w:val="21"/>
                      <w:szCs w:val="21"/>
                      <w14:textFill>
                        <w14:solidFill>
                          <w14:schemeClr w14:val="tx1"/>
                        </w14:solidFill>
                      </w14:textFill>
                    </w:rPr>
                    <w:t>095-2012)。做好起步区建设中的</w:t>
                  </w:r>
                  <w:r>
                    <w:rPr>
                      <w:color w:val="000000" w:themeColor="text1"/>
                      <w:spacing w:val="11"/>
                      <w:sz w:val="21"/>
                      <w:szCs w:val="21"/>
                      <w14:textFill>
                        <w14:solidFill>
                          <w14:schemeClr w14:val="tx1"/>
                        </w14:solidFill>
                      </w14:textFill>
                    </w:rPr>
                    <w:t>水</w:t>
                  </w:r>
                  <w:r>
                    <w:rPr>
                      <w:color w:val="000000" w:themeColor="text1"/>
                      <w:spacing w:val="6"/>
                      <w:sz w:val="21"/>
                      <w:szCs w:val="21"/>
                      <w14:textFill>
                        <w14:solidFill>
                          <w14:schemeClr w14:val="tx1"/>
                        </w14:solidFill>
                      </w14:textFill>
                    </w:rPr>
                    <w:t>土保持工作。</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9"/>
                      <w:sz w:val="21"/>
                      <w:szCs w:val="21"/>
                      <w14:textFill>
                        <w14:solidFill>
                          <w14:schemeClr w14:val="tx1"/>
                        </w14:solidFill>
                      </w14:textFill>
                    </w:rPr>
                    <w:t>项</w:t>
                  </w:r>
                  <w:r>
                    <w:rPr>
                      <w:color w:val="000000" w:themeColor="text1"/>
                      <w:spacing w:val="8"/>
                      <w:sz w:val="21"/>
                      <w:szCs w:val="21"/>
                      <w14:textFill>
                        <w14:solidFill>
                          <w14:schemeClr w14:val="tx1"/>
                        </w14:solidFill>
                      </w14:textFill>
                    </w:rPr>
                    <w:t>目生活污水</w:t>
                  </w:r>
                  <w:r>
                    <w:rPr>
                      <w:rFonts w:hint="eastAsia"/>
                      <w:color w:val="000000" w:themeColor="text1"/>
                      <w:spacing w:val="8"/>
                      <w:sz w:val="21"/>
                      <w:szCs w:val="21"/>
                      <w14:textFill>
                        <w14:solidFill>
                          <w14:schemeClr w14:val="tx1"/>
                        </w14:solidFill>
                      </w14:textFill>
                    </w:rPr>
                    <w:t>、地面清洗废水</w:t>
                  </w:r>
                  <w:r>
                    <w:rPr>
                      <w:color w:val="000000" w:themeColor="text1"/>
                      <w:spacing w:val="8"/>
                      <w:sz w:val="21"/>
                      <w:szCs w:val="21"/>
                      <w14:textFill>
                        <w14:solidFill>
                          <w14:schemeClr w14:val="tx1"/>
                        </w14:solidFill>
                      </w14:textFill>
                    </w:rPr>
                    <w:t>经</w:t>
                  </w:r>
                  <w:r>
                    <w:rPr>
                      <w:color w:val="000000" w:themeColor="text1"/>
                      <w:spacing w:val="12"/>
                      <w:sz w:val="21"/>
                      <w:szCs w:val="21"/>
                      <w14:textFill>
                        <w14:solidFill>
                          <w14:schemeClr w14:val="tx1"/>
                        </w14:solidFill>
                      </w14:textFill>
                    </w:rPr>
                    <w:t>化</w:t>
                  </w:r>
                  <w:r>
                    <w:rPr>
                      <w:color w:val="000000" w:themeColor="text1"/>
                      <w:spacing w:val="8"/>
                      <w:sz w:val="21"/>
                      <w:szCs w:val="21"/>
                      <w14:textFill>
                        <w14:solidFill>
                          <w14:schemeClr w14:val="tx1"/>
                        </w14:solidFill>
                      </w14:textFill>
                    </w:rPr>
                    <w:t>粪池处理后接</w:t>
                  </w:r>
                  <w:r>
                    <w:rPr>
                      <w:color w:val="000000" w:themeColor="text1"/>
                      <w:spacing w:val="11"/>
                      <w:sz w:val="21"/>
                      <w:szCs w:val="21"/>
                      <w14:textFill>
                        <w14:solidFill>
                          <w14:schemeClr w14:val="tx1"/>
                        </w14:solidFill>
                      </w14:textFill>
                    </w:rPr>
                    <w:t>管</w:t>
                  </w:r>
                  <w:r>
                    <w:rPr>
                      <w:color w:val="000000" w:themeColor="text1"/>
                      <w:spacing w:val="8"/>
                      <w:sz w:val="21"/>
                      <w:szCs w:val="21"/>
                      <w14:textFill>
                        <w14:solidFill>
                          <w14:schemeClr w14:val="tx1"/>
                        </w14:solidFill>
                      </w14:textFill>
                    </w:rPr>
                    <w:t>至芜湖市江北</w:t>
                  </w:r>
                  <w:r>
                    <w:rPr>
                      <w:color w:val="000000" w:themeColor="text1"/>
                      <w:spacing w:val="11"/>
                      <w:sz w:val="21"/>
                      <w:szCs w:val="21"/>
                      <w14:textFill>
                        <w14:solidFill>
                          <w14:schemeClr w14:val="tx1"/>
                        </w14:solidFill>
                      </w14:textFill>
                    </w:rPr>
                    <w:t>污</w:t>
                  </w:r>
                  <w:r>
                    <w:rPr>
                      <w:color w:val="000000" w:themeColor="text1"/>
                      <w:spacing w:val="8"/>
                      <w:sz w:val="21"/>
                      <w:szCs w:val="21"/>
                      <w14:textFill>
                        <w14:solidFill>
                          <w14:schemeClr w14:val="tx1"/>
                        </w14:solidFill>
                      </w14:textFill>
                    </w:rPr>
                    <w:t>水厂进一步处</w:t>
                  </w:r>
                  <w:r>
                    <w:rPr>
                      <w:color w:val="000000" w:themeColor="text1"/>
                      <w:spacing w:val="11"/>
                      <w:sz w:val="21"/>
                      <w:szCs w:val="21"/>
                      <w14:textFill>
                        <w14:solidFill>
                          <w14:schemeClr w14:val="tx1"/>
                        </w14:solidFill>
                      </w14:textFill>
                    </w:rPr>
                    <w:t>理</w:t>
                  </w:r>
                  <w:r>
                    <w:rPr>
                      <w:color w:val="000000" w:themeColor="text1"/>
                      <w:spacing w:val="8"/>
                      <w:sz w:val="21"/>
                      <w:szCs w:val="21"/>
                      <w14:textFill>
                        <w14:solidFill>
                          <w14:schemeClr w14:val="tx1"/>
                        </w14:solidFill>
                      </w14:textFill>
                    </w:rPr>
                    <w:t>；项目不使用</w:t>
                  </w:r>
                  <w:r>
                    <w:rPr>
                      <w:color w:val="000000" w:themeColor="text1"/>
                      <w:spacing w:val="7"/>
                      <w:sz w:val="21"/>
                      <w:szCs w:val="21"/>
                      <w14:textFill>
                        <w14:solidFill>
                          <w14:schemeClr w14:val="tx1"/>
                        </w14:solidFill>
                      </w14:textFill>
                    </w:rPr>
                    <w:t>燃煤锅炉等</w:t>
                  </w:r>
                  <w:r>
                    <w:rPr>
                      <w:color w:val="000000" w:themeColor="text1"/>
                      <w:spacing w:val="6"/>
                      <w:sz w:val="21"/>
                      <w:szCs w:val="21"/>
                      <w14:textFill>
                        <w14:solidFill>
                          <w14:schemeClr w14:val="tx1"/>
                        </w14:solidFill>
                      </w14:textFill>
                    </w:rPr>
                    <w:t>。</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4"/>
                      <w:sz w:val="21"/>
                      <w:szCs w:val="21"/>
                      <w14:textFill>
                        <w14:solidFill>
                          <w14:schemeClr w14:val="tx1"/>
                        </w14:solidFill>
                      </w14:textFill>
                    </w:rPr>
                    <w:t>认</w:t>
                  </w:r>
                  <w:r>
                    <w:rPr>
                      <w:color w:val="000000" w:themeColor="text1"/>
                      <w:spacing w:val="9"/>
                      <w:sz w:val="21"/>
                      <w:szCs w:val="21"/>
                      <w14:textFill>
                        <w14:solidFill>
                          <w14:schemeClr w14:val="tx1"/>
                        </w14:solidFill>
                      </w14:textFill>
                    </w:rPr>
                    <w:t>真做好起步区建设涉及的拆迁安置</w:t>
                  </w:r>
                  <w:r>
                    <w:rPr>
                      <w:color w:val="000000" w:themeColor="text1"/>
                      <w:spacing w:val="4"/>
                      <w:sz w:val="21"/>
                      <w:szCs w:val="21"/>
                      <w14:textFill>
                        <w14:solidFill>
                          <w14:schemeClr w14:val="tx1"/>
                        </w14:solidFill>
                      </w14:textFill>
                    </w:rPr>
                    <w:t>工作。</w:t>
                  </w:r>
                  <w:r>
                    <w:rPr>
                      <w:color w:val="000000" w:themeColor="text1"/>
                      <w:spacing w:val="2"/>
                      <w:sz w:val="21"/>
                      <w:szCs w:val="21"/>
                      <w14:textFill>
                        <w14:solidFill>
                          <w14:schemeClr w14:val="tx1"/>
                        </w14:solidFill>
                      </w14:textFill>
                    </w:rPr>
                    <w:t>属于起步区建设工程拆迁范围、</w:t>
                  </w:r>
                  <w:r>
                    <w:rPr>
                      <w:color w:val="000000" w:themeColor="text1"/>
                      <w:spacing w:val="10"/>
                      <w:sz w:val="21"/>
                      <w:szCs w:val="21"/>
                      <w14:textFill>
                        <w14:solidFill>
                          <w14:schemeClr w14:val="tx1"/>
                        </w14:solidFill>
                      </w14:textFill>
                    </w:rPr>
                    <w:t>在现阶段又具有环保拆迁性质的，</w:t>
                  </w:r>
                  <w:r>
                    <w:rPr>
                      <w:color w:val="000000" w:themeColor="text1"/>
                      <w:spacing w:val="9"/>
                      <w:sz w:val="21"/>
                      <w:szCs w:val="21"/>
                      <w14:textFill>
                        <w14:solidFill>
                          <w14:schemeClr w14:val="tx1"/>
                        </w14:solidFill>
                      </w14:textFill>
                    </w:rPr>
                    <w:t>应</w:t>
                  </w:r>
                  <w:r>
                    <w:rPr>
                      <w:color w:val="000000" w:themeColor="text1"/>
                      <w:spacing w:val="4"/>
                      <w:sz w:val="21"/>
                      <w:szCs w:val="21"/>
                      <w14:textFill>
                        <w14:solidFill>
                          <w14:schemeClr w14:val="tx1"/>
                        </w14:solidFill>
                      </w14:textFill>
                    </w:rPr>
                    <w:t>优先安</w:t>
                  </w:r>
                  <w:r>
                    <w:rPr>
                      <w:color w:val="000000" w:themeColor="text1"/>
                      <w:spacing w:val="2"/>
                      <w:sz w:val="21"/>
                      <w:szCs w:val="21"/>
                      <w14:textFill>
                        <w14:solidFill>
                          <w14:schemeClr w14:val="tx1"/>
                        </w14:solidFill>
                      </w14:textFill>
                    </w:rPr>
                    <w:t>排拆迁。合理布置居民安置区，</w:t>
                  </w:r>
                  <w:r>
                    <w:rPr>
                      <w:color w:val="000000" w:themeColor="text1"/>
                      <w:spacing w:val="10"/>
                      <w:sz w:val="21"/>
                      <w:szCs w:val="21"/>
                      <w14:textFill>
                        <w14:solidFill>
                          <w14:schemeClr w14:val="tx1"/>
                        </w14:solidFill>
                      </w14:textFill>
                    </w:rPr>
                    <w:t>妥善安置区内搬迁居民，确保动迁</w:t>
                  </w:r>
                  <w:r>
                    <w:rPr>
                      <w:color w:val="000000" w:themeColor="text1"/>
                      <w:spacing w:val="9"/>
                      <w:sz w:val="21"/>
                      <w:szCs w:val="21"/>
                      <w14:textFill>
                        <w14:solidFill>
                          <w14:schemeClr w14:val="tx1"/>
                        </w14:solidFill>
                      </w14:textFill>
                    </w:rPr>
                    <w:t>居</w:t>
                  </w:r>
                  <w:r>
                    <w:rPr>
                      <w:color w:val="000000" w:themeColor="text1"/>
                      <w:spacing w:val="14"/>
                      <w:sz w:val="21"/>
                      <w:szCs w:val="21"/>
                      <w14:textFill>
                        <w14:solidFill>
                          <w14:schemeClr w14:val="tx1"/>
                        </w14:solidFill>
                      </w14:textFill>
                    </w:rPr>
                    <w:t>民</w:t>
                  </w:r>
                  <w:r>
                    <w:rPr>
                      <w:color w:val="000000" w:themeColor="text1"/>
                      <w:spacing w:val="9"/>
                      <w:sz w:val="21"/>
                      <w:szCs w:val="21"/>
                      <w14:textFill>
                        <w14:solidFill>
                          <w14:schemeClr w14:val="tx1"/>
                        </w14:solidFill>
                      </w14:textFill>
                    </w:rPr>
                    <w:t>生</w:t>
                  </w:r>
                  <w:r>
                    <w:rPr>
                      <w:color w:val="000000" w:themeColor="text1"/>
                      <w:spacing w:val="7"/>
                      <w:sz w:val="21"/>
                      <w:szCs w:val="21"/>
                      <w14:textFill>
                        <w14:solidFill>
                          <w14:schemeClr w14:val="tx1"/>
                        </w14:solidFill>
                      </w14:textFill>
                    </w:rPr>
                    <w:t>活质量与环境质量不降低</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1"/>
                      <w:sz w:val="21"/>
                      <w:szCs w:val="21"/>
                      <w14:textFill>
                        <w14:solidFill>
                          <w14:schemeClr w14:val="tx1"/>
                        </w14:solidFill>
                      </w14:textFill>
                    </w:rPr>
                    <w:t>本</w:t>
                  </w:r>
                  <w:r>
                    <w:rPr>
                      <w:color w:val="000000" w:themeColor="text1"/>
                      <w:spacing w:val="8"/>
                      <w:sz w:val="21"/>
                      <w:szCs w:val="21"/>
                      <w14:textFill>
                        <w14:solidFill>
                          <w14:schemeClr w14:val="tx1"/>
                        </w14:solidFill>
                      </w14:textFill>
                    </w:rPr>
                    <w:t>项目不涉及拆</w:t>
                  </w:r>
                  <w:r>
                    <w:rPr>
                      <w:color w:val="000000" w:themeColor="text1"/>
                      <w:spacing w:val="1"/>
                      <w:sz w:val="21"/>
                      <w:szCs w:val="21"/>
                      <w14:textFill>
                        <w14:solidFill>
                          <w14:schemeClr w14:val="tx1"/>
                        </w14:solidFill>
                      </w14:textFill>
                    </w:rPr>
                    <w:t>迁</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4201"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1"/>
                      <w:sz w:val="21"/>
                      <w:szCs w:val="21"/>
                      <w14:textFill>
                        <w14:solidFill>
                          <w14:schemeClr w14:val="tx1"/>
                        </w14:solidFill>
                      </w14:textFill>
                    </w:rPr>
                    <w:t>坚</w:t>
                  </w:r>
                  <w:r>
                    <w:rPr>
                      <w:color w:val="000000" w:themeColor="text1"/>
                      <w:spacing w:val="9"/>
                      <w:sz w:val="21"/>
                      <w:szCs w:val="21"/>
                      <w14:textFill>
                        <w14:solidFill>
                          <w14:schemeClr w14:val="tx1"/>
                        </w14:solidFill>
                      </w14:textFill>
                    </w:rPr>
                    <w:t>持预防为主、防控结合的原则，根</w:t>
                  </w:r>
                  <w:r>
                    <w:rPr>
                      <w:color w:val="000000" w:themeColor="text1"/>
                      <w:spacing w:val="16"/>
                      <w:sz w:val="21"/>
                      <w:szCs w:val="21"/>
                      <w14:textFill>
                        <w14:solidFill>
                          <w14:schemeClr w14:val="tx1"/>
                        </w14:solidFill>
                      </w14:textFill>
                    </w:rPr>
                    <w:t>据</w:t>
                  </w:r>
                  <w:r>
                    <w:rPr>
                      <w:color w:val="000000" w:themeColor="text1"/>
                      <w:spacing w:val="9"/>
                      <w:sz w:val="21"/>
                      <w:szCs w:val="21"/>
                      <w14:textFill>
                        <w14:solidFill>
                          <w14:schemeClr w14:val="tx1"/>
                        </w14:solidFill>
                      </w14:textFill>
                    </w:rPr>
                    <w:t>《报告书》提出的要求，在规划层</w:t>
                  </w:r>
                  <w:r>
                    <w:rPr>
                      <w:color w:val="000000" w:themeColor="text1"/>
                      <w:spacing w:val="16"/>
                      <w:sz w:val="21"/>
                      <w:szCs w:val="21"/>
                      <w14:textFill>
                        <w14:solidFill>
                          <w14:schemeClr w14:val="tx1"/>
                        </w14:solidFill>
                      </w14:textFill>
                    </w:rPr>
                    <w:t>面</w:t>
                  </w:r>
                  <w:r>
                    <w:rPr>
                      <w:color w:val="000000" w:themeColor="text1"/>
                      <w:spacing w:val="9"/>
                      <w:sz w:val="21"/>
                      <w:szCs w:val="21"/>
                      <w14:textFill>
                        <w14:solidFill>
                          <w14:schemeClr w14:val="tx1"/>
                        </w14:solidFill>
                      </w14:textFill>
                    </w:rPr>
                    <w:t>上制定落实起步区综合环境风险防</w:t>
                  </w:r>
                  <w:r>
                    <w:rPr>
                      <w:color w:val="000000" w:themeColor="text1"/>
                      <w:spacing w:val="16"/>
                      <w:sz w:val="21"/>
                      <w:szCs w:val="21"/>
                      <w14:textFill>
                        <w14:solidFill>
                          <w14:schemeClr w14:val="tx1"/>
                        </w14:solidFill>
                      </w14:textFill>
                    </w:rPr>
                    <w:t>范</w:t>
                  </w:r>
                  <w:r>
                    <w:rPr>
                      <w:color w:val="000000" w:themeColor="text1"/>
                      <w:spacing w:val="9"/>
                      <w:sz w:val="21"/>
                      <w:szCs w:val="21"/>
                      <w14:textFill>
                        <w14:solidFill>
                          <w14:schemeClr w14:val="tx1"/>
                        </w14:solidFill>
                      </w14:textFill>
                    </w:rPr>
                    <w:t>措施，建立起步区环境应急保障体</w:t>
                  </w:r>
                  <w:r>
                    <w:rPr>
                      <w:color w:val="000000" w:themeColor="text1"/>
                      <w:spacing w:val="16"/>
                      <w:sz w:val="21"/>
                      <w:szCs w:val="21"/>
                      <w14:textFill>
                        <w14:solidFill>
                          <w14:schemeClr w14:val="tx1"/>
                        </w14:solidFill>
                      </w14:textFill>
                    </w:rPr>
                    <w:t>系</w:t>
                  </w:r>
                  <w:r>
                    <w:rPr>
                      <w:color w:val="000000" w:themeColor="text1"/>
                      <w:spacing w:val="9"/>
                      <w:sz w:val="21"/>
                      <w:szCs w:val="21"/>
                      <w14:textFill>
                        <w14:solidFill>
                          <w14:schemeClr w14:val="tx1"/>
                        </w14:solidFill>
                      </w14:textFill>
                    </w:rPr>
                    <w:t>，并结合入区项目的建设，及时更</w:t>
                  </w:r>
                  <w:r>
                    <w:rPr>
                      <w:color w:val="000000" w:themeColor="text1"/>
                      <w:spacing w:val="16"/>
                      <w:sz w:val="21"/>
                      <w:szCs w:val="21"/>
                      <w14:textFill>
                        <w14:solidFill>
                          <w14:schemeClr w14:val="tx1"/>
                        </w14:solidFill>
                      </w14:textFill>
                    </w:rPr>
                    <w:t>新</w:t>
                  </w:r>
                  <w:r>
                    <w:rPr>
                      <w:color w:val="000000" w:themeColor="text1"/>
                      <w:spacing w:val="9"/>
                      <w:sz w:val="21"/>
                      <w:szCs w:val="21"/>
                      <w14:textFill>
                        <w14:solidFill>
                          <w14:schemeClr w14:val="tx1"/>
                        </w14:solidFill>
                      </w14:textFill>
                    </w:rPr>
                    <w:t>升级各类突发环境事件应急预案，</w:t>
                  </w:r>
                  <w:r>
                    <w:rPr>
                      <w:color w:val="000000" w:themeColor="text1"/>
                      <w:spacing w:val="16"/>
                      <w:sz w:val="21"/>
                      <w:szCs w:val="21"/>
                      <w14:textFill>
                        <w14:solidFill>
                          <w14:schemeClr w14:val="tx1"/>
                        </w14:solidFill>
                      </w14:textFill>
                    </w:rPr>
                    <w:t>并</w:t>
                  </w:r>
                  <w:r>
                    <w:rPr>
                      <w:color w:val="000000" w:themeColor="text1"/>
                      <w:spacing w:val="9"/>
                      <w:sz w:val="21"/>
                      <w:szCs w:val="21"/>
                      <w14:textFill>
                        <w14:solidFill>
                          <w14:schemeClr w14:val="tx1"/>
                        </w14:solidFill>
                      </w14:textFill>
                    </w:rPr>
                    <w:t>做好应急软硬件建设和储备，建设</w:t>
                  </w:r>
                  <w:r>
                    <w:rPr>
                      <w:color w:val="000000" w:themeColor="text1"/>
                      <w:spacing w:val="16"/>
                      <w:sz w:val="21"/>
                      <w:szCs w:val="21"/>
                      <w14:textFill>
                        <w14:solidFill>
                          <w14:schemeClr w14:val="tx1"/>
                        </w14:solidFill>
                      </w14:textFill>
                    </w:rPr>
                    <w:t>环</w:t>
                  </w:r>
                  <w:r>
                    <w:rPr>
                      <w:color w:val="000000" w:themeColor="text1"/>
                      <w:spacing w:val="9"/>
                      <w:sz w:val="21"/>
                      <w:szCs w:val="21"/>
                      <w14:textFill>
                        <w14:solidFill>
                          <w14:schemeClr w14:val="tx1"/>
                        </w14:solidFill>
                      </w14:textFill>
                    </w:rPr>
                    <w:t>境风险预警体系。妥善处置生活垃</w:t>
                  </w:r>
                  <w:r>
                    <w:rPr>
                      <w:color w:val="000000" w:themeColor="text1"/>
                      <w:spacing w:val="16"/>
                      <w:sz w:val="21"/>
                      <w:szCs w:val="21"/>
                      <w14:textFill>
                        <w14:solidFill>
                          <w14:schemeClr w14:val="tx1"/>
                        </w14:solidFill>
                      </w14:textFill>
                    </w:rPr>
                    <w:t>圾</w:t>
                  </w:r>
                  <w:r>
                    <w:rPr>
                      <w:color w:val="000000" w:themeColor="text1"/>
                      <w:spacing w:val="9"/>
                      <w:sz w:val="21"/>
                      <w:szCs w:val="21"/>
                      <w14:textFill>
                        <w14:solidFill>
                          <w14:schemeClr w14:val="tx1"/>
                        </w14:solidFill>
                      </w14:textFill>
                    </w:rPr>
                    <w:t>，严格按照国家相关管理规定及规</w:t>
                  </w:r>
                  <w:r>
                    <w:rPr>
                      <w:color w:val="000000" w:themeColor="text1"/>
                      <w:spacing w:val="16"/>
                      <w:sz w:val="21"/>
                      <w:szCs w:val="21"/>
                      <w14:textFill>
                        <w14:solidFill>
                          <w14:schemeClr w14:val="tx1"/>
                        </w14:solidFill>
                      </w14:textFill>
                    </w:rPr>
                    <w:t>范</w:t>
                  </w:r>
                  <w:r>
                    <w:rPr>
                      <w:color w:val="000000" w:themeColor="text1"/>
                      <w:spacing w:val="9"/>
                      <w:sz w:val="21"/>
                      <w:szCs w:val="21"/>
                      <w14:textFill>
                        <w14:solidFill>
                          <w14:schemeClr w14:val="tx1"/>
                        </w14:solidFill>
                      </w14:textFill>
                    </w:rPr>
                    <w:t>，对工业固废和危险废物进行安全</w:t>
                  </w:r>
                  <w:r>
                    <w:rPr>
                      <w:color w:val="000000" w:themeColor="text1"/>
                      <w:spacing w:val="16"/>
                      <w:sz w:val="21"/>
                      <w:szCs w:val="21"/>
                      <w14:textFill>
                        <w14:solidFill>
                          <w14:schemeClr w14:val="tx1"/>
                        </w14:solidFill>
                      </w14:textFill>
                    </w:rPr>
                    <w:t>处</w:t>
                  </w:r>
                  <w:r>
                    <w:rPr>
                      <w:color w:val="000000" w:themeColor="text1"/>
                      <w:spacing w:val="9"/>
                      <w:sz w:val="21"/>
                      <w:szCs w:val="21"/>
                      <w14:textFill>
                        <w14:solidFill>
                          <w14:schemeClr w14:val="tx1"/>
                        </w14:solidFill>
                      </w14:textFill>
                    </w:rPr>
                    <w:t>置。起步区应确定专人对危险废物</w:t>
                  </w:r>
                  <w:r>
                    <w:rPr>
                      <w:color w:val="000000" w:themeColor="text1"/>
                      <w:spacing w:val="16"/>
                      <w:sz w:val="21"/>
                      <w:szCs w:val="21"/>
                      <w14:textFill>
                        <w14:solidFill>
                          <w14:schemeClr w14:val="tx1"/>
                        </w14:solidFill>
                      </w14:textFill>
                    </w:rPr>
                    <w:t>进</w:t>
                  </w:r>
                  <w:r>
                    <w:rPr>
                      <w:color w:val="000000" w:themeColor="text1"/>
                      <w:spacing w:val="9"/>
                      <w:sz w:val="21"/>
                      <w:szCs w:val="21"/>
                      <w14:textFill>
                        <w14:solidFill>
                          <w14:schemeClr w14:val="tx1"/>
                        </w14:solidFill>
                      </w14:textFill>
                    </w:rPr>
                    <w:t>行管理，建立危险废物环境管理台</w:t>
                  </w:r>
                  <w:r>
                    <w:rPr>
                      <w:color w:val="000000" w:themeColor="text1"/>
                      <w:spacing w:val="16"/>
                      <w:sz w:val="21"/>
                      <w:szCs w:val="21"/>
                      <w14:textFill>
                        <w14:solidFill>
                          <w14:schemeClr w14:val="tx1"/>
                        </w14:solidFill>
                      </w14:textFill>
                    </w:rPr>
                    <w:t>账</w:t>
                  </w:r>
                  <w:r>
                    <w:rPr>
                      <w:color w:val="000000" w:themeColor="text1"/>
                      <w:spacing w:val="9"/>
                      <w:sz w:val="21"/>
                      <w:szCs w:val="21"/>
                      <w14:textFill>
                        <w14:solidFill>
                          <w14:schemeClr w14:val="tx1"/>
                        </w14:solidFill>
                      </w14:textFill>
                    </w:rPr>
                    <w:t>和信息档案，严格执行危险废物转</w:t>
                  </w:r>
                  <w:r>
                    <w:rPr>
                      <w:color w:val="000000" w:themeColor="text1"/>
                      <w:spacing w:val="7"/>
                      <w:sz w:val="21"/>
                      <w:szCs w:val="21"/>
                      <w14:textFill>
                        <w14:solidFill>
                          <w14:schemeClr w14:val="tx1"/>
                        </w14:solidFill>
                      </w14:textFill>
                    </w:rPr>
                    <w:t>移五联单制度</w:t>
                  </w:r>
                  <w:r>
                    <w:rPr>
                      <w:color w:val="000000" w:themeColor="text1"/>
                      <w:spacing w:val="6"/>
                      <w:sz w:val="21"/>
                      <w:szCs w:val="21"/>
                      <w14:textFill>
                        <w14:solidFill>
                          <w14:schemeClr w14:val="tx1"/>
                        </w14:solidFill>
                      </w14:textFill>
                    </w:rPr>
                    <w:t>。</w:t>
                  </w:r>
                </w:p>
              </w:tc>
              <w:tc>
                <w:tcPr>
                  <w:tcW w:w="2028" w:type="dxa"/>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1"/>
                      <w:sz w:val="21"/>
                      <w:szCs w:val="21"/>
                      <w14:textFill>
                        <w14:solidFill>
                          <w14:schemeClr w14:val="tx1"/>
                        </w14:solidFill>
                      </w14:textFill>
                    </w:rPr>
                    <w:t>本</w:t>
                  </w:r>
                  <w:r>
                    <w:rPr>
                      <w:color w:val="000000" w:themeColor="text1"/>
                      <w:spacing w:val="8"/>
                      <w:sz w:val="21"/>
                      <w:szCs w:val="21"/>
                      <w14:textFill>
                        <w14:solidFill>
                          <w14:schemeClr w14:val="tx1"/>
                        </w14:solidFill>
                      </w14:textFill>
                    </w:rPr>
                    <w:t>项目生活垃圾</w:t>
                  </w:r>
                  <w:r>
                    <w:rPr>
                      <w:color w:val="000000" w:themeColor="text1"/>
                      <w:spacing w:val="9"/>
                      <w:sz w:val="21"/>
                      <w:szCs w:val="21"/>
                      <w14:textFill>
                        <w14:solidFill>
                          <w14:schemeClr w14:val="tx1"/>
                        </w14:solidFill>
                      </w14:textFill>
                    </w:rPr>
                    <w:t>委托环卫部门</w:t>
                  </w:r>
                  <w:r>
                    <w:rPr>
                      <w:color w:val="000000" w:themeColor="text1"/>
                      <w:spacing w:val="7"/>
                      <w:sz w:val="21"/>
                      <w:szCs w:val="21"/>
                      <w14:textFill>
                        <w14:solidFill>
                          <w14:schemeClr w14:val="tx1"/>
                        </w14:solidFill>
                      </w14:textFill>
                    </w:rPr>
                    <w:t>清</w:t>
                  </w:r>
                  <w:r>
                    <w:rPr>
                      <w:color w:val="000000" w:themeColor="text1"/>
                      <w:spacing w:val="12"/>
                      <w:sz w:val="21"/>
                      <w:szCs w:val="21"/>
                      <w14:textFill>
                        <w14:solidFill>
                          <w14:schemeClr w14:val="tx1"/>
                        </w14:solidFill>
                      </w14:textFill>
                    </w:rPr>
                    <w:t>运</w:t>
                  </w:r>
                  <w:r>
                    <w:rPr>
                      <w:color w:val="000000" w:themeColor="text1"/>
                      <w:spacing w:val="8"/>
                      <w:sz w:val="21"/>
                      <w:szCs w:val="21"/>
                      <w14:textFill>
                        <w14:solidFill>
                          <w14:schemeClr w14:val="tx1"/>
                        </w14:solidFill>
                      </w14:textFill>
                    </w:rPr>
                    <w:t>，危险废物收</w:t>
                  </w:r>
                  <w:r>
                    <w:rPr>
                      <w:color w:val="000000" w:themeColor="text1"/>
                      <w:spacing w:val="12"/>
                      <w:sz w:val="21"/>
                      <w:szCs w:val="21"/>
                      <w14:textFill>
                        <w14:solidFill>
                          <w14:schemeClr w14:val="tx1"/>
                        </w14:solidFill>
                      </w14:textFill>
                    </w:rPr>
                    <w:t>集</w:t>
                  </w:r>
                  <w:r>
                    <w:rPr>
                      <w:color w:val="000000" w:themeColor="text1"/>
                      <w:spacing w:val="8"/>
                      <w:sz w:val="21"/>
                      <w:szCs w:val="21"/>
                      <w14:textFill>
                        <w14:solidFill>
                          <w14:schemeClr w14:val="tx1"/>
                        </w14:solidFill>
                      </w14:textFill>
                    </w:rPr>
                    <w:t>后暂存于厂内</w:t>
                  </w:r>
                  <w:r>
                    <w:rPr>
                      <w:color w:val="000000" w:themeColor="text1"/>
                      <w:spacing w:val="10"/>
                      <w:sz w:val="21"/>
                      <w:szCs w:val="21"/>
                      <w14:textFill>
                        <w14:solidFill>
                          <w14:schemeClr w14:val="tx1"/>
                        </w14:solidFill>
                      </w14:textFill>
                    </w:rPr>
                    <w:t>危</w:t>
                  </w:r>
                  <w:r>
                    <w:rPr>
                      <w:color w:val="000000" w:themeColor="text1"/>
                      <w:spacing w:val="8"/>
                      <w:sz w:val="21"/>
                      <w:szCs w:val="21"/>
                      <w14:textFill>
                        <w14:solidFill>
                          <w14:schemeClr w14:val="tx1"/>
                        </w14:solidFill>
                      </w14:textFill>
                    </w:rPr>
                    <w:t>废暂存库，专</w:t>
                  </w:r>
                  <w:r>
                    <w:rPr>
                      <w:color w:val="000000" w:themeColor="text1"/>
                      <w:spacing w:val="11"/>
                      <w:sz w:val="21"/>
                      <w:szCs w:val="21"/>
                      <w14:textFill>
                        <w14:solidFill>
                          <w14:schemeClr w14:val="tx1"/>
                        </w14:solidFill>
                      </w14:textFill>
                    </w:rPr>
                    <w:t>人</w:t>
                  </w:r>
                  <w:r>
                    <w:rPr>
                      <w:color w:val="000000" w:themeColor="text1"/>
                      <w:spacing w:val="8"/>
                      <w:sz w:val="21"/>
                      <w:szCs w:val="21"/>
                      <w14:textFill>
                        <w14:solidFill>
                          <w14:schemeClr w14:val="tx1"/>
                        </w14:solidFill>
                      </w14:textFill>
                    </w:rPr>
                    <w:t>管理，建立管</w:t>
                  </w: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0"/>
                      <w:sz w:val="21"/>
                      <w:szCs w:val="21"/>
                      <w14:textFill>
                        <w14:solidFill>
                          <w14:schemeClr w14:val="tx1"/>
                        </w14:solidFill>
                      </w14:textFill>
                    </w:rPr>
                    <w:t>理</w:t>
                  </w:r>
                  <w:r>
                    <w:rPr>
                      <w:color w:val="000000" w:themeColor="text1"/>
                      <w:spacing w:val="8"/>
                      <w:sz w:val="21"/>
                      <w:szCs w:val="21"/>
                      <w14:textFill>
                        <w14:solidFill>
                          <w14:schemeClr w14:val="tx1"/>
                        </w14:solidFill>
                      </w14:textFill>
                    </w:rPr>
                    <w:t>台账和信息档</w:t>
                  </w:r>
                  <w:r>
                    <w:rPr>
                      <w:color w:val="000000" w:themeColor="text1"/>
                      <w:spacing w:val="11"/>
                      <w:sz w:val="21"/>
                      <w:szCs w:val="21"/>
                      <w14:textFill>
                        <w14:solidFill>
                          <w14:schemeClr w14:val="tx1"/>
                        </w14:solidFill>
                      </w14:textFill>
                    </w:rPr>
                    <w:t>案</w:t>
                  </w:r>
                  <w:r>
                    <w:rPr>
                      <w:color w:val="000000" w:themeColor="text1"/>
                      <w:spacing w:val="8"/>
                      <w:sz w:val="21"/>
                      <w:szCs w:val="21"/>
                      <w14:textFill>
                        <w14:solidFill>
                          <w14:schemeClr w14:val="tx1"/>
                        </w14:solidFill>
                      </w14:textFill>
                    </w:rPr>
                    <w:t>，危废定期委</w:t>
                  </w:r>
                  <w:r>
                    <w:rPr>
                      <w:color w:val="000000" w:themeColor="text1"/>
                      <w:spacing w:val="9"/>
                      <w:sz w:val="21"/>
                      <w:szCs w:val="21"/>
                      <w14:textFill>
                        <w14:solidFill>
                          <w14:schemeClr w14:val="tx1"/>
                        </w14:solidFill>
                      </w14:textFill>
                    </w:rPr>
                    <w:t>托</w:t>
                  </w:r>
                  <w:r>
                    <w:rPr>
                      <w:color w:val="000000" w:themeColor="text1"/>
                      <w:spacing w:val="8"/>
                      <w:sz w:val="21"/>
                      <w:szCs w:val="21"/>
                      <w14:textFill>
                        <w14:solidFill>
                          <w14:schemeClr w14:val="tx1"/>
                        </w14:solidFill>
                      </w14:textFill>
                    </w:rPr>
                    <w:t>资质单位处</w:t>
                  </w:r>
                  <w:r>
                    <w:rPr>
                      <w:color w:val="000000" w:themeColor="text1"/>
                      <w:spacing w:val="9"/>
                      <w:sz w:val="21"/>
                      <w:szCs w:val="21"/>
                      <w14:textFill>
                        <w14:solidFill>
                          <w14:schemeClr w14:val="tx1"/>
                        </w14:solidFill>
                      </w14:textFill>
                    </w:rPr>
                    <w:t>置，严格执行</w:t>
                  </w:r>
                  <w:r>
                    <w:rPr>
                      <w:color w:val="000000" w:themeColor="text1"/>
                      <w:spacing w:val="8"/>
                      <w:sz w:val="21"/>
                      <w:szCs w:val="21"/>
                      <w14:textFill>
                        <w14:solidFill>
                          <w14:schemeClr w14:val="tx1"/>
                        </w14:solidFill>
                      </w14:textFill>
                    </w:rPr>
                    <w:t>转移联单制</w:t>
                  </w:r>
                  <w:r>
                    <w:rPr>
                      <w:color w:val="000000" w:themeColor="text1"/>
                      <w:spacing w:val="7"/>
                      <w:sz w:val="21"/>
                      <w:szCs w:val="21"/>
                      <w14:textFill>
                        <w14:solidFill>
                          <w14:schemeClr w14:val="tx1"/>
                        </w14:solidFill>
                      </w14:textFill>
                    </w:rPr>
                    <w:t>度</w:t>
                  </w:r>
                </w:p>
              </w:tc>
              <w:tc>
                <w:tcPr>
                  <w:tcW w:w="1219" w:type="dxa"/>
                  <w:tcBorders>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37" w:type="dxa"/>
                  <w:tcBorders>
                    <w:left w:val="single" w:color="auto" w:sz="4" w:space="0"/>
                    <w:bottom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c>
                <w:tcPr>
                  <w:tcW w:w="4201" w:type="dxa"/>
                  <w:tcBorders>
                    <w:bottom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3"/>
                      <w:sz w:val="21"/>
                      <w:szCs w:val="21"/>
                      <w14:textFill>
                        <w14:solidFill>
                          <w14:schemeClr w14:val="tx1"/>
                        </w14:solidFill>
                      </w14:textFill>
                    </w:rPr>
                    <w:t>起</w:t>
                  </w:r>
                  <w:r>
                    <w:rPr>
                      <w:color w:val="000000" w:themeColor="text1"/>
                      <w:spacing w:val="9"/>
                      <w:sz w:val="21"/>
                      <w:szCs w:val="21"/>
                      <w14:textFill>
                        <w14:solidFill>
                          <w14:schemeClr w14:val="tx1"/>
                        </w14:solidFill>
                      </w14:textFill>
                    </w:rPr>
                    <w:t>步区要加强环境保护制度建设和管</w:t>
                  </w:r>
                  <w:r>
                    <w:rPr>
                      <w:color w:val="000000" w:themeColor="text1"/>
                      <w:spacing w:val="12"/>
                      <w:sz w:val="21"/>
                      <w:szCs w:val="21"/>
                      <w14:textFill>
                        <w14:solidFill>
                          <w14:schemeClr w14:val="tx1"/>
                        </w14:solidFill>
                      </w14:textFill>
                    </w:rPr>
                    <w:t>理</w:t>
                  </w:r>
                  <w:r>
                    <w:rPr>
                      <w:color w:val="000000" w:themeColor="text1"/>
                      <w:spacing w:val="9"/>
                      <w:sz w:val="21"/>
                      <w:szCs w:val="21"/>
                      <w14:textFill>
                        <w14:solidFill>
                          <w14:schemeClr w14:val="tx1"/>
                        </w14:solidFill>
                      </w14:textFill>
                    </w:rPr>
                    <w:t>。入区建设项目，要认真履行有关</w:t>
                  </w:r>
                  <w:r>
                    <w:rPr>
                      <w:color w:val="000000" w:themeColor="text1"/>
                      <w:spacing w:val="14"/>
                      <w:sz w:val="21"/>
                      <w:szCs w:val="21"/>
                      <w14:textFill>
                        <w14:solidFill>
                          <w14:schemeClr w14:val="tx1"/>
                        </w14:solidFill>
                      </w14:textFill>
                    </w:rPr>
                    <w:t>环</w:t>
                  </w:r>
                  <w:r>
                    <w:rPr>
                      <w:color w:val="000000" w:themeColor="text1"/>
                      <w:spacing w:val="9"/>
                      <w:sz w:val="21"/>
                      <w:szCs w:val="21"/>
                      <w14:textFill>
                        <w14:solidFill>
                          <w14:schemeClr w14:val="tx1"/>
                        </w14:solidFill>
                      </w14:textFill>
                    </w:rPr>
                    <w:t>境保护法律法规，严格执行建设项</w:t>
                  </w:r>
                  <w:r>
                    <w:rPr>
                      <w:color w:val="000000" w:themeColor="text1"/>
                      <w:spacing w:val="12"/>
                      <w:sz w:val="21"/>
                      <w:szCs w:val="21"/>
                      <w14:textFill>
                        <w14:solidFill>
                          <w14:schemeClr w14:val="tx1"/>
                        </w14:solidFill>
                      </w14:textFill>
                    </w:rPr>
                    <w:t>目</w:t>
                  </w:r>
                  <w:r>
                    <w:rPr>
                      <w:color w:val="000000" w:themeColor="text1"/>
                      <w:spacing w:val="7"/>
                      <w:sz w:val="21"/>
                      <w:szCs w:val="21"/>
                      <w14:textFill>
                        <w14:solidFill>
                          <w14:schemeClr w14:val="tx1"/>
                        </w14:solidFill>
                      </w14:textFill>
                    </w:rPr>
                    <w:t>环</w:t>
                  </w:r>
                  <w:r>
                    <w:rPr>
                      <w:color w:val="000000" w:themeColor="text1"/>
                      <w:spacing w:val="6"/>
                      <w:sz w:val="21"/>
                      <w:szCs w:val="21"/>
                      <w14:textFill>
                        <w14:solidFill>
                          <w14:schemeClr w14:val="tx1"/>
                        </w14:solidFill>
                      </w14:textFill>
                    </w:rPr>
                    <w:t>境影响评价制度和环境保护“三</w:t>
                  </w:r>
                  <w:r>
                    <w:rPr>
                      <w:color w:val="000000" w:themeColor="text1"/>
                      <w:spacing w:val="11"/>
                      <w:sz w:val="21"/>
                      <w:szCs w:val="21"/>
                      <w14:textFill>
                        <w14:solidFill>
                          <w14:schemeClr w14:val="tx1"/>
                        </w14:solidFill>
                      </w14:textFill>
                    </w:rPr>
                    <w:t>同</w:t>
                  </w:r>
                  <w:r>
                    <w:rPr>
                      <w:color w:val="000000" w:themeColor="text1"/>
                      <w:spacing w:val="6"/>
                      <w:sz w:val="21"/>
                      <w:szCs w:val="21"/>
                      <w14:textFill>
                        <w14:solidFill>
                          <w14:schemeClr w14:val="tx1"/>
                        </w14:solidFill>
                      </w14:textFill>
                    </w:rPr>
                    <w:t>时”制度；严格监督</w:t>
                  </w:r>
                  <w:r>
                    <w:rPr>
                      <w:color w:val="000000" w:themeColor="text1"/>
                      <w:spacing w:val="11"/>
                      <w:sz w:val="21"/>
                      <w:szCs w:val="21"/>
                      <w14:textFill>
                        <w14:solidFill>
                          <w14:schemeClr w14:val="tx1"/>
                        </w14:solidFill>
                      </w14:textFill>
                    </w:rPr>
                    <w:t>企</w:t>
                  </w:r>
                  <w:r>
                    <w:rPr>
                      <w:color w:val="000000" w:themeColor="text1"/>
                      <w:spacing w:val="9"/>
                      <w:sz w:val="21"/>
                      <w:szCs w:val="21"/>
                      <w14:textFill>
                        <w14:solidFill>
                          <w14:schemeClr w14:val="tx1"/>
                        </w14:solidFill>
                      </w14:textFill>
                    </w:rPr>
                    <w:t>业遵守污染控制的法律法规和标</w:t>
                  </w:r>
                  <w:r>
                    <w:rPr>
                      <w:color w:val="000000" w:themeColor="text1"/>
                      <w:spacing w:val="12"/>
                      <w:sz w:val="21"/>
                      <w:szCs w:val="21"/>
                      <w14:textFill>
                        <w14:solidFill>
                          <w14:schemeClr w14:val="tx1"/>
                        </w14:solidFill>
                      </w14:textFill>
                    </w:rPr>
                    <w:t>准</w:t>
                  </w:r>
                  <w:r>
                    <w:rPr>
                      <w:color w:val="000000" w:themeColor="text1"/>
                      <w:spacing w:val="9"/>
                      <w:sz w:val="21"/>
                      <w:szCs w:val="21"/>
                      <w14:textFill>
                        <w14:solidFill>
                          <w14:schemeClr w14:val="tx1"/>
                        </w14:solidFill>
                      </w14:textFill>
                    </w:rPr>
                    <w:t>。在规划实施过程中，每隔五年进</w:t>
                  </w:r>
                  <w:r>
                    <w:rPr>
                      <w:color w:val="000000" w:themeColor="text1"/>
                      <w:spacing w:val="11"/>
                      <w:sz w:val="21"/>
                      <w:szCs w:val="21"/>
                      <w14:textFill>
                        <w14:solidFill>
                          <w14:schemeClr w14:val="tx1"/>
                        </w14:solidFill>
                      </w14:textFill>
                    </w:rPr>
                    <w:t>行</w:t>
                  </w:r>
                  <w:r>
                    <w:rPr>
                      <w:color w:val="000000" w:themeColor="text1"/>
                      <w:spacing w:val="9"/>
                      <w:sz w:val="21"/>
                      <w:szCs w:val="21"/>
                      <w14:textFill>
                        <w14:solidFill>
                          <w14:schemeClr w14:val="tx1"/>
                        </w14:solidFill>
                      </w14:textFill>
                    </w:rPr>
                    <w:t>一次环境影响跟踪评价，规划修编要重新编制环境影响报告书</w:t>
                  </w:r>
                </w:p>
              </w:tc>
              <w:tc>
                <w:tcPr>
                  <w:tcW w:w="2028" w:type="dxa"/>
                  <w:tcBorders>
                    <w:bottom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9"/>
                      <w:sz w:val="21"/>
                      <w:szCs w:val="21"/>
                      <w14:textFill>
                        <w14:solidFill>
                          <w14:schemeClr w14:val="tx1"/>
                        </w14:solidFill>
                      </w14:textFill>
                    </w:rPr>
                    <w:t>企</w:t>
                  </w:r>
                  <w:r>
                    <w:rPr>
                      <w:color w:val="000000" w:themeColor="text1"/>
                      <w:spacing w:val="8"/>
                      <w:sz w:val="21"/>
                      <w:szCs w:val="21"/>
                      <w14:textFill>
                        <w14:solidFill>
                          <w14:schemeClr w14:val="tx1"/>
                        </w14:solidFill>
                      </w14:textFill>
                    </w:rPr>
                    <w:t>业严格执行建</w:t>
                  </w:r>
                  <w:r>
                    <w:rPr>
                      <w:color w:val="000000" w:themeColor="text1"/>
                      <w:spacing w:val="9"/>
                      <w:sz w:val="21"/>
                      <w:szCs w:val="21"/>
                      <w14:textFill>
                        <w14:solidFill>
                          <w14:schemeClr w14:val="tx1"/>
                        </w14:solidFill>
                      </w14:textFill>
                    </w:rPr>
                    <w:t>设</w:t>
                  </w:r>
                  <w:r>
                    <w:rPr>
                      <w:color w:val="000000" w:themeColor="text1"/>
                      <w:spacing w:val="8"/>
                      <w:sz w:val="21"/>
                      <w:szCs w:val="21"/>
                      <w14:textFill>
                        <w14:solidFill>
                          <w14:schemeClr w14:val="tx1"/>
                        </w14:solidFill>
                      </w14:textFill>
                    </w:rPr>
                    <w:t>项目环境影响</w:t>
                  </w:r>
                  <w:r>
                    <w:rPr>
                      <w:color w:val="000000" w:themeColor="text1"/>
                      <w:spacing w:val="9"/>
                      <w:sz w:val="21"/>
                      <w:szCs w:val="21"/>
                      <w14:textFill>
                        <w14:solidFill>
                          <w14:schemeClr w14:val="tx1"/>
                        </w14:solidFill>
                      </w14:textFill>
                    </w:rPr>
                    <w:t>评价制度和环</w:t>
                  </w:r>
                  <w:r>
                    <w:rPr>
                      <w:color w:val="000000" w:themeColor="text1"/>
                      <w:spacing w:val="7"/>
                      <w:sz w:val="21"/>
                      <w:szCs w:val="21"/>
                      <w14:textFill>
                        <w14:solidFill>
                          <w14:schemeClr w14:val="tx1"/>
                        </w14:solidFill>
                      </w14:textFill>
                    </w:rPr>
                    <w:t>境</w:t>
                  </w:r>
                  <w:r>
                    <w:rPr>
                      <w:color w:val="000000" w:themeColor="text1"/>
                      <w:spacing w:val="9"/>
                      <w:sz w:val="21"/>
                      <w:szCs w:val="21"/>
                      <w14:textFill>
                        <w14:solidFill>
                          <w14:schemeClr w14:val="tx1"/>
                        </w14:solidFill>
                      </w14:textFill>
                    </w:rPr>
                    <w:t>保</w:t>
                  </w:r>
                  <w:r>
                    <w:rPr>
                      <w:color w:val="000000" w:themeColor="text1"/>
                      <w:spacing w:val="7"/>
                      <w:sz w:val="21"/>
                      <w:szCs w:val="21"/>
                      <w14:textFill>
                        <w14:solidFill>
                          <w14:schemeClr w14:val="tx1"/>
                        </w14:solidFill>
                      </w14:textFill>
                    </w:rPr>
                    <w:t>护“三同时”制</w:t>
                  </w:r>
                  <w:r>
                    <w:rPr>
                      <w:color w:val="000000" w:themeColor="text1"/>
                      <w:spacing w:val="9"/>
                      <w:sz w:val="21"/>
                      <w:szCs w:val="21"/>
                      <w14:textFill>
                        <w14:solidFill>
                          <w14:schemeClr w14:val="tx1"/>
                        </w14:solidFill>
                      </w14:textFill>
                    </w:rPr>
                    <w:t>度，项目建设</w:t>
                  </w:r>
                  <w:r>
                    <w:rPr>
                      <w:color w:val="000000" w:themeColor="text1"/>
                      <w:spacing w:val="7"/>
                      <w:sz w:val="21"/>
                      <w:szCs w:val="21"/>
                      <w14:textFill>
                        <w14:solidFill>
                          <w14:schemeClr w14:val="tx1"/>
                        </w14:solidFill>
                      </w14:textFill>
                    </w:rPr>
                    <w:t>完</w:t>
                  </w:r>
                  <w:r>
                    <w:rPr>
                      <w:color w:val="000000" w:themeColor="text1"/>
                      <w:spacing w:val="11"/>
                      <w:sz w:val="21"/>
                      <w:szCs w:val="21"/>
                      <w14:textFill>
                        <w14:solidFill>
                          <w14:schemeClr w14:val="tx1"/>
                        </w14:solidFill>
                      </w14:textFill>
                    </w:rPr>
                    <w:t>成</w:t>
                  </w:r>
                  <w:r>
                    <w:rPr>
                      <w:color w:val="000000" w:themeColor="text1"/>
                      <w:spacing w:val="8"/>
                      <w:sz w:val="21"/>
                      <w:szCs w:val="21"/>
                      <w14:textFill>
                        <w14:solidFill>
                          <w14:schemeClr w14:val="tx1"/>
                        </w14:solidFill>
                      </w14:textFill>
                    </w:rPr>
                    <w:t>验收完成后投</w:t>
                  </w:r>
                </w:p>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12"/>
                      <w:sz w:val="21"/>
                      <w:szCs w:val="21"/>
                      <w14:textFill>
                        <w14:solidFill>
                          <w14:schemeClr w14:val="tx1"/>
                        </w14:solidFill>
                      </w14:textFill>
                    </w:rPr>
                    <w:t>产</w:t>
                  </w:r>
                  <w:r>
                    <w:rPr>
                      <w:color w:val="000000" w:themeColor="text1"/>
                      <w:spacing w:val="8"/>
                      <w:sz w:val="21"/>
                      <w:szCs w:val="21"/>
                      <w14:textFill>
                        <w14:solidFill>
                          <w14:schemeClr w14:val="tx1"/>
                        </w14:solidFill>
                      </w14:textFill>
                    </w:rPr>
                    <w:t>。企业应严格</w:t>
                  </w:r>
                  <w:r>
                    <w:rPr>
                      <w:color w:val="000000" w:themeColor="text1"/>
                      <w:spacing w:val="11"/>
                      <w:sz w:val="21"/>
                      <w:szCs w:val="21"/>
                      <w14:textFill>
                        <w14:solidFill>
                          <w14:schemeClr w14:val="tx1"/>
                        </w14:solidFill>
                      </w14:textFill>
                    </w:rPr>
                    <w:t>落</w:t>
                  </w:r>
                  <w:r>
                    <w:rPr>
                      <w:color w:val="000000" w:themeColor="text1"/>
                      <w:spacing w:val="8"/>
                      <w:sz w:val="21"/>
                      <w:szCs w:val="21"/>
                      <w14:textFill>
                        <w14:solidFill>
                          <w14:schemeClr w14:val="tx1"/>
                        </w14:solidFill>
                      </w14:textFill>
                    </w:rPr>
                    <w:t>实排污许可制</w:t>
                  </w:r>
                  <w:r>
                    <w:rPr>
                      <w:color w:val="000000" w:themeColor="text1"/>
                      <w:spacing w:val="1"/>
                      <w:sz w:val="21"/>
                      <w:szCs w:val="21"/>
                      <w14:textFill>
                        <w14:solidFill>
                          <w14:schemeClr w14:val="tx1"/>
                        </w14:solidFill>
                      </w14:textFill>
                    </w:rPr>
                    <w:t>度</w:t>
                  </w:r>
                </w:p>
              </w:tc>
              <w:tc>
                <w:tcPr>
                  <w:tcW w:w="1219" w:type="dxa"/>
                  <w:tcBorders>
                    <w:bottom w:val="single" w:color="auto" w:sz="4" w:space="0"/>
                    <w:right w:val="single" w:color="auto" w:sz="4" w:space="0"/>
                  </w:tcBorders>
                  <w:vAlign w:val="center"/>
                </w:tcPr>
                <w:p>
                  <w:pPr>
                    <w:widowControl/>
                    <w:kinsoku w:val="0"/>
                    <w:autoSpaceDE w:val="0"/>
                    <w:autoSpaceDN w:val="0"/>
                    <w:adjustRightInd w:val="0"/>
                    <w:snapToGrid w:val="0"/>
                    <w:spacing w:line="240" w:lineRule="atLeast"/>
                    <w:jc w:val="center"/>
                    <w:textAlignment w:val="baseline"/>
                    <w:rPr>
                      <w:color w:val="000000" w:themeColor="text1"/>
                      <w:sz w:val="21"/>
                      <w:szCs w:val="21"/>
                      <w14:textFill>
                        <w14:solidFill>
                          <w14:schemeClr w14:val="tx1"/>
                        </w14:solidFill>
                      </w14:textFill>
                    </w:rPr>
                  </w:pPr>
                  <w:r>
                    <w:rPr>
                      <w:color w:val="000000" w:themeColor="text1"/>
                      <w:spacing w:val="5"/>
                      <w:sz w:val="21"/>
                      <w:szCs w:val="21"/>
                      <w14:textFill>
                        <w14:solidFill>
                          <w14:schemeClr w14:val="tx1"/>
                        </w14:solidFill>
                      </w14:textFill>
                    </w:rPr>
                    <w:t>相</w:t>
                  </w:r>
                  <w:r>
                    <w:rPr>
                      <w:color w:val="000000" w:themeColor="text1"/>
                      <w:spacing w:val="4"/>
                      <w:sz w:val="21"/>
                      <w:szCs w:val="21"/>
                      <w14:textFill>
                        <w14:solidFill>
                          <w14:schemeClr w14:val="tx1"/>
                        </w14:solidFill>
                      </w14:textFill>
                    </w:rPr>
                    <w:t>符</w:t>
                  </w:r>
                </w:p>
              </w:tc>
            </w:tr>
          </w:tbl>
          <w:p>
            <w:pPr>
              <w:rPr>
                <w:color w:val="000000" w:themeColor="text1"/>
                <w14:textFill>
                  <w14:solidFill>
                    <w14:schemeClr w14:val="tx1"/>
                  </w14:solidFill>
                </w14:textFill>
              </w:rPr>
            </w:pPr>
          </w:p>
          <w:p>
            <w:pPr>
              <w:widowControl/>
              <w:spacing w:line="360" w:lineRule="auto"/>
              <w:jc w:val="left"/>
              <w:rPr>
                <w:color w:val="000000" w:themeColor="text1"/>
                <w:kern w:val="0"/>
                <w:highlight w:val="yellow"/>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256" w:type="pct"/>
            <w:vAlign w:val="center"/>
          </w:tcPr>
          <w:p>
            <w:pPr>
              <w:autoSpaceDE w:val="0"/>
              <w:autoSpaceDN w:val="0"/>
              <w:spacing w:line="360" w:lineRule="auto"/>
              <w:jc w:val="center"/>
              <w:rPr>
                <w:color w:val="000000" w:themeColor="text1"/>
                <w:kern w:val="0"/>
                <w14:textFill>
                  <w14:solidFill>
                    <w14:schemeClr w14:val="tx1"/>
                  </w14:solidFill>
                </w14:textFill>
              </w:rPr>
            </w:pPr>
            <w:r>
              <w:rPr>
                <w:color w:val="000000" w:themeColor="text1"/>
                <w:kern w:val="0"/>
                <w14:textFill>
                  <w14:solidFill>
                    <w14:schemeClr w14:val="tx1"/>
                  </w14:solidFill>
                </w14:textFill>
              </w:rPr>
              <w:t>其他符合性分析</w:t>
            </w:r>
          </w:p>
        </w:tc>
        <w:tc>
          <w:tcPr>
            <w:tcW w:w="3743" w:type="pct"/>
            <w:gridSpan w:val="3"/>
            <w:vAlign w:val="center"/>
          </w:tcPr>
          <w:p>
            <w:pPr>
              <w:autoSpaceDE w:val="0"/>
              <w:autoSpaceDN w:val="0"/>
              <w:spacing w:line="360" w:lineRule="auto"/>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1、建设项目产业政策符合性</w:t>
            </w:r>
          </w:p>
          <w:p>
            <w:pPr>
              <w:autoSpaceDE w:val="0"/>
              <w:autoSpaceDN w:val="0"/>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对照《产业结构调整指导目录（2019 年本）》（2021 年修订），本项目不属于限制类和淘汰类的范畴，应视为允许类；对照《安徽省产业结构调整指导目录》（2007 年本），本项目不属于淘汰类或限制类，亦不属于其他法律法规要求淘汰和限制的产业；项目生产过程中不含有《部分工业行业淘汰落后生产工艺装备和产品指导目录（2010 年本）》中列出的淘汰设备；该项目已经于2022年10月备案（2210-340262-04-01-407397）。因此，本项目符合国家和地方相关产业政策。</w:t>
            </w:r>
          </w:p>
          <w:p>
            <w:pPr>
              <w:pStyle w:val="2"/>
              <w:ind w:firstLine="560"/>
              <w:rPr>
                <w:color w:val="000000" w:themeColor="text1"/>
                <w14:textFill>
                  <w14:solidFill>
                    <w14:schemeClr w14:val="tx1"/>
                  </w14:solidFill>
                </w14:textFill>
              </w:rPr>
            </w:pPr>
          </w:p>
          <w:p>
            <w:pPr>
              <w:autoSpaceDE w:val="0"/>
              <w:autoSpaceDN w:val="0"/>
              <w:spacing w:line="360" w:lineRule="auto"/>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三线一单</w:t>
            </w:r>
            <w:r>
              <w:rPr>
                <w:rFonts w:hint="eastAsia"/>
                <w:b/>
                <w:bCs/>
                <w:color w:val="000000" w:themeColor="text1"/>
                <w14:textFill>
                  <w14:solidFill>
                    <w14:schemeClr w14:val="tx1"/>
                  </w14:solidFill>
                </w14:textFill>
              </w:rPr>
              <w:t>”相符性</w:t>
            </w:r>
            <w:r>
              <w:rPr>
                <w:b/>
                <w:bCs/>
                <w:color w:val="000000" w:themeColor="text1"/>
                <w14:textFill>
                  <w14:solidFill>
                    <w14:schemeClr w14:val="tx1"/>
                  </w14:solidFill>
                </w14:textFill>
              </w:rPr>
              <w:t>分析</w:t>
            </w:r>
          </w:p>
          <w:p>
            <w:pPr>
              <w:widowControl/>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（1）生态保护红线</w:t>
            </w:r>
          </w:p>
          <w:p>
            <w:pPr>
              <w:widowControl/>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本项目位于</w:t>
            </w:r>
            <w:r>
              <w:rPr>
                <w:rFonts w:hint="eastAsia"/>
                <w:color w:val="000000" w:themeColor="text1"/>
                <w14:textFill>
                  <w14:solidFill>
                    <w14:schemeClr w14:val="tx1"/>
                  </w14:solidFill>
                </w14:textFill>
              </w:rPr>
              <w:t>安徽省芜湖市鸠江区沈巷镇江北产业集中区中小企业园新能源新材料产业聚集区4#厂房</w:t>
            </w:r>
            <w:r>
              <w:rPr>
                <w:color w:val="000000" w:themeColor="text1"/>
                <w14:textFill>
                  <w14:solidFill>
                    <w14:schemeClr w14:val="tx1"/>
                  </w14:solidFill>
                </w14:textFill>
              </w:rPr>
              <w:t>，根据调查，建设项目</w:t>
            </w:r>
            <w:r>
              <w:rPr>
                <w:rFonts w:hint="eastAsia"/>
                <w:color w:val="000000" w:themeColor="text1"/>
                <w14:textFill>
                  <w14:solidFill>
                    <w14:schemeClr w14:val="tx1"/>
                  </w14:solidFill>
                </w14:textFill>
              </w:rPr>
              <w:t>所在地不涉及具有重要水源涵养、生物多样性维护、水土保持、防风固沙、海岸生稳定等功能的生态功能重要区域，以及水土流失、土地沙化、石漠化、盐渍化等生态环境敏感脆弱区域，</w:t>
            </w:r>
            <w:r>
              <w:rPr>
                <w:color w:val="000000" w:themeColor="text1"/>
                <w14:textFill>
                  <w14:solidFill>
                    <w14:schemeClr w14:val="tx1"/>
                  </w14:solidFill>
                </w14:textFill>
              </w:rPr>
              <w:t>项目建设</w:t>
            </w:r>
            <w:r>
              <w:rPr>
                <w:rFonts w:hint="eastAsia"/>
                <w:color w:val="000000" w:themeColor="text1"/>
                <w14:textFill>
                  <w14:solidFill>
                    <w14:schemeClr w14:val="tx1"/>
                  </w14:solidFill>
                </w14:textFill>
              </w:rPr>
              <w:t>，不涉及生态环境保护红线范围内用地，符合生态保护红线要求</w:t>
            </w:r>
            <w:r>
              <w:rPr>
                <w:color w:val="000000" w:themeColor="text1"/>
                <w14:textFill>
                  <w14:solidFill>
                    <w14:schemeClr w14:val="tx1"/>
                  </w14:solidFill>
                </w14:textFill>
              </w:rPr>
              <w:t>。</w:t>
            </w:r>
          </w:p>
          <w:p>
            <w:pPr>
              <w:widowControl/>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因此，项目选址、规划、发展内容等满足安徽省和</w:t>
            </w:r>
            <w:r>
              <w:rPr>
                <w:rFonts w:hint="eastAsia"/>
                <w:color w:val="000000" w:themeColor="text1"/>
                <w14:textFill>
                  <w14:solidFill>
                    <w14:schemeClr w14:val="tx1"/>
                  </w14:solidFill>
                </w14:textFill>
              </w:rPr>
              <w:t>芜湖市</w:t>
            </w:r>
            <w:r>
              <w:rPr>
                <w:color w:val="000000" w:themeColor="text1"/>
                <w14:textFill>
                  <w14:solidFill>
                    <w14:schemeClr w14:val="tx1"/>
                  </w14:solidFill>
                </w14:textFill>
              </w:rPr>
              <w:t>生态保护红线要求。</w:t>
            </w:r>
          </w:p>
          <w:p>
            <w:pPr>
              <w:widowControl/>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（2）环境质量底线</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①根据芜湖市生态环境局网站公布的《2021年芜湖市环境状况公报》，项目所在区域为环境空气质量达标区域。</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②根据监测结果，项目所在区域地表水长江芜湖段能够满足 《地表水环境质量标准》（</w:t>
            </w:r>
            <w:r>
              <w:rPr>
                <w:color w:val="000000" w:themeColor="text1"/>
                <w14:textFill>
                  <w14:solidFill>
                    <w14:schemeClr w14:val="tx1"/>
                  </w14:solidFill>
                </w14:textFill>
              </w:rPr>
              <w:t>GB3838-2002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Ⅲ</w:t>
            </w:r>
            <w:r>
              <w:rPr>
                <w:rFonts w:hint="eastAsia"/>
                <w:color w:val="000000" w:themeColor="text1"/>
                <w14:textFill>
                  <w14:solidFill>
                    <w14:schemeClr w14:val="tx1"/>
                  </w14:solidFill>
                </w14:textFill>
              </w:rPr>
              <w:t xml:space="preserve">类水体功能要求；本项目污水经化粪池处理后一起接入市政污水管网，纳入芜湖市江北污水处理厂处理后排入长江，不会降低长江水环境现状。 </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③项目周边声环境能满足《声环境质量标准（</w:t>
            </w:r>
            <w:r>
              <w:rPr>
                <w:color w:val="000000" w:themeColor="text1"/>
                <w14:textFill>
                  <w14:solidFill>
                    <w14:schemeClr w14:val="tx1"/>
                  </w14:solidFill>
                </w14:textFill>
              </w:rPr>
              <w:t>GB3096-2008</w:t>
            </w:r>
            <w:r>
              <w:rPr>
                <w:rFonts w:hint="eastAsia"/>
                <w:color w:val="000000" w:themeColor="text1"/>
                <w14:textFill>
                  <w14:solidFill>
                    <w14:schemeClr w14:val="tx1"/>
                  </w14:solidFill>
                </w14:textFill>
              </w:rPr>
              <w:t xml:space="preserve">）中3类标准。 </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本项目在采取环评中提出的污染防治措施后，各项污染物均可达标排放，对周围环境影响较小。</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（3）资源利用上线</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本项目采用清洁能源，不使用高能耗能源，项目用水来自自来水管网，用电由市政电网供给，项目用地为规划工业用地，因此，项目用水、用电、用地均不会达到资源利用上线。</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）生态环境准入负面清单 </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 </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本项目属于</w:t>
            </w:r>
            <w:r>
              <w:rPr>
                <w:rFonts w:hint="eastAsia"/>
                <w:color w:val="000000" w:themeColor="text1"/>
                <w:kern w:val="0"/>
                <w:lang w:bidi="ar"/>
                <w14:textFill>
                  <w14:solidFill>
                    <w14:schemeClr w14:val="tx1"/>
                  </w14:solidFill>
                </w14:textFill>
              </w:rPr>
              <w:t>塑料薄膜制造C2921</w:t>
            </w:r>
            <w:r>
              <w:rPr>
                <w:color w:val="000000" w:themeColor="text1"/>
                <w:kern w:val="0"/>
                <w:lang w:bidi="ar"/>
                <w14:textFill>
                  <w14:solidFill>
                    <w14:schemeClr w14:val="tx1"/>
                  </w14:solidFill>
                </w14:textFill>
              </w:rPr>
              <w:t>，符合</w:t>
            </w:r>
            <w:r>
              <w:rPr>
                <w:rFonts w:hint="eastAsia"/>
                <w:color w:val="000000" w:themeColor="text1"/>
                <w:kern w:val="0"/>
                <w:lang w:bidi="ar"/>
                <w14:textFill>
                  <w14:solidFill>
                    <w14:schemeClr w14:val="tx1"/>
                  </w14:solidFill>
                </w14:textFill>
              </w:rPr>
              <w:t>芜湖市鸠江区沈巷镇江北产业集中区</w:t>
            </w:r>
            <w:r>
              <w:rPr>
                <w:color w:val="000000" w:themeColor="text1"/>
                <w:kern w:val="0"/>
                <w:lang w:bidi="ar"/>
                <w14:textFill>
                  <w14:solidFill>
                    <w14:schemeClr w14:val="tx1"/>
                  </w14:solidFill>
                </w14:textFill>
              </w:rPr>
              <w:t>定位。本项目不属于《芜湖市“三线一单”生态环境准入清单（成果）》中项目；本项目不属于国家发改委颁布的《产业结构调整指导目录（2019年本）》（2021年修订）中的淘汰类和限制类，属于允许类项目，本项目符合国家产业政策。</w:t>
            </w:r>
          </w:p>
          <w:p>
            <w:pPr>
              <w:autoSpaceDE w:val="0"/>
              <w:autoSpaceDN w:val="0"/>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综上所述，本项目建设符合“三线一单”相关要求。</w:t>
            </w:r>
          </w:p>
          <w:p>
            <w:pPr>
              <w:autoSpaceDE w:val="0"/>
              <w:autoSpaceDN w:val="0"/>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3、与《芜湖市“三线一单”生态环境准入清单（成果）》相符性分析</w:t>
            </w:r>
          </w:p>
          <w:p>
            <w:pPr>
              <w:autoSpaceDE w:val="0"/>
              <w:autoSpaceDN w:val="0"/>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根据《芜湖市“三线一单”生态环境准入清单（成果）》（芜湖市生态环境局，2020年12月）表4中开发区生态环境准入清单中的</w:t>
            </w:r>
            <w:r>
              <w:rPr>
                <w:rFonts w:hint="eastAsia"/>
                <w:color w:val="000000" w:themeColor="text1"/>
                <w:kern w:val="0"/>
                <w:lang w:bidi="ar"/>
                <w14:textFill>
                  <w14:solidFill>
                    <w14:schemeClr w14:val="tx1"/>
                  </w14:solidFill>
                </w14:textFill>
              </w:rPr>
              <w:t>芜湖市鸠江区沈巷镇江北产业集中区</w:t>
            </w:r>
            <w:r>
              <w:rPr>
                <w:rFonts w:hint="eastAsia"/>
                <w:color w:val="000000" w:themeColor="text1"/>
                <w14:textFill>
                  <w14:solidFill>
                    <w14:schemeClr w14:val="tx1"/>
                  </w14:solidFill>
                </w14:textFill>
              </w:rPr>
              <w:t>的生态环境准入条件，本项目与其相符性分析详见下表。</w:t>
            </w:r>
          </w:p>
          <w:p>
            <w:pPr>
              <w:pStyle w:val="6"/>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表1-2 本项目与《芜湖市“三线一单”生态环境准入清单（成果）》相符性分析</w:t>
            </w:r>
          </w:p>
          <w:tbl>
            <w:tblPr>
              <w:tblStyle w:val="29"/>
              <w:tblW w:w="5000" w:type="pct"/>
              <w:jc w:val="center"/>
              <w:tblLayout w:type="autofit"/>
              <w:tblCellMar>
                <w:top w:w="0" w:type="dxa"/>
                <w:left w:w="108" w:type="dxa"/>
                <w:bottom w:w="0" w:type="dxa"/>
                <w:right w:w="108" w:type="dxa"/>
              </w:tblCellMar>
            </w:tblPr>
            <w:tblGrid>
              <w:gridCol w:w="529"/>
              <w:gridCol w:w="673"/>
              <w:gridCol w:w="3003"/>
              <w:gridCol w:w="1818"/>
              <w:gridCol w:w="642"/>
            </w:tblGrid>
            <w:tr>
              <w:tblPrEx>
                <w:tblCellMar>
                  <w:top w:w="0" w:type="dxa"/>
                  <w:left w:w="108" w:type="dxa"/>
                  <w:bottom w:w="0" w:type="dxa"/>
                  <w:right w:w="108" w:type="dxa"/>
                </w:tblCellMar>
              </w:tblPrEx>
              <w:trPr>
                <w:trHeight w:val="36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编号</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b/>
                      <w:bCs/>
                      <w:color w:val="000000" w:themeColor="text1"/>
                      <w:sz w:val="21"/>
                      <w:szCs w:val="21"/>
                      <w14:textFill>
                        <w14:solidFill>
                          <w14:schemeClr w14:val="tx1"/>
                        </w14:solidFill>
                      </w14:textFill>
                    </w:rPr>
                  </w:pPr>
                  <w:r>
                    <w:rPr>
                      <w:rFonts w:hint="eastAsia"/>
                      <w:b/>
                      <w:bCs/>
                      <w:color w:val="000000" w:themeColor="text1"/>
                      <w:kern w:val="0"/>
                      <w:sz w:val="21"/>
                      <w:szCs w:val="21"/>
                      <w:lang w:bidi="ar"/>
                      <w14:textFill>
                        <w14:solidFill>
                          <w14:schemeClr w14:val="tx1"/>
                        </w14:solidFill>
                      </w14:textFill>
                    </w:rPr>
                    <w:t>内容</w:t>
                  </w:r>
                </w:p>
              </w:tc>
              <w:tc>
                <w:tcPr>
                  <w:tcW w:w="9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要求</w:t>
                  </w:r>
                </w:p>
              </w:tc>
              <w:tc>
                <w:tcPr>
                  <w:tcW w:w="4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本项目情况</w:t>
                  </w: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b/>
                      <w:bCs/>
                      <w:color w:val="000000" w:themeColor="text1"/>
                      <w:sz w:val="21"/>
                      <w:szCs w:val="21"/>
                      <w14:textFill>
                        <w14:solidFill>
                          <w14:schemeClr w14:val="tx1"/>
                        </w14:solidFill>
                      </w14:textFill>
                    </w:rPr>
                  </w:pPr>
                  <w:r>
                    <w:rPr>
                      <w:rFonts w:hint="eastAsia"/>
                      <w:b/>
                      <w:bCs/>
                      <w:color w:val="000000" w:themeColor="text1"/>
                      <w:kern w:val="0"/>
                      <w:sz w:val="21"/>
                      <w:szCs w:val="21"/>
                      <w:lang w:bidi="ar"/>
                      <w14:textFill>
                        <w14:solidFill>
                          <w14:schemeClr w14:val="tx1"/>
                        </w14:solidFill>
                      </w14:textFill>
                    </w:rPr>
                    <w:t>分析结果</w:t>
                  </w:r>
                </w:p>
              </w:tc>
            </w:tr>
            <w:tr>
              <w:tblPrEx>
                <w:tblCellMar>
                  <w:top w:w="0" w:type="dxa"/>
                  <w:left w:w="108" w:type="dxa"/>
                  <w:bottom w:w="0" w:type="dxa"/>
                  <w:right w:w="108" w:type="dxa"/>
                </w:tblCellMar>
              </w:tblPrEx>
              <w:trPr>
                <w:trHeight w:val="36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污染物排放管控</w:t>
                  </w:r>
                </w:p>
              </w:tc>
              <w:tc>
                <w:tcPr>
                  <w:tcW w:w="9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1、单位工业增加值SO</w:t>
                  </w:r>
                  <w:r>
                    <w:rPr>
                      <w:color w:val="000000" w:themeColor="text1"/>
                      <w:kern w:val="0"/>
                      <w:sz w:val="21"/>
                      <w:szCs w:val="21"/>
                      <w:vertAlign w:val="subscript"/>
                      <w:lang w:bidi="ar"/>
                      <w14:textFill>
                        <w14:solidFill>
                          <w14:schemeClr w14:val="tx1"/>
                        </w14:solidFill>
                      </w14:textFill>
                    </w:rPr>
                    <w:t>2</w:t>
                  </w:r>
                  <w:r>
                    <w:rPr>
                      <w:color w:val="000000" w:themeColor="text1"/>
                      <w:kern w:val="0"/>
                      <w:sz w:val="21"/>
                      <w:szCs w:val="21"/>
                      <w:lang w:bidi="ar"/>
                      <w14:textFill>
                        <w14:solidFill>
                          <w14:schemeClr w14:val="tx1"/>
                        </w14:solidFill>
                      </w14:textFill>
                    </w:rPr>
                    <w:t>排放量≤1kg/万元</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2、单位工业增加值COD排放量≤1kg/万元</w:t>
                  </w:r>
                </w:p>
              </w:tc>
              <w:tc>
                <w:tcPr>
                  <w:tcW w:w="4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1、</w:t>
                  </w:r>
                  <w:r>
                    <w:rPr>
                      <w:rFonts w:hint="eastAsia"/>
                      <w:color w:val="000000" w:themeColor="text1"/>
                      <w:kern w:val="0"/>
                      <w:sz w:val="21"/>
                      <w:szCs w:val="21"/>
                      <w:lang w:bidi="ar"/>
                      <w14:textFill>
                        <w14:solidFill>
                          <w14:schemeClr w14:val="tx1"/>
                        </w14:solidFill>
                      </w14:textFill>
                    </w:rPr>
                    <w:t>本项目不新增二氧化硫</w:t>
                  </w:r>
                  <w:r>
                    <w:rPr>
                      <w:color w:val="000000" w:themeColor="text1"/>
                      <w:kern w:val="0"/>
                      <w:sz w:val="21"/>
                      <w:szCs w:val="21"/>
                      <w:lang w:bidi="ar"/>
                      <w14:textFill>
                        <w14:solidFill>
                          <w14:schemeClr w14:val="tx1"/>
                        </w14:solidFill>
                      </w14:textFill>
                    </w:rPr>
                    <w:t>排放量2、本项目新增COD排放为</w:t>
                  </w:r>
                  <w:r>
                    <w:rPr>
                      <w:rFonts w:hint="eastAsia"/>
                      <w:color w:val="000000" w:themeColor="text1"/>
                      <w:kern w:val="0"/>
                      <w:sz w:val="21"/>
                      <w:szCs w:val="21"/>
                      <w:lang w:bidi="ar"/>
                      <w14:textFill>
                        <w14:solidFill>
                          <w14:schemeClr w14:val="tx1"/>
                        </w14:solidFill>
                      </w14:textFill>
                    </w:rPr>
                    <w:t>0.3606</w:t>
                  </w:r>
                  <w:r>
                    <w:rPr>
                      <w:color w:val="000000" w:themeColor="text1"/>
                      <w:kern w:val="0"/>
                      <w:sz w:val="21"/>
                      <w:szCs w:val="21"/>
                      <w:lang w:bidi="ar"/>
                      <w14:textFill>
                        <w14:solidFill>
                          <w14:schemeClr w14:val="tx1"/>
                        </w14:solidFill>
                      </w14:textFill>
                    </w:rPr>
                    <w:t>t/a,单位工业增加值COD排放量&lt;lkg/万元</w:t>
                  </w: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环境风险防控</w:t>
                  </w:r>
                </w:p>
              </w:tc>
              <w:tc>
                <w:tcPr>
                  <w:tcW w:w="9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1、对园区生产进行实时监控与预警,防止突发性环境污染事故的发生。2、按照《企业突发环境事件风险评估指南(试行)》、《企业事业单位突发环境事件应急预案备案管理办法(试行)》、《建设项目环境风险评价技术导》(HJ169-2018)等规定编制园区环境风险应急预案并完成备案。3、配备应急物质,并定期演练,企业严格落实建设项目"三同时"制度,实行应急联动措施。</w:t>
                  </w:r>
                </w:p>
              </w:tc>
              <w:tc>
                <w:tcPr>
                  <w:tcW w:w="4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1、园区已制定并落实园区综合环境风险防范、预警和应急体系</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2、本项目无重大危险源</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厂区后期建设中将配备应急物质,并定期演练</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项目将严格落实建设项目"三同时"制度。</w:t>
                  </w: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3</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资源开发利用效率要求</w:t>
                  </w:r>
                </w:p>
              </w:tc>
              <w:tc>
                <w:tcPr>
                  <w:tcW w:w="9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单位工业增加值新鲜水耗≤8m³/万元</w:t>
                  </w:r>
                </w:p>
              </w:tc>
              <w:tc>
                <w:tcPr>
                  <w:tcW w:w="4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本项目新增年收入约</w:t>
                  </w:r>
                  <w:r>
                    <w:rPr>
                      <w:rFonts w:hint="eastAsia"/>
                      <w:color w:val="000000" w:themeColor="text1"/>
                      <w:kern w:val="0"/>
                      <w:sz w:val="21"/>
                      <w:szCs w:val="21"/>
                      <w:lang w:bidi="ar"/>
                      <w14:textFill>
                        <w14:solidFill>
                          <w14:schemeClr w14:val="tx1"/>
                        </w14:solidFill>
                      </w14:textFill>
                    </w:rPr>
                    <w:t>10</w:t>
                  </w:r>
                  <w:r>
                    <w:rPr>
                      <w:color w:val="000000" w:themeColor="text1"/>
                      <w:kern w:val="0"/>
                      <w:sz w:val="21"/>
                      <w:szCs w:val="21"/>
                      <w:lang w:bidi="ar"/>
                      <w14:textFill>
                        <w14:solidFill>
                          <w14:schemeClr w14:val="tx1"/>
                        </w14:solidFill>
                      </w14:textFill>
                    </w:rPr>
                    <w:t>000万元,新鲜用水量为</w:t>
                  </w:r>
                  <w:r>
                    <w:rPr>
                      <w:rFonts w:hint="eastAsia"/>
                      <w:color w:val="000000" w:themeColor="text1"/>
                      <w:kern w:val="0"/>
                      <w:sz w:val="21"/>
                      <w:szCs w:val="21"/>
                      <w:lang w:bidi="ar"/>
                      <w14:textFill>
                        <w14:solidFill>
                          <w14:schemeClr w14:val="tx1"/>
                        </w14:solidFill>
                      </w14:textFill>
                    </w:rPr>
                    <w:t>1848</w:t>
                  </w:r>
                  <w:r>
                    <w:rPr>
                      <w:color w:val="000000" w:themeColor="text1"/>
                      <w:kern w:val="0"/>
                      <w:sz w:val="21"/>
                      <w:szCs w:val="21"/>
                      <w:lang w:bidi="ar"/>
                      <w14:textFill>
                        <w14:solidFill>
                          <w14:schemeClr w14:val="tx1"/>
                        </w14:solidFill>
                      </w14:textFill>
                    </w:rPr>
                    <w:t>m</w:t>
                  </w:r>
                  <w:r>
                    <w:rPr>
                      <w:rFonts w:hint="eastAsia"/>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/a,则单位工业增加值新鲜水耗&lt;8m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/万元</w:t>
                  </w: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17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产业准入要求</w:t>
                  </w:r>
                </w:p>
              </w:tc>
              <w:tc>
                <w:tcPr>
                  <w:tcW w:w="9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1、优先鼓励项目</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大力发展节能环保设备、新能源设备、轨道交通设备、物流机械、建筑机械等具有国内先进水平的先导产业</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省级以上高新技术企业、高新技术产品优先入区,产业发展及布局应符合集聚区发展规划,鼓励高科技产品、外资项目、产出率高的</w:t>
                  </w:r>
                  <w:r>
                    <w:rPr>
                      <w:rFonts w:hint="eastAsia"/>
                      <w:color w:val="000000" w:themeColor="text1"/>
                      <w:kern w:val="0"/>
                      <w:sz w:val="21"/>
                      <w:szCs w:val="21"/>
                      <w:lang w:bidi="ar"/>
                      <w14:textFill>
                        <w14:solidFill>
                          <w14:schemeClr w14:val="tx1"/>
                        </w14:solidFill>
                      </w14:textFill>
                    </w:rPr>
                    <w:t>项目</w:t>
                  </w:r>
                  <w:r>
                    <w:rPr>
                      <w:color w:val="000000" w:themeColor="text1"/>
                      <w:kern w:val="0"/>
                      <w:sz w:val="21"/>
                      <w:szCs w:val="21"/>
                      <w:lang w:bidi="ar"/>
                      <w14:textFill>
                        <w14:solidFill>
                          <w14:schemeClr w14:val="tx1"/>
                        </w14:solidFill>
                      </w14:textFill>
                    </w:rPr>
                    <w:t>入驻,鼓励大型、带动力强的企业入驻</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2、限制发展项目</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限制用水效益低、耗水高的产业发展,限制污染较重对城区大气环境造成较大影响的项目</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项目工艺过程必须使用清洁能源</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入区制造业项目的生产工艺水平、技术装备水平、能耗、水耗、排污及清洁生产水平、管理水平等,应达到国内领先水平或国际先进水平</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限制挥发性有机物排放量高的企业入驻。3、禁止发展项目</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禁止《产业结构调整指导目录(2019年本)》中落后生产工艺装备、落后产品生产项目，不符合国家和安徽省产业政策的项目入驻，禁止新上煤化工、冶金、钢铁、铁合金等行业项目；禁止新上水泥、焦炭、有色冶炼、工业硅、金刚砂等高耗能、高污染项目，禁止使用燃煤、重油、生物质燃料等高污染燃料设施，制浆造纸、制革及毛皮鞣制、印染等项目，涉及铅、铬、镉、汞、砷等重金属污染物排放的相关项目禁止入驻，禁止易燃、易爆和剧毒等危险品物流项目，重大危险源项目。</w:t>
                  </w:r>
                </w:p>
              </w:tc>
              <w:tc>
                <w:tcPr>
                  <w:tcW w:w="49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本项目属于芜湖市鸠江区沈巷镇江北产业集中区</w:t>
                  </w:r>
                  <w:r>
                    <w:rPr>
                      <w:rFonts w:hint="eastAsia"/>
                      <w:color w:val="000000" w:themeColor="text1"/>
                      <w:kern w:val="0"/>
                      <w:sz w:val="21"/>
                      <w:szCs w:val="21"/>
                      <w:lang w:bidi="ar"/>
                      <w14:textFill>
                        <w14:solidFill>
                          <w14:schemeClr w14:val="tx1"/>
                        </w14:solidFill>
                      </w14:textFill>
                    </w:rPr>
                    <w:t>中的鼓励发展</w:t>
                  </w:r>
                  <w:r>
                    <w:rPr>
                      <w:color w:val="000000" w:themeColor="text1"/>
                      <w:kern w:val="0"/>
                      <w:sz w:val="21"/>
                      <w:szCs w:val="21"/>
                      <w:lang w:bidi="ar"/>
                      <w14:textFill>
                        <w14:solidFill>
                          <w14:schemeClr w14:val="tx1"/>
                        </w14:solidFill>
                      </w14:textFill>
                    </w:rPr>
                    <w:t>项目</w:t>
                  </w: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bl>
          <w:p>
            <w:pPr>
              <w:rPr>
                <w:color w:val="000000" w:themeColor="text1"/>
                <w14:textFill>
                  <w14:solidFill>
                    <w14:schemeClr w14:val="tx1"/>
                  </w14:solidFill>
                </w14:textFill>
              </w:rPr>
            </w:pPr>
          </w:p>
          <w:p>
            <w:pPr>
              <w:autoSpaceDE w:val="0"/>
              <w:autoSpaceDN w:val="0"/>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由上表可知，本项目建设符合《芜湖市“三线一单”生态环境准入清单（成果）》文件中的相关要求。</w:t>
            </w:r>
          </w:p>
          <w:p>
            <w:pPr>
              <w:autoSpaceDE w:val="0"/>
              <w:autoSpaceDN w:val="0"/>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与《全面打造水清岸绿产业优美丽长江（安徽）经济带的实施意见（2021年8日9日）》（升级版）（皖发[2021]9号）、《关于全面打造水清岸绿产业优美丽长江（芜湖）经济带的实施方案（升级版）》（芜市办[2021]28号）分析</w:t>
            </w:r>
          </w:p>
          <w:p>
            <w:pPr>
              <w:pStyle w:val="6"/>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表1-3  项目与“皖发[2021]19 号”及“芜市办[2021]28 号”文件相符性</w:t>
            </w:r>
          </w:p>
          <w:tbl>
            <w:tblPr>
              <w:tblStyle w:val="29"/>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17"/>
              <w:gridCol w:w="3053"/>
              <w:gridCol w:w="1770"/>
              <w:gridCol w:w="9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47" w:type="dxa"/>
                  <w:vAlign w:val="center"/>
                </w:tcPr>
                <w:p>
                  <w:pPr>
                    <w:spacing w:line="240" w:lineRule="atLeast"/>
                    <w:jc w:val="center"/>
                    <w:rPr>
                      <w:b/>
                      <w:color w:val="000000" w:themeColor="text1"/>
                      <w:sz w:val="21"/>
                      <w:szCs w:val="21"/>
                      <w14:textFill>
                        <w14:solidFill>
                          <w14:schemeClr w14:val="tx1"/>
                        </w14:solidFill>
                      </w14:textFill>
                    </w:rPr>
                  </w:pPr>
                  <w:r>
                    <w:rPr>
                      <w:b/>
                      <w:color w:val="000000" w:themeColor="text1"/>
                      <w:spacing w:val="-8"/>
                      <w:sz w:val="21"/>
                      <w:szCs w:val="21"/>
                      <w14:textFill>
                        <w14:solidFill>
                          <w14:schemeClr w14:val="tx1"/>
                        </w14:solidFill>
                      </w14:textFill>
                    </w:rPr>
                    <w:t>内</w:t>
                  </w:r>
                  <w:r>
                    <w:rPr>
                      <w:b/>
                      <w:color w:val="000000" w:themeColor="text1"/>
                      <w:spacing w:val="-6"/>
                      <w:sz w:val="21"/>
                      <w:szCs w:val="21"/>
                      <w14:textFill>
                        <w14:solidFill>
                          <w14:schemeClr w14:val="tx1"/>
                        </w14:solidFill>
                      </w14:textFill>
                    </w:rPr>
                    <w:t>容</w:t>
                  </w:r>
                </w:p>
              </w:tc>
              <w:tc>
                <w:tcPr>
                  <w:tcW w:w="3151" w:type="dxa"/>
                  <w:vAlign w:val="center"/>
                </w:tcPr>
                <w:p>
                  <w:pPr>
                    <w:spacing w:line="240" w:lineRule="atLeast"/>
                    <w:jc w:val="center"/>
                    <w:rPr>
                      <w:b/>
                      <w:color w:val="000000" w:themeColor="text1"/>
                      <w:sz w:val="21"/>
                      <w:szCs w:val="21"/>
                      <w14:textFill>
                        <w14:solidFill>
                          <w14:schemeClr w14:val="tx1"/>
                        </w14:solidFill>
                      </w14:textFill>
                    </w:rPr>
                  </w:pPr>
                  <w:r>
                    <w:rPr>
                      <w:b/>
                      <w:color w:val="000000" w:themeColor="text1"/>
                      <w:spacing w:val="6"/>
                      <w:sz w:val="21"/>
                      <w:szCs w:val="21"/>
                      <w14:textFill>
                        <w14:solidFill>
                          <w14:schemeClr w14:val="tx1"/>
                        </w14:solidFill>
                      </w14:textFill>
                    </w:rPr>
                    <w:t>要</w:t>
                  </w:r>
                  <w:r>
                    <w:rPr>
                      <w:b/>
                      <w:color w:val="000000" w:themeColor="text1"/>
                      <w:spacing w:val="5"/>
                      <w:sz w:val="21"/>
                      <w:szCs w:val="21"/>
                      <w14:textFill>
                        <w14:solidFill>
                          <w14:schemeClr w14:val="tx1"/>
                        </w14:solidFill>
                      </w14:textFill>
                    </w:rPr>
                    <w:t>求</w:t>
                  </w:r>
                </w:p>
              </w:tc>
              <w:tc>
                <w:tcPr>
                  <w:tcW w:w="1806" w:type="dxa"/>
                  <w:vAlign w:val="center"/>
                </w:tcPr>
                <w:p>
                  <w:pPr>
                    <w:spacing w:line="240" w:lineRule="atLeast"/>
                    <w:jc w:val="center"/>
                    <w:rPr>
                      <w:b/>
                      <w:color w:val="000000" w:themeColor="text1"/>
                      <w:sz w:val="21"/>
                      <w:szCs w:val="21"/>
                      <w14:textFill>
                        <w14:solidFill>
                          <w14:schemeClr w14:val="tx1"/>
                        </w14:solidFill>
                      </w14:textFill>
                    </w:rPr>
                  </w:pPr>
                  <w:r>
                    <w:rPr>
                      <w:b/>
                      <w:color w:val="000000" w:themeColor="text1"/>
                      <w:spacing w:val="10"/>
                      <w:sz w:val="21"/>
                      <w:szCs w:val="21"/>
                      <w14:textFill>
                        <w14:solidFill>
                          <w14:schemeClr w14:val="tx1"/>
                        </w14:solidFill>
                      </w14:textFill>
                    </w:rPr>
                    <w:t>项</w:t>
                  </w:r>
                  <w:r>
                    <w:rPr>
                      <w:b/>
                      <w:color w:val="000000" w:themeColor="text1"/>
                      <w:spacing w:val="7"/>
                      <w:sz w:val="21"/>
                      <w:szCs w:val="21"/>
                      <w14:textFill>
                        <w14:solidFill>
                          <w14:schemeClr w14:val="tx1"/>
                        </w14:solidFill>
                      </w14:textFill>
                    </w:rPr>
                    <w:t>目情况</w:t>
                  </w:r>
                </w:p>
              </w:tc>
              <w:tc>
                <w:tcPr>
                  <w:tcW w:w="950" w:type="dxa"/>
                  <w:tcBorders>
                    <w:right w:val="single" w:color="000000" w:sz="6" w:space="0"/>
                  </w:tcBorders>
                  <w:vAlign w:val="center"/>
                </w:tcPr>
                <w:p>
                  <w:pPr>
                    <w:spacing w:line="240" w:lineRule="atLeast"/>
                    <w:jc w:val="center"/>
                    <w:rPr>
                      <w:b/>
                      <w:color w:val="000000" w:themeColor="text1"/>
                      <w:sz w:val="21"/>
                      <w:szCs w:val="21"/>
                      <w14:textFill>
                        <w14:solidFill>
                          <w14:schemeClr w14:val="tx1"/>
                        </w14:solidFill>
                      </w14:textFill>
                    </w:rPr>
                  </w:pPr>
                  <w:r>
                    <w:rPr>
                      <w:b/>
                      <w:color w:val="000000" w:themeColor="text1"/>
                      <w:spacing w:val="9"/>
                      <w:sz w:val="21"/>
                      <w:szCs w:val="21"/>
                      <w14:textFill>
                        <w14:solidFill>
                          <w14:schemeClr w14:val="tx1"/>
                        </w14:solidFill>
                      </w14:textFill>
                    </w:rPr>
                    <w:t>相</w:t>
                  </w:r>
                  <w:r>
                    <w:rPr>
                      <w:b/>
                      <w:color w:val="000000" w:themeColor="text1"/>
                      <w:spacing w:val="7"/>
                      <w:sz w:val="21"/>
                      <w:szCs w:val="21"/>
                      <w14:textFill>
                        <w14:solidFill>
                          <w14:schemeClr w14:val="tx1"/>
                        </w14:solidFill>
                      </w14:textFill>
                    </w:rPr>
                    <w:t>符性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47"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7"/>
                      <w:sz w:val="21"/>
                      <w:szCs w:val="21"/>
                      <w14:textFill>
                        <w14:solidFill>
                          <w14:schemeClr w14:val="tx1"/>
                        </w14:solidFill>
                      </w14:textFill>
                    </w:rPr>
                    <w:t>严</w:t>
                  </w:r>
                  <w:r>
                    <w:rPr>
                      <w:color w:val="000000" w:themeColor="text1"/>
                      <w:spacing w:val="6"/>
                      <w:sz w:val="21"/>
                      <w:szCs w:val="21"/>
                      <w14:textFill>
                        <w14:solidFill>
                          <w14:schemeClr w14:val="tx1"/>
                        </w14:solidFill>
                      </w14:textFill>
                    </w:rPr>
                    <w:t>禁</w:t>
                  </w:r>
                  <w:r>
                    <w:rPr>
                      <w:rFonts w:eastAsia="Times New Roman"/>
                      <w:color w:val="000000" w:themeColor="text1"/>
                      <w:spacing w:val="6"/>
                      <w:sz w:val="21"/>
                      <w:szCs w:val="21"/>
                      <w14:textFill>
                        <w14:solidFill>
                          <w14:schemeClr w14:val="tx1"/>
                        </w14:solidFill>
                      </w14:textFill>
                    </w:rPr>
                    <w:t>1</w:t>
                  </w:r>
                  <w:r>
                    <w:rPr>
                      <w:color w:val="000000" w:themeColor="text1"/>
                      <w:spacing w:val="6"/>
                      <w:sz w:val="21"/>
                      <w:szCs w:val="21"/>
                      <w14:textFill>
                        <w14:solidFill>
                          <w14:schemeClr w14:val="tx1"/>
                        </w14:solidFill>
                      </w14:textFill>
                    </w:rPr>
                    <w:t>公</w:t>
                  </w:r>
                </w:p>
                <w:p>
                  <w:pPr>
                    <w:spacing w:line="240" w:lineRule="atLeast"/>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里范围</w:t>
                  </w:r>
                </w:p>
                <w:p>
                  <w:pPr>
                    <w:spacing w:line="240" w:lineRule="atLeast"/>
                    <w:jc w:val="center"/>
                    <w:rPr>
                      <w:color w:val="000000" w:themeColor="text1"/>
                      <w:sz w:val="21"/>
                      <w:szCs w:val="21"/>
                      <w14:textFill>
                        <w14:solidFill>
                          <w14:schemeClr w14:val="tx1"/>
                        </w14:solidFill>
                      </w14:textFill>
                    </w:rPr>
                  </w:pPr>
                  <w:r>
                    <w:rPr>
                      <w:color w:val="000000" w:themeColor="text1"/>
                      <w:spacing w:val="-2"/>
                      <w:sz w:val="21"/>
                      <w:szCs w:val="21"/>
                      <w14:textFill>
                        <w14:solidFill>
                          <w14:schemeClr w14:val="tx1"/>
                        </w14:solidFill>
                      </w14:textFill>
                    </w:rPr>
                    <w:t>内新</w:t>
                  </w:r>
                  <w:r>
                    <w:rPr>
                      <w:color w:val="000000" w:themeColor="text1"/>
                      <w:spacing w:val="-1"/>
                      <w:sz w:val="21"/>
                      <w:szCs w:val="21"/>
                      <w14:textFill>
                        <w14:solidFill>
                          <w14:schemeClr w14:val="tx1"/>
                        </w14:solidFill>
                      </w14:textFill>
                    </w:rPr>
                    <w:t>建</w:t>
                  </w:r>
                </w:p>
                <w:p>
                  <w:pPr>
                    <w:spacing w:line="240" w:lineRule="atLeast"/>
                    <w:jc w:val="center"/>
                    <w:rPr>
                      <w:color w:val="000000" w:themeColor="text1"/>
                      <w:sz w:val="21"/>
                      <w:szCs w:val="21"/>
                      <w14:textFill>
                        <w14:solidFill>
                          <w14:schemeClr w14:val="tx1"/>
                        </w14:solidFill>
                      </w14:textFill>
                    </w:rPr>
                  </w:pPr>
                  <w:r>
                    <w:rPr>
                      <w:color w:val="000000" w:themeColor="text1"/>
                      <w:spacing w:val="3"/>
                      <w:sz w:val="21"/>
                      <w:szCs w:val="21"/>
                      <w14:textFill>
                        <w14:solidFill>
                          <w14:schemeClr w14:val="tx1"/>
                        </w14:solidFill>
                      </w14:textFill>
                    </w:rPr>
                    <w:t>项目</w:t>
                  </w:r>
                </w:p>
              </w:tc>
              <w:tc>
                <w:tcPr>
                  <w:tcW w:w="3151" w:type="dxa"/>
                  <w:vAlign w:val="center"/>
                </w:tcPr>
                <w:p>
                  <w:pPr>
                    <w:spacing w:line="240" w:lineRule="atLeast"/>
                    <w:ind w:right="105" w:firstLine="1"/>
                    <w:jc w:val="center"/>
                    <w:rPr>
                      <w:color w:val="000000" w:themeColor="text1"/>
                      <w:sz w:val="21"/>
                      <w:szCs w:val="21"/>
                      <w14:textFill>
                        <w14:solidFill>
                          <w14:schemeClr w14:val="tx1"/>
                        </w14:solidFill>
                      </w14:textFill>
                    </w:rPr>
                  </w:pPr>
                  <w:r>
                    <w:rPr>
                      <w:color w:val="000000" w:themeColor="text1"/>
                      <w:spacing w:val="4"/>
                      <w:sz w:val="21"/>
                      <w:szCs w:val="21"/>
                      <w14:textFill>
                        <w14:solidFill>
                          <w14:schemeClr w14:val="tx1"/>
                        </w14:solidFill>
                      </w14:textFill>
                    </w:rPr>
                    <w:t>严禁</w:t>
                  </w:r>
                  <w:r>
                    <w:rPr>
                      <w:rFonts w:eastAsia="Times New Roman"/>
                      <w:color w:val="000000" w:themeColor="text1"/>
                      <w:spacing w:val="4"/>
                      <w:sz w:val="21"/>
                      <w:szCs w:val="21"/>
                      <w14:textFill>
                        <w14:solidFill>
                          <w14:schemeClr w14:val="tx1"/>
                        </w14:solidFill>
                      </w14:textFill>
                    </w:rPr>
                    <w:t>1</w:t>
                  </w:r>
                  <w:r>
                    <w:rPr>
                      <w:color w:val="000000" w:themeColor="text1"/>
                      <w:spacing w:val="4"/>
                      <w:sz w:val="21"/>
                      <w:szCs w:val="21"/>
                      <w14:textFill>
                        <w14:solidFill>
                          <w14:schemeClr w14:val="tx1"/>
                        </w14:solidFill>
                      </w14:textFill>
                    </w:rPr>
                    <w:t>公里</w:t>
                  </w:r>
                  <w:r>
                    <w:rPr>
                      <w:color w:val="000000" w:themeColor="text1"/>
                      <w:spacing w:val="2"/>
                      <w:sz w:val="21"/>
                      <w:szCs w:val="21"/>
                      <w14:textFill>
                        <w14:solidFill>
                          <w14:schemeClr w14:val="tx1"/>
                        </w14:solidFill>
                      </w14:textFill>
                    </w:rPr>
                    <w:t>范围内新建化工项目。严</w:t>
                  </w:r>
                  <w:r>
                    <w:rPr>
                      <w:color w:val="000000" w:themeColor="text1"/>
                      <w:spacing w:val="13"/>
                      <w:sz w:val="21"/>
                      <w:szCs w:val="21"/>
                      <w14:textFill>
                        <w14:solidFill>
                          <w14:schemeClr w14:val="tx1"/>
                        </w14:solidFill>
                      </w14:textFill>
                    </w:rPr>
                    <w:t>禁</w:t>
                  </w:r>
                  <w:r>
                    <w:rPr>
                      <w:color w:val="000000" w:themeColor="text1"/>
                      <w:spacing w:val="9"/>
                      <w:sz w:val="21"/>
                      <w:szCs w:val="21"/>
                      <w14:textFill>
                        <w14:solidFill>
                          <w14:schemeClr w14:val="tx1"/>
                        </w14:solidFill>
                      </w14:textFill>
                    </w:rPr>
                    <w:t>公里范围内新建化工项目。长江</w:t>
                  </w:r>
                  <w:r>
                    <w:rPr>
                      <w:color w:val="000000" w:themeColor="text1"/>
                      <w:spacing w:val="10"/>
                      <w:sz w:val="21"/>
                      <w:szCs w:val="21"/>
                      <w14:textFill>
                        <w14:solidFill>
                          <w14:schemeClr w14:val="tx1"/>
                        </w14:solidFill>
                      </w14:textFill>
                    </w:rPr>
                    <w:t>干</w:t>
                  </w:r>
                  <w:r>
                    <w:rPr>
                      <w:color w:val="000000" w:themeColor="text1"/>
                      <w:spacing w:val="9"/>
                      <w:sz w:val="21"/>
                      <w:szCs w:val="21"/>
                      <w14:textFill>
                        <w14:solidFill>
                          <w14:schemeClr w14:val="tx1"/>
                        </w14:solidFill>
                      </w14:textFill>
                    </w:rPr>
                    <w:t>支流岸线</w:t>
                  </w:r>
                  <w:r>
                    <w:rPr>
                      <w:rFonts w:eastAsia="Times New Roman"/>
                      <w:color w:val="000000" w:themeColor="text1"/>
                      <w:spacing w:val="9"/>
                      <w:sz w:val="21"/>
                      <w:szCs w:val="21"/>
                      <w14:textFill>
                        <w14:solidFill>
                          <w14:schemeClr w14:val="tx1"/>
                        </w14:solidFill>
                      </w14:textFill>
                    </w:rPr>
                    <w:t>1</w:t>
                  </w:r>
                  <w:r>
                    <w:rPr>
                      <w:color w:val="000000" w:themeColor="text1"/>
                      <w:spacing w:val="9"/>
                      <w:sz w:val="21"/>
                      <w:szCs w:val="21"/>
                      <w14:textFill>
                        <w14:solidFill>
                          <w14:schemeClr w14:val="tx1"/>
                        </w14:solidFill>
                      </w14:textFill>
                    </w:rPr>
                    <w:t>公里范围内，严禁新</w:t>
                  </w:r>
                  <w:r>
                    <w:rPr>
                      <w:color w:val="000000" w:themeColor="text1"/>
                      <w:spacing w:val="15"/>
                      <w:sz w:val="21"/>
                      <w:szCs w:val="21"/>
                      <w14:textFill>
                        <w14:solidFill>
                          <w14:schemeClr w14:val="tx1"/>
                        </w14:solidFill>
                      </w14:textFill>
                    </w:rPr>
                    <w:t>建</w:t>
                  </w:r>
                  <w:r>
                    <w:rPr>
                      <w:color w:val="000000" w:themeColor="text1"/>
                      <w:spacing w:val="9"/>
                      <w:sz w:val="21"/>
                      <w:szCs w:val="21"/>
                      <w14:textFill>
                        <w14:solidFill>
                          <w14:schemeClr w14:val="tx1"/>
                        </w14:solidFill>
                      </w14:textFill>
                    </w:rPr>
                    <w:t>、扩建化工园区和化工项目。已</w:t>
                  </w:r>
                  <w:r>
                    <w:rPr>
                      <w:color w:val="000000" w:themeColor="text1"/>
                      <w:spacing w:val="18"/>
                      <w:sz w:val="21"/>
                      <w:szCs w:val="21"/>
                      <w14:textFill>
                        <w14:solidFill>
                          <w14:schemeClr w14:val="tx1"/>
                        </w14:solidFill>
                      </w14:textFill>
                    </w:rPr>
                    <w:t>批</w:t>
                  </w:r>
                  <w:r>
                    <w:rPr>
                      <w:color w:val="000000" w:themeColor="text1"/>
                      <w:spacing w:val="9"/>
                      <w:sz w:val="21"/>
                      <w:szCs w:val="21"/>
                      <w14:textFill>
                        <w14:solidFill>
                          <w14:schemeClr w14:val="tx1"/>
                        </w14:solidFill>
                      </w14:textFill>
                    </w:rPr>
                    <w:t>未开工的项目，依法停止建设，</w:t>
                  </w:r>
                  <w:r>
                    <w:rPr>
                      <w:color w:val="000000" w:themeColor="text1"/>
                      <w:spacing w:val="15"/>
                      <w:sz w:val="21"/>
                      <w:szCs w:val="21"/>
                      <w14:textFill>
                        <w14:solidFill>
                          <w14:schemeClr w14:val="tx1"/>
                        </w14:solidFill>
                      </w14:textFill>
                    </w:rPr>
                    <w:t>支</w:t>
                  </w:r>
                  <w:r>
                    <w:rPr>
                      <w:color w:val="000000" w:themeColor="text1"/>
                      <w:spacing w:val="9"/>
                      <w:sz w:val="21"/>
                      <w:szCs w:val="21"/>
                      <w14:textFill>
                        <w14:solidFill>
                          <w14:schemeClr w14:val="tx1"/>
                        </w14:solidFill>
                      </w14:textFill>
                    </w:rPr>
                    <w:t>持重新选址。已经开工建设的项</w:t>
                  </w:r>
                  <w:r>
                    <w:rPr>
                      <w:color w:val="000000" w:themeColor="text1"/>
                      <w:spacing w:val="15"/>
                      <w:sz w:val="21"/>
                      <w:szCs w:val="21"/>
                      <w14:textFill>
                        <w14:solidFill>
                          <w14:schemeClr w14:val="tx1"/>
                        </w14:solidFill>
                      </w14:textFill>
                    </w:rPr>
                    <w:t>目</w:t>
                  </w:r>
                  <w:r>
                    <w:rPr>
                      <w:color w:val="000000" w:themeColor="text1"/>
                      <w:spacing w:val="9"/>
                      <w:sz w:val="21"/>
                      <w:szCs w:val="21"/>
                      <w14:textFill>
                        <w14:solidFill>
                          <w14:schemeClr w14:val="tx1"/>
                        </w14:solidFill>
                      </w14:textFill>
                    </w:rPr>
                    <w:t>，严格进行检查评估，不符合岸</w:t>
                  </w:r>
                  <w:r>
                    <w:rPr>
                      <w:color w:val="000000" w:themeColor="text1"/>
                      <w:spacing w:val="15"/>
                      <w:sz w:val="21"/>
                      <w:szCs w:val="21"/>
                      <w14:textFill>
                        <w14:solidFill>
                          <w14:schemeClr w14:val="tx1"/>
                        </w14:solidFill>
                      </w14:textFill>
                    </w:rPr>
                    <w:t>线</w:t>
                  </w:r>
                  <w:r>
                    <w:rPr>
                      <w:color w:val="000000" w:themeColor="text1"/>
                      <w:spacing w:val="9"/>
                      <w:sz w:val="21"/>
                      <w:szCs w:val="21"/>
                      <w14:textFill>
                        <w14:solidFill>
                          <w14:schemeClr w14:val="tx1"/>
                        </w14:solidFill>
                      </w14:textFill>
                    </w:rPr>
                    <w:t>规划和环保、安全要求的，全部</w:t>
                  </w:r>
                  <w:r>
                    <w:rPr>
                      <w:color w:val="000000" w:themeColor="text1"/>
                      <w:spacing w:val="8"/>
                      <w:sz w:val="21"/>
                      <w:szCs w:val="21"/>
                      <w14:textFill>
                        <w14:solidFill>
                          <w14:schemeClr w14:val="tx1"/>
                        </w14:solidFill>
                      </w14:textFill>
                    </w:rPr>
                    <w:t>依法依规停建搬迁</w:t>
                  </w:r>
                  <w:r>
                    <w:rPr>
                      <w:color w:val="000000" w:themeColor="text1"/>
                      <w:spacing w:val="6"/>
                      <w:sz w:val="21"/>
                      <w:szCs w:val="21"/>
                      <w14:textFill>
                        <w14:solidFill>
                          <w14:schemeClr w14:val="tx1"/>
                        </w14:solidFill>
                      </w14:textFill>
                    </w:rPr>
                    <w:t>。</w:t>
                  </w:r>
                </w:p>
              </w:tc>
              <w:tc>
                <w:tcPr>
                  <w:tcW w:w="1806"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13"/>
                      <w:sz w:val="21"/>
                      <w:szCs w:val="21"/>
                      <w14:textFill>
                        <w14:solidFill>
                          <w14:schemeClr w14:val="tx1"/>
                        </w14:solidFill>
                      </w14:textFill>
                    </w:rPr>
                    <w:t>本项目与长江干支</w:t>
                  </w:r>
                  <w:r>
                    <w:rPr>
                      <w:color w:val="000000" w:themeColor="text1"/>
                      <w:spacing w:val="19"/>
                      <w:sz w:val="21"/>
                      <w:szCs w:val="21"/>
                      <w14:textFill>
                        <w14:solidFill>
                          <w14:schemeClr w14:val="tx1"/>
                        </w14:solidFill>
                      </w14:textFill>
                    </w:rPr>
                    <w:t>流岸线最近距离</w:t>
                  </w:r>
                  <w:r>
                    <w:rPr>
                      <w:color w:val="000000" w:themeColor="text1"/>
                      <w:spacing w:val="18"/>
                      <w:sz w:val="21"/>
                      <w:szCs w:val="21"/>
                      <w14:textFill>
                        <w14:solidFill>
                          <w14:schemeClr w14:val="tx1"/>
                        </w14:solidFill>
                      </w14:textFill>
                    </w:rPr>
                    <w:t>约</w:t>
                  </w:r>
                  <w:r>
                    <w:rPr>
                      <w:color w:val="000000" w:themeColor="text1"/>
                      <w:spacing w:val="-1"/>
                      <w:sz w:val="21"/>
                      <w:szCs w:val="21"/>
                      <w14:textFill>
                        <w14:solidFill>
                          <w14:schemeClr w14:val="tx1"/>
                        </w14:solidFill>
                      </w14:textFill>
                    </w:rPr>
                    <w:t>为</w:t>
                  </w:r>
                  <w:r>
                    <w:rPr>
                      <w:rFonts w:hint="eastAsia"/>
                      <w:color w:val="000000" w:themeColor="text1"/>
                      <w:spacing w:val="-1"/>
                      <w:sz w:val="21"/>
                      <w:szCs w:val="21"/>
                      <w14:textFill>
                        <w14:solidFill>
                          <w14:schemeClr w14:val="tx1"/>
                        </w14:solidFill>
                      </w14:textFill>
                    </w:rPr>
                    <w:t>5.26</w:t>
                  </w:r>
                  <w:r>
                    <w:rPr>
                      <w:rFonts w:eastAsia="Times New Roman"/>
                      <w:color w:val="000000" w:themeColor="text1"/>
                      <w:sz w:val="21"/>
                      <w:szCs w:val="21"/>
                      <w14:textFill>
                        <w14:solidFill>
                          <w14:schemeClr w14:val="tx1"/>
                        </w14:solidFill>
                      </w14:textFill>
                    </w:rPr>
                    <w:t>km</w:t>
                  </w:r>
                  <w:r>
                    <w:rPr>
                      <w:color w:val="000000" w:themeColor="text1"/>
                      <w:sz w:val="21"/>
                      <w:szCs w:val="21"/>
                      <w14:textFill>
                        <w14:solidFill>
                          <w14:schemeClr w14:val="tx1"/>
                        </w14:solidFill>
                      </w14:textFill>
                    </w:rPr>
                    <w:t xml:space="preserve">，不属于 </w:t>
                  </w:r>
                  <w:r>
                    <w:rPr>
                      <w:rFonts w:eastAsia="Times New Roman"/>
                      <w:color w:val="000000" w:themeColor="text1"/>
                      <w:spacing w:val="18"/>
                      <w:sz w:val="21"/>
                      <w:szCs w:val="21"/>
                      <w14:textFill>
                        <w14:solidFill>
                          <w14:schemeClr w14:val="tx1"/>
                        </w14:solidFill>
                      </w14:textFill>
                    </w:rPr>
                    <w:t>“</w:t>
                  </w:r>
                  <w:r>
                    <w:rPr>
                      <w:color w:val="000000" w:themeColor="text1"/>
                      <w:spacing w:val="18"/>
                      <w:sz w:val="21"/>
                      <w:szCs w:val="21"/>
                      <w14:textFill>
                        <w14:solidFill>
                          <w14:schemeClr w14:val="tx1"/>
                        </w14:solidFill>
                      </w14:textFill>
                    </w:rPr>
                    <w:t>严禁</w:t>
                  </w:r>
                  <w:r>
                    <w:rPr>
                      <w:rFonts w:eastAsia="Times New Roman"/>
                      <w:color w:val="000000" w:themeColor="text1"/>
                      <w:spacing w:val="18"/>
                      <w:sz w:val="21"/>
                      <w:szCs w:val="21"/>
                      <w14:textFill>
                        <w14:solidFill>
                          <w14:schemeClr w14:val="tx1"/>
                        </w14:solidFill>
                      </w14:textFill>
                    </w:rPr>
                    <w:t>1</w:t>
                  </w:r>
                  <w:r>
                    <w:rPr>
                      <w:color w:val="000000" w:themeColor="text1"/>
                      <w:spacing w:val="18"/>
                      <w:sz w:val="21"/>
                      <w:szCs w:val="21"/>
                      <w14:textFill>
                        <w14:solidFill>
                          <w14:schemeClr w14:val="tx1"/>
                        </w14:solidFill>
                      </w14:textFill>
                    </w:rPr>
                    <w:t>公里范围内</w:t>
                  </w:r>
                  <w:r>
                    <w:rPr>
                      <w:color w:val="000000" w:themeColor="text1"/>
                      <w:spacing w:val="10"/>
                      <w:sz w:val="21"/>
                      <w:szCs w:val="21"/>
                      <w14:textFill>
                        <w14:solidFill>
                          <w14:schemeClr w14:val="tx1"/>
                        </w14:solidFill>
                      </w14:textFill>
                    </w:rPr>
                    <w:t>的新建化工项目</w:t>
                  </w:r>
                  <w:r>
                    <w:rPr>
                      <w:rFonts w:eastAsia="Times New Roman"/>
                      <w:color w:val="000000" w:themeColor="text1"/>
                      <w:spacing w:val="10"/>
                      <w:sz w:val="21"/>
                      <w:szCs w:val="21"/>
                      <w14:textFill>
                        <w14:solidFill>
                          <w14:schemeClr w14:val="tx1"/>
                        </w14:solidFill>
                      </w14:textFill>
                    </w:rPr>
                    <w:t>”</w:t>
                  </w:r>
                  <w:r>
                    <w:rPr>
                      <w:color w:val="000000" w:themeColor="text1"/>
                      <w:spacing w:val="8"/>
                      <w:sz w:val="21"/>
                      <w:szCs w:val="21"/>
                      <w14:textFill>
                        <w14:solidFill>
                          <w14:schemeClr w14:val="tx1"/>
                        </w14:solidFill>
                      </w14:textFill>
                    </w:rPr>
                    <w:t>。</w:t>
                  </w:r>
                </w:p>
              </w:tc>
              <w:tc>
                <w:tcPr>
                  <w:tcW w:w="950" w:type="dxa"/>
                  <w:tcBorders>
                    <w:right w:val="single" w:color="000000" w:sz="6" w:space="0"/>
                  </w:tcBorders>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4"/>
                      <w:sz w:val="21"/>
                      <w:szCs w:val="21"/>
                      <w14:textFill>
                        <w14:solidFill>
                          <w14:schemeClr w14:val="tx1"/>
                        </w14:solidFill>
                      </w14:textFill>
                    </w:rPr>
                    <w:t>符</w:t>
                  </w:r>
                  <w:r>
                    <w:rPr>
                      <w:color w:val="000000" w:themeColor="text1"/>
                      <w:spacing w:val="3"/>
                      <w:sz w:val="21"/>
                      <w:szCs w:val="21"/>
                      <w14:textFill>
                        <w14:solidFill>
                          <w14:schemeClr w14:val="tx1"/>
                        </w14:solidFill>
                      </w14:textFill>
                    </w:rPr>
                    <w:t>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47"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7"/>
                      <w:sz w:val="21"/>
                      <w:szCs w:val="21"/>
                      <w14:textFill>
                        <w14:solidFill>
                          <w14:schemeClr w14:val="tx1"/>
                        </w14:solidFill>
                      </w14:textFill>
                    </w:rPr>
                    <w:t>严</w:t>
                  </w:r>
                  <w:r>
                    <w:rPr>
                      <w:color w:val="000000" w:themeColor="text1"/>
                      <w:spacing w:val="6"/>
                      <w:sz w:val="21"/>
                      <w:szCs w:val="21"/>
                      <w14:textFill>
                        <w14:solidFill>
                          <w14:schemeClr w14:val="tx1"/>
                        </w14:solidFill>
                      </w14:textFill>
                    </w:rPr>
                    <w:t>控</w:t>
                  </w:r>
                  <w:r>
                    <w:rPr>
                      <w:rFonts w:eastAsia="Times New Roman"/>
                      <w:color w:val="000000" w:themeColor="text1"/>
                      <w:spacing w:val="6"/>
                      <w:sz w:val="21"/>
                      <w:szCs w:val="21"/>
                      <w14:textFill>
                        <w14:solidFill>
                          <w14:schemeClr w14:val="tx1"/>
                        </w14:solidFill>
                      </w14:textFill>
                    </w:rPr>
                    <w:t>5</w:t>
                  </w:r>
                  <w:r>
                    <w:rPr>
                      <w:color w:val="000000" w:themeColor="text1"/>
                      <w:spacing w:val="6"/>
                      <w:sz w:val="21"/>
                      <w:szCs w:val="21"/>
                      <w14:textFill>
                        <w14:solidFill>
                          <w14:schemeClr w14:val="tx1"/>
                        </w14:solidFill>
                      </w14:textFill>
                    </w:rPr>
                    <w:t>公</w:t>
                  </w:r>
                </w:p>
                <w:p>
                  <w:pPr>
                    <w:spacing w:line="240" w:lineRule="atLeast"/>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里范围</w:t>
                  </w:r>
                </w:p>
                <w:p>
                  <w:pPr>
                    <w:spacing w:line="240" w:lineRule="atLeast"/>
                    <w:jc w:val="center"/>
                    <w:rPr>
                      <w:color w:val="000000" w:themeColor="text1"/>
                      <w:sz w:val="21"/>
                      <w:szCs w:val="21"/>
                      <w14:textFill>
                        <w14:solidFill>
                          <w14:schemeClr w14:val="tx1"/>
                        </w14:solidFill>
                      </w14:textFill>
                    </w:rPr>
                  </w:pPr>
                  <w:r>
                    <w:rPr>
                      <w:color w:val="000000" w:themeColor="text1"/>
                      <w:spacing w:val="-2"/>
                      <w:sz w:val="21"/>
                      <w:szCs w:val="21"/>
                      <w14:textFill>
                        <w14:solidFill>
                          <w14:schemeClr w14:val="tx1"/>
                        </w14:solidFill>
                      </w14:textFill>
                    </w:rPr>
                    <w:t>内新</w:t>
                  </w:r>
                  <w:r>
                    <w:rPr>
                      <w:color w:val="000000" w:themeColor="text1"/>
                      <w:spacing w:val="-1"/>
                      <w:sz w:val="21"/>
                      <w:szCs w:val="21"/>
                      <w14:textFill>
                        <w14:solidFill>
                          <w14:schemeClr w14:val="tx1"/>
                        </w14:solidFill>
                      </w14:textFill>
                    </w:rPr>
                    <w:t>建</w:t>
                  </w:r>
                </w:p>
                <w:p>
                  <w:pPr>
                    <w:spacing w:line="240" w:lineRule="atLeast"/>
                    <w:jc w:val="center"/>
                    <w:rPr>
                      <w:color w:val="000000" w:themeColor="text1"/>
                      <w:sz w:val="21"/>
                      <w:szCs w:val="21"/>
                      <w14:textFill>
                        <w14:solidFill>
                          <w14:schemeClr w14:val="tx1"/>
                        </w14:solidFill>
                      </w14:textFill>
                    </w:rPr>
                  </w:pPr>
                  <w:r>
                    <w:rPr>
                      <w:color w:val="000000" w:themeColor="text1"/>
                      <w:spacing w:val="3"/>
                      <w:sz w:val="21"/>
                      <w:szCs w:val="21"/>
                      <w14:textFill>
                        <w14:solidFill>
                          <w14:schemeClr w14:val="tx1"/>
                        </w14:solidFill>
                      </w14:textFill>
                    </w:rPr>
                    <w:t>项目</w:t>
                  </w:r>
                </w:p>
              </w:tc>
              <w:tc>
                <w:tcPr>
                  <w:tcW w:w="3151" w:type="dxa"/>
                  <w:vAlign w:val="center"/>
                </w:tcPr>
                <w:p>
                  <w:pPr>
                    <w:spacing w:line="240" w:lineRule="atLeast"/>
                    <w:ind w:right="49" w:firstLine="28"/>
                    <w:jc w:val="center"/>
                    <w:rPr>
                      <w:color w:val="000000" w:themeColor="text1"/>
                      <w:sz w:val="21"/>
                      <w:szCs w:val="21"/>
                      <w14:textFill>
                        <w14:solidFill>
                          <w14:schemeClr w14:val="tx1"/>
                        </w14:solidFill>
                      </w14:textFill>
                    </w:rPr>
                  </w:pPr>
                  <w:r>
                    <w:rPr>
                      <w:color w:val="000000" w:themeColor="text1"/>
                      <w:spacing w:val="9"/>
                      <w:sz w:val="21"/>
                      <w:szCs w:val="21"/>
                      <w14:textFill>
                        <w14:solidFill>
                          <w14:schemeClr w14:val="tx1"/>
                        </w14:solidFill>
                      </w14:textFill>
                    </w:rPr>
                    <w:t>严控</w:t>
                  </w:r>
                  <w:r>
                    <w:rPr>
                      <w:rFonts w:eastAsia="Times New Roman"/>
                      <w:color w:val="000000" w:themeColor="text1"/>
                      <w:spacing w:val="9"/>
                      <w:sz w:val="21"/>
                      <w:szCs w:val="21"/>
                      <w14:textFill>
                        <w14:solidFill>
                          <w14:schemeClr w14:val="tx1"/>
                        </w14:solidFill>
                      </w14:textFill>
                    </w:rPr>
                    <w:t>5</w:t>
                  </w:r>
                  <w:r>
                    <w:rPr>
                      <w:color w:val="000000" w:themeColor="text1"/>
                      <w:spacing w:val="9"/>
                      <w:sz w:val="21"/>
                      <w:szCs w:val="21"/>
                      <w14:textFill>
                        <w14:solidFill>
                          <w14:schemeClr w14:val="tx1"/>
                        </w14:solidFill>
                      </w14:textFill>
                    </w:rPr>
                    <w:t>公里范围内新建重化工重</w:t>
                  </w:r>
                  <w:r>
                    <w:rPr>
                      <w:color w:val="000000" w:themeColor="text1"/>
                      <w:spacing w:val="8"/>
                      <w:sz w:val="21"/>
                      <w:szCs w:val="21"/>
                      <w14:textFill>
                        <w14:solidFill>
                          <w14:schemeClr w14:val="tx1"/>
                        </w14:solidFill>
                      </w14:textFill>
                    </w:rPr>
                    <w:t>污</w:t>
                  </w:r>
                  <w:r>
                    <w:rPr>
                      <w:color w:val="000000" w:themeColor="text1"/>
                      <w:spacing w:val="11"/>
                      <w:sz w:val="21"/>
                      <w:szCs w:val="21"/>
                      <w14:textFill>
                        <w14:solidFill>
                          <w14:schemeClr w14:val="tx1"/>
                        </w14:solidFill>
                      </w14:textFill>
                    </w:rPr>
                    <w:t>染项目。长江干流岸线</w:t>
                  </w:r>
                  <w:r>
                    <w:rPr>
                      <w:rFonts w:eastAsia="Times New Roman"/>
                      <w:color w:val="000000" w:themeColor="text1"/>
                      <w:spacing w:val="11"/>
                      <w:sz w:val="21"/>
                      <w:szCs w:val="21"/>
                      <w14:textFill>
                        <w14:solidFill>
                          <w14:schemeClr w14:val="tx1"/>
                        </w14:solidFill>
                      </w14:textFill>
                    </w:rPr>
                    <w:t>5</w:t>
                  </w:r>
                  <w:r>
                    <w:rPr>
                      <w:color w:val="000000" w:themeColor="text1"/>
                      <w:spacing w:val="11"/>
                      <w:sz w:val="21"/>
                      <w:szCs w:val="21"/>
                      <w14:textFill>
                        <w14:solidFill>
                          <w14:schemeClr w14:val="tx1"/>
                        </w14:solidFill>
                      </w14:textFill>
                    </w:rPr>
                    <w:t>公里范</w:t>
                  </w:r>
                  <w:r>
                    <w:rPr>
                      <w:color w:val="000000" w:themeColor="text1"/>
                      <w:spacing w:val="8"/>
                      <w:sz w:val="21"/>
                      <w:szCs w:val="21"/>
                      <w14:textFill>
                        <w14:solidFill>
                          <w14:schemeClr w14:val="tx1"/>
                        </w14:solidFill>
                      </w14:textFill>
                    </w:rPr>
                    <w:t>围</w:t>
                  </w:r>
                  <w:r>
                    <w:rPr>
                      <w:color w:val="000000" w:themeColor="text1"/>
                      <w:spacing w:val="-2"/>
                      <w:sz w:val="21"/>
                      <w:szCs w:val="21"/>
                      <w14:textFill>
                        <w14:solidFill>
                          <w14:schemeClr w14:val="tx1"/>
                        </w14:solidFill>
                      </w14:textFill>
                    </w:rPr>
                    <w:t>内，全面实长江岸线功</w:t>
                  </w:r>
                  <w:r>
                    <w:rPr>
                      <w:color w:val="000000" w:themeColor="text1"/>
                      <w:spacing w:val="-1"/>
                      <w:sz w:val="21"/>
                      <w:szCs w:val="21"/>
                      <w14:textFill>
                        <w14:solidFill>
                          <w14:schemeClr w14:val="tx1"/>
                        </w14:solidFill>
                      </w14:textFill>
                    </w:rPr>
                    <w:t>能定位要求，</w:t>
                  </w:r>
                  <w:r>
                    <w:rPr>
                      <w:color w:val="000000" w:themeColor="text1"/>
                      <w:spacing w:val="9"/>
                      <w:sz w:val="21"/>
                      <w:szCs w:val="21"/>
                      <w14:textFill>
                        <w14:solidFill>
                          <w14:schemeClr w14:val="tx1"/>
                        </w14:solidFill>
                      </w14:textFill>
                    </w:rPr>
                    <w:t>实施严格的化工项目市场准入</w:t>
                  </w:r>
                  <w:r>
                    <w:rPr>
                      <w:color w:val="000000" w:themeColor="text1"/>
                      <w:spacing w:val="7"/>
                      <w:sz w:val="21"/>
                      <w:szCs w:val="21"/>
                      <w14:textFill>
                        <w14:solidFill>
                          <w14:schemeClr w14:val="tx1"/>
                        </w14:solidFill>
                      </w14:textFill>
                    </w:rPr>
                    <w:t>制</w:t>
                  </w:r>
                  <w:r>
                    <w:rPr>
                      <w:color w:val="000000" w:themeColor="text1"/>
                      <w:sz w:val="21"/>
                      <w:szCs w:val="21"/>
                      <w14:textFill>
                        <w14:solidFill>
                          <w14:schemeClr w14:val="tx1"/>
                        </w14:solidFill>
                      </w14:textFill>
                    </w:rPr>
                    <w:t xml:space="preserve">度，除提升安全、环保、节能水平， </w:t>
                  </w:r>
                  <w:r>
                    <w:rPr>
                      <w:color w:val="000000" w:themeColor="text1"/>
                      <w:spacing w:val="17"/>
                      <w:sz w:val="21"/>
                      <w:szCs w:val="21"/>
                      <w14:textFill>
                        <w14:solidFill>
                          <w14:schemeClr w14:val="tx1"/>
                        </w14:solidFill>
                      </w14:textFill>
                    </w:rPr>
                    <w:t>以</w:t>
                  </w:r>
                  <w:r>
                    <w:rPr>
                      <w:color w:val="000000" w:themeColor="text1"/>
                      <w:spacing w:val="9"/>
                      <w:sz w:val="21"/>
                      <w:szCs w:val="21"/>
                      <w14:textFill>
                        <w14:solidFill>
                          <w14:schemeClr w14:val="tx1"/>
                        </w14:solidFill>
                      </w14:textFill>
                    </w:rPr>
                    <w:t>及质量升级、结构调整的改扩建</w:t>
                  </w:r>
                  <w:r>
                    <w:rPr>
                      <w:color w:val="000000" w:themeColor="text1"/>
                      <w:spacing w:val="17"/>
                      <w:sz w:val="21"/>
                      <w:szCs w:val="21"/>
                      <w14:textFill>
                        <w14:solidFill>
                          <w14:schemeClr w14:val="tx1"/>
                        </w14:solidFill>
                      </w14:textFill>
                    </w:rPr>
                    <w:t>项</w:t>
                  </w:r>
                  <w:r>
                    <w:rPr>
                      <w:color w:val="000000" w:themeColor="text1"/>
                      <w:spacing w:val="9"/>
                      <w:sz w:val="21"/>
                      <w:szCs w:val="21"/>
                      <w14:textFill>
                        <w14:solidFill>
                          <w14:schemeClr w14:val="tx1"/>
                        </w14:solidFill>
                      </w14:textFill>
                    </w:rPr>
                    <w:t>目外，严控新建石油化工和煤化</w:t>
                  </w:r>
                  <w:r>
                    <w:rPr>
                      <w:color w:val="000000" w:themeColor="text1"/>
                      <w:spacing w:val="17"/>
                      <w:sz w:val="21"/>
                      <w:szCs w:val="21"/>
                      <w14:textFill>
                        <w14:solidFill>
                          <w14:schemeClr w14:val="tx1"/>
                        </w14:solidFill>
                      </w14:textFill>
                    </w:rPr>
                    <w:t>工</w:t>
                  </w:r>
                  <w:r>
                    <w:rPr>
                      <w:color w:val="000000" w:themeColor="text1"/>
                      <w:spacing w:val="9"/>
                      <w:sz w:val="21"/>
                      <w:szCs w:val="21"/>
                      <w14:textFill>
                        <w14:solidFill>
                          <w14:schemeClr w14:val="tx1"/>
                        </w14:solidFill>
                      </w14:textFill>
                    </w:rPr>
                    <w:t>等重化工、重污染项目。严禁新</w:t>
                  </w:r>
                  <w:r>
                    <w:rPr>
                      <w:color w:val="000000" w:themeColor="text1"/>
                      <w:spacing w:val="17"/>
                      <w:sz w:val="21"/>
                      <w:szCs w:val="21"/>
                      <w14:textFill>
                        <w14:solidFill>
                          <w14:schemeClr w14:val="tx1"/>
                        </w14:solidFill>
                      </w14:textFill>
                    </w:rPr>
                    <w:t>建</w:t>
                  </w:r>
                  <w:r>
                    <w:rPr>
                      <w:color w:val="000000" w:themeColor="text1"/>
                      <w:spacing w:val="9"/>
                      <w:sz w:val="21"/>
                      <w:szCs w:val="21"/>
                      <w14:textFill>
                        <w14:solidFill>
                          <w14:schemeClr w14:val="tx1"/>
                        </w14:solidFill>
                      </w14:textFill>
                    </w:rPr>
                    <w:t>布局重化工园区。合规化工园区</w:t>
                  </w:r>
                  <w:r>
                    <w:rPr>
                      <w:color w:val="000000" w:themeColor="text1"/>
                      <w:spacing w:val="17"/>
                      <w:sz w:val="21"/>
                      <w:szCs w:val="21"/>
                      <w14:textFill>
                        <w14:solidFill>
                          <w14:schemeClr w14:val="tx1"/>
                        </w14:solidFill>
                      </w14:textFill>
                    </w:rPr>
                    <w:t>内</w:t>
                  </w:r>
                  <w:r>
                    <w:rPr>
                      <w:color w:val="000000" w:themeColor="text1"/>
                      <w:spacing w:val="9"/>
                      <w:sz w:val="21"/>
                      <w:szCs w:val="21"/>
                      <w14:textFill>
                        <w14:solidFill>
                          <w14:schemeClr w14:val="tx1"/>
                        </w14:solidFill>
                      </w14:textFill>
                    </w:rPr>
                    <w:t>，严禁新批环境基础设施不完善</w:t>
                  </w:r>
                  <w:r>
                    <w:rPr>
                      <w:color w:val="000000" w:themeColor="text1"/>
                      <w:spacing w:val="17"/>
                      <w:sz w:val="21"/>
                      <w:szCs w:val="21"/>
                      <w14:textFill>
                        <w14:solidFill>
                          <w14:schemeClr w14:val="tx1"/>
                        </w14:solidFill>
                      </w14:textFill>
                    </w:rPr>
                    <w:t>或</w:t>
                  </w:r>
                  <w:r>
                    <w:rPr>
                      <w:color w:val="000000" w:themeColor="text1"/>
                      <w:spacing w:val="9"/>
                      <w:sz w:val="21"/>
                      <w:szCs w:val="21"/>
                      <w14:textFill>
                        <w14:solidFill>
                          <w14:schemeClr w14:val="tx1"/>
                        </w14:solidFill>
                      </w14:textFill>
                    </w:rPr>
                    <w:t>长期不能稳定运行的企业新建和</w:t>
                  </w:r>
                  <w:r>
                    <w:rPr>
                      <w:color w:val="000000" w:themeColor="text1"/>
                      <w:spacing w:val="7"/>
                      <w:sz w:val="21"/>
                      <w:szCs w:val="21"/>
                      <w14:textFill>
                        <w14:solidFill>
                          <w14:schemeClr w14:val="tx1"/>
                        </w14:solidFill>
                      </w14:textFill>
                    </w:rPr>
                    <w:t>扩建化工项目。</w:t>
                  </w:r>
                </w:p>
              </w:tc>
              <w:tc>
                <w:tcPr>
                  <w:tcW w:w="1806" w:type="dxa"/>
                  <w:vAlign w:val="center"/>
                </w:tcPr>
                <w:p>
                  <w:pPr>
                    <w:spacing w:line="240" w:lineRule="atLeast"/>
                    <w:jc w:val="center"/>
                    <w:rPr>
                      <w:color w:val="000000" w:themeColor="text1"/>
                      <w:spacing w:val="13"/>
                      <w:sz w:val="21"/>
                      <w:szCs w:val="21"/>
                      <w14:textFill>
                        <w14:solidFill>
                          <w14:schemeClr w14:val="tx1"/>
                        </w14:solidFill>
                      </w14:textFill>
                    </w:rPr>
                  </w:pPr>
                  <w:r>
                    <w:rPr>
                      <w:color w:val="000000" w:themeColor="text1"/>
                      <w:spacing w:val="13"/>
                      <w:sz w:val="21"/>
                      <w:szCs w:val="21"/>
                      <w14:textFill>
                        <w14:solidFill>
                          <w14:schemeClr w14:val="tx1"/>
                        </w14:solidFill>
                      </w14:textFill>
                    </w:rPr>
                    <w:t>本项目距离长江</w:t>
                  </w:r>
                  <w:r>
                    <w:rPr>
                      <w:rFonts w:hint="eastAsia"/>
                      <w:color w:val="000000" w:themeColor="text1"/>
                      <w:spacing w:val="13"/>
                      <w:sz w:val="21"/>
                      <w:szCs w:val="21"/>
                      <w14:textFill>
                        <w14:solidFill>
                          <w14:schemeClr w14:val="tx1"/>
                        </w14:solidFill>
                      </w14:textFill>
                    </w:rPr>
                    <w:t>5.26km，</w:t>
                  </w:r>
                  <w:r>
                    <w:rPr>
                      <w:color w:val="000000" w:themeColor="text1"/>
                      <w:spacing w:val="13"/>
                      <w:sz w:val="21"/>
                      <w:szCs w:val="21"/>
                      <w14:textFill>
                        <w14:solidFill>
                          <w14:schemeClr w14:val="tx1"/>
                        </w14:solidFill>
                      </w14:textFill>
                    </w:rPr>
                    <w:t>本项目不属于石油</w:t>
                  </w:r>
                  <w:r>
                    <w:rPr>
                      <w:rFonts w:hint="eastAsia"/>
                      <w:color w:val="000000" w:themeColor="text1"/>
                      <w:spacing w:val="13"/>
                      <w:sz w:val="21"/>
                      <w:szCs w:val="21"/>
                      <w14:textFill>
                        <w14:solidFill>
                          <w14:schemeClr w14:val="tx1"/>
                        </w14:solidFill>
                      </w14:textFill>
                    </w:rPr>
                    <w:t>化工</w:t>
                  </w:r>
                  <w:r>
                    <w:rPr>
                      <w:color w:val="000000" w:themeColor="text1"/>
                      <w:spacing w:val="13"/>
                      <w:sz w:val="21"/>
                      <w:szCs w:val="21"/>
                      <w14:textFill>
                        <w14:solidFill>
                          <w14:schemeClr w14:val="tx1"/>
                        </w14:solidFill>
                      </w14:textFill>
                    </w:rPr>
                    <w:t>和煤化工等重化工、重污染项目，为准许建设类项目</w:t>
                  </w:r>
                </w:p>
              </w:tc>
              <w:tc>
                <w:tcPr>
                  <w:tcW w:w="950" w:type="dxa"/>
                  <w:tcBorders>
                    <w:right w:val="single" w:color="000000" w:sz="6" w:space="0"/>
                  </w:tcBorders>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4"/>
                      <w:sz w:val="21"/>
                      <w:szCs w:val="21"/>
                      <w14:textFill>
                        <w14:solidFill>
                          <w14:schemeClr w14:val="tx1"/>
                        </w14:solidFill>
                      </w14:textFill>
                    </w:rPr>
                    <w:t>符</w:t>
                  </w:r>
                  <w:r>
                    <w:rPr>
                      <w:color w:val="000000" w:themeColor="text1"/>
                      <w:spacing w:val="3"/>
                      <w:sz w:val="21"/>
                      <w:szCs w:val="21"/>
                      <w14:textFill>
                        <w14:solidFill>
                          <w14:schemeClr w14:val="tx1"/>
                        </w14:solidFill>
                      </w14:textFill>
                    </w:rPr>
                    <w:t>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947"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严</w:t>
                  </w:r>
                  <w:r>
                    <w:rPr>
                      <w:color w:val="000000" w:themeColor="text1"/>
                      <w:spacing w:val="5"/>
                      <w:sz w:val="21"/>
                      <w:szCs w:val="21"/>
                      <w14:textFill>
                        <w14:solidFill>
                          <w14:schemeClr w14:val="tx1"/>
                        </w14:solidFill>
                      </w14:textFill>
                    </w:rPr>
                    <w:t>管</w:t>
                  </w:r>
                  <w:r>
                    <w:rPr>
                      <w:rFonts w:eastAsia="Times New Roman"/>
                      <w:color w:val="000000" w:themeColor="text1"/>
                      <w:spacing w:val="5"/>
                      <w:sz w:val="21"/>
                      <w:szCs w:val="21"/>
                      <w14:textFill>
                        <w14:solidFill>
                          <w14:schemeClr w14:val="tx1"/>
                        </w14:solidFill>
                      </w14:textFill>
                    </w:rPr>
                    <w:t>15</w:t>
                  </w:r>
                  <w:r>
                    <w:rPr>
                      <w:color w:val="000000" w:themeColor="text1"/>
                      <w:spacing w:val="6"/>
                      <w:sz w:val="21"/>
                      <w:szCs w:val="21"/>
                      <w14:textFill>
                        <w14:solidFill>
                          <w14:schemeClr w14:val="tx1"/>
                        </w14:solidFill>
                      </w14:textFill>
                    </w:rPr>
                    <w:t>公里范围内新建项目</w:t>
                  </w:r>
                </w:p>
              </w:tc>
              <w:tc>
                <w:tcPr>
                  <w:tcW w:w="3151" w:type="dxa"/>
                  <w:vAlign w:val="center"/>
                </w:tcPr>
                <w:p>
                  <w:pPr>
                    <w:spacing w:line="240" w:lineRule="atLeast"/>
                    <w:ind w:right="104" w:firstLine="1"/>
                    <w:jc w:val="center"/>
                    <w:rPr>
                      <w:color w:val="000000" w:themeColor="text1"/>
                      <w:sz w:val="21"/>
                      <w:szCs w:val="21"/>
                      <w14:textFill>
                        <w14:solidFill>
                          <w14:schemeClr w14:val="tx1"/>
                        </w14:solidFill>
                      </w14:textFill>
                    </w:rPr>
                  </w:pPr>
                  <w:r>
                    <w:rPr>
                      <w:color w:val="000000" w:themeColor="text1"/>
                      <w:spacing w:val="16"/>
                      <w:sz w:val="21"/>
                      <w:szCs w:val="21"/>
                      <w14:textFill>
                        <w14:solidFill>
                          <w14:schemeClr w14:val="tx1"/>
                        </w14:solidFill>
                      </w14:textFill>
                    </w:rPr>
                    <w:t>严</w:t>
                  </w:r>
                  <w:r>
                    <w:rPr>
                      <w:color w:val="000000" w:themeColor="text1"/>
                      <w:spacing w:val="9"/>
                      <w:sz w:val="21"/>
                      <w:szCs w:val="21"/>
                      <w14:textFill>
                        <w14:solidFill>
                          <w14:schemeClr w14:val="tx1"/>
                        </w14:solidFill>
                      </w14:textFill>
                    </w:rPr>
                    <w:t>管</w:t>
                  </w:r>
                  <w:r>
                    <w:rPr>
                      <w:rFonts w:eastAsia="Times New Roman"/>
                      <w:color w:val="000000" w:themeColor="text1"/>
                      <w:spacing w:val="8"/>
                      <w:sz w:val="21"/>
                      <w:szCs w:val="21"/>
                      <w14:textFill>
                        <w14:solidFill>
                          <w14:schemeClr w14:val="tx1"/>
                        </w14:solidFill>
                      </w14:textFill>
                    </w:rPr>
                    <w:t>15</w:t>
                  </w:r>
                  <w:r>
                    <w:rPr>
                      <w:color w:val="000000" w:themeColor="text1"/>
                      <w:spacing w:val="8"/>
                      <w:sz w:val="21"/>
                      <w:szCs w:val="21"/>
                      <w14:textFill>
                        <w14:solidFill>
                          <w14:schemeClr w14:val="tx1"/>
                        </w14:solidFill>
                      </w14:textFill>
                    </w:rPr>
                    <w:t>公里范围内新建项目。长江</w:t>
                  </w:r>
                  <w:r>
                    <w:rPr>
                      <w:color w:val="000000" w:themeColor="text1"/>
                      <w:spacing w:val="16"/>
                      <w:sz w:val="21"/>
                      <w:szCs w:val="21"/>
                      <w14:textFill>
                        <w14:solidFill>
                          <w14:schemeClr w14:val="tx1"/>
                        </w14:solidFill>
                      </w14:textFill>
                    </w:rPr>
                    <w:t>干</w:t>
                  </w:r>
                  <w:r>
                    <w:rPr>
                      <w:color w:val="000000" w:themeColor="text1"/>
                      <w:spacing w:val="11"/>
                      <w:sz w:val="21"/>
                      <w:szCs w:val="21"/>
                      <w14:textFill>
                        <w14:solidFill>
                          <w14:schemeClr w14:val="tx1"/>
                        </w14:solidFill>
                      </w14:textFill>
                    </w:rPr>
                    <w:t>流</w:t>
                  </w:r>
                  <w:r>
                    <w:rPr>
                      <w:color w:val="000000" w:themeColor="text1"/>
                      <w:spacing w:val="8"/>
                      <w:sz w:val="21"/>
                      <w:szCs w:val="21"/>
                      <w14:textFill>
                        <w14:solidFill>
                          <w14:schemeClr w14:val="tx1"/>
                        </w14:solidFill>
                      </w14:textFill>
                    </w:rPr>
                    <w:t>岸线</w:t>
                  </w:r>
                  <w:r>
                    <w:rPr>
                      <w:rFonts w:eastAsia="Times New Roman"/>
                      <w:color w:val="000000" w:themeColor="text1"/>
                      <w:spacing w:val="8"/>
                      <w:sz w:val="21"/>
                      <w:szCs w:val="21"/>
                      <w14:textFill>
                        <w14:solidFill>
                          <w14:schemeClr w14:val="tx1"/>
                        </w14:solidFill>
                      </w14:textFill>
                    </w:rPr>
                    <w:t>15</w:t>
                  </w:r>
                  <w:r>
                    <w:rPr>
                      <w:color w:val="000000" w:themeColor="text1"/>
                      <w:spacing w:val="8"/>
                      <w:sz w:val="21"/>
                      <w:szCs w:val="21"/>
                      <w14:textFill>
                        <w14:solidFill>
                          <w14:schemeClr w14:val="tx1"/>
                        </w14:solidFill>
                      </w14:textFill>
                    </w:rPr>
                    <w:t>公里范围内，严把各类</w:t>
                  </w:r>
                  <w:r>
                    <w:rPr>
                      <w:color w:val="000000" w:themeColor="text1"/>
                      <w:sz w:val="21"/>
                      <w:szCs w:val="21"/>
                      <w14:textFill>
                        <w14:solidFill>
                          <w14:schemeClr w14:val="tx1"/>
                        </w14:solidFill>
                      </w14:textFill>
                    </w:rPr>
                    <w:t xml:space="preserve"> </w:t>
                  </w:r>
                  <w:r>
                    <w:rPr>
                      <w:color w:val="000000" w:themeColor="text1"/>
                      <w:spacing w:val="15"/>
                      <w:sz w:val="21"/>
                      <w:szCs w:val="21"/>
                      <w14:textFill>
                        <w14:solidFill>
                          <w14:schemeClr w14:val="tx1"/>
                        </w14:solidFill>
                      </w14:textFill>
                    </w:rPr>
                    <w:t>项</w:t>
                  </w:r>
                  <w:r>
                    <w:rPr>
                      <w:color w:val="000000" w:themeColor="text1"/>
                      <w:spacing w:val="9"/>
                      <w:sz w:val="21"/>
                      <w:szCs w:val="21"/>
                      <w14:textFill>
                        <w14:solidFill>
                          <w14:schemeClr w14:val="tx1"/>
                        </w14:solidFill>
                      </w14:textFill>
                    </w:rPr>
                    <w:t>目准入门槛，严格执行环境保护</w:t>
                  </w:r>
                  <w:r>
                    <w:rPr>
                      <w:color w:val="000000" w:themeColor="text1"/>
                      <w:spacing w:val="15"/>
                      <w:sz w:val="21"/>
                      <w:szCs w:val="21"/>
                      <w14:textFill>
                        <w14:solidFill>
                          <w14:schemeClr w14:val="tx1"/>
                        </w14:solidFill>
                      </w14:textFill>
                    </w:rPr>
                    <w:t>标</w:t>
                  </w:r>
                  <w:r>
                    <w:rPr>
                      <w:color w:val="000000" w:themeColor="text1"/>
                      <w:spacing w:val="9"/>
                      <w:sz w:val="21"/>
                      <w:szCs w:val="21"/>
                      <w14:textFill>
                        <w14:solidFill>
                          <w14:schemeClr w14:val="tx1"/>
                        </w14:solidFill>
                      </w14:textFill>
                    </w:rPr>
                    <w:t>准，把主要污染物和重点重金属</w:t>
                  </w:r>
                  <w:r>
                    <w:rPr>
                      <w:color w:val="000000" w:themeColor="text1"/>
                      <w:spacing w:val="20"/>
                      <w:sz w:val="21"/>
                      <w:szCs w:val="21"/>
                      <w14:textFill>
                        <w14:solidFill>
                          <w14:schemeClr w14:val="tx1"/>
                        </w14:solidFill>
                      </w14:textFill>
                    </w:rPr>
                    <w:t>排</w:t>
                  </w:r>
                  <w:r>
                    <w:rPr>
                      <w:color w:val="000000" w:themeColor="text1"/>
                      <w:spacing w:val="12"/>
                      <w:sz w:val="21"/>
                      <w:szCs w:val="21"/>
                      <w14:textFill>
                        <w14:solidFill>
                          <w14:schemeClr w14:val="tx1"/>
                        </w14:solidFill>
                      </w14:textFill>
                    </w:rPr>
                    <w:t>放</w:t>
                  </w:r>
                  <w:r>
                    <w:rPr>
                      <w:color w:val="000000" w:themeColor="text1"/>
                      <w:spacing w:val="10"/>
                      <w:sz w:val="21"/>
                      <w:szCs w:val="21"/>
                      <w14:textFill>
                        <w14:solidFill>
                          <w14:schemeClr w14:val="tx1"/>
                        </w14:solidFill>
                      </w14:textFill>
                    </w:rPr>
                    <w:t>总量控制目标作为新</w:t>
                  </w:r>
                  <w:r>
                    <w:rPr>
                      <w:rFonts w:eastAsia="Times New Roman"/>
                      <w:color w:val="000000" w:themeColor="text1"/>
                      <w:spacing w:val="10"/>
                      <w:sz w:val="21"/>
                      <w:szCs w:val="21"/>
                      <w14:textFill>
                        <w14:solidFill>
                          <w14:schemeClr w14:val="tx1"/>
                        </w14:solidFill>
                      </w14:textFill>
                    </w:rPr>
                    <w:t>(</w:t>
                  </w:r>
                  <w:r>
                    <w:rPr>
                      <w:color w:val="000000" w:themeColor="text1"/>
                      <w:spacing w:val="10"/>
                      <w:sz w:val="21"/>
                      <w:szCs w:val="21"/>
                      <w14:textFill>
                        <w14:solidFill>
                          <w14:schemeClr w14:val="tx1"/>
                        </w14:solidFill>
                      </w14:textFill>
                    </w:rPr>
                    <w:t>改、扩</w:t>
                  </w:r>
                  <w:r>
                    <w:rPr>
                      <w:rFonts w:eastAsia="Times New Roman"/>
                      <w:color w:val="000000" w:themeColor="text1"/>
                      <w:spacing w:val="10"/>
                      <w:sz w:val="21"/>
                      <w:szCs w:val="21"/>
                      <w14:textFill>
                        <w14:solidFill>
                          <w14:schemeClr w14:val="tx1"/>
                        </w14:solidFill>
                      </w14:textFill>
                    </w:rPr>
                    <w:t>)</w:t>
                  </w:r>
                  <w:r>
                    <w:rPr>
                      <w:rFonts w:eastAsia="Times New Roman"/>
                      <w:color w:val="000000" w:themeColor="text1"/>
                      <w:sz w:val="21"/>
                      <w:szCs w:val="21"/>
                      <w14:textFill>
                        <w14:solidFill>
                          <w14:schemeClr w14:val="tx1"/>
                        </w14:solidFill>
                      </w14:textFill>
                    </w:rPr>
                    <w:t xml:space="preserve"> </w:t>
                  </w:r>
                  <w:r>
                    <w:rPr>
                      <w:color w:val="000000" w:themeColor="text1"/>
                      <w:spacing w:val="15"/>
                      <w:sz w:val="21"/>
                      <w:szCs w:val="21"/>
                      <w14:textFill>
                        <w14:solidFill>
                          <w14:schemeClr w14:val="tx1"/>
                        </w14:solidFill>
                      </w14:textFill>
                    </w:rPr>
                    <w:t>建</w:t>
                  </w:r>
                  <w:r>
                    <w:rPr>
                      <w:color w:val="000000" w:themeColor="text1"/>
                      <w:spacing w:val="9"/>
                      <w:sz w:val="21"/>
                      <w:szCs w:val="21"/>
                      <w14:textFill>
                        <w14:solidFill>
                          <w14:schemeClr w14:val="tx1"/>
                        </w14:solidFill>
                      </w14:textFill>
                    </w:rPr>
                    <w:t>项目环评审批的前置条件，禁止</w:t>
                  </w:r>
                  <w:r>
                    <w:rPr>
                      <w:color w:val="000000" w:themeColor="text1"/>
                      <w:spacing w:val="10"/>
                      <w:sz w:val="21"/>
                      <w:szCs w:val="21"/>
                      <w14:textFill>
                        <w14:solidFill>
                          <w14:schemeClr w14:val="tx1"/>
                        </w14:solidFill>
                      </w14:textFill>
                    </w:rPr>
                    <w:t>建</w:t>
                  </w:r>
                  <w:r>
                    <w:rPr>
                      <w:color w:val="000000" w:themeColor="text1"/>
                      <w:spacing w:val="9"/>
                      <w:sz w:val="21"/>
                      <w:szCs w:val="21"/>
                      <w14:textFill>
                        <w14:solidFill>
                          <w14:schemeClr w14:val="tx1"/>
                        </w14:solidFill>
                      </w14:textFill>
                    </w:rPr>
                    <w:t>设没有环境容量和减排总量项</w:t>
                  </w:r>
                  <w:r>
                    <w:rPr>
                      <w:color w:val="000000" w:themeColor="text1"/>
                      <w:spacing w:val="-3"/>
                      <w:sz w:val="21"/>
                      <w:szCs w:val="21"/>
                      <w14:textFill>
                        <w14:solidFill>
                          <w14:schemeClr w14:val="tx1"/>
                        </w14:solidFill>
                      </w14:textFill>
                    </w:rPr>
                    <w:t>目。</w:t>
                  </w:r>
                  <w:r>
                    <w:rPr>
                      <w:rFonts w:eastAsia="Times New Roman"/>
                      <w:color w:val="000000" w:themeColor="text1"/>
                      <w:spacing w:val="-3"/>
                      <w:sz w:val="21"/>
                      <w:szCs w:val="21"/>
                      <w14:textFill>
                        <w14:solidFill>
                          <w14:schemeClr w14:val="tx1"/>
                        </w14:solidFill>
                      </w14:textFill>
                    </w:rPr>
                    <w:t>(</w:t>
                  </w:r>
                  <w:r>
                    <w:rPr>
                      <w:color w:val="000000" w:themeColor="text1"/>
                      <w:spacing w:val="-3"/>
                      <w:sz w:val="21"/>
                      <w:szCs w:val="21"/>
                      <w14:textFill>
                        <w14:solidFill>
                          <w14:schemeClr w14:val="tx1"/>
                        </w14:solidFill>
                      </w14:textFill>
                    </w:rPr>
                    <w:t>省发展改革委、省生态环境厅</w:t>
                  </w:r>
                  <w:r>
                    <w:rPr>
                      <w:color w:val="000000" w:themeColor="text1"/>
                      <w:spacing w:val="-2"/>
                      <w:sz w:val="21"/>
                      <w:szCs w:val="21"/>
                      <w14:textFill>
                        <w14:solidFill>
                          <w14:schemeClr w14:val="tx1"/>
                        </w14:solidFill>
                      </w14:textFill>
                    </w:rPr>
                    <w:t>、</w:t>
                  </w:r>
                  <w:r>
                    <w:rPr>
                      <w:color w:val="000000" w:themeColor="text1"/>
                      <w:spacing w:val="16"/>
                      <w:sz w:val="21"/>
                      <w:szCs w:val="21"/>
                      <w14:textFill>
                        <w14:solidFill>
                          <w14:schemeClr w14:val="tx1"/>
                        </w14:solidFill>
                      </w14:textFill>
                    </w:rPr>
                    <w:t>省</w:t>
                  </w:r>
                  <w:r>
                    <w:rPr>
                      <w:color w:val="000000" w:themeColor="text1"/>
                      <w:spacing w:val="9"/>
                      <w:sz w:val="21"/>
                      <w:szCs w:val="21"/>
                      <w14:textFill>
                        <w14:solidFill>
                          <w14:schemeClr w14:val="tx1"/>
                        </w14:solidFill>
                      </w14:textFill>
                    </w:rPr>
                    <w:t>经济和信息化厅、省能源局等按</w:t>
                  </w:r>
                  <w:r>
                    <w:rPr>
                      <w:color w:val="000000" w:themeColor="text1"/>
                      <w:sz w:val="21"/>
                      <w:szCs w:val="21"/>
                      <w14:textFill>
                        <w14:solidFill>
                          <w14:schemeClr w14:val="tx1"/>
                        </w14:solidFill>
                      </w14:textFill>
                    </w:rPr>
                    <w:t xml:space="preserve"> </w:t>
                  </w:r>
                  <w:r>
                    <w:rPr>
                      <w:color w:val="000000" w:themeColor="text1"/>
                      <w:spacing w:val="8"/>
                      <w:sz w:val="21"/>
                      <w:szCs w:val="21"/>
                      <w14:textFill>
                        <w14:solidFill>
                          <w14:schemeClr w14:val="tx1"/>
                        </w14:solidFill>
                      </w14:textFill>
                    </w:rPr>
                    <w:t>职责分</w:t>
                  </w:r>
                  <w:r>
                    <w:rPr>
                      <w:color w:val="000000" w:themeColor="text1"/>
                      <w:spacing w:val="4"/>
                      <w:sz w:val="21"/>
                      <w:szCs w:val="21"/>
                      <w14:textFill>
                        <w14:solidFill>
                          <w14:schemeClr w14:val="tx1"/>
                        </w14:solidFill>
                      </w14:textFill>
                    </w:rPr>
                    <w:t>工负责</w:t>
                  </w:r>
                  <w:r>
                    <w:rPr>
                      <w:rFonts w:eastAsia="Times New Roman"/>
                      <w:color w:val="000000" w:themeColor="text1"/>
                      <w:spacing w:val="4"/>
                      <w:sz w:val="21"/>
                      <w:szCs w:val="21"/>
                      <w14:textFill>
                        <w14:solidFill>
                          <w14:schemeClr w14:val="tx1"/>
                        </w14:solidFill>
                      </w14:textFill>
                    </w:rPr>
                    <w:t>)</w:t>
                  </w:r>
                  <w:r>
                    <w:rPr>
                      <w:color w:val="000000" w:themeColor="text1"/>
                      <w:spacing w:val="4"/>
                      <w:sz w:val="21"/>
                      <w:szCs w:val="21"/>
                      <w14:textFill>
                        <w14:solidFill>
                          <w14:schemeClr w14:val="tx1"/>
                        </w14:solidFill>
                      </w14:textFill>
                    </w:rPr>
                    <w:t>在岸线开发、河段利</w:t>
                  </w:r>
                  <w:r>
                    <w:rPr>
                      <w:color w:val="000000" w:themeColor="text1"/>
                      <w:spacing w:val="16"/>
                      <w:sz w:val="21"/>
                      <w:szCs w:val="21"/>
                      <w14:textFill>
                        <w14:solidFill>
                          <w14:schemeClr w14:val="tx1"/>
                        </w14:solidFill>
                      </w14:textFill>
                    </w:rPr>
                    <w:t>用</w:t>
                  </w:r>
                  <w:r>
                    <w:rPr>
                      <w:color w:val="000000" w:themeColor="text1"/>
                      <w:spacing w:val="10"/>
                      <w:sz w:val="21"/>
                      <w:szCs w:val="21"/>
                      <w14:textFill>
                        <w14:solidFill>
                          <w14:schemeClr w14:val="tx1"/>
                        </w14:solidFill>
                      </w14:textFill>
                    </w:rPr>
                    <w:t>、区域活动和产业发展等方面，</w:t>
                  </w:r>
                  <w:r>
                    <w:rPr>
                      <w:color w:val="000000" w:themeColor="text1"/>
                      <w:spacing w:val="16"/>
                      <w:sz w:val="21"/>
                      <w:szCs w:val="21"/>
                      <w14:textFill>
                        <w14:solidFill>
                          <w14:schemeClr w14:val="tx1"/>
                        </w14:solidFill>
                      </w14:textFill>
                    </w:rPr>
                    <w:t>严</w:t>
                  </w:r>
                  <w:r>
                    <w:rPr>
                      <w:color w:val="000000" w:themeColor="text1"/>
                      <w:spacing w:val="9"/>
                      <w:sz w:val="21"/>
                      <w:szCs w:val="21"/>
                      <w14:textFill>
                        <w14:solidFill>
                          <w14:schemeClr w14:val="tx1"/>
                        </w14:solidFill>
                      </w14:textFill>
                    </w:rPr>
                    <w:t>格执行《长江经济带发展负面清</w:t>
                  </w:r>
                  <w:r>
                    <w:rPr>
                      <w:color w:val="000000" w:themeColor="text1"/>
                      <w:spacing w:val="11"/>
                      <w:sz w:val="21"/>
                      <w:szCs w:val="21"/>
                      <w14:textFill>
                        <w14:solidFill>
                          <w14:schemeClr w14:val="tx1"/>
                        </w14:solidFill>
                      </w14:textFill>
                    </w:rPr>
                    <w:t>单指南</w:t>
                  </w:r>
                  <w:r>
                    <w:rPr>
                      <w:rFonts w:eastAsia="Times New Roman"/>
                      <w:color w:val="000000" w:themeColor="text1"/>
                      <w:spacing w:val="11"/>
                      <w:sz w:val="21"/>
                      <w:szCs w:val="21"/>
                      <w14:textFill>
                        <w14:solidFill>
                          <w14:schemeClr w14:val="tx1"/>
                        </w14:solidFill>
                      </w14:textFill>
                    </w:rPr>
                    <w:t>(</w:t>
                  </w:r>
                  <w:r>
                    <w:rPr>
                      <w:color w:val="000000" w:themeColor="text1"/>
                      <w:spacing w:val="11"/>
                      <w:sz w:val="21"/>
                      <w:szCs w:val="21"/>
                      <w14:textFill>
                        <w14:solidFill>
                          <w14:schemeClr w14:val="tx1"/>
                        </w14:solidFill>
                      </w14:textFill>
                    </w:rPr>
                    <w:t>试行</w:t>
                  </w:r>
                  <w:r>
                    <w:rPr>
                      <w:rFonts w:eastAsia="Times New Roman"/>
                      <w:color w:val="000000" w:themeColor="text1"/>
                      <w:spacing w:val="11"/>
                      <w:sz w:val="21"/>
                      <w:szCs w:val="21"/>
                      <w14:textFill>
                        <w14:solidFill>
                          <w14:schemeClr w14:val="tx1"/>
                        </w14:solidFill>
                      </w14:textFill>
                    </w:rPr>
                    <w:t>)</w:t>
                  </w:r>
                  <w:r>
                    <w:rPr>
                      <w:color w:val="000000" w:themeColor="text1"/>
                      <w:spacing w:val="11"/>
                      <w:sz w:val="21"/>
                      <w:szCs w:val="21"/>
                      <w14:textFill>
                        <w14:solidFill>
                          <w14:schemeClr w14:val="tx1"/>
                        </w14:solidFill>
                      </w14:textFill>
                    </w:rPr>
                    <w:t>》《安徽省长江经</w:t>
                  </w:r>
                  <w:r>
                    <w:rPr>
                      <w:color w:val="000000" w:themeColor="text1"/>
                      <w:spacing w:val="8"/>
                      <w:sz w:val="21"/>
                      <w:szCs w:val="21"/>
                      <w14:textFill>
                        <w14:solidFill>
                          <w14:schemeClr w14:val="tx1"/>
                        </w14:solidFill>
                      </w14:textFill>
                    </w:rPr>
                    <w:t>济</w:t>
                  </w:r>
                  <w:r>
                    <w:rPr>
                      <w:color w:val="000000" w:themeColor="text1"/>
                      <w:sz w:val="21"/>
                      <w:szCs w:val="21"/>
                      <w14:textFill>
                        <w14:solidFill>
                          <w14:schemeClr w14:val="tx1"/>
                        </w14:solidFill>
                      </w14:textFill>
                    </w:rPr>
                    <w:t xml:space="preserve"> </w:t>
                  </w:r>
                  <w:r>
                    <w:rPr>
                      <w:color w:val="000000" w:themeColor="text1"/>
                      <w:spacing w:val="5"/>
                      <w:sz w:val="21"/>
                      <w:szCs w:val="21"/>
                      <w14:textFill>
                        <w14:solidFill>
                          <w14:schemeClr w14:val="tx1"/>
                        </w14:solidFill>
                      </w14:textFill>
                    </w:rPr>
                    <w:t>带发展负面清单实施细则</w:t>
                  </w:r>
                  <w:r>
                    <w:rPr>
                      <w:rFonts w:eastAsia="Times New Roman"/>
                      <w:color w:val="000000" w:themeColor="text1"/>
                      <w:spacing w:val="5"/>
                      <w:sz w:val="21"/>
                      <w:szCs w:val="21"/>
                      <w14:textFill>
                        <w14:solidFill>
                          <w14:schemeClr w14:val="tx1"/>
                        </w14:solidFill>
                      </w14:textFill>
                    </w:rPr>
                    <w:t>(</w:t>
                  </w:r>
                  <w:r>
                    <w:rPr>
                      <w:color w:val="000000" w:themeColor="text1"/>
                      <w:spacing w:val="5"/>
                      <w:sz w:val="21"/>
                      <w:szCs w:val="21"/>
                      <w14:textFill>
                        <w14:solidFill>
                          <w14:schemeClr w14:val="tx1"/>
                        </w14:solidFill>
                      </w14:textFill>
                    </w:rPr>
                    <w:t>试行</w:t>
                  </w:r>
                  <w:r>
                    <w:rPr>
                      <w:rFonts w:eastAsia="Times New Roman"/>
                      <w:color w:val="000000" w:themeColor="text1"/>
                      <w:spacing w:val="5"/>
                      <w:sz w:val="21"/>
                      <w:szCs w:val="21"/>
                      <w14:textFill>
                        <w14:solidFill>
                          <w14:schemeClr w14:val="tx1"/>
                        </w14:solidFill>
                      </w14:textFill>
                    </w:rPr>
                    <w:t>)</w:t>
                  </w:r>
                  <w:r>
                    <w:rPr>
                      <w:color w:val="000000" w:themeColor="text1"/>
                      <w:spacing w:val="5"/>
                      <w:sz w:val="21"/>
                      <w:szCs w:val="21"/>
                      <w14:textFill>
                        <w14:solidFill>
                          <w14:schemeClr w14:val="tx1"/>
                        </w14:solidFill>
                      </w14:textFill>
                    </w:rPr>
                    <w:t>》</w:t>
                  </w:r>
                  <w:r>
                    <w:rPr>
                      <w:color w:val="000000" w:themeColor="text1"/>
                      <w:spacing w:val="3"/>
                      <w:sz w:val="21"/>
                      <w:szCs w:val="21"/>
                      <w14:textFill>
                        <w14:solidFill>
                          <w14:schemeClr w14:val="tx1"/>
                        </w14:solidFill>
                      </w14:textFill>
                    </w:rPr>
                    <w:t>。</w:t>
                  </w:r>
                  <w:r>
                    <w:rPr>
                      <w:color w:val="000000" w:themeColor="text1"/>
                      <w:sz w:val="21"/>
                      <w:szCs w:val="21"/>
                      <w14:textFill>
                        <w14:solidFill>
                          <w14:schemeClr w14:val="tx1"/>
                        </w14:solidFill>
                      </w14:textFill>
                    </w:rPr>
                    <w:t xml:space="preserve"> </w:t>
                  </w:r>
                  <w:r>
                    <w:rPr>
                      <w:rFonts w:eastAsia="Times New Roman"/>
                      <w:color w:val="000000" w:themeColor="text1"/>
                      <w:spacing w:val="8"/>
                      <w:sz w:val="21"/>
                      <w:szCs w:val="21"/>
                      <w14:textFill>
                        <w14:solidFill>
                          <w14:schemeClr w14:val="tx1"/>
                        </w14:solidFill>
                      </w14:textFill>
                    </w:rPr>
                    <w:t>(</w:t>
                  </w:r>
                  <w:r>
                    <w:rPr>
                      <w:color w:val="000000" w:themeColor="text1"/>
                      <w:spacing w:val="8"/>
                      <w:sz w:val="21"/>
                      <w:szCs w:val="21"/>
                      <w14:textFill>
                        <w14:solidFill>
                          <w14:schemeClr w14:val="tx1"/>
                        </w14:solidFill>
                      </w14:textFill>
                    </w:rPr>
                    <w:t>省水</w:t>
                  </w:r>
                  <w:r>
                    <w:rPr>
                      <w:color w:val="000000" w:themeColor="text1"/>
                      <w:spacing w:val="4"/>
                      <w:sz w:val="21"/>
                      <w:szCs w:val="21"/>
                      <w14:textFill>
                        <w14:solidFill>
                          <w14:schemeClr w14:val="tx1"/>
                        </w14:solidFill>
                      </w14:textFill>
                    </w:rPr>
                    <w:t>利厅、省发展改革委、省经济</w:t>
                  </w:r>
                  <w:r>
                    <w:rPr>
                      <w:color w:val="000000" w:themeColor="text1"/>
                      <w:spacing w:val="16"/>
                      <w:sz w:val="21"/>
                      <w:szCs w:val="21"/>
                      <w14:textFill>
                        <w14:solidFill>
                          <w14:schemeClr w14:val="tx1"/>
                        </w14:solidFill>
                      </w14:textFill>
                    </w:rPr>
                    <w:t>和</w:t>
                  </w:r>
                  <w:r>
                    <w:rPr>
                      <w:color w:val="000000" w:themeColor="text1"/>
                      <w:spacing w:val="9"/>
                      <w:sz w:val="21"/>
                      <w:szCs w:val="21"/>
                      <w14:textFill>
                        <w14:solidFill>
                          <w14:schemeClr w14:val="tx1"/>
                        </w14:solidFill>
                      </w14:textFill>
                    </w:rPr>
                    <w:t>信息化厅、省自然资源厅、省生</w:t>
                  </w:r>
                  <w:r>
                    <w:rPr>
                      <w:color w:val="000000" w:themeColor="text1"/>
                      <w:sz w:val="21"/>
                      <w:szCs w:val="21"/>
                      <w14:textFill>
                        <w14:solidFill>
                          <w14:schemeClr w14:val="tx1"/>
                        </w14:solidFill>
                      </w14:textFill>
                    </w:rPr>
                    <w:t xml:space="preserve"> </w:t>
                  </w:r>
                  <w:r>
                    <w:rPr>
                      <w:color w:val="000000" w:themeColor="text1"/>
                      <w:spacing w:val="16"/>
                      <w:sz w:val="21"/>
                      <w:szCs w:val="21"/>
                      <w14:textFill>
                        <w14:solidFill>
                          <w14:schemeClr w14:val="tx1"/>
                        </w14:solidFill>
                      </w14:textFill>
                    </w:rPr>
                    <w:t>态</w:t>
                  </w:r>
                  <w:r>
                    <w:rPr>
                      <w:color w:val="000000" w:themeColor="text1"/>
                      <w:spacing w:val="9"/>
                      <w:sz w:val="21"/>
                      <w:szCs w:val="21"/>
                      <w14:textFill>
                        <w14:solidFill>
                          <w14:schemeClr w14:val="tx1"/>
                        </w14:solidFill>
                      </w14:textFill>
                    </w:rPr>
                    <w:t>环境厅、省交通运输厅等按职责</w:t>
                  </w:r>
                  <w:r>
                    <w:rPr>
                      <w:color w:val="000000" w:themeColor="text1"/>
                      <w:spacing w:val="15"/>
                      <w:sz w:val="21"/>
                      <w:szCs w:val="21"/>
                      <w14:textFill>
                        <w14:solidFill>
                          <w14:schemeClr w14:val="tx1"/>
                        </w14:solidFill>
                      </w14:textFill>
                    </w:rPr>
                    <w:t>分</w:t>
                  </w:r>
                  <w:r>
                    <w:rPr>
                      <w:color w:val="000000" w:themeColor="text1"/>
                      <w:spacing w:val="9"/>
                      <w:sz w:val="21"/>
                      <w:szCs w:val="21"/>
                      <w14:textFill>
                        <w14:solidFill>
                          <w14:schemeClr w14:val="tx1"/>
                        </w14:solidFill>
                      </w14:textFill>
                    </w:rPr>
                    <w:t>工负责</w:t>
                  </w:r>
                  <w:r>
                    <w:rPr>
                      <w:rFonts w:eastAsia="Times New Roman"/>
                      <w:color w:val="000000" w:themeColor="text1"/>
                      <w:spacing w:val="9"/>
                      <w:sz w:val="21"/>
                      <w:szCs w:val="21"/>
                      <w14:textFill>
                        <w14:solidFill>
                          <w14:schemeClr w14:val="tx1"/>
                        </w14:solidFill>
                      </w14:textFill>
                    </w:rPr>
                    <w:t>)</w:t>
                  </w:r>
                  <w:r>
                    <w:rPr>
                      <w:color w:val="000000" w:themeColor="text1"/>
                      <w:spacing w:val="9"/>
                      <w:sz w:val="21"/>
                      <w:szCs w:val="21"/>
                      <w14:textFill>
                        <w14:solidFill>
                          <w14:schemeClr w14:val="tx1"/>
                        </w14:solidFill>
                      </w14:textFill>
                    </w:rPr>
                    <w:t>实施备案、环评、安评、</w:t>
                  </w:r>
                  <w:r>
                    <w:rPr>
                      <w:color w:val="000000" w:themeColor="text1"/>
                      <w:spacing w:val="1"/>
                      <w:sz w:val="21"/>
                      <w:szCs w:val="21"/>
                      <w14:textFill>
                        <w14:solidFill>
                          <w14:schemeClr w14:val="tx1"/>
                        </w14:solidFill>
                      </w14:textFill>
                    </w:rPr>
                    <w:t>能评等并联审批，未落实生态环保、</w:t>
                  </w:r>
                  <w:r>
                    <w:rPr>
                      <w:color w:val="000000" w:themeColor="text1"/>
                      <w:sz w:val="21"/>
                      <w:szCs w:val="21"/>
                      <w14:textFill>
                        <w14:solidFill>
                          <w14:schemeClr w14:val="tx1"/>
                        </w14:solidFill>
                      </w14:textFill>
                    </w:rPr>
                    <w:t xml:space="preserve"> </w:t>
                  </w:r>
                  <w:r>
                    <w:rPr>
                      <w:color w:val="000000" w:themeColor="text1"/>
                      <w:spacing w:val="16"/>
                      <w:sz w:val="21"/>
                      <w:szCs w:val="21"/>
                      <w14:textFill>
                        <w14:solidFill>
                          <w14:schemeClr w14:val="tx1"/>
                        </w14:solidFill>
                      </w14:textFill>
                    </w:rPr>
                    <w:t>安</w:t>
                  </w:r>
                  <w:r>
                    <w:rPr>
                      <w:color w:val="000000" w:themeColor="text1"/>
                      <w:spacing w:val="9"/>
                      <w:sz w:val="21"/>
                      <w:szCs w:val="21"/>
                      <w14:textFill>
                        <w14:solidFill>
                          <w14:schemeClr w14:val="tx1"/>
                        </w14:solidFill>
                      </w14:textFill>
                    </w:rPr>
                    <w:t>全生产能源节约要求的，一律不得</w:t>
                  </w:r>
                  <w:r>
                    <w:rPr>
                      <w:color w:val="000000" w:themeColor="text1"/>
                      <w:spacing w:val="6"/>
                      <w:sz w:val="21"/>
                      <w:szCs w:val="21"/>
                      <w14:textFill>
                        <w14:solidFill>
                          <w14:schemeClr w14:val="tx1"/>
                        </w14:solidFill>
                      </w14:textFill>
                    </w:rPr>
                    <w:t>开工建设。</w:t>
                  </w:r>
                </w:p>
              </w:tc>
              <w:tc>
                <w:tcPr>
                  <w:tcW w:w="1806" w:type="dxa"/>
                  <w:vAlign w:val="center"/>
                </w:tcPr>
                <w:p>
                  <w:pPr>
                    <w:spacing w:line="240" w:lineRule="atLeast"/>
                    <w:jc w:val="center"/>
                    <w:rPr>
                      <w:color w:val="000000" w:themeColor="text1"/>
                      <w:spacing w:val="13"/>
                      <w:sz w:val="21"/>
                      <w:szCs w:val="21"/>
                      <w14:textFill>
                        <w14:solidFill>
                          <w14:schemeClr w14:val="tx1"/>
                        </w14:solidFill>
                      </w14:textFill>
                    </w:rPr>
                  </w:pPr>
                  <w:r>
                    <w:rPr>
                      <w:color w:val="000000" w:themeColor="text1"/>
                      <w:spacing w:val="13"/>
                      <w:sz w:val="21"/>
                      <w:szCs w:val="21"/>
                      <w14:textFill>
                        <w14:solidFill>
                          <w14:schemeClr w14:val="tx1"/>
                        </w14:solidFill>
                      </w14:textFill>
                    </w:rPr>
                    <w:t>本项目与长江干支流岸线最近距离约为</w:t>
                  </w:r>
                  <w:r>
                    <w:rPr>
                      <w:rFonts w:hint="eastAsia"/>
                      <w:color w:val="000000" w:themeColor="text1"/>
                      <w:spacing w:val="13"/>
                      <w:sz w:val="21"/>
                      <w:szCs w:val="21"/>
                      <w14:textFill>
                        <w14:solidFill>
                          <w14:schemeClr w14:val="tx1"/>
                        </w14:solidFill>
                      </w14:textFill>
                    </w:rPr>
                    <w:t>5.26</w:t>
                  </w:r>
                  <w:r>
                    <w:rPr>
                      <w:color w:val="000000" w:themeColor="text1"/>
                      <w:spacing w:val="13"/>
                      <w:sz w:val="21"/>
                      <w:szCs w:val="21"/>
                      <w14:textFill>
                        <w14:solidFill>
                          <w14:schemeClr w14:val="tx1"/>
                        </w14:solidFill>
                      </w14:textFill>
                    </w:rPr>
                    <w:t>km，项目建设满足区域总量控制目标，区域环境容量可支撑本项目的建设，符合“严管15公里范围内新建项目”的相关要求</w:t>
                  </w:r>
                  <w:r>
                    <w:rPr>
                      <w:rFonts w:hint="eastAsia"/>
                      <w:color w:val="000000" w:themeColor="text1"/>
                      <w:spacing w:val="13"/>
                      <w:sz w:val="21"/>
                      <w:szCs w:val="21"/>
                      <w14:textFill>
                        <w14:solidFill>
                          <w14:schemeClr w14:val="tx1"/>
                        </w14:solidFill>
                      </w14:textFill>
                    </w:rPr>
                    <w:t>，</w:t>
                  </w:r>
                  <w:r>
                    <w:rPr>
                      <w:color w:val="000000" w:themeColor="text1"/>
                      <w:spacing w:val="13"/>
                      <w:sz w:val="21"/>
                      <w:szCs w:val="21"/>
                      <w14:textFill>
                        <w14:solidFill>
                          <w14:schemeClr w14:val="tx1"/>
                        </w14:solidFill>
                      </w14:textFill>
                    </w:rPr>
                    <w:t>本项目不涉及重金属</w:t>
                  </w:r>
                  <w:r>
                    <w:rPr>
                      <w:rFonts w:hint="eastAsia"/>
                      <w:color w:val="000000" w:themeColor="text1"/>
                      <w:spacing w:val="13"/>
                      <w:sz w:val="21"/>
                      <w:szCs w:val="21"/>
                      <w14:textFill>
                        <w14:solidFill>
                          <w14:schemeClr w14:val="tx1"/>
                        </w14:solidFill>
                      </w14:textFill>
                    </w:rPr>
                    <w:t>。</w:t>
                  </w:r>
                </w:p>
              </w:tc>
              <w:tc>
                <w:tcPr>
                  <w:tcW w:w="950" w:type="dxa"/>
                  <w:tcBorders>
                    <w:right w:val="single" w:color="000000" w:sz="6" w:space="0"/>
                  </w:tcBorders>
                  <w:vAlign w:val="center"/>
                </w:tcPr>
                <w:p>
                  <w:pPr>
                    <w:spacing w:line="240" w:lineRule="atLeast"/>
                    <w:jc w:val="center"/>
                    <w:rPr>
                      <w:color w:val="000000" w:themeColor="text1"/>
                      <w:sz w:val="21"/>
                      <w:szCs w:val="21"/>
                      <w14:textFill>
                        <w14:solidFill>
                          <w14:schemeClr w14:val="tx1"/>
                        </w14:solidFill>
                      </w14:textFill>
                    </w:rPr>
                  </w:pPr>
                  <w:r>
                    <w:rPr>
                      <w:color w:val="000000" w:themeColor="text1"/>
                      <w:spacing w:val="4"/>
                      <w:sz w:val="21"/>
                      <w:szCs w:val="21"/>
                      <w14:textFill>
                        <w14:solidFill>
                          <w14:schemeClr w14:val="tx1"/>
                        </w14:solidFill>
                      </w14:textFill>
                    </w:rPr>
                    <w:t>符</w:t>
                  </w:r>
                  <w:r>
                    <w:rPr>
                      <w:color w:val="000000" w:themeColor="text1"/>
                      <w:spacing w:val="3"/>
                      <w:sz w:val="21"/>
                      <w:szCs w:val="21"/>
                      <w14:textFill>
                        <w14:solidFill>
                          <w14:schemeClr w14:val="tx1"/>
                        </w14:solidFill>
                      </w14:textFill>
                    </w:rPr>
                    <w:t>合</w:t>
                  </w:r>
                </w:p>
              </w:tc>
            </w:tr>
          </w:tbl>
          <w:p>
            <w:pPr>
              <w:rPr>
                <w:color w:val="000000" w:themeColor="text1"/>
                <w14:textFill>
                  <w14:solidFill>
                    <w14:schemeClr w14:val="tx1"/>
                  </w14:solidFill>
                </w14:textFill>
              </w:rPr>
            </w:pPr>
          </w:p>
          <w:p>
            <w:pPr>
              <w:adjustRightInd w:val="0"/>
              <w:spacing w:line="360" w:lineRule="auto"/>
              <w:ind w:firstLine="470" w:firstLineChars="196"/>
              <w:rPr>
                <w:rFonts w:cs="宋体"/>
                <w:b/>
                <w:bCs/>
                <w:color w:val="000000" w:themeColor="text1"/>
                <w14:textFill>
                  <w14:solidFill>
                    <w14:schemeClr w14:val="tx1"/>
                  </w14:solidFill>
                </w14:textFill>
              </w:rPr>
            </w:pPr>
            <w:r>
              <w:rPr>
                <w:rFonts w:hint="eastAsia" w:cs="宋体"/>
                <w:color w:val="000000" w:themeColor="text1"/>
                <w14:textFill>
                  <w14:solidFill>
                    <w14:schemeClr w14:val="tx1"/>
                  </w14:solidFill>
                </w14:textFill>
              </w:rPr>
              <w:t>本项目距离长江干流岸线5.26km，不在长江干支流岸线1公里范围内。本项目不属于石油化工和煤化工等重化工、重污染项目，为准许建设类项目，本项目产生的各污染物全部合规达标。因此本项目建设符合文件要求。</w:t>
            </w:r>
          </w:p>
          <w:p>
            <w:pPr>
              <w:autoSpaceDE w:val="0"/>
              <w:autoSpaceDN w:val="0"/>
              <w:spacing w:line="360" w:lineRule="auto"/>
              <w:ind w:firstLine="482" w:firstLineChars="200"/>
              <w:jc w:val="left"/>
              <w:rPr>
                <w:color w:val="000000" w:themeColor="text1"/>
                <w14:textFill>
                  <w14:solidFill>
                    <w14:schemeClr w14:val="tx1"/>
                  </w14:solidFill>
                </w14:textFill>
              </w:rPr>
            </w:pPr>
            <w:r>
              <w:rPr>
                <w:rFonts w:hint="eastAsia"/>
                <w:b/>
                <w:bCs/>
                <w:color w:val="000000" w:themeColor="text1"/>
                <w14:textFill>
                  <w14:solidFill>
                    <w14:schemeClr w14:val="tx1"/>
                  </w14:solidFill>
                </w14:textFill>
              </w:rPr>
              <w:t>5、与《安徽省 2022 年大气污染防治工作要点》（安环委办[2022]37 号文）相符性分析对照《安徽省 2022 年大气污染防治工作要点》（安环委办[2022]37 号文）相关要求，本项目建设符合文件相关要求，见下表。</w:t>
            </w:r>
          </w:p>
          <w:p>
            <w:pPr>
              <w:widowControl/>
              <w:spacing w:line="360" w:lineRule="auto"/>
              <w:jc w:val="center"/>
              <w:rPr>
                <w:b/>
                <w:bCs/>
                <w:color w:val="000000" w:themeColor="text1"/>
                <w14:textFill>
                  <w14:solidFill>
                    <w14:schemeClr w14:val="tx1"/>
                  </w14:solidFill>
                </w14:textFill>
              </w:rPr>
            </w:pPr>
          </w:p>
          <w:p>
            <w:pPr>
              <w:widowControl/>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表1-4 与“安环委办[2022]37 号文”相符性分析</w:t>
            </w:r>
          </w:p>
          <w:tbl>
            <w:tblPr>
              <w:tblStyle w:val="29"/>
              <w:tblW w:w="5000" w:type="pct"/>
              <w:jc w:val="center"/>
              <w:tblLayout w:type="autofit"/>
              <w:tblCellMar>
                <w:top w:w="0" w:type="dxa"/>
                <w:left w:w="108" w:type="dxa"/>
                <w:bottom w:w="0" w:type="dxa"/>
                <w:right w:w="108" w:type="dxa"/>
              </w:tblCellMar>
            </w:tblPr>
            <w:tblGrid>
              <w:gridCol w:w="677"/>
              <w:gridCol w:w="3231"/>
              <w:gridCol w:w="2004"/>
              <w:gridCol w:w="753"/>
            </w:tblGrid>
            <w:tr>
              <w:tblPrEx>
                <w:tblCellMar>
                  <w:top w:w="0" w:type="dxa"/>
                  <w:left w:w="108" w:type="dxa"/>
                  <w:bottom w:w="0" w:type="dxa"/>
                  <w:right w:w="108" w:type="dxa"/>
                </w:tblCellMar>
              </w:tblPrEx>
              <w:trPr>
                <w:trHeight w:val="369" w:hRule="atLeast"/>
                <w:jc w:val="center"/>
              </w:trPr>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序号</w:t>
                  </w:r>
                </w:p>
              </w:tc>
              <w:tc>
                <w:tcPr>
                  <w:tcW w:w="10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文件要求</w:t>
                  </w:r>
                </w:p>
              </w:tc>
              <w:tc>
                <w:tcPr>
                  <w:tcW w:w="54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本项目情况</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相符性</w:t>
                  </w:r>
                </w:p>
              </w:tc>
            </w:tr>
            <w:tr>
              <w:tblPrEx>
                <w:tblCellMar>
                  <w:top w:w="0" w:type="dxa"/>
                  <w:left w:w="108" w:type="dxa"/>
                  <w:bottom w:w="0" w:type="dxa"/>
                  <w:right w:w="108" w:type="dxa"/>
                </w:tblCellMar>
              </w:tblPrEx>
              <w:trPr>
                <w:trHeight w:val="369" w:hRule="atLeast"/>
                <w:jc w:val="center"/>
              </w:trPr>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w:t>
                  </w:r>
                </w:p>
              </w:tc>
              <w:tc>
                <w:tcPr>
                  <w:tcW w:w="10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加强煤炭消费管理。严控新增耗煤项目，大气污染防治重点区域内新建、改建、扩建用煤项目的严格实施煤炭减量替代。加强商品煤质量监督和管理,确保符合国家和地方标准要求。推进煤炭清洁高效利用,鼓励和支持洁净煤技术的开发和推广.禁止新建企业自备燃煤设施,加快供热管网建设,充分释放燃煤电厂、工业余热等供热能力。</w:t>
                  </w:r>
                </w:p>
              </w:tc>
              <w:tc>
                <w:tcPr>
                  <w:tcW w:w="54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本项目采用电力能源，属于清洁能源，企业不使用煤炭，无燃煤设施。</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10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积极发展清洁能源。坚持实施"增气减煤"，提升供应侧非化石能源比重,提高消费侧电力比重,增加天然气供应量、优化天然气使用，2022年底前,新增电能替代电量60亿千瓦时，进以煤为燃料的工业炉窑清洁燃料替代改造,提高以电代煤、以气代煤比例。推进现有机组实施清洁能源替代、功能转换，积极争取"外电入皖"，实施可再生能源替代行动,加快建设新型能源供应系统,因地制宜开发风电与光伏发电，鼓励建设风能、太阳能、</w:t>
                  </w:r>
                </w:p>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生物质能等新能源项目，推进生物燃料乙醇项目改造提升。</w:t>
                  </w:r>
                </w:p>
              </w:tc>
              <w:tc>
                <w:tcPr>
                  <w:tcW w:w="54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本项目不使用燃煤,采用电力能源，属于清洁能源。</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w:t>
                  </w:r>
                </w:p>
              </w:tc>
              <w:tc>
                <w:tcPr>
                  <w:tcW w:w="10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加快产业结构转型升级。严格执行《产业结构调整指导目录》《产业发展与转移指导目录》，落实国家产业结构调整指导目录中碳排放控制要求。有序开展产业承接和重点行业省内调整优化，高水平打造皖北承接产业转移集聚区。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54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本项目不属于《产业结 构 调 整 指导目录（2019 年本）》（2021年修订）中淘汰类或限制类项目，项目符合国家产业政策，不属于落后产能和过剩产能行业项目，本项目不属于“两高”项目，不属于钢铁、焦化、水泥熟料、平板玻璃、电解铝、氧化铝、煤化工行业。</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p>
              </w:tc>
              <w:tc>
                <w:tcPr>
                  <w:tcW w:w="10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开展臭氧污染防治攻坚。以石化、化工、涂装、医药、包装印刷、油品储运销等行业领域为重点，开展 2022 年度挥发性有机物综合治理，完成挥发性有机物突出问题排查治理。挥发性有机物年排放量1吨及以上企业编制实施“一厂一策”。严格执行涂料、油墨、胶粘剂、清洗剂VOCs含量限值标准，开展年度含VOCs原辅材料达标情况联合检查。推进实施重点行业低VOCs含量原辅材料源头替代。开展企业升级改造和区域环境综合整治，建立家制造、木材加工等涉气产业集群排查治理清单，重点涉VOCs工业园区及产业集群编制执行VOCs 综合治理“一园一案”。实施工业锅炉和炉窑提标改造和清洁能源替代，推动焦化、玻璃等行业深度治理。加快推进马钢等钢铁企业超低排放改造，力争2022年底前基本完成。全面摸排现有工业燃煤锅炉，明确超低排放改造时间表。</w:t>
                  </w:r>
                </w:p>
              </w:tc>
              <w:tc>
                <w:tcPr>
                  <w:tcW w:w="54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本项目不使用涂料</w:t>
                  </w:r>
                  <w:r>
                    <w:rPr>
                      <w:rStyle w:val="50"/>
                      <w:rFonts w:hint="default" w:cs="Times New Roman"/>
                      <w:color w:val="000000" w:themeColor="text1"/>
                      <w:lang w:bidi="ar"/>
                      <w14:textFill>
                        <w14:solidFill>
                          <w14:schemeClr w14:val="tx1"/>
                        </w14:solidFill>
                      </w14:textFill>
                    </w:rPr>
                    <w:t>，</w:t>
                  </w:r>
                </w:p>
                <w:p>
                  <w:pPr>
                    <w:widowControl/>
                    <w:spacing w:line="240" w:lineRule="atLeast"/>
                    <w:jc w:val="center"/>
                    <w:textAlignment w:val="center"/>
                    <w:rPr>
                      <w:rStyle w:val="50"/>
                      <w:rFonts w:hint="default" w:ascii="Times New Roman" w:hAnsi="Times New Roman" w:cs="Times New Roman"/>
                      <w:color w:val="000000" w:themeColor="text1"/>
                      <w:lang w:bidi="ar"/>
                      <w14:textFill>
                        <w14:solidFill>
                          <w14:schemeClr w14:val="tx1"/>
                        </w14:solidFill>
                      </w14:textFill>
                    </w:rPr>
                  </w:pPr>
                  <w:r>
                    <w:rPr>
                      <w:rStyle w:val="50"/>
                      <w:rFonts w:hint="default" w:cs="Times New Roman"/>
                      <w:color w:val="000000" w:themeColor="text1"/>
                      <w:lang w:bidi="ar"/>
                      <w14:textFill>
                        <w14:solidFill>
                          <w14:schemeClr w14:val="tx1"/>
                        </w14:solidFill>
                      </w14:textFill>
                    </w:rPr>
                    <w:t>不涉及VOCs</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符合</w:t>
                  </w:r>
                </w:p>
              </w:tc>
            </w:tr>
          </w:tbl>
          <w:p>
            <w:pPr>
              <w:rPr>
                <w:color w:val="000000" w:themeColor="text1"/>
                <w14:textFill>
                  <w14:solidFill>
                    <w14:schemeClr w14:val="tx1"/>
                  </w14:solidFill>
                </w14:textFill>
              </w:rPr>
            </w:pPr>
          </w:p>
          <w:p>
            <w:pPr>
              <w:pStyle w:val="6"/>
              <w:rPr>
                <w:color w:val="000000" w:themeColor="text1"/>
                <w14:textFill>
                  <w14:solidFill>
                    <w14:schemeClr w14:val="tx1"/>
                  </w14:solidFill>
                </w14:textFill>
              </w:rPr>
            </w:pPr>
            <w:r>
              <w:rPr>
                <w:rFonts w:hint="eastAsia"/>
                <w:color w:val="000000" w:themeColor="text1"/>
                <w14:textFill>
                  <w14:solidFill>
                    <w14:schemeClr w14:val="tx1"/>
                  </w14:solidFill>
                </w14:textFill>
              </w:rPr>
              <w:t>6、《长江经济带发展负面清单指南（试行，2022 年版）》相符性分析</w:t>
            </w:r>
          </w:p>
          <w:p>
            <w:pPr>
              <w:pStyle w:val="6"/>
              <w:ind w:firstLine="480" w:firstLineChars="200"/>
              <w:rPr>
                <w:b w:val="0"/>
                <w:bCs w:val="0"/>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根据《长江经济带发展负面清单指南（试行，2022 年版）》，本项目与负面清单相符性分析见下表。</w:t>
            </w:r>
          </w:p>
          <w:p>
            <w:pPr>
              <w:widowControl/>
              <w:spacing w:line="360" w:lineRule="auto"/>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表1-5 本项目与长江经济带发展负面清单指南相符性分析</w:t>
            </w:r>
          </w:p>
          <w:tbl>
            <w:tblPr>
              <w:tblStyle w:val="29"/>
              <w:tblW w:w="5000" w:type="pct"/>
              <w:jc w:val="center"/>
              <w:tblLayout w:type="autofit"/>
              <w:tblCellMar>
                <w:top w:w="0" w:type="dxa"/>
                <w:left w:w="108" w:type="dxa"/>
                <w:bottom w:w="0" w:type="dxa"/>
                <w:right w:w="108" w:type="dxa"/>
              </w:tblCellMar>
            </w:tblPr>
            <w:tblGrid>
              <w:gridCol w:w="687"/>
              <w:gridCol w:w="2452"/>
              <w:gridCol w:w="2635"/>
              <w:gridCol w:w="891"/>
            </w:tblGrid>
            <w:tr>
              <w:tblPrEx>
                <w:tblCellMar>
                  <w:top w:w="0" w:type="dxa"/>
                  <w:left w:w="108" w:type="dxa"/>
                  <w:bottom w:w="0" w:type="dxa"/>
                  <w:right w:w="108" w:type="dxa"/>
                </w:tblCellMar>
              </w:tblPrEx>
              <w:trPr>
                <w:trHeight w:val="369"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序号</w:t>
                  </w:r>
                </w:p>
              </w:tc>
              <w:tc>
                <w:tcPr>
                  <w:tcW w:w="3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文件要求</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本项目情况</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相符性</w:t>
                  </w:r>
                </w:p>
              </w:tc>
            </w:tr>
            <w:tr>
              <w:tblPrEx>
                <w:tblCellMar>
                  <w:top w:w="0" w:type="dxa"/>
                  <w:left w:w="108" w:type="dxa"/>
                  <w:bottom w:w="0" w:type="dxa"/>
                  <w:right w:w="108" w:type="dxa"/>
                </w:tblCellMar>
              </w:tblPrEx>
              <w:trPr>
                <w:trHeight w:val="369"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3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禁止在长江干支流、重要湖泊岸线一公里范围内新建、扩建化工园区和化工项目。禁止在长江干流岸线三公里范围内和重要支流岸线一公里范围内新建、改建、扩建尾矿库、治炼渣库和磷石膏库,以提升安全、生态环境保护水平为目的的改建除外。</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本项目厂界距离长江干流岸线</w:t>
                  </w:r>
                  <w:r>
                    <w:rPr>
                      <w:rFonts w:hint="eastAsia"/>
                      <w:color w:val="000000" w:themeColor="text1"/>
                      <w:kern w:val="0"/>
                      <w:sz w:val="21"/>
                      <w:szCs w:val="21"/>
                      <w:lang w:bidi="ar"/>
                      <w14:textFill>
                        <w14:solidFill>
                          <w14:schemeClr w14:val="tx1"/>
                        </w14:solidFill>
                      </w14:textFill>
                    </w:rPr>
                    <w:t>5.26</w:t>
                  </w:r>
                  <w:r>
                    <w:rPr>
                      <w:color w:val="000000" w:themeColor="text1"/>
                      <w:kern w:val="0"/>
                      <w:sz w:val="21"/>
                      <w:szCs w:val="21"/>
                      <w:lang w:bidi="ar"/>
                      <w14:textFill>
                        <w14:solidFill>
                          <w14:schemeClr w14:val="tx1"/>
                        </w14:solidFill>
                      </w14:textFill>
                    </w:rPr>
                    <w:t>km，项目选址不在长江干流及主要支流岸线一公里、三公里范围内。且本项目不属于化工项目、尾矿库、冶炼渣库和磷石膏库项目。</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w:t>
                  </w:r>
                </w:p>
              </w:tc>
            </w:tr>
            <w:tr>
              <w:tblPrEx>
                <w:tblCellMar>
                  <w:top w:w="0" w:type="dxa"/>
                  <w:left w:w="108" w:type="dxa"/>
                  <w:bottom w:w="0" w:type="dxa"/>
                  <w:right w:w="108" w:type="dxa"/>
                </w:tblCellMar>
              </w:tblPrEx>
              <w:trPr>
                <w:trHeight w:val="369"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3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禁止在合规园区外新建、扩建钢铁、石化、化工、焦化、建材、有色、制浆造纸等高污染项目。</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本项目位于</w:t>
                  </w:r>
                  <w:r>
                    <w:rPr>
                      <w:rFonts w:hint="eastAsia"/>
                      <w:color w:val="000000" w:themeColor="text1"/>
                      <w:kern w:val="0"/>
                      <w:sz w:val="21"/>
                      <w:szCs w:val="21"/>
                      <w:lang w:bidi="ar"/>
                      <w14:textFill>
                        <w14:solidFill>
                          <w14:schemeClr w14:val="tx1"/>
                        </w14:solidFill>
                      </w14:textFill>
                    </w:rPr>
                    <w:t>芜湖市鸠江区沈巷镇江北产业集中区</w:t>
                  </w:r>
                  <w:r>
                    <w:rPr>
                      <w:color w:val="000000" w:themeColor="text1"/>
                      <w:kern w:val="0"/>
                      <w:sz w:val="21"/>
                      <w:szCs w:val="21"/>
                      <w:lang w:bidi="ar"/>
                      <w14:textFill>
                        <w14:solidFill>
                          <w14:schemeClr w14:val="tx1"/>
                        </w14:solidFill>
                      </w14:textFill>
                    </w:rPr>
                    <w:t>内</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且本项目不属于钢铁、石化、化工、焦化、建材、有色、制浆造纸等高污染项目。</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w:t>
                  </w:r>
                </w:p>
              </w:tc>
            </w:tr>
            <w:tr>
              <w:tblPrEx>
                <w:tblCellMar>
                  <w:top w:w="0" w:type="dxa"/>
                  <w:left w:w="108" w:type="dxa"/>
                  <w:bottom w:w="0" w:type="dxa"/>
                  <w:right w:w="108" w:type="dxa"/>
                </w:tblCellMar>
              </w:tblPrEx>
              <w:trPr>
                <w:trHeight w:val="369"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3</w:t>
                  </w:r>
                </w:p>
              </w:tc>
              <w:tc>
                <w:tcPr>
                  <w:tcW w:w="3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禁止新建、扩建不符合国家石化、现代煤化工等产业布局规划的项目。</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本项目不属于石化、现代煤化工等不符合国家产业布局规划的项目。</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w:t>
                  </w:r>
                </w:p>
              </w:tc>
            </w:tr>
            <w:tr>
              <w:tblPrEx>
                <w:tblCellMar>
                  <w:top w:w="0" w:type="dxa"/>
                  <w:left w:w="108" w:type="dxa"/>
                  <w:bottom w:w="0" w:type="dxa"/>
                  <w:right w:w="108" w:type="dxa"/>
                </w:tblCellMar>
              </w:tblPrEx>
              <w:trPr>
                <w:trHeight w:val="369" w:hRule="atLeast"/>
                <w:jc w:val="center"/>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3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禁止新建、扩建法律法规和相关政策明令禁止的落产能项目。禁止新建、扩建不符合国家产能置换要求的严重过剩产能行业的项目。禁止新建、扩建不符合要求的高耗能高排放项目。</w:t>
                  </w:r>
                </w:p>
              </w:tc>
              <w:tc>
                <w:tcPr>
                  <w:tcW w:w="3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本项目不属于《产业结构调整指导目录(2019年本)》(2021年修订)中淘汰类或限制类项目</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属于《安徽省工业产业结构调整目录(2007年本)》中允许类,项目符合国家和地方产业政策。不属于落后产能项目,不属于过剩产能行业项目,不属于高耗能高排放项目。</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w:t>
                  </w:r>
                </w:p>
              </w:tc>
            </w:tr>
          </w:tbl>
          <w:p>
            <w:pPr>
              <w:autoSpaceDE w:val="0"/>
              <w:autoSpaceDN w:val="0"/>
              <w:spacing w:line="360" w:lineRule="auto"/>
              <w:ind w:firstLine="480" w:firstLineChars="200"/>
              <w:jc w:val="left"/>
              <w:rPr>
                <w:color w:val="000000" w:themeColor="text1"/>
                <w14:textFill>
                  <w14:solidFill>
                    <w14:schemeClr w14:val="tx1"/>
                  </w14:solidFill>
                </w14:textFill>
              </w:rPr>
            </w:pPr>
          </w:p>
          <w:p>
            <w:pPr>
              <w:autoSpaceDE w:val="0"/>
              <w:autoSpaceDN w:val="0"/>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因此，本项目的建设符合《长江经济带发展负面清单指南（试行，2022 年版）》的要求。</w:t>
            </w:r>
          </w:p>
          <w:p>
            <w:pPr>
              <w:pStyle w:val="6"/>
              <w:rPr>
                <w:color w:val="000000" w:themeColor="text1"/>
                <w14:textFill>
                  <w14:solidFill>
                    <w14:schemeClr w14:val="tx1"/>
                  </w14:solidFill>
                </w14:textFill>
              </w:rPr>
            </w:pPr>
            <w:r>
              <w:rPr>
                <w:rFonts w:hint="eastAsia"/>
                <w:color w:val="000000" w:themeColor="text1"/>
                <w14:textFill>
                  <w14:solidFill>
                    <w14:schemeClr w14:val="tx1"/>
                  </w14:solidFill>
                </w14:textFill>
              </w:rPr>
              <w:t>7、与《中华人民共和国长江保护法》相符性</w:t>
            </w:r>
          </w:p>
          <w:p>
            <w:pPr>
              <w:pStyle w:val="6"/>
              <w:ind w:firstLine="480" w:firstLineChars="200"/>
              <w:rPr>
                <w:rFonts w:cs="Times New Roman"/>
                <w:b w:val="0"/>
                <w:bCs w:val="0"/>
                <w:color w:val="000000" w:themeColor="text1"/>
                <w:szCs w:val="24"/>
                <w14:textFill>
                  <w14:solidFill>
                    <w14:schemeClr w14:val="tx1"/>
                  </w14:solidFill>
                </w14:textFill>
              </w:rPr>
            </w:pPr>
            <w:r>
              <w:rPr>
                <w:rFonts w:hint="eastAsia" w:cs="Times New Roman"/>
                <w:b w:val="0"/>
                <w:bCs w:val="0"/>
                <w:color w:val="000000" w:themeColor="text1"/>
                <w:szCs w:val="24"/>
                <w14:textFill>
                  <w14:solidFill>
                    <w14:schemeClr w14:val="tx1"/>
                  </w14:solidFill>
                </w14:textFill>
              </w:rPr>
              <w:t>根据《中华人民共和国长江保护法》（2020年12月26日颁布，2021年3月1日实施）：</w:t>
            </w:r>
          </w:p>
          <w:p>
            <w:pPr>
              <w:pStyle w:val="6"/>
              <w:ind w:firstLine="480" w:firstLineChars="200"/>
              <w:rPr>
                <w:rFonts w:cs="Times New Roman"/>
                <w:b w:val="0"/>
                <w:bCs w:val="0"/>
                <w:color w:val="000000" w:themeColor="text1"/>
                <w:szCs w:val="24"/>
                <w14:textFill>
                  <w14:solidFill>
                    <w14:schemeClr w14:val="tx1"/>
                  </w14:solidFill>
                </w14:textFill>
              </w:rPr>
            </w:pPr>
            <w:r>
              <w:rPr>
                <w:rFonts w:hint="eastAsia" w:cs="Times New Roman"/>
                <w:b w:val="0"/>
                <w:bCs w:val="0"/>
                <w:color w:val="000000" w:themeColor="text1"/>
                <w:szCs w:val="24"/>
                <w14:textFill>
                  <w14:solidFill>
                    <w14:schemeClr w14:val="tx1"/>
                  </w14:solidFill>
                </w14:textFill>
              </w:rPr>
              <w:t>第二十六条、禁止在长江干流岸线一公里范围内新建、扩建化工园区和化工项目。禁止在长江干流岸线三公里范围内和重要支流一公里范围内新建、改建、扩建尾矿库；但是以提升安全、生态保护水平为目的的改建除外。</w:t>
            </w:r>
          </w:p>
          <w:p>
            <w:pPr>
              <w:pStyle w:val="6"/>
              <w:ind w:firstLine="480" w:firstLineChars="200"/>
              <w:rPr>
                <w:rFonts w:cs="Times New Roman"/>
                <w:b w:val="0"/>
                <w:bCs w:val="0"/>
                <w:color w:val="000000" w:themeColor="text1"/>
                <w:szCs w:val="24"/>
                <w14:textFill>
                  <w14:solidFill>
                    <w14:schemeClr w14:val="tx1"/>
                  </w14:solidFill>
                </w14:textFill>
              </w:rPr>
            </w:pPr>
            <w:r>
              <w:rPr>
                <w:rFonts w:hint="eastAsia" w:cs="Times New Roman"/>
                <w:b w:val="0"/>
                <w:bCs w:val="0"/>
                <w:color w:val="000000" w:themeColor="text1"/>
                <w:szCs w:val="24"/>
                <w14:textFill>
                  <w14:solidFill>
                    <w14:schemeClr w14:val="tx1"/>
                  </w14:solidFill>
                </w14:textFill>
              </w:rPr>
              <w:t>相符性分析：本项目厂界距离长江干流岸线5.26km，项目不在长江干流岸线一公里范围内，且本项目不属于化工项目，不属于尾矿库项目。项目建设符合《中华人民共和国长江保护法》要求。</w:t>
            </w:r>
          </w:p>
          <w:p>
            <w:pPr>
              <w:pStyle w:val="6"/>
              <w:rPr>
                <w:rFonts w:cs="Times New Roman"/>
                <w:color w:val="000000" w:themeColor="text1"/>
                <w:szCs w:val="24"/>
                <w14:textFill>
                  <w14:solidFill>
                    <w14:schemeClr w14:val="tx1"/>
                  </w14:solidFill>
                </w14:textFill>
              </w:rPr>
            </w:pPr>
          </w:p>
          <w:p>
            <w:pPr>
              <w:pStyle w:val="6"/>
              <w:rPr>
                <w:rFonts w:cs="Times New Roman"/>
                <w:color w:val="000000" w:themeColor="text1"/>
                <w:szCs w:val="24"/>
                <w14:textFill>
                  <w14:solidFill>
                    <w14:schemeClr w14:val="tx1"/>
                  </w14:solidFill>
                </w14:textFill>
              </w:rPr>
            </w:pPr>
            <w:r>
              <w:rPr>
                <w:rFonts w:hint="eastAsia" w:cs="Times New Roman"/>
                <w:color w:val="000000" w:themeColor="text1"/>
                <w:szCs w:val="24"/>
                <w14:textFill>
                  <w14:solidFill>
                    <w14:schemeClr w14:val="tx1"/>
                  </w14:solidFill>
                </w14:textFill>
              </w:rPr>
              <w:t>8、与《芜湖市 2022 年大气污染防治工作要点》（芜环委办[2022]4 号文）相符性分析</w:t>
            </w:r>
          </w:p>
          <w:p>
            <w:pPr>
              <w:pStyle w:val="6"/>
              <w:ind w:firstLine="480" w:firstLineChars="200"/>
              <w:rPr>
                <w:rFonts w:cs="Times New Roman"/>
                <w:b w:val="0"/>
                <w:bCs w:val="0"/>
                <w:color w:val="000000" w:themeColor="text1"/>
                <w:szCs w:val="24"/>
                <w14:textFill>
                  <w14:solidFill>
                    <w14:schemeClr w14:val="tx1"/>
                  </w14:solidFill>
                </w14:textFill>
              </w:rPr>
            </w:pPr>
            <w:r>
              <w:rPr>
                <w:rFonts w:hint="eastAsia" w:cs="Times New Roman"/>
                <w:b w:val="0"/>
                <w:bCs w:val="0"/>
                <w:color w:val="000000" w:themeColor="text1"/>
                <w:szCs w:val="24"/>
                <w14:textFill>
                  <w14:solidFill>
                    <w14:schemeClr w14:val="tx1"/>
                  </w14:solidFill>
                </w14:textFill>
              </w:rPr>
              <w:t>对照《芜湖市2022年大气污染防治工作要点》（芜环委办[2022]4号文）相关要求，本项目建设符合文件相关要求，见下表。</w:t>
            </w:r>
          </w:p>
          <w:p>
            <w:pPr>
              <w:pStyle w:val="6"/>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表1-6 与“芜环委办[2022]4 号文”相符性分析</w:t>
            </w:r>
          </w:p>
          <w:tbl>
            <w:tblPr>
              <w:tblStyle w:val="29"/>
              <w:tblW w:w="5000" w:type="pct"/>
              <w:jc w:val="center"/>
              <w:tblLayout w:type="autofit"/>
              <w:tblCellMar>
                <w:top w:w="0" w:type="dxa"/>
                <w:left w:w="108" w:type="dxa"/>
                <w:bottom w:w="0" w:type="dxa"/>
                <w:right w:w="108" w:type="dxa"/>
              </w:tblCellMar>
            </w:tblPr>
            <w:tblGrid>
              <w:gridCol w:w="670"/>
              <w:gridCol w:w="3340"/>
              <w:gridCol w:w="1920"/>
              <w:gridCol w:w="735"/>
            </w:tblGrid>
            <w:tr>
              <w:tblPrEx>
                <w:tblCellMar>
                  <w:top w:w="0" w:type="dxa"/>
                  <w:left w:w="108" w:type="dxa"/>
                  <w:bottom w:w="0" w:type="dxa"/>
                  <w:right w:w="108" w:type="dxa"/>
                </w:tblCellMar>
              </w:tblPrEx>
              <w:trPr>
                <w:trHeight w:val="369" w:hRule="atLeast"/>
                <w:jc w:val="center"/>
              </w:trPr>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序号</w:t>
                  </w:r>
                </w:p>
              </w:tc>
              <w:tc>
                <w:tcPr>
                  <w:tcW w:w="107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文件要求</w:t>
                  </w:r>
                </w:p>
              </w:tc>
              <w:tc>
                <w:tcPr>
                  <w:tcW w:w="5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本项目情况</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相符性</w:t>
                  </w:r>
                </w:p>
              </w:tc>
            </w:tr>
            <w:tr>
              <w:tblPrEx>
                <w:tblCellMar>
                  <w:top w:w="0" w:type="dxa"/>
                  <w:left w:w="108" w:type="dxa"/>
                  <w:bottom w:w="0" w:type="dxa"/>
                  <w:right w:w="108" w:type="dxa"/>
                </w:tblCellMar>
              </w:tblPrEx>
              <w:trPr>
                <w:trHeight w:val="369" w:hRule="atLeast"/>
                <w:jc w:val="center"/>
              </w:trPr>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w:t>
                  </w:r>
                </w:p>
              </w:tc>
              <w:tc>
                <w:tcPr>
                  <w:tcW w:w="107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加强煤炭消费管理.严控新增耗煤项目,新建、改建、扩建用煤项目严格实施煤炭减量替代.加强商品煤质量监督和管理,确保符合国家和地方标准要求。禁止新建企业自备燃煤设施,加快供热管网建设,充分释放燃煤电厂、工业余热等供热能力,推动集中供热覆盖范围内企业自备供热设施淘汰停用,改用集中供热.</w:t>
                  </w:r>
                </w:p>
              </w:tc>
              <w:tc>
                <w:tcPr>
                  <w:tcW w:w="5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本项目采用电力能源,属于清洁能源,企业不使用煤炭,无燃煤设施.</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107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积极发展清洁能源.坚持实施"增气减煤",提升供应侧非化石能源比重,提高消费侧电力比重,增加天然气供应量,2022年底前,新增电能替代电量4.97亿千瓦时,天然气供气规模达5.8亿立方米.持续推进以煤为燃料的工业炉窑清洁燃料替代改造,提高以电代煤、以气代煤比例。实施可目生能源替代行动,加快建设新型能源供应系统,因地制宜开发水力、光伏发电,鼓励建设太阳能等新能源项目。</w:t>
                  </w:r>
                </w:p>
              </w:tc>
              <w:tc>
                <w:tcPr>
                  <w:tcW w:w="5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本项目不使用燃煤,采用电力能源,属于清洁能源。</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3</w:t>
                  </w:r>
                </w:p>
              </w:tc>
              <w:tc>
                <w:tcPr>
                  <w:tcW w:w="107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加快产业结构转型升级。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5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不属于《产业结构调整指导目录(2019年本)》(2021年修订)中淘汰类或限制类项目,项目符合国家产业政策,不属于落后产能和过剩产能行业项目,本项目不属于"两高"项目,不属于钢铁、焦化、水泥熟料、平板玻璃、电解铝、氧化铝、煤化工行业。</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CellMar>
                  <w:top w:w="0" w:type="dxa"/>
                  <w:left w:w="108" w:type="dxa"/>
                  <w:bottom w:w="0" w:type="dxa"/>
                  <w:right w:w="108" w:type="dxa"/>
                </w:tblCellMar>
              </w:tblPrEx>
              <w:trPr>
                <w:trHeight w:val="369" w:hRule="atLeast"/>
                <w:jc w:val="center"/>
              </w:trPr>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107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开展臭氧污染防治攻坚。以化工、涂装、医药、包装印刷、油品储运销等行业领域为重点,深入开展挥发性有机物综合治理,动态更新排查治理清单,挥发性有机物年排放量1吨及以上企业编制实施"一厂一策"。推进实施重点行业低VOCs含量原辅材料源头替代。实施工业锅炉和炉窑提标改造和清洁能源替代，推动玻璃等行业深度治理。加快推进新兴铸管、富鑫钢铁等钢铁企业超低排放改造，力争 2022 年底前基本完成。全面摸排现有工业燃煤锅炉，明确超低排放改造或集中供热时间表。</w:t>
                  </w:r>
                </w:p>
              </w:tc>
              <w:tc>
                <w:tcPr>
                  <w:tcW w:w="51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w:t>
                  </w:r>
                  <w:r>
                    <w:rPr>
                      <w:rFonts w:hint="eastAsia"/>
                      <w:color w:val="000000" w:themeColor="text1"/>
                      <w:kern w:val="0"/>
                      <w:sz w:val="21"/>
                      <w:szCs w:val="21"/>
                      <w:lang w:bidi="ar"/>
                      <w14:textFill>
                        <w14:solidFill>
                          <w14:schemeClr w14:val="tx1"/>
                        </w14:solidFill>
                      </w14:textFill>
                    </w:rPr>
                    <w:t>使用的浆料为主要成分为高分子聚合物，其中LA水性粘合剂在浆料中所占比例为5%，LA水性粘合剂中的挥发份为丙烯腈及丙烯酰胺，所占含量为0.6%，VOCs含量较低。</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bl>
          <w:p>
            <w:pPr>
              <w:rPr>
                <w:color w:val="000000" w:themeColor="text1"/>
                <w14:textFill>
                  <w14:solidFill>
                    <w14:schemeClr w14:val="tx1"/>
                  </w14:solidFill>
                </w14:textFill>
              </w:rPr>
            </w:pPr>
          </w:p>
          <w:p>
            <w:pPr>
              <w:autoSpaceDE w:val="0"/>
              <w:autoSpaceDN w:val="0"/>
              <w:spacing w:line="360" w:lineRule="auto"/>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9、与《安徽省大气办关于深入开展挥发性有机物污染治理工作的通知》</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皖大气办〔</w:t>
            </w:r>
            <w:r>
              <w:rPr>
                <w:b/>
                <w:bCs/>
                <w:color w:val="000000" w:themeColor="text1"/>
                <w14:textFill>
                  <w14:solidFill>
                    <w14:schemeClr w14:val="tx1"/>
                  </w14:solidFill>
                </w14:textFill>
              </w:rPr>
              <w:t>2021</w:t>
            </w: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4</w:t>
            </w:r>
            <w:r>
              <w:rPr>
                <w:rFonts w:hint="eastAsia"/>
                <w:b/>
                <w:bCs/>
                <w:color w:val="000000" w:themeColor="text1"/>
                <w14:textFill>
                  <w14:solidFill>
                    <w14:schemeClr w14:val="tx1"/>
                  </w14:solidFill>
                </w14:textFill>
              </w:rPr>
              <w:t>号</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相符性分析</w:t>
            </w:r>
          </w:p>
          <w:p>
            <w:pPr>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1-7   与皖大气办</w:t>
            </w:r>
            <w:r>
              <w:rPr>
                <w:b/>
                <w:bCs/>
                <w:color w:val="000000" w:themeColor="text1"/>
                <w14:textFill>
                  <w14:solidFill>
                    <w14:schemeClr w14:val="tx1"/>
                  </w14:solidFill>
                </w14:textFill>
              </w:rPr>
              <w:t>[202</w:t>
            </w: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4号相符性分析</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5"/>
              <w:gridCol w:w="172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5" w:type="dxa"/>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要求</w:t>
                  </w:r>
                </w:p>
              </w:tc>
              <w:tc>
                <w:tcPr>
                  <w:tcW w:w="1729" w:type="dxa"/>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项目情况</w:t>
                  </w:r>
                </w:p>
              </w:tc>
              <w:tc>
                <w:tcPr>
                  <w:tcW w:w="930" w:type="dxa"/>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5" w:type="dxa"/>
                  <w:vAlign w:val="center"/>
                </w:tcPr>
                <w:p>
                  <w:pPr>
                    <w:widowControl/>
                    <w:jc w:val="left"/>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重点推进源头削减。鼓励支持使用涂料、油墨、胶粘剂、涂层剂（树脂）、清洗剂等原辅材料的企业，进行低VOCs 含量原辅材料的源头替代7月1日前各地指导企业建立管理台账，记录VOCs 原辅材料的产品名称、VOCs 含量和使用量等。重点在工业涂装、包装印刷、鞋革箱包制造、竹木制品胶合、电子等重点领域，推广 VOCs 含量低于10%原辅材料的源头替代，并纳入年度源头削减项目管理，实现“可替尽替、应代尽代”，源头削减年度完成项目占30%以上。</w:t>
                  </w:r>
                </w:p>
              </w:tc>
              <w:tc>
                <w:tcPr>
                  <w:tcW w:w="1729" w:type="dxa"/>
                  <w:vAlign w:val="center"/>
                </w:tcPr>
                <w:p>
                  <w:pPr>
                    <w:widowControl/>
                    <w:jc w:val="left"/>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本项目使用</w:t>
                  </w:r>
                  <w:r>
                    <w:rPr>
                      <w:rFonts w:hint="eastAsia"/>
                      <w:color w:val="000000" w:themeColor="text1"/>
                      <w:kern w:val="0"/>
                      <w:sz w:val="21"/>
                      <w:szCs w:val="21"/>
                      <w:lang w:bidi="ar"/>
                      <w14:textFill>
                        <w14:solidFill>
                          <w14:schemeClr w14:val="tx1"/>
                        </w14:solidFill>
                      </w14:textFill>
                    </w:rPr>
                    <w:t>浆料成分配比所含的LA水性</w:t>
                  </w:r>
                  <w:r>
                    <w:rPr>
                      <w:color w:val="000000" w:themeColor="text1"/>
                      <w:kern w:val="0"/>
                      <w:sz w:val="21"/>
                      <w:szCs w:val="21"/>
                      <w:lang w:bidi="ar"/>
                      <w14:textFill>
                        <w14:solidFill>
                          <w14:schemeClr w14:val="tx1"/>
                        </w14:solidFill>
                      </w14:textFill>
                    </w:rPr>
                    <w:t>胶粘剂</w:t>
                  </w:r>
                  <w:r>
                    <w:rPr>
                      <w:rFonts w:hint="eastAsia"/>
                      <w:color w:val="000000" w:themeColor="text1"/>
                      <w:kern w:val="0"/>
                      <w:sz w:val="21"/>
                      <w:szCs w:val="21"/>
                      <w:lang w:bidi="ar"/>
                      <w14:textFill>
                        <w14:solidFill>
                          <w14:schemeClr w14:val="tx1"/>
                        </w14:solidFill>
                      </w14:textFill>
                    </w:rPr>
                    <w:t>挥发份</w:t>
                  </w:r>
                  <w:r>
                    <w:rPr>
                      <w:color w:val="000000" w:themeColor="text1"/>
                      <w:kern w:val="0"/>
                      <w:sz w:val="21"/>
                      <w:szCs w:val="21"/>
                      <w:lang w:bidi="ar"/>
                      <w14:textFill>
                        <w14:solidFill>
                          <w14:schemeClr w14:val="tx1"/>
                        </w14:solidFill>
                      </w14:textFill>
                    </w:rPr>
                    <w:t>含量为</w:t>
                  </w:r>
                  <w:r>
                    <w:rPr>
                      <w:rFonts w:hint="eastAsia"/>
                      <w:color w:val="000000" w:themeColor="text1"/>
                      <w:kern w:val="0"/>
                      <w:sz w:val="21"/>
                      <w:szCs w:val="21"/>
                      <w:lang w:bidi="ar"/>
                      <w14:textFill>
                        <w14:solidFill>
                          <w14:schemeClr w14:val="tx1"/>
                        </w14:solidFill>
                      </w14:textFill>
                    </w:rPr>
                    <w:t>0.6</w:t>
                  </w:r>
                  <w:r>
                    <w:rPr>
                      <w:color w:val="000000" w:themeColor="text1"/>
                      <w:kern w:val="0"/>
                      <w:sz w:val="21"/>
                      <w:szCs w:val="21"/>
                      <w:lang w:bidi="ar"/>
                      <w14:textFill>
                        <w14:solidFill>
                          <w14:schemeClr w14:val="tx1"/>
                        </w14:solidFill>
                      </w14:textFill>
                    </w:rPr>
                    <w:t>%</w:t>
                  </w:r>
                </w:p>
              </w:tc>
              <w:tc>
                <w:tcPr>
                  <w:tcW w:w="93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5" w:type="dxa"/>
                  <w:vAlign w:val="center"/>
                </w:tcPr>
                <w:p>
                  <w:pPr>
                    <w:widowControl/>
                    <w:jc w:val="left"/>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制定“一企一案”。借鉴上海市等先发地区重点行业 VOCs 综合治理企业“一厂一方案”编制经验，各地分行业分级指导企业编制优化“一企一案”，明确企业VOCs综合治理任务时间节点和工作目标。重点梳理石化、化工、工业涂装、包装印刷、油品储运销等重点领域重点行业，VOCs年排放量超过 1吨的企业，督促9月30日前完成方案编制完善工作。243 家涉VOCs 省级重点企业（含省重点排污单位名录企业）及年排放量超过 10 吨的企业，8月31日前对方案进行评估完善，及时核实治理效果，并报至省大气办备案。</w:t>
                  </w:r>
                </w:p>
              </w:tc>
              <w:tc>
                <w:tcPr>
                  <w:tcW w:w="1729" w:type="dxa"/>
                  <w:vAlign w:val="center"/>
                </w:tcPr>
                <w:p>
                  <w:pPr>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本项目不属于重点行业</w:t>
                  </w:r>
                </w:p>
              </w:tc>
              <w:tc>
                <w:tcPr>
                  <w:tcW w:w="93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95" w:type="dxa"/>
                  <w:vAlign w:val="center"/>
                </w:tcPr>
                <w:p>
                  <w:pPr>
                    <w:widowControl/>
                    <w:jc w:val="left"/>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实施排污许可。建立健全以排污许可核发为中心的 VOCs 管控依据，在石油、化工、工业涂装、包装印刷、油品储运销五大领域全面推行排污许可制度，不断规范涉VOCs工业企业的排污许可登记管理，落实企业 VOCs 源头削减、过程控制和末端污染治理工作，推进企业自行监测、台账落实和定期报告的具体规定落地，严厉处罚无证和不按证排污行为。</w:t>
                  </w:r>
                </w:p>
              </w:tc>
              <w:tc>
                <w:tcPr>
                  <w:tcW w:w="1729" w:type="dxa"/>
                  <w:vAlign w:val="center"/>
                </w:tcPr>
                <w:p>
                  <w:pPr>
                    <w:widowControl/>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本环评要求，在生产前完成排污许可的相关工作</w:t>
                  </w:r>
                </w:p>
                <w:p>
                  <w:pPr>
                    <w:jc w:val="center"/>
                    <w:rPr>
                      <w:color w:val="000000" w:themeColor="text1"/>
                      <w:kern w:val="0"/>
                      <w:sz w:val="21"/>
                      <w:szCs w:val="21"/>
                      <w:lang w:bidi="ar"/>
                      <w14:textFill>
                        <w14:solidFill>
                          <w14:schemeClr w14:val="tx1"/>
                        </w14:solidFill>
                      </w14:textFill>
                    </w:rPr>
                  </w:pPr>
                </w:p>
              </w:tc>
              <w:tc>
                <w:tcPr>
                  <w:tcW w:w="930" w:type="dxa"/>
                  <w:vAlign w:val="center"/>
                </w:tcPr>
                <w:p>
                  <w:pPr>
                    <w:jc w:val="center"/>
                    <w:rPr>
                      <w:color w:val="000000" w:themeColor="text1"/>
                      <w:sz w:val="21"/>
                      <w:szCs w:val="21"/>
                      <w14:textFill>
                        <w14:solidFill>
                          <w14:schemeClr w14:val="tx1"/>
                        </w14:solidFill>
                      </w14:textFill>
                    </w:rPr>
                  </w:pPr>
                </w:p>
              </w:tc>
            </w:tr>
          </w:tbl>
          <w:p>
            <w:pPr>
              <w:autoSpaceDE w:val="0"/>
              <w:autoSpaceDN w:val="0"/>
              <w:spacing w:line="360" w:lineRule="auto"/>
              <w:jc w:val="left"/>
              <w:rPr>
                <w:b/>
                <w:bCs/>
                <w:color w:val="000000" w:themeColor="text1"/>
                <w14:textFill>
                  <w14:solidFill>
                    <w14:schemeClr w14:val="tx1"/>
                  </w14:solidFill>
                </w14:textFill>
              </w:rPr>
            </w:pPr>
          </w:p>
          <w:p>
            <w:pPr>
              <w:autoSpaceDE w:val="0"/>
              <w:autoSpaceDN w:val="0"/>
              <w:spacing w:line="360" w:lineRule="auto"/>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10、与《安徽省挥发性有机物污染整治工作方案》相符性分析</w:t>
            </w:r>
          </w:p>
          <w:p>
            <w:pPr>
              <w:autoSpaceDE w:val="0"/>
              <w:autoSpaceDN w:val="0"/>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根据《安徽省挥发性有机物污染整治工作方案》中相关内容分析如下：</w:t>
            </w:r>
          </w:p>
          <w:p>
            <w:pPr>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1-8  与《安徽省挥发性有机物污染整治工作方案》相符性分析</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35"/>
              <w:gridCol w:w="238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35" w:type="dxa"/>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要求</w:t>
                  </w:r>
                </w:p>
              </w:tc>
              <w:tc>
                <w:tcPr>
                  <w:tcW w:w="2389" w:type="dxa"/>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项目情况</w:t>
                  </w:r>
                </w:p>
              </w:tc>
              <w:tc>
                <w:tcPr>
                  <w:tcW w:w="930" w:type="dxa"/>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35" w:type="dxa"/>
                  <w:vAlign w:val="center"/>
                </w:tcPr>
                <w:p>
                  <w:pPr>
                    <w:widowControl/>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bidi="ar"/>
                      <w14:textFill>
                        <w14:solidFill>
                          <w14:schemeClr w14:val="tx1"/>
                        </w14:solidFill>
                      </w14:textFill>
                    </w:rPr>
                    <w:t xml:space="preserve">结合城市总体规划、主体功能区规划要求，优化调整 </w:t>
                  </w:r>
                  <w:r>
                    <w:rPr>
                      <w:color w:val="000000" w:themeColor="text1"/>
                      <w:kern w:val="0"/>
                      <w:sz w:val="21"/>
                      <w:szCs w:val="21"/>
                      <w:lang w:bidi="ar"/>
                      <w14:textFill>
                        <w14:solidFill>
                          <w14:schemeClr w14:val="tx1"/>
                        </w14:solidFill>
                      </w14:textFill>
                    </w:rPr>
                    <w:t>VOCs</w:t>
                  </w:r>
                  <w:r>
                    <w:rPr>
                      <w:rFonts w:hint="eastAsia" w:ascii="宋体" w:hAnsi="宋体" w:cs="宋体"/>
                      <w:color w:val="000000" w:themeColor="text1"/>
                      <w:kern w:val="0"/>
                      <w:sz w:val="21"/>
                      <w:szCs w:val="21"/>
                      <w:lang w:bidi="ar"/>
                      <w14:textFill>
                        <w14:solidFill>
                          <w14:schemeClr w14:val="tx1"/>
                        </w14:solidFill>
                      </w14:textFill>
                    </w:rPr>
                    <w:t>产业布局。在城市建成区、自然保护区、水源保护区、风景名胜区、森林公园、重要湿地、生态敏感区。和其他重要生态功能区实行强制性保护，禁止新建</w:t>
                  </w:r>
                  <w:r>
                    <w:rPr>
                      <w:color w:val="000000" w:themeColor="text1"/>
                      <w:kern w:val="0"/>
                      <w:sz w:val="21"/>
                      <w:szCs w:val="21"/>
                      <w:lang w:bidi="ar"/>
                      <w14:textFill>
                        <w14:solidFill>
                          <w14:schemeClr w14:val="tx1"/>
                        </w14:solidFill>
                      </w14:textFill>
                    </w:rPr>
                    <w:t xml:space="preserve">VOCs </w:t>
                  </w:r>
                  <w:r>
                    <w:rPr>
                      <w:rFonts w:hint="eastAsia" w:ascii="宋体" w:hAnsi="宋体" w:cs="宋体"/>
                      <w:color w:val="000000" w:themeColor="text1"/>
                      <w:kern w:val="0"/>
                      <w:sz w:val="21"/>
                      <w:szCs w:val="21"/>
                      <w:lang w:bidi="ar"/>
                      <w14:textFill>
                        <w14:solidFill>
                          <w14:schemeClr w14:val="tx1"/>
                        </w14:solidFill>
                      </w14:textFill>
                    </w:rPr>
                    <w:t>高污染企业。在水源涵养区、水土保持区等生态功能区实施限制开发</w:t>
                  </w:r>
                </w:p>
              </w:tc>
              <w:tc>
                <w:tcPr>
                  <w:tcW w:w="2389" w:type="dxa"/>
                  <w:vAlign w:val="center"/>
                </w:tcPr>
                <w:p>
                  <w:pPr>
                    <w:widowControl/>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bidi="ar"/>
                      <w14:textFill>
                        <w14:solidFill>
                          <w14:schemeClr w14:val="tx1"/>
                        </w14:solidFill>
                      </w14:textFill>
                    </w:rPr>
                    <w:t>项目用地性质符江北产业园总体规划要求；项目原辅材料采用封闭包装桶储存，不属于</w:t>
                  </w:r>
                  <w:r>
                    <w:rPr>
                      <w:color w:val="000000" w:themeColor="text1"/>
                      <w:kern w:val="0"/>
                      <w:sz w:val="21"/>
                      <w:szCs w:val="21"/>
                      <w:lang w:bidi="ar"/>
                      <w14:textFill>
                        <w14:solidFill>
                          <w14:schemeClr w14:val="tx1"/>
                        </w14:solidFill>
                      </w14:textFill>
                    </w:rPr>
                    <w:t xml:space="preserve">VOCs </w:t>
                  </w:r>
                  <w:r>
                    <w:rPr>
                      <w:rFonts w:hint="eastAsia" w:ascii="宋体" w:hAnsi="宋体" w:cs="宋体"/>
                      <w:color w:val="000000" w:themeColor="text1"/>
                      <w:kern w:val="0"/>
                      <w:sz w:val="21"/>
                      <w:szCs w:val="21"/>
                      <w:lang w:bidi="ar"/>
                      <w14:textFill>
                        <w14:solidFill>
                          <w14:schemeClr w14:val="tx1"/>
                        </w14:solidFill>
                      </w14:textFill>
                    </w:rPr>
                    <w:t>高污染企业。项目不涉及城市建成区、自然保护区、水源保护区、风景名胜区、森林公园、重要湿地、生态敏感区和其他重要态功能区，也不涉及水源涵养区、水土保持区等生态功能区。</w:t>
                  </w:r>
                </w:p>
              </w:tc>
              <w:tc>
                <w:tcPr>
                  <w:tcW w:w="93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35" w:type="dxa"/>
                  <w:vAlign w:val="center"/>
                </w:tcPr>
                <w:p>
                  <w:pPr>
                    <w:widowControl/>
                    <w:jc w:val="left"/>
                    <w:rPr>
                      <w:color w:val="000000" w:themeColor="text1"/>
                      <w:kern w:val="0"/>
                      <w:sz w:val="21"/>
                      <w:szCs w:val="21"/>
                      <w:lang w:bidi="ar"/>
                      <w14:textFill>
                        <w14:solidFill>
                          <w14:schemeClr w14:val="tx1"/>
                        </w14:solidFill>
                      </w14:textFill>
                    </w:rPr>
                  </w:pPr>
                  <w:r>
                    <w:rPr>
                      <w:rFonts w:hint="eastAsia" w:ascii="宋体" w:hAnsi="宋体" w:cs="宋体"/>
                      <w:color w:val="000000" w:themeColor="text1"/>
                      <w:kern w:val="0"/>
                      <w:sz w:val="21"/>
                      <w:szCs w:val="21"/>
                      <w:lang w:bidi="ar"/>
                      <w14:textFill>
                        <w14:solidFill>
                          <w14:schemeClr w14:val="tx1"/>
                        </w14:solidFill>
                      </w14:textFill>
                    </w:rPr>
                    <w:t xml:space="preserve">严格建设项目准入。将控制挥发性有 机物排放列入建设项目环境影响评价重要内容，严格环境准入，严控“两高”行业新增产能。新建、迁建 </w:t>
                  </w:r>
                  <w:r>
                    <w:rPr>
                      <w:color w:val="000000" w:themeColor="text1"/>
                      <w:kern w:val="0"/>
                      <w:sz w:val="21"/>
                      <w:szCs w:val="21"/>
                      <w:lang w:bidi="ar"/>
                      <w14:textFill>
                        <w14:solidFill>
                          <w14:schemeClr w14:val="tx1"/>
                        </w14:solidFill>
                      </w14:textFill>
                    </w:rPr>
                    <w:t xml:space="preserve">VOCs </w:t>
                  </w:r>
                  <w:r>
                    <w:rPr>
                      <w:rFonts w:hint="eastAsia" w:ascii="宋体" w:hAnsi="宋体" w:cs="宋体"/>
                      <w:color w:val="000000" w:themeColor="text1"/>
                      <w:kern w:val="0"/>
                      <w:sz w:val="21"/>
                      <w:szCs w:val="21"/>
                      <w:lang w:bidi="ar"/>
                      <w14:textFill>
                        <w14:solidFill>
                          <w14:schemeClr w14:val="tx1"/>
                        </w14:solidFill>
                      </w14:textFill>
                    </w:rPr>
                    <w:t xml:space="preserve">排放量大的企业应入工业园区并符合规划要求，必须建设挥发性有机物污染治理设施，安装废气收集、回收或净化装置，原则上总净化效率不 得低于 </w:t>
                  </w:r>
                  <w:r>
                    <w:rPr>
                      <w:color w:val="000000" w:themeColor="text1"/>
                      <w:kern w:val="0"/>
                      <w:sz w:val="21"/>
                      <w:szCs w:val="21"/>
                      <w:lang w:bidi="ar"/>
                      <w14:textFill>
                        <w14:solidFill>
                          <w14:schemeClr w14:val="tx1"/>
                        </w14:solidFill>
                      </w14:textFill>
                    </w:rPr>
                    <w:t>90%</w:t>
                  </w:r>
                </w:p>
              </w:tc>
              <w:tc>
                <w:tcPr>
                  <w:tcW w:w="2389" w:type="dxa"/>
                  <w:vAlign w:val="center"/>
                </w:tcPr>
                <w:p>
                  <w:pPr>
                    <w:widowControl/>
                    <w:jc w:val="left"/>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bidi="ar"/>
                      <w14:textFill>
                        <w14:solidFill>
                          <w14:schemeClr w14:val="tx1"/>
                        </w14:solidFill>
                      </w14:textFill>
                    </w:rPr>
                    <w:t>用地性质符合江北产业园总体规划要求，不属于示范区禁止发展项目；</w:t>
                  </w:r>
                  <w:r>
                    <w:rPr>
                      <w:color w:val="000000" w:themeColor="text1"/>
                      <w:kern w:val="0"/>
                      <w:sz w:val="21"/>
                      <w:szCs w:val="21"/>
                      <w:lang w:bidi="ar"/>
                      <w14:textFill>
                        <w14:solidFill>
                          <w14:schemeClr w14:val="tx1"/>
                        </w14:solidFill>
                      </w14:textFill>
                    </w:rPr>
                    <w:t>本项目</w:t>
                  </w:r>
                  <w:r>
                    <w:rPr>
                      <w:rFonts w:hint="eastAsia"/>
                      <w:color w:val="000000" w:themeColor="text1"/>
                      <w:kern w:val="0"/>
                      <w:sz w:val="21"/>
                      <w:szCs w:val="21"/>
                      <w:lang w:bidi="ar"/>
                      <w14:textFill>
                        <w14:solidFill>
                          <w14:schemeClr w14:val="tx1"/>
                        </w14:solidFill>
                      </w14:textFill>
                    </w:rPr>
                    <w:t>不属于“两高”行业及</w:t>
                  </w:r>
                  <w:r>
                    <w:rPr>
                      <w:color w:val="000000" w:themeColor="text1"/>
                      <w:kern w:val="0"/>
                      <w:sz w:val="21"/>
                      <w:szCs w:val="21"/>
                      <w:lang w:bidi="ar"/>
                      <w14:textFill>
                        <w14:solidFill>
                          <w14:schemeClr w14:val="tx1"/>
                        </w14:solidFill>
                      </w14:textFill>
                    </w:rPr>
                    <w:t xml:space="preserve">VOCs </w:t>
                  </w:r>
                  <w:r>
                    <w:rPr>
                      <w:rFonts w:hint="eastAsia" w:ascii="宋体" w:hAnsi="宋体" w:cs="宋体"/>
                      <w:color w:val="000000" w:themeColor="text1"/>
                      <w:kern w:val="0"/>
                      <w:sz w:val="21"/>
                      <w:szCs w:val="21"/>
                      <w:lang w:bidi="ar"/>
                      <w14:textFill>
                        <w14:solidFill>
                          <w14:schemeClr w14:val="tx1"/>
                        </w14:solidFill>
                      </w14:textFill>
                    </w:rPr>
                    <w:t>排放量大的企业，</w:t>
                  </w:r>
                  <w:r>
                    <w:rPr>
                      <w:color w:val="000000" w:themeColor="text1"/>
                      <w:kern w:val="0"/>
                      <w:sz w:val="21"/>
                      <w:szCs w:val="21"/>
                      <w:lang w:bidi="ar"/>
                      <w14:textFill>
                        <w14:solidFill>
                          <w14:schemeClr w14:val="tx1"/>
                        </w14:solidFill>
                      </w14:textFill>
                    </w:rPr>
                    <w:t>VOCs</w:t>
                  </w:r>
                  <w:r>
                    <w:rPr>
                      <w:rFonts w:hint="eastAsia"/>
                      <w:color w:val="000000" w:themeColor="text1"/>
                      <w:kern w:val="0"/>
                      <w:sz w:val="21"/>
                      <w:szCs w:val="21"/>
                      <w:lang w:bidi="ar"/>
                      <w14:textFill>
                        <w14:solidFill>
                          <w14:schemeClr w14:val="tx1"/>
                        </w14:solidFill>
                      </w14:textFill>
                    </w:rPr>
                    <w:t>产生，项目生产过程中产生的有机废气采用“二级活性炭”吸附装置后，可做到达标排放，总净化效率不低于90%</w:t>
                  </w:r>
                </w:p>
              </w:tc>
              <w:tc>
                <w:tcPr>
                  <w:tcW w:w="93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autoSpaceDE w:val="0"/>
              <w:autoSpaceDN w:val="0"/>
              <w:spacing w:line="360" w:lineRule="auto"/>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11、与《重点行业挥发性有机物综合治理方案》（环大气[2019]53 号）的相符性分析</w:t>
            </w:r>
          </w:p>
          <w:p>
            <w:pPr>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1-9</w:t>
            </w:r>
            <w:r>
              <w:rPr>
                <w:b/>
                <w:bCs/>
                <w:color w:val="000000" w:themeColor="text1"/>
                <w14:textFill>
                  <w14:solidFill>
                    <w14:schemeClr w14:val="tx1"/>
                  </w14:solidFill>
                </w14:textFill>
              </w:rPr>
              <w:t>与《重点行业挥发性有机物综合治理方案》相符性对照表</w:t>
            </w:r>
          </w:p>
          <w:tbl>
            <w:tblPr>
              <w:tblStyle w:val="67"/>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59"/>
              <w:gridCol w:w="2571"/>
              <w:gridCol w:w="2697"/>
              <w:gridCol w:w="7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jc w:val="center"/>
              </w:trPr>
              <w:tc>
                <w:tcPr>
                  <w:tcW w:w="1461" w:type="dxa"/>
                  <w:tcBorders>
                    <w:top w:val="single" w:color="auto" w:sz="4" w:space="0"/>
                    <w:left w:val="single" w:color="auto" w:sz="0"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序号</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文件要求</w:t>
                  </w:r>
                </w:p>
              </w:tc>
              <w:tc>
                <w:tcPr>
                  <w:tcW w:w="535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本项目情况</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1</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大力推进源头替代。通过使用水性、粉末、高固体分、无溶剂、辐射固化等低 VOCs 含量的涂料，从源头减少 VOCs 产生。</w:t>
                  </w:r>
                </w:p>
              </w:tc>
              <w:tc>
                <w:tcPr>
                  <w:tcW w:w="535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本项目使用</w:t>
                  </w:r>
                  <w:r>
                    <w:rPr>
                      <w:rFonts w:hint="eastAsia"/>
                      <w:color w:val="000000" w:themeColor="text1"/>
                      <w:kern w:val="0"/>
                      <w:sz w:val="21"/>
                      <w:szCs w:val="21"/>
                      <w:lang w:bidi="ar"/>
                      <w14:textFill>
                        <w14:solidFill>
                          <w14:schemeClr w14:val="tx1"/>
                        </w14:solidFill>
                      </w14:textFill>
                    </w:rPr>
                    <w:t>浆料成分配比所含的LA水性</w:t>
                  </w:r>
                  <w:r>
                    <w:rPr>
                      <w:color w:val="000000" w:themeColor="text1"/>
                      <w:kern w:val="0"/>
                      <w:sz w:val="21"/>
                      <w:szCs w:val="21"/>
                      <w:lang w:bidi="ar"/>
                      <w14:textFill>
                        <w14:solidFill>
                          <w14:schemeClr w14:val="tx1"/>
                        </w14:solidFill>
                      </w14:textFill>
                    </w:rPr>
                    <w:t>胶粘剂</w:t>
                  </w:r>
                  <w:r>
                    <w:rPr>
                      <w:rFonts w:hint="eastAsia"/>
                      <w:color w:val="000000" w:themeColor="text1"/>
                      <w:kern w:val="0"/>
                      <w:sz w:val="21"/>
                      <w:szCs w:val="21"/>
                      <w:lang w:bidi="ar"/>
                      <w14:textFill>
                        <w14:solidFill>
                          <w14:schemeClr w14:val="tx1"/>
                        </w14:solidFill>
                      </w14:textFill>
                    </w:rPr>
                    <w:t>挥发份</w:t>
                  </w:r>
                  <w:r>
                    <w:rPr>
                      <w:color w:val="000000" w:themeColor="text1"/>
                      <w:kern w:val="0"/>
                      <w:sz w:val="21"/>
                      <w:szCs w:val="21"/>
                      <w:lang w:bidi="ar"/>
                      <w14:textFill>
                        <w14:solidFill>
                          <w14:schemeClr w14:val="tx1"/>
                        </w14:solidFill>
                      </w14:textFill>
                    </w:rPr>
                    <w:t>含量为</w:t>
                  </w:r>
                  <w:r>
                    <w:rPr>
                      <w:rFonts w:hint="eastAsia"/>
                      <w:color w:val="000000" w:themeColor="text1"/>
                      <w:kern w:val="0"/>
                      <w:sz w:val="21"/>
                      <w:szCs w:val="21"/>
                      <w:lang w:bidi="ar"/>
                      <w14:textFill>
                        <w14:solidFill>
                          <w14:schemeClr w14:val="tx1"/>
                        </w14:solidFill>
                      </w14:textFill>
                    </w:rPr>
                    <w:t>0.6</w:t>
                  </w:r>
                  <w:r>
                    <w:rPr>
                      <w:color w:val="000000" w:themeColor="text1"/>
                      <w:kern w:val="0"/>
                      <w:sz w:val="21"/>
                      <w:szCs w:val="21"/>
                      <w:lang w:bidi="ar"/>
                      <w14:textFill>
                        <w14:solidFill>
                          <w14:schemeClr w14:val="tx1"/>
                        </w14:solidFill>
                      </w14:textFill>
                    </w:rPr>
                    <w:t>%</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全面加强无组织排放控制。通过采取设备与场所密闭、工艺改进、废气有效收集等措施，削减 VOCs 无组织排放。</w:t>
                  </w:r>
                </w:p>
              </w:tc>
              <w:tc>
                <w:tcPr>
                  <w:tcW w:w="5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本项目废气均进行收集、控制与处理，减少无组织排放。</w:t>
                  </w:r>
                  <w:r>
                    <w:rPr>
                      <w:rFonts w:hint="eastAsia"/>
                      <w:color w:val="000000" w:themeColor="text1"/>
                      <w:kern w:val="0"/>
                      <w:sz w:val="21"/>
                      <w:szCs w:val="21"/>
                      <w:lang w:bidi="ar"/>
                      <w14:textFill>
                        <w14:solidFill>
                          <w14:schemeClr w14:val="tx1"/>
                        </w14:solidFill>
                      </w14:textFill>
                    </w:rPr>
                    <w:t>涂布、由集气罩收集，烘干工序</w:t>
                  </w:r>
                  <w:r>
                    <w:rPr>
                      <w:color w:val="000000" w:themeColor="text1"/>
                      <w:kern w:val="0"/>
                      <w:sz w:val="21"/>
                      <w:szCs w:val="21"/>
                      <w:lang w:bidi="ar"/>
                      <w14:textFill>
                        <w14:solidFill>
                          <w14:schemeClr w14:val="tx1"/>
                        </w14:solidFill>
                      </w14:textFill>
                    </w:rPr>
                    <w:t>产生的非甲烷总烃通过</w:t>
                  </w:r>
                  <w:r>
                    <w:rPr>
                      <w:rFonts w:hint="eastAsia"/>
                      <w:color w:val="000000" w:themeColor="text1"/>
                      <w:kern w:val="0"/>
                      <w:sz w:val="21"/>
                      <w:szCs w:val="21"/>
                      <w:lang w:bidi="ar"/>
                      <w14:textFill>
                        <w14:solidFill>
                          <w14:schemeClr w14:val="tx1"/>
                        </w14:solidFill>
                      </w14:textFill>
                    </w:rPr>
                    <w:t>烘箱内部的集气系统</w:t>
                  </w:r>
                  <w:r>
                    <w:rPr>
                      <w:color w:val="000000" w:themeColor="text1"/>
                      <w:kern w:val="0"/>
                      <w:sz w:val="21"/>
                      <w:szCs w:val="21"/>
                      <w:lang w:bidi="ar"/>
                      <w14:textFill>
                        <w14:solidFill>
                          <w14:schemeClr w14:val="tx1"/>
                        </w14:solidFill>
                      </w14:textFill>
                    </w:rPr>
                    <w:t>进行收集</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0" w:hRule="atLeast"/>
                <w:jc w:val="center"/>
              </w:trPr>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3</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w:t>
                  </w:r>
                </w:p>
              </w:tc>
              <w:tc>
                <w:tcPr>
                  <w:tcW w:w="535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46" w:hRule="atLeast"/>
                <w:jc w:val="center"/>
              </w:trPr>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推进建设适宜高效的治污设施。……鼓励企业采用多种技术的组合工艺，提高 VOCs 治理效率。低浓度、大风量废气，宜采用沸石转轮吸附、活性炭吸附、减风增浓等浓缩技术，提高VOCs 浓度后净化处；高浓度废气，优先进行溶剂回收，难以回收的，宜采用高温焚烧、催化燃烧等技术。油气（溶剂）回收宜采用冷凝+吸附、吸附+吸收、膜分离+吸附等技术。低温等离子、催化、光氧化技术主要适用于恶臭异味等治理；生物法主要适用于低浓度 VOCs 废气治理和恶臭异味治理。非水溶性的 VOCs 废气禁止采用水或水溶液喷淋吸收处理。</w:t>
                  </w:r>
                </w:p>
              </w:tc>
              <w:tc>
                <w:tcPr>
                  <w:tcW w:w="535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涂布产生的非甲烷总烃通过涂布机上方布置的集气罩收集后，废气汇集至</w:t>
                  </w:r>
                  <w:r>
                    <w:rPr>
                      <w:rFonts w:hint="eastAsia"/>
                      <w:color w:val="000000" w:themeColor="text1"/>
                      <w:kern w:val="0"/>
                      <w:sz w:val="21"/>
                      <w:szCs w:val="21"/>
                      <w:lang w:bidi="ar"/>
                      <w14:textFill>
                        <w14:solidFill>
                          <w14:schemeClr w14:val="tx1"/>
                        </w14:solidFill>
                      </w14:textFill>
                    </w:rPr>
                    <w:t>1套二级活性炭</w:t>
                  </w:r>
                  <w:r>
                    <w:rPr>
                      <w:color w:val="000000" w:themeColor="text1"/>
                      <w:kern w:val="0"/>
                      <w:sz w:val="21"/>
                      <w:szCs w:val="21"/>
                      <w:lang w:bidi="ar"/>
                      <w14:textFill>
                        <w14:solidFill>
                          <w14:schemeClr w14:val="tx1"/>
                        </w14:solidFill>
                      </w14:textFill>
                    </w:rPr>
                    <w:t>吸附装置处理（TA001），尾气通过1根15米高的排气筒DA001排放</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烘干产生的非甲烷总烃通过烘箱内部的集气系统收集后，废气汇集至</w:t>
                  </w:r>
                  <w:r>
                    <w:rPr>
                      <w:rFonts w:hint="eastAsia"/>
                      <w:color w:val="000000" w:themeColor="text1"/>
                      <w:kern w:val="0"/>
                      <w:sz w:val="21"/>
                      <w:szCs w:val="21"/>
                      <w:lang w:bidi="ar"/>
                      <w14:textFill>
                        <w14:solidFill>
                          <w14:schemeClr w14:val="tx1"/>
                        </w14:solidFill>
                      </w14:textFill>
                    </w:rPr>
                    <w:t>1套二级活性炭</w:t>
                  </w:r>
                  <w:r>
                    <w:rPr>
                      <w:color w:val="000000" w:themeColor="text1"/>
                      <w:kern w:val="0"/>
                      <w:sz w:val="21"/>
                      <w:szCs w:val="21"/>
                      <w:lang w:bidi="ar"/>
                      <w14:textFill>
                        <w14:solidFill>
                          <w14:schemeClr w14:val="tx1"/>
                        </w14:solidFill>
                      </w14:textFill>
                    </w:rPr>
                    <w:t>吸附装置处理（TA001），尾气通过1根15米高的排气筒DA001排放</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5" w:hRule="atLeast"/>
                <w:jc w:val="center"/>
              </w:trPr>
              <w:tc>
                <w:tcPr>
                  <w:tcW w:w="146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5</w:t>
                  </w:r>
                </w:p>
              </w:tc>
              <w:tc>
                <w:tcPr>
                  <w:tcW w:w="569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实行重点排放源排放浓度与去除效率双重控制。车间或生产设施收集排放的废气，VOCs初始排放速率大于等于 3千克/小时、重点区域大于等于 2千克/小时的，应加大控制力度，除效率不低于 80%；</w:t>
                  </w:r>
                </w:p>
              </w:tc>
              <w:tc>
                <w:tcPr>
                  <w:tcW w:w="535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本项目选址位于芜湖市，属于重点区域，</w:t>
                  </w:r>
                  <w:r>
                    <w:rPr>
                      <w:rFonts w:hint="eastAsia"/>
                      <w:color w:val="000000" w:themeColor="text1"/>
                      <w:kern w:val="0"/>
                      <w:sz w:val="21"/>
                      <w:szCs w:val="21"/>
                      <w:lang w:bidi="ar"/>
                      <w14:textFill>
                        <w14:solidFill>
                          <w14:schemeClr w14:val="tx1"/>
                        </w14:solidFill>
                      </w14:textFill>
                    </w:rPr>
                    <w:t>非甲烷总烃排放速率为0.066kg/h，</w:t>
                  </w:r>
                  <w:r>
                    <w:rPr>
                      <w:color w:val="000000" w:themeColor="text1"/>
                      <w:kern w:val="0"/>
                      <w:sz w:val="21"/>
                      <w:szCs w:val="21"/>
                      <w:lang w:bidi="ar"/>
                      <w14:textFill>
                        <w14:solidFill>
                          <w14:schemeClr w14:val="tx1"/>
                        </w14:solidFill>
                      </w14:textFill>
                    </w:rPr>
                    <w:t>采用</w:t>
                  </w:r>
                  <w:r>
                    <w:rPr>
                      <w:rFonts w:hint="eastAsia"/>
                      <w:color w:val="000000" w:themeColor="text1"/>
                      <w:kern w:val="0"/>
                      <w:sz w:val="21"/>
                      <w:szCs w:val="21"/>
                      <w:lang w:bidi="ar"/>
                      <w14:textFill>
                        <w14:solidFill>
                          <w14:schemeClr w14:val="tx1"/>
                        </w14:solidFill>
                      </w14:textFill>
                    </w:rPr>
                    <w:t>二级活性炭净化装置</w:t>
                  </w:r>
                  <w:r>
                    <w:rPr>
                      <w:color w:val="000000" w:themeColor="text1"/>
                      <w:kern w:val="0"/>
                      <w:sz w:val="21"/>
                      <w:szCs w:val="21"/>
                      <w:lang w:bidi="ar"/>
                      <w14:textFill>
                        <w14:solidFill>
                          <w14:schemeClr w14:val="tx1"/>
                        </w14:solidFill>
                      </w14:textFill>
                    </w:rPr>
                    <w:t>的去除效率大于80%。</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符合</w:t>
                  </w:r>
                </w:p>
              </w:tc>
            </w:tr>
          </w:tbl>
          <w:p>
            <w:pPr>
              <w:rPr>
                <w:color w:val="000000" w:themeColor="text1"/>
                <w14:textFill>
                  <w14:solidFill>
                    <w14:schemeClr w14:val="tx1"/>
                  </w14:solidFill>
                </w14:textFill>
              </w:rPr>
            </w:pPr>
          </w:p>
          <w:p>
            <w:pPr>
              <w:autoSpaceDE w:val="0"/>
              <w:autoSpaceDN w:val="0"/>
              <w:spacing w:line="360" w:lineRule="auto"/>
              <w:ind w:firstLine="480" w:firstLineChars="200"/>
              <w:jc w:val="left"/>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2"/>
              <w:ind w:firstLine="560"/>
              <w:rPr>
                <w:color w:val="000000" w:themeColor="text1"/>
                <w14:textFill>
                  <w14:solidFill>
                    <w14:schemeClr w14:val="tx1"/>
                  </w14:solidFill>
                </w14:textFill>
              </w:rPr>
            </w:pPr>
          </w:p>
          <w:p>
            <w:pPr>
              <w:pStyle w:val="6"/>
              <w:jc w:val="center"/>
              <w:rPr>
                <w:color w:val="000000" w:themeColor="text1"/>
                <w14:textFill>
                  <w14:solidFill>
                    <w14:schemeClr w14:val="tx1"/>
                  </w14:solidFill>
                </w14:textFill>
              </w:rPr>
            </w:pPr>
          </w:p>
          <w:p>
            <w:pPr>
              <w:rPr>
                <w:color w:val="000000" w:themeColor="text1"/>
                <w14:textFill>
                  <w14:solidFill>
                    <w14:schemeClr w14:val="tx1"/>
                  </w14:solidFill>
                </w14:textFill>
              </w:rPr>
            </w:pPr>
          </w:p>
        </w:tc>
      </w:tr>
    </w:tbl>
    <w:p>
      <w:pPr>
        <w:rPr>
          <w:color w:val="000000" w:themeColor="text1"/>
          <w:highlight w:val="yellow"/>
          <w14:textFill>
            <w14:solidFill>
              <w14:schemeClr w14:val="tx1"/>
            </w14:solidFill>
          </w14:textFill>
        </w:rPr>
        <w:sectPr>
          <w:footerReference r:id="rId3" w:type="default"/>
          <w:pgSz w:w="11906" w:h="16838"/>
          <w:pgMar w:top="1417" w:right="1417" w:bottom="1417" w:left="1417" w:header="851" w:footer="992" w:gutter="0"/>
          <w:pgNumType w:start="1"/>
          <w:cols w:space="425" w:num="1"/>
          <w:docGrid w:type="lines" w:linePitch="312" w:charSpace="0"/>
        </w:sectPr>
      </w:pPr>
    </w:p>
    <w:p>
      <w:pPr>
        <w:pStyle w:val="25"/>
        <w:spacing w:before="0" w:beforeAutospacing="0" w:after="0" w:afterAutospacing="0"/>
        <w:jc w:val="center"/>
        <w:outlineLvl w:val="0"/>
        <w:rPr>
          <w:rFonts w:ascii="黑体" w:hAnsi="黑体" w:eastAsia="黑体"/>
          <w:snapToGrid w:val="0"/>
          <w:color w:val="000000" w:themeColor="text1"/>
          <w:sz w:val="30"/>
          <w:szCs w:val="30"/>
          <w14:textFill>
            <w14:solidFill>
              <w14:schemeClr w14:val="tx1"/>
            </w14:solidFill>
          </w14:textFill>
        </w:rPr>
      </w:pPr>
      <w:bookmarkStart w:id="2" w:name="_Toc7823"/>
      <w:r>
        <w:rPr>
          <w:rFonts w:hint="eastAsia" w:ascii="黑体" w:hAnsi="黑体" w:eastAsia="黑体"/>
          <w:snapToGrid w:val="0"/>
          <w:color w:val="000000" w:themeColor="text1"/>
          <w:sz w:val="30"/>
          <w:szCs w:val="30"/>
          <w14:textFill>
            <w14:solidFill>
              <w14:schemeClr w14:val="tx1"/>
            </w14:solidFill>
          </w14:textFill>
        </w:rPr>
        <w:t>二、建设项目工程分析</w:t>
      </w:r>
      <w:bookmarkEnd w:id="2"/>
    </w:p>
    <w:tbl>
      <w:tblPr>
        <w:tblStyle w:val="2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7"/>
        <w:gridCol w:w="87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vAlign w:val="center"/>
          </w:tcPr>
          <w:p>
            <w:pPr>
              <w:pStyle w:val="25"/>
              <w:spacing w:before="0" w:beforeAutospacing="0" w:after="0" w:afterAutospacing="0" w:line="360" w:lineRule="auto"/>
              <w:jc w:val="center"/>
              <w:rPr>
                <w:rFonts w:ascii="Times New Roman" w:hAnsi="Times New Roman"/>
                <w:color w:val="000000" w:themeColor="text1"/>
                <w:szCs w:val="24"/>
                <w:highlight w:val="yellow"/>
                <w14:textFill>
                  <w14:solidFill>
                    <w14:schemeClr w14:val="tx1"/>
                  </w14:solidFill>
                </w14:textFill>
              </w:rPr>
            </w:pPr>
            <w:r>
              <w:rPr>
                <w:rFonts w:ascii="Times New Roman" w:hAnsi="Times New Roman"/>
                <w:color w:val="000000" w:themeColor="text1"/>
                <w:szCs w:val="24"/>
                <w14:textFill>
                  <w14:solidFill>
                    <w14:schemeClr w14:val="tx1"/>
                  </w14:solidFill>
                </w14:textFill>
              </w:rPr>
              <w:t>建设内容</w:t>
            </w:r>
          </w:p>
        </w:tc>
        <w:tc>
          <w:tcPr>
            <w:tcW w:w="4710" w:type="pct"/>
          </w:tcPr>
          <w:p>
            <w:pPr>
              <w:spacing w:line="360" w:lineRule="auto"/>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（一）项目由来</w:t>
            </w:r>
          </w:p>
          <w:p>
            <w:pPr>
              <w:spacing w:line="360" w:lineRule="auto"/>
              <w:ind w:firstLine="48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芜湖永拓新材料有限公司地处安徽省芜湖市鸠江区沈巷镇江北产业集中区中小企业园新能源新材料产业聚集区4#厂房，主要经营范围包括新型膜材料制造；技术进出口。</w:t>
            </w:r>
          </w:p>
          <w:p>
            <w:pPr>
              <w:spacing w:line="360" w:lineRule="auto"/>
              <w:ind w:firstLine="48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为适应市场需求，芜湖永拓新材料有限公司总投资15000万元，建设年产4亿平方米隔膜涂布项目，项目占地面积5473平方米，选址于安徽省芜湖市鸠江区沈巷镇江北产业集中区中小企业园新能源新材料产业聚集区4#厂房内。主要致力于隔膜涂布产品的生产，建设完成后达到年产4亿平方米隔膜涂布的生产能力。</w:t>
            </w:r>
          </w:p>
          <w:p>
            <w:pPr>
              <w:spacing w:line="360" w:lineRule="auto"/>
              <w:ind w:firstLine="480" w:firstLineChars="200"/>
              <w:jc w:val="left"/>
              <w:rPr>
                <w:color w:val="000000" w:themeColor="text1"/>
                <w14:textFill>
                  <w14:solidFill>
                    <w14:schemeClr w14:val="tx1"/>
                  </w14:solidFill>
                </w14:textFill>
              </w:rPr>
            </w:pPr>
            <w:r>
              <w:rPr>
                <w:rFonts w:hint="eastAsia"/>
                <w:bCs/>
                <w:color w:val="000000" w:themeColor="text1"/>
                <w14:textFill>
                  <w14:solidFill>
                    <w14:schemeClr w14:val="tx1"/>
                  </w14:solidFill>
                </w14:textFill>
              </w:rPr>
              <w:t>根据《中华人民共和国环境影响评价法》、《建设项目环境保护管理条例》等有关规定，本项目</w:t>
            </w:r>
            <w:r>
              <w:rPr>
                <w:rFonts w:hint="eastAsia"/>
                <w:bCs/>
                <w:color w:val="000000" w:themeColor="text1"/>
                <w:lang w:val="en-US" w:eastAsia="zh-CN"/>
                <w14:textFill>
                  <w14:solidFill>
                    <w14:schemeClr w14:val="tx1"/>
                  </w14:solidFill>
                </w14:textFill>
              </w:rPr>
              <w:t>生产塑料隔膜，不使用有机溶剂，</w:t>
            </w:r>
            <w:r>
              <w:rPr>
                <w:rFonts w:hint="eastAsia"/>
                <w:bCs/>
                <w:color w:val="000000" w:themeColor="text1"/>
                <w14:textFill>
                  <w14:solidFill>
                    <w14:schemeClr w14:val="tx1"/>
                  </w14:solidFill>
                </w14:textFill>
              </w:rPr>
              <w:t>需进行环境影响评价。对照《建设项目环境影响评价分类管理名录》（</w:t>
            </w:r>
            <w:r>
              <w:rPr>
                <w:bCs/>
                <w:color w:val="000000" w:themeColor="text1"/>
                <w14:textFill>
                  <w14:solidFill>
                    <w14:schemeClr w14:val="tx1"/>
                  </w14:solidFill>
                </w14:textFill>
              </w:rPr>
              <w:t>2021</w:t>
            </w:r>
            <w:r>
              <w:rPr>
                <w:rFonts w:hint="eastAsia"/>
                <w:bCs/>
                <w:color w:val="000000" w:themeColor="text1"/>
                <w14:textFill>
                  <w14:solidFill>
                    <w14:schemeClr w14:val="tx1"/>
                  </w14:solidFill>
                </w14:textFill>
              </w:rPr>
              <w:t>版），本项目的类别为</w:t>
            </w:r>
            <w:r>
              <w:rPr>
                <w:rFonts w:hint="eastAsia"/>
                <w:color w:val="000000" w:themeColor="text1"/>
                <w14:textFill>
                  <w14:solidFill>
                    <w14:schemeClr w14:val="tx1"/>
                  </w14:solidFill>
                </w14:textFill>
              </w:rPr>
              <w:t>“二十六 、橡胶和塑料制品业 29”第53塑料制品业292中的“其他（年用非溶剂型低VOCs含量涂料10吨以下的除外）”，需要编制报告表。</w:t>
            </w:r>
            <w:r>
              <w:rPr>
                <w:rFonts w:hint="eastAsia"/>
                <w:bCs/>
                <w:color w:val="000000" w:themeColor="text1"/>
                <w14:textFill>
                  <w14:solidFill>
                    <w14:schemeClr w14:val="tx1"/>
                  </w14:solidFill>
                </w14:textFill>
              </w:rPr>
              <w:t>据此，建设单位委托芜湖民宇环境科技有限公司对该项目进行环境影响评价。在接受委托后，我公司评价人员赴现场踏勘、调研，并收集了有关资料。在此基础上，按照国家环保政策及技术规范，编制完成《</w:t>
            </w:r>
            <w:r>
              <w:rPr>
                <w:rFonts w:hint="eastAsia"/>
                <w:color w:val="000000" w:themeColor="text1"/>
                <w14:textFill>
                  <w14:solidFill>
                    <w14:schemeClr w14:val="tx1"/>
                  </w14:solidFill>
                </w14:textFill>
              </w:rPr>
              <w:t>年产4亿平方米隔膜涂布项目</w:t>
            </w:r>
            <w:r>
              <w:rPr>
                <w:rFonts w:hint="eastAsia"/>
                <w:bCs/>
                <w:color w:val="000000" w:themeColor="text1"/>
                <w14:textFill>
                  <w14:solidFill>
                    <w14:schemeClr w14:val="tx1"/>
                  </w14:solidFill>
                </w14:textFill>
              </w:rPr>
              <w:t>环境影响报告表》，呈报环境保护主管部门审批。</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本项目属于C2921塑料薄膜制造，对照《固定污染源排污许可分类管理名录》（2019年版），本项目属于《名录》第二十四项“橡胶和塑料制品业29”，第62号—塑料制品业292，项目年产</w:t>
            </w:r>
            <w:r>
              <w:rPr>
                <w:rFonts w:hint="eastAsia"/>
                <w:color w:val="000000" w:themeColor="text1"/>
                <w:lang w:val="en-US" w:eastAsia="zh-CN"/>
                <w14:textFill>
                  <w14:solidFill>
                    <w14:schemeClr w14:val="tx1"/>
                  </w14:solidFill>
                </w14:textFill>
              </w:rPr>
              <w:t>塑料隔</w:t>
            </w:r>
            <w:r>
              <w:rPr>
                <w:rFonts w:hint="eastAsia"/>
                <w:bCs/>
                <w:color w:val="000000" w:themeColor="text1"/>
                <w14:textFill>
                  <w14:solidFill>
                    <w14:schemeClr w14:val="tx1"/>
                  </w14:solidFill>
                </w14:textFill>
              </w:rPr>
              <w:t>膜涂布产品</w:t>
            </w:r>
            <w:r>
              <w:rPr>
                <w:rFonts w:hint="eastAsia"/>
                <w:bCs/>
                <w:color w:val="000000" w:themeColor="text1"/>
                <w:lang w:val="en-US" w:eastAsia="zh-CN"/>
                <w14:textFill>
                  <w14:solidFill>
                    <w14:schemeClr w14:val="tx1"/>
                  </w14:solidFill>
                </w14:textFill>
              </w:rPr>
              <w:t>6750吨，小于1万吨</w:t>
            </w:r>
            <w:r>
              <w:rPr>
                <w:rFonts w:hint="eastAsia"/>
                <w:color w:val="000000" w:themeColor="text1"/>
                <w14:textFill>
                  <w14:solidFill>
                    <w14:schemeClr w14:val="tx1"/>
                  </w14:solidFill>
                </w14:textFill>
              </w:rPr>
              <w:t>，属于排污许可中“</w:t>
            </w:r>
            <w:r>
              <w:rPr>
                <w:rFonts w:hint="eastAsia"/>
                <w:color w:val="000000" w:themeColor="text1"/>
                <w:lang w:val="en-US" w:eastAsia="zh-CN"/>
                <w14:textFill>
                  <w14:solidFill>
                    <w14:schemeClr w14:val="tx1"/>
                  </w14:solidFill>
                </w14:textFill>
              </w:rPr>
              <w:t>登记</w:t>
            </w:r>
            <w:r>
              <w:rPr>
                <w:rFonts w:hint="eastAsia"/>
                <w:color w:val="000000" w:themeColor="text1"/>
                <w14:textFill>
                  <w14:solidFill>
                    <w14:schemeClr w14:val="tx1"/>
                  </w14:solidFill>
                </w14:textFill>
              </w:rPr>
              <w:t>管理”。根据《安徽省生态环境厅关于统筹做好固定污染源排污许可日常监管工作的通知》（皖环发[2021]7 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中填写了建设项目环境影响评价与排污许可联动相关内容。企业应根据现行《固定污染源排污许可分类管理名录》要求，在实施排污前完成建设项目排污许可证的申请。</w:t>
            </w:r>
          </w:p>
          <w:p>
            <w:pPr>
              <w:spacing w:line="360" w:lineRule="auto"/>
              <w:ind w:firstLine="482" w:firstLineChars="200"/>
              <w:rPr>
                <w:b/>
                <w:bCs/>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（二）</w:t>
            </w:r>
            <w:r>
              <w:rPr>
                <w:b/>
                <w:bCs/>
                <w:color w:val="000000" w:themeColor="text1"/>
                <w14:textFill>
                  <w14:solidFill>
                    <w14:schemeClr w14:val="tx1"/>
                  </w14:solidFill>
                </w14:textFill>
              </w:rPr>
              <w:t>项目概况</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项目名称：</w:t>
            </w:r>
            <w:r>
              <w:rPr>
                <w:rFonts w:hint="eastAsia"/>
                <w:color w:val="000000" w:themeColor="text1"/>
                <w14:textFill>
                  <w14:solidFill>
                    <w14:schemeClr w14:val="tx1"/>
                  </w14:solidFill>
                </w14:textFill>
              </w:rPr>
              <w:t>年产4亿平方米隔膜涂布项目；</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建设单位：</w:t>
            </w:r>
            <w:r>
              <w:rPr>
                <w:rFonts w:hint="eastAsia"/>
                <w:color w:val="000000" w:themeColor="text1"/>
                <w14:textFill>
                  <w14:solidFill>
                    <w14:schemeClr w14:val="tx1"/>
                  </w14:solidFill>
                </w14:textFill>
              </w:rPr>
              <w:t>芜湖永拓新材料有限公司；</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建设性质：</w:t>
            </w:r>
            <w:r>
              <w:rPr>
                <w:rFonts w:hint="eastAsia"/>
                <w:color w:val="000000" w:themeColor="text1"/>
                <w14:textFill>
                  <w14:solidFill>
                    <w14:schemeClr w14:val="tx1"/>
                  </w14:solidFill>
                </w14:textFill>
              </w:rPr>
              <w:t>新建；</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建设地点：</w:t>
            </w:r>
            <w:r>
              <w:rPr>
                <w:rFonts w:hint="eastAsia"/>
                <w:color w:val="000000" w:themeColor="text1"/>
                <w14:textFill>
                  <w14:solidFill>
                    <w14:schemeClr w14:val="tx1"/>
                  </w14:solidFill>
                </w14:textFill>
              </w:rPr>
              <w:t>安徽省芜湖市鸠江区沈巷镇江北产业集中区中小企业园新能源新材料产业聚集区4#厂房</w:t>
            </w:r>
            <w:r>
              <w:rPr>
                <w:color w:val="000000" w:themeColor="text1"/>
                <w14:textFill>
                  <w14:solidFill>
                    <w14:schemeClr w14:val="tx1"/>
                  </w14:solidFill>
                </w14:textFill>
              </w:rPr>
              <w:t>，中心地理坐标（纬度：北纬 N31°27′31.393″ 东经 E118°14′54.765″），地理位置图见附图1。</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周边关系：</w:t>
            </w:r>
            <w:r>
              <w:rPr>
                <w:rFonts w:hint="eastAsia"/>
                <w:color w:val="000000" w:themeColor="text1"/>
                <w14:textFill>
                  <w14:solidFill>
                    <w14:schemeClr w14:val="tx1"/>
                  </w14:solidFill>
                </w14:textFill>
              </w:rPr>
              <w:t>项目所在地东侧为新能源产业集中区二期空置厂房，北侧为海螺、创信仓库，西侧为安徽海螺制剂工程技术有限公司以及安徽科惠信息技术有限公司，南侧为皖兴路。</w:t>
            </w:r>
            <w:r>
              <w:rPr>
                <w:color w:val="000000" w:themeColor="text1"/>
                <w14:textFill>
                  <w14:solidFill>
                    <w14:schemeClr w14:val="tx1"/>
                  </w14:solidFill>
                </w14:textFill>
              </w:rPr>
              <w:t>项目周边关系图见附图2。</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（三）工程建设内容</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项目建设内容及规模</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芜湖永拓新材料有限公司租用安徽省江北新城建设发展有限公司已建成厂房，本项</w:t>
            </w:r>
            <w:r>
              <w:rPr>
                <w:color w:val="000000" w:themeColor="text1"/>
                <w14:textFill>
                  <w14:solidFill>
                    <w14:schemeClr w14:val="tx1"/>
                  </w14:solidFill>
                </w14:textFill>
              </w:rPr>
              <w:t>目占地</w:t>
            </w:r>
            <w:r>
              <w:rPr>
                <w:rFonts w:hint="eastAsia"/>
                <w:color w:val="000000" w:themeColor="text1"/>
                <w14:textFill>
                  <w14:solidFill>
                    <w14:schemeClr w14:val="tx1"/>
                  </w14:solidFill>
                </w14:textFill>
              </w:rPr>
              <w:t>面积5473</w:t>
            </w:r>
            <w:r>
              <w:rPr>
                <w:color w:val="000000" w:themeColor="text1"/>
                <w14:textFill>
                  <w14:solidFill>
                    <w14:schemeClr w14:val="tx1"/>
                  </w14:solidFill>
                </w14:textFill>
              </w:rPr>
              <w:t>平方米，</w:t>
            </w:r>
            <w:r>
              <w:rPr>
                <w:rFonts w:hint="eastAsia"/>
                <w:color w:val="000000" w:themeColor="text1"/>
                <w14:textFill>
                  <w14:solidFill>
                    <w14:schemeClr w14:val="tx1"/>
                  </w14:solidFill>
                </w14:textFill>
              </w:rPr>
              <w:t>共4F，建筑面积15792</w:t>
            </w:r>
            <w:r>
              <w:rPr>
                <w:color w:val="000000" w:themeColor="text1"/>
                <w14:textFill>
                  <w14:solidFill>
                    <w14:schemeClr w14:val="tx1"/>
                  </w14:solidFill>
                </w14:textFill>
              </w:rPr>
              <w:t>平方米</w:t>
            </w:r>
            <w:r>
              <w:rPr>
                <w:rFonts w:hint="eastAsia"/>
                <w:color w:val="000000" w:themeColor="text1"/>
                <w14:textFill>
                  <w14:solidFill>
                    <w14:schemeClr w14:val="tx1"/>
                  </w14:solidFill>
                </w14:textFill>
              </w:rPr>
              <w:t>，厂房呈L形布置，1层布置涂布区域，布置各类涂布机共20台，3层东侧布置分切、烘干区域，布置分切机30台，烘箱7台，其余为仓储及办公区域</w:t>
            </w:r>
            <w:r>
              <w:rPr>
                <w:color w:val="000000" w:themeColor="text1"/>
                <w14:textFill>
                  <w14:solidFill>
                    <w14:schemeClr w14:val="tx1"/>
                  </w14:solidFill>
                </w14:textFill>
              </w:rPr>
              <w:t>，配套建设给排水、供配电等公用工程。本项目建设组成详见下表：</w:t>
            </w:r>
          </w:p>
          <w:p>
            <w:pPr>
              <w:spacing w:line="360" w:lineRule="auto"/>
              <w:ind w:firstLine="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w:t>
            </w:r>
            <w:r>
              <w:rPr>
                <w:rFonts w:hint="eastAsia"/>
                <w:b/>
                <w:color w:val="000000" w:themeColor="text1"/>
                <w:szCs w:val="21"/>
                <w14:textFill>
                  <w14:solidFill>
                    <w14:schemeClr w14:val="tx1"/>
                  </w14:solidFill>
                </w14:textFill>
              </w:rPr>
              <w:t>2</w:t>
            </w:r>
            <w:r>
              <w:rPr>
                <w:b/>
                <w:color w:val="000000" w:themeColor="text1"/>
                <w:szCs w:val="21"/>
                <w14:textFill>
                  <w14:solidFill>
                    <w14:schemeClr w14:val="tx1"/>
                  </w14:solidFill>
                </w14:textFill>
              </w:rPr>
              <w:t xml:space="preserve">-1 </w:t>
            </w:r>
            <w:r>
              <w:rPr>
                <w:rFonts w:hint="eastAsia"/>
                <w:b/>
                <w:color w:val="000000" w:themeColor="text1"/>
                <w:szCs w:val="21"/>
                <w14:textFill>
                  <w14:solidFill>
                    <w14:schemeClr w14:val="tx1"/>
                  </w14:solidFill>
                </w14:textFill>
              </w:rPr>
              <w:t>项目主要工程内容及规模一览表</w:t>
            </w:r>
          </w:p>
          <w:tbl>
            <w:tblPr>
              <w:tblStyle w:val="29"/>
              <w:tblW w:w="498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582"/>
              <w:gridCol w:w="446"/>
              <w:gridCol w:w="904"/>
              <w:gridCol w:w="2849"/>
              <w:gridCol w:w="1251"/>
              <w:gridCol w:w="246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343" w:type="pct"/>
                  <w:tcBorders>
                    <w:top w:val="single" w:color="auto" w:sz="4" w:space="0"/>
                    <w:left w:val="single" w:color="auto" w:sz="4" w:space="0"/>
                  </w:tcBorders>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工程</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类别</w:t>
                  </w:r>
                </w:p>
              </w:tc>
              <w:tc>
                <w:tcPr>
                  <w:tcW w:w="795" w:type="pct"/>
                  <w:gridSpan w:val="2"/>
                  <w:tcBorders>
                    <w:top w:val="single" w:color="auto" w:sz="4" w:space="0"/>
                  </w:tcBorders>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单项工程</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名称</w:t>
                  </w:r>
                </w:p>
              </w:tc>
              <w:tc>
                <w:tcPr>
                  <w:tcW w:w="2412" w:type="pct"/>
                  <w:gridSpan w:val="2"/>
                  <w:tcBorders>
                    <w:top w:val="single" w:color="auto" w:sz="4" w:space="0"/>
                    <w:bottom w:val="single" w:color="auto" w:sz="6" w:space="0"/>
                    <w:right w:val="single" w:color="auto" w:sz="4" w:space="0"/>
                  </w:tcBorders>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rFonts w:hint="eastAsia"/>
                      <w:b/>
                      <w:color w:val="000000" w:themeColor="text1"/>
                      <w:sz w:val="21"/>
                      <w14:textFill>
                        <w14:solidFill>
                          <w14:schemeClr w14:val="tx1"/>
                        </w14:solidFill>
                      </w14:textFill>
                    </w:rPr>
                    <w:t>主要建设内容</w:t>
                  </w:r>
                </w:p>
              </w:tc>
              <w:tc>
                <w:tcPr>
                  <w:tcW w:w="1448" w:type="pct"/>
                  <w:tcBorders>
                    <w:top w:val="single" w:color="auto" w:sz="4" w:space="0"/>
                    <w:right w:val="single" w:color="auto" w:sz="4" w:space="0"/>
                  </w:tcBorders>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0" w:lineRule="exact"/>
                    <w:ind w:left="-120" w:leftChars="-50" w:right="-120" w:rightChars="-50"/>
                    <w:jc w:val="center"/>
                    <w:rPr>
                      <w:b/>
                      <w:color w:val="000000" w:themeColor="text1"/>
                      <w:sz w:val="21"/>
                      <w14:textFill>
                        <w14:solidFill>
                          <w14:schemeClr w14:val="tx1"/>
                        </w14:solidFill>
                      </w14:textFill>
                    </w:rPr>
                  </w:pPr>
                  <w:r>
                    <w:rPr>
                      <w:rFonts w:hint="eastAsia"/>
                      <w:b/>
                      <w:color w:val="000000" w:themeColor="text1"/>
                      <w:sz w:val="21"/>
                      <w14:textFill>
                        <w14:solidFill>
                          <w14:schemeClr w14:val="tx1"/>
                        </w14:solidFill>
                      </w14:textFill>
                    </w:rPr>
                    <w:t>工程规模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43" w:type="pct"/>
                  <w:tcBorders>
                    <w:top w:val="single" w:color="auto" w:sz="6" w:space="0"/>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主体</w:t>
                  </w:r>
                </w:p>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工程</w:t>
                  </w:r>
                </w:p>
              </w:tc>
              <w:tc>
                <w:tcPr>
                  <w:tcW w:w="795" w:type="pct"/>
                  <w:gridSpan w:val="2"/>
                  <w:vAlign w:val="center"/>
                </w:tcPr>
                <w:p>
                  <w:pPr>
                    <w:spacing w:line="340" w:lineRule="exact"/>
                    <w:ind w:left="-120" w:leftChars="-50" w:right="-120" w:rightChars="-5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生产区域</w:t>
                  </w:r>
                </w:p>
              </w:tc>
              <w:tc>
                <w:tcPr>
                  <w:tcW w:w="2412" w:type="pct"/>
                  <w:gridSpan w:val="2"/>
                  <w:tcBorders>
                    <w:top w:val="single" w:color="auto" w:sz="6" w:space="0"/>
                    <w:bottom w:val="single" w:color="auto" w:sz="4" w:space="0"/>
                    <w:right w:val="single" w:color="auto" w:sz="4" w:space="0"/>
                  </w:tcBorders>
                  <w:vAlign w:val="center"/>
                </w:tcPr>
                <w:p>
                  <w:pPr>
                    <w:spacing w:line="340" w:lineRule="exact"/>
                    <w:ind w:right="-48" w:rightChars="-2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生产区域位于生产厂房1层，3层；</w:t>
                  </w:r>
                </w:p>
                <w:p>
                  <w:pPr>
                    <w:spacing w:line="340" w:lineRule="exact"/>
                    <w:ind w:right="-48" w:rightChars="-2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1层主要为浆料涂布区域，涉及涂布工艺，布置布置涂布机共20台；</w:t>
                  </w:r>
                </w:p>
                <w:p>
                  <w:pPr>
                    <w:spacing w:line="340" w:lineRule="exact"/>
                    <w:ind w:right="-48" w:rightChars="-2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3层东侧为分切、烘干区域，涉及烘干、分切工艺，布置分切机30台，烘箱7台；</w:t>
                  </w:r>
                </w:p>
              </w:tc>
              <w:tc>
                <w:tcPr>
                  <w:tcW w:w="1448" w:type="pct"/>
                  <w:tcBorders>
                    <w:top w:val="single" w:color="auto" w:sz="6"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生产区域建筑面积8041.87m</w:t>
                  </w:r>
                  <w:r>
                    <w:rPr>
                      <w:rFonts w:hint="eastAsia"/>
                      <w:color w:val="000000" w:themeColor="text1"/>
                      <w:sz w:val="21"/>
                      <w:vertAlign w:val="superscript"/>
                      <w14:textFill>
                        <w14:solidFill>
                          <w14:schemeClr w14:val="tx1"/>
                        </w14:solidFill>
                      </w14:textFill>
                    </w:rPr>
                    <w:t>2</w:t>
                  </w:r>
                  <w:r>
                    <w:rPr>
                      <w:rFonts w:hint="eastAsia"/>
                      <w:color w:val="000000" w:themeColor="text1"/>
                      <w:sz w:val="21"/>
                      <w14:textFill>
                        <w14:solidFill>
                          <w14:schemeClr w14:val="tx1"/>
                        </w14:solidFill>
                      </w14:textFill>
                    </w:rPr>
                    <w:t>，位于租赁厂房的1层全部（5472.74m</w:t>
                  </w:r>
                  <w:r>
                    <w:rPr>
                      <w:rFonts w:hint="eastAsia"/>
                      <w:color w:val="000000" w:themeColor="text1"/>
                      <w:sz w:val="21"/>
                      <w:vertAlign w:val="superscript"/>
                      <w14:textFill>
                        <w14:solidFill>
                          <w14:schemeClr w14:val="tx1"/>
                        </w14:solidFill>
                      </w14:textFill>
                    </w:rPr>
                    <w:t>2</w:t>
                  </w:r>
                  <w:r>
                    <w:rPr>
                      <w:rFonts w:hint="eastAsia"/>
                      <w:color w:val="000000" w:themeColor="text1"/>
                      <w:sz w:val="21"/>
                      <w14:textFill>
                        <w14:solidFill>
                          <w14:schemeClr w14:val="tx1"/>
                        </w14:solidFill>
                      </w14:textFill>
                    </w:rPr>
                    <w:t>）及3层东部（2569.13m</w:t>
                  </w:r>
                  <w:r>
                    <w:rPr>
                      <w:rFonts w:hint="eastAsia"/>
                      <w:color w:val="000000" w:themeColor="text1"/>
                      <w:sz w:val="21"/>
                      <w:vertAlign w:val="superscript"/>
                      <w14:textFill>
                        <w14:solidFill>
                          <w14:schemeClr w14:val="tx1"/>
                        </w14:solidFill>
                      </w14:textFill>
                    </w:rPr>
                    <w:t>2</w:t>
                  </w:r>
                  <w:r>
                    <w:rPr>
                      <w:rFonts w:hint="eastAsia"/>
                      <w:color w:val="000000" w:themeColor="text1"/>
                      <w:sz w:val="21"/>
                      <w14:textFill>
                        <w14:solidFill>
                          <w14:schemeClr w14:val="tx1"/>
                        </w14:solidFill>
                      </w14:textFill>
                    </w:rPr>
                    <w:t>），厂房规格53m*33m+13m*19m+104m*37m，年产4亿平方米隔膜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restart"/>
                  <w:tcBorders>
                    <w:top w:val="single" w:color="auto" w:sz="6" w:space="0"/>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贮运</w:t>
                  </w:r>
                </w:p>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工程</w:t>
                  </w:r>
                </w:p>
              </w:tc>
              <w:tc>
                <w:tcPr>
                  <w:tcW w:w="795" w:type="pct"/>
                  <w:gridSpan w:val="2"/>
                  <w:tcBorders>
                    <w:bottom w:val="single" w:color="auto" w:sz="4" w:space="0"/>
                  </w:tcBorders>
                  <w:vAlign w:val="center"/>
                </w:tcPr>
                <w:p>
                  <w:pPr>
                    <w:spacing w:line="340" w:lineRule="exact"/>
                    <w:ind w:left="-120" w:leftChars="-50" w:right="-120" w:rightChars="-50"/>
                    <w:jc w:val="center"/>
                    <w:rPr>
                      <w:bCs/>
                      <w:color w:val="000000" w:themeColor="text1"/>
                      <w:sz w:val="21"/>
                      <w14:textFill>
                        <w14:solidFill>
                          <w14:schemeClr w14:val="tx1"/>
                        </w14:solidFill>
                      </w14:textFill>
                    </w:rPr>
                  </w:pPr>
                  <w:r>
                    <w:rPr>
                      <w:rFonts w:hint="eastAsia"/>
                      <w:bCs/>
                      <w:color w:val="000000" w:themeColor="text1"/>
                      <w:sz w:val="21"/>
                      <w14:textFill>
                        <w14:solidFill>
                          <w14:schemeClr w14:val="tx1"/>
                        </w14:solidFill>
                      </w14:textFill>
                    </w:rPr>
                    <w:t>原料仓库</w:t>
                  </w:r>
                </w:p>
              </w:tc>
              <w:tc>
                <w:tcPr>
                  <w:tcW w:w="2412" w:type="pct"/>
                  <w:gridSpan w:val="2"/>
                  <w:tcBorders>
                    <w:top w:val="single" w:color="auto" w:sz="6"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原料仓库位于2层厂房西侧区域，用于存放PE膜存放</w:t>
                  </w:r>
                  <w:r>
                    <w:rPr>
                      <w:rFonts w:hint="eastAsia"/>
                      <w:color w:val="000000" w:themeColor="text1"/>
                      <w:kern w:val="0"/>
                      <w:sz w:val="21"/>
                      <w14:textFill>
                        <w14:solidFill>
                          <w14:schemeClr w14:val="tx1"/>
                        </w14:solidFill>
                      </w14:textFill>
                    </w:rPr>
                    <w:t>，最大存储规模为80t</w:t>
                  </w:r>
                </w:p>
              </w:tc>
              <w:tc>
                <w:tcPr>
                  <w:tcW w:w="1448" w:type="pct"/>
                  <w:tcBorders>
                    <w:top w:val="single" w:color="auto" w:sz="6"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建筑</w:t>
                  </w:r>
                  <w:r>
                    <w:rPr>
                      <w:color w:val="000000" w:themeColor="text1"/>
                      <w:sz w:val="21"/>
                      <w14:textFill>
                        <w14:solidFill>
                          <w14:schemeClr w14:val="tx1"/>
                        </w14:solidFill>
                      </w14:textFill>
                    </w:rPr>
                    <w:t>面积</w:t>
                  </w:r>
                  <w:r>
                    <w:rPr>
                      <w:rFonts w:hint="eastAsia"/>
                      <w:color w:val="000000" w:themeColor="text1"/>
                      <w:sz w:val="21"/>
                      <w14:textFill>
                        <w14:solidFill>
                          <w14:schemeClr w14:val="tx1"/>
                        </w14:solidFill>
                      </w14:textFill>
                    </w:rPr>
                    <w:t>200</w:t>
                  </w:r>
                  <w:r>
                    <w:rPr>
                      <w:color w:val="000000" w:themeColor="text1"/>
                      <w:sz w:val="21"/>
                      <w14:textFill>
                        <w14:solidFill>
                          <w14:schemeClr w14:val="tx1"/>
                        </w14:solidFill>
                      </w14:textFill>
                    </w:rPr>
                    <w:t>m</w:t>
                  </w:r>
                  <w:r>
                    <w:rPr>
                      <w:color w:val="000000" w:themeColor="text1"/>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bCs/>
                      <w:color w:val="000000" w:themeColor="text1"/>
                      <w:sz w:val="21"/>
                      <w14:textFill>
                        <w14:solidFill>
                          <w14:schemeClr w14:val="tx1"/>
                        </w14:solidFill>
                      </w14:textFill>
                    </w:rPr>
                  </w:pPr>
                  <w:r>
                    <w:rPr>
                      <w:color w:val="000000" w:themeColor="text1"/>
                      <w:kern w:val="0"/>
                      <w:sz w:val="21"/>
                      <w14:textFill>
                        <w14:solidFill>
                          <w14:schemeClr w14:val="tx1"/>
                        </w14:solidFill>
                      </w14:textFill>
                    </w:rPr>
                    <w:t>成品</w:t>
                  </w:r>
                  <w:r>
                    <w:rPr>
                      <w:rFonts w:hint="eastAsia"/>
                      <w:color w:val="000000" w:themeColor="text1"/>
                      <w:kern w:val="0"/>
                      <w:sz w:val="21"/>
                      <w14:textFill>
                        <w14:solidFill>
                          <w14:schemeClr w14:val="tx1"/>
                        </w14:solidFill>
                      </w14:textFill>
                    </w:rPr>
                    <w:t>仓库</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sz w:val="21"/>
                      <w14:textFill>
                        <w14:solidFill>
                          <w14:schemeClr w14:val="tx1"/>
                        </w14:solidFill>
                      </w14:textFill>
                    </w:rPr>
                  </w:pPr>
                  <w:r>
                    <w:rPr>
                      <w:rFonts w:hint="eastAsia"/>
                      <w:color w:val="000000" w:themeColor="text1"/>
                      <w:kern w:val="0"/>
                      <w:sz w:val="21"/>
                      <w14:textFill>
                        <w14:solidFill>
                          <w14:schemeClr w14:val="tx1"/>
                        </w14:solidFill>
                      </w14:textFill>
                    </w:rPr>
                    <w:t>成品仓库位于</w:t>
                  </w:r>
                  <w:r>
                    <w:rPr>
                      <w:rFonts w:hint="eastAsia"/>
                      <w:color w:val="000000" w:themeColor="text1"/>
                      <w:sz w:val="21"/>
                      <w14:textFill>
                        <w14:solidFill>
                          <w14:schemeClr w14:val="tx1"/>
                        </w14:solidFill>
                      </w14:textFill>
                    </w:rPr>
                    <w:t>2层厂房西侧区域，用于存放PE膜存放</w:t>
                  </w:r>
                  <w:r>
                    <w:rPr>
                      <w:rFonts w:hint="eastAsia"/>
                      <w:color w:val="000000" w:themeColor="text1"/>
                      <w:kern w:val="0"/>
                      <w:sz w:val="21"/>
                      <w14:textFill>
                        <w14:solidFill>
                          <w14:schemeClr w14:val="tx1"/>
                        </w14:solidFill>
                      </w14:textFill>
                    </w:rPr>
                    <w:t>，最大存储规模为200t</w:t>
                  </w:r>
                </w:p>
              </w:tc>
              <w:tc>
                <w:tcPr>
                  <w:tcW w:w="1448" w:type="pct"/>
                  <w:tcBorders>
                    <w:top w:val="single" w:color="auto" w:sz="4" w:space="0"/>
                    <w:bottom w:val="single" w:color="auto" w:sz="4" w:space="0"/>
                    <w:right w:val="single" w:color="auto" w:sz="4"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rFonts w:hint="eastAsia"/>
                      <w:color w:val="000000" w:themeColor="text1"/>
                      <w:sz w:val="21"/>
                      <w14:textFill>
                        <w14:solidFill>
                          <w14:schemeClr w14:val="tx1"/>
                        </w14:solidFill>
                      </w14:textFill>
                    </w:rPr>
                    <w:t>建筑</w:t>
                  </w:r>
                  <w:r>
                    <w:rPr>
                      <w:color w:val="000000" w:themeColor="text1"/>
                      <w:sz w:val="21"/>
                      <w14:textFill>
                        <w14:solidFill>
                          <w14:schemeClr w14:val="tx1"/>
                        </w14:solidFill>
                      </w14:textFill>
                    </w:rPr>
                    <w:t>面积</w:t>
                  </w:r>
                  <w:r>
                    <w:rPr>
                      <w:rFonts w:hint="eastAsia"/>
                      <w:color w:val="000000" w:themeColor="text1"/>
                      <w:sz w:val="21"/>
                      <w14:textFill>
                        <w14:solidFill>
                          <w14:schemeClr w14:val="tx1"/>
                        </w14:solidFill>
                      </w14:textFill>
                    </w:rPr>
                    <w:t>50</w:t>
                  </w:r>
                  <w:r>
                    <w:rPr>
                      <w:color w:val="000000" w:themeColor="text1"/>
                      <w:sz w:val="21"/>
                      <w14:textFill>
                        <w14:solidFill>
                          <w14:schemeClr w14:val="tx1"/>
                        </w14:solidFill>
                      </w14:textFill>
                    </w:rPr>
                    <w:t>0m</w:t>
                  </w:r>
                  <w:r>
                    <w:rPr>
                      <w:color w:val="000000" w:themeColor="text1"/>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color w:val="000000" w:themeColor="text1"/>
                      <w:kern w:val="0"/>
                      <w:sz w:val="21"/>
                      <w14:textFill>
                        <w14:solidFill>
                          <w14:schemeClr w14:val="tx1"/>
                        </w14:solidFill>
                      </w14:textFill>
                    </w:rPr>
                  </w:pPr>
                  <w:r>
                    <w:rPr>
                      <w:color w:val="000000" w:themeColor="text1"/>
                      <w:kern w:val="0"/>
                      <w:sz w:val="21"/>
                      <w14:textFill>
                        <w14:solidFill>
                          <w14:schemeClr w14:val="tx1"/>
                        </w14:solidFill>
                      </w14:textFill>
                    </w:rPr>
                    <w:t>化学品仓库</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color w:val="000000" w:themeColor="text1"/>
                      <w:kern w:val="0"/>
                      <w:sz w:val="21"/>
                      <w14:textFill>
                        <w14:solidFill>
                          <w14:schemeClr w14:val="tx1"/>
                        </w14:solidFill>
                      </w14:textFill>
                    </w:rPr>
                    <w:t>化学品仓库位于</w:t>
                  </w:r>
                  <w:r>
                    <w:rPr>
                      <w:rFonts w:hint="eastAsia"/>
                      <w:color w:val="000000" w:themeColor="text1"/>
                      <w:kern w:val="0"/>
                      <w:sz w:val="21"/>
                      <w14:textFill>
                        <w14:solidFill>
                          <w14:schemeClr w14:val="tx1"/>
                        </w14:solidFill>
                      </w14:textFill>
                    </w:rPr>
                    <w:t>1层厂房北侧区域，用于存放陶瓷浆料、PVDF浆料、PMMA浆料；</w:t>
                  </w:r>
                  <w:r>
                    <w:rPr>
                      <w:rFonts w:hint="eastAsia"/>
                      <w:color w:val="000000" w:themeColor="text1"/>
                      <w:sz w:val="21"/>
                      <w14:textFill>
                        <w14:solidFill>
                          <w14:schemeClr w14:val="tx1"/>
                        </w14:solidFill>
                      </w14:textFill>
                    </w:rPr>
                    <w:t>最大储存能力100t</w:t>
                  </w:r>
                </w:p>
              </w:tc>
              <w:tc>
                <w:tcPr>
                  <w:tcW w:w="1448" w:type="pct"/>
                  <w:tcBorders>
                    <w:top w:val="single" w:color="auto" w:sz="4"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建筑面积为</w:t>
                  </w:r>
                  <w:r>
                    <w:rPr>
                      <w:rFonts w:hint="eastAsia"/>
                      <w:color w:val="000000" w:themeColor="text1"/>
                      <w:sz w:val="21"/>
                      <w14:textFill>
                        <w14:solidFill>
                          <w14:schemeClr w14:val="tx1"/>
                        </w14:solidFill>
                      </w14:textFill>
                    </w:rPr>
                    <w:t>50</w:t>
                  </w:r>
                  <w:r>
                    <w:rPr>
                      <w:color w:val="000000" w:themeColor="text1"/>
                      <w:sz w:val="21"/>
                      <w14:textFill>
                        <w14:solidFill>
                          <w14:schemeClr w14:val="tx1"/>
                        </w14:solidFill>
                      </w14:textFill>
                    </w:rPr>
                    <w:t>0m</w:t>
                  </w:r>
                  <w:r>
                    <w:rPr>
                      <w:color w:val="000000" w:themeColor="text1"/>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一般固废暂存间</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位于</w:t>
                  </w:r>
                  <w:r>
                    <w:rPr>
                      <w:rFonts w:hint="eastAsia"/>
                      <w:color w:val="000000" w:themeColor="text1"/>
                      <w:sz w:val="21"/>
                      <w14:textFill>
                        <w14:solidFill>
                          <w14:schemeClr w14:val="tx1"/>
                        </w14:solidFill>
                      </w14:textFill>
                    </w:rPr>
                    <w:t>2层厂房西北</w:t>
                  </w:r>
                  <w:r>
                    <w:rPr>
                      <w:color w:val="000000" w:themeColor="text1"/>
                      <w:sz w:val="21"/>
                      <w14:textFill>
                        <w14:solidFill>
                          <w14:schemeClr w14:val="tx1"/>
                        </w14:solidFill>
                      </w14:textFill>
                    </w:rPr>
                    <w:t>侧</w:t>
                  </w:r>
                  <w:r>
                    <w:rPr>
                      <w:rFonts w:hint="eastAsia"/>
                      <w:color w:val="000000" w:themeColor="text1"/>
                      <w:sz w:val="21"/>
                      <w14:textFill>
                        <w14:solidFill>
                          <w14:schemeClr w14:val="tx1"/>
                        </w14:solidFill>
                      </w14:textFill>
                    </w:rPr>
                    <w:t>区域</w:t>
                  </w:r>
                  <w:r>
                    <w:rPr>
                      <w:rFonts w:hint="eastAsia"/>
                      <w:color w:val="000000" w:themeColor="text1"/>
                      <w:kern w:val="0"/>
                      <w:sz w:val="21"/>
                      <w14:textFill>
                        <w14:solidFill>
                          <w14:schemeClr w14:val="tx1"/>
                        </w14:solidFill>
                      </w14:textFill>
                    </w:rPr>
                    <w:t>，用于一般固体废物的暂存</w:t>
                  </w:r>
                </w:p>
              </w:tc>
              <w:tc>
                <w:tcPr>
                  <w:tcW w:w="1448" w:type="pct"/>
                  <w:tcBorders>
                    <w:top w:val="single" w:color="auto" w:sz="4"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建筑面积为</w:t>
                  </w:r>
                  <w:r>
                    <w:rPr>
                      <w:rFonts w:hint="eastAsia"/>
                      <w:color w:val="000000" w:themeColor="text1"/>
                      <w:sz w:val="21"/>
                      <w14:textFill>
                        <w14:solidFill>
                          <w14:schemeClr w14:val="tx1"/>
                        </w14:solidFill>
                      </w14:textFill>
                    </w:rPr>
                    <w:t>5</w:t>
                  </w:r>
                  <w:r>
                    <w:rPr>
                      <w:color w:val="000000" w:themeColor="text1"/>
                      <w:sz w:val="21"/>
                      <w14:textFill>
                        <w14:solidFill>
                          <w14:schemeClr w14:val="tx1"/>
                        </w14:solidFill>
                      </w14:textFill>
                    </w:rPr>
                    <w:t>0m</w:t>
                  </w:r>
                  <w:r>
                    <w:rPr>
                      <w:color w:val="000000" w:themeColor="text1"/>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危废暂存间</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危废暂存间</w:t>
                  </w:r>
                  <w:r>
                    <w:rPr>
                      <w:rFonts w:hint="eastAsia"/>
                      <w:color w:val="000000" w:themeColor="text1"/>
                      <w:sz w:val="21"/>
                      <w14:textFill>
                        <w14:solidFill>
                          <w14:schemeClr w14:val="tx1"/>
                        </w14:solidFill>
                      </w14:textFill>
                    </w:rPr>
                    <w:t>位于2层厂房西北</w:t>
                  </w:r>
                  <w:r>
                    <w:rPr>
                      <w:color w:val="000000" w:themeColor="text1"/>
                      <w:sz w:val="21"/>
                      <w14:textFill>
                        <w14:solidFill>
                          <w14:schemeClr w14:val="tx1"/>
                        </w14:solidFill>
                      </w14:textFill>
                    </w:rPr>
                    <w:t>侧</w:t>
                  </w:r>
                  <w:r>
                    <w:rPr>
                      <w:rFonts w:hint="eastAsia"/>
                      <w:color w:val="000000" w:themeColor="text1"/>
                      <w:sz w:val="21"/>
                      <w14:textFill>
                        <w14:solidFill>
                          <w14:schemeClr w14:val="tx1"/>
                        </w14:solidFill>
                      </w14:textFill>
                    </w:rPr>
                    <w:t>区域</w:t>
                  </w:r>
                  <w:r>
                    <w:rPr>
                      <w:rFonts w:hint="eastAsia"/>
                      <w:color w:val="000000" w:themeColor="text1"/>
                      <w:kern w:val="0"/>
                      <w:sz w:val="21"/>
                      <w14:textFill>
                        <w14:solidFill>
                          <w14:schemeClr w14:val="tx1"/>
                        </w14:solidFill>
                      </w14:textFill>
                    </w:rPr>
                    <w:t>，规范化建设危废库1座，用于危险固体废物的暂存</w:t>
                  </w:r>
                </w:p>
              </w:tc>
              <w:tc>
                <w:tcPr>
                  <w:tcW w:w="1448" w:type="pct"/>
                  <w:tcBorders>
                    <w:top w:val="single" w:color="auto" w:sz="4"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建筑面积为</w:t>
                  </w:r>
                  <w:r>
                    <w:rPr>
                      <w:rFonts w:hint="eastAsia"/>
                      <w:color w:val="000000" w:themeColor="text1"/>
                      <w:sz w:val="21"/>
                      <w14:textFill>
                        <w14:solidFill>
                          <w14:schemeClr w14:val="tx1"/>
                        </w14:solidFill>
                      </w14:textFill>
                    </w:rPr>
                    <w:t>5</w:t>
                  </w:r>
                  <w:r>
                    <w:rPr>
                      <w:color w:val="000000" w:themeColor="text1"/>
                      <w:sz w:val="21"/>
                      <w14:textFill>
                        <w14:solidFill>
                          <w14:schemeClr w14:val="tx1"/>
                        </w14:solidFill>
                      </w14:textFill>
                    </w:rPr>
                    <w:t>0m</w:t>
                  </w:r>
                  <w:r>
                    <w:rPr>
                      <w:color w:val="000000" w:themeColor="text1"/>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厂外运输</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原料运输外委社会车辆，产品及其它运出物料由购买单位自行运输</w:t>
                  </w:r>
                </w:p>
              </w:tc>
              <w:tc>
                <w:tcPr>
                  <w:tcW w:w="1448" w:type="pct"/>
                  <w:tcBorders>
                    <w:top w:val="single" w:color="auto" w:sz="4"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top w:val="single" w:color="auto" w:sz="4" w:space="0"/>
                    <w:bottom w:val="single" w:color="auto" w:sz="4" w:space="0"/>
                  </w:tcBorders>
                  <w:vAlign w:val="center"/>
                </w:tcPr>
                <w:p>
                  <w:pPr>
                    <w:spacing w:line="340" w:lineRule="exact"/>
                    <w:ind w:left="-120" w:leftChars="-50" w:right="-120" w:rightChars="-50"/>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厂内运输</w:t>
                  </w:r>
                </w:p>
              </w:tc>
              <w:tc>
                <w:tcPr>
                  <w:tcW w:w="2412" w:type="pct"/>
                  <w:gridSpan w:val="2"/>
                  <w:tcBorders>
                    <w:top w:val="single" w:color="auto" w:sz="4" w:space="0"/>
                    <w:bottom w:val="single" w:color="auto" w:sz="4" w:space="0"/>
                    <w:right w:val="single" w:color="000000" w:sz="6" w:space="0"/>
                  </w:tcBorders>
                  <w:vAlign w:val="center"/>
                </w:tcPr>
                <w:p>
                  <w:pPr>
                    <w:autoSpaceDE w:val="0"/>
                    <w:adjustRightInd w:val="0"/>
                    <w:snapToGrid w:val="0"/>
                    <w:spacing w:line="320" w:lineRule="exact"/>
                    <w:jc w:val="center"/>
                    <w:rPr>
                      <w:color w:val="000000" w:themeColor="text1"/>
                      <w:kern w:val="0"/>
                      <w:sz w:val="21"/>
                      <w14:textFill>
                        <w14:solidFill>
                          <w14:schemeClr w14:val="tx1"/>
                        </w14:solidFill>
                      </w14:textFill>
                    </w:rPr>
                  </w:pPr>
                  <w:r>
                    <w:rPr>
                      <w:rFonts w:hint="eastAsia"/>
                      <w:color w:val="000000" w:themeColor="text1"/>
                      <w:kern w:val="0"/>
                      <w:sz w:val="21"/>
                      <w14:textFill>
                        <w14:solidFill>
                          <w14:schemeClr w14:val="tx1"/>
                        </w14:solidFill>
                      </w14:textFill>
                    </w:rPr>
                    <w:t>自备叉车、行车</w:t>
                  </w:r>
                </w:p>
              </w:tc>
              <w:tc>
                <w:tcPr>
                  <w:tcW w:w="1448" w:type="pct"/>
                  <w:tcBorders>
                    <w:top w:val="single" w:color="auto" w:sz="4" w:space="0"/>
                    <w:bottom w:val="single" w:color="auto" w:sz="4" w:space="0"/>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7" w:hRule="atLeast"/>
                <w:jc w:val="center"/>
              </w:trPr>
              <w:tc>
                <w:tcPr>
                  <w:tcW w:w="343" w:type="pct"/>
                  <w:vMerge w:val="restart"/>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公用</w:t>
                  </w:r>
                </w:p>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工程</w:t>
                  </w:r>
                </w:p>
              </w:tc>
              <w:tc>
                <w:tcPr>
                  <w:tcW w:w="795" w:type="pct"/>
                  <w:gridSpan w:val="2"/>
                  <w:vAlign w:val="center"/>
                </w:tcPr>
                <w:p>
                  <w:pPr>
                    <w:autoSpaceDE w:val="0"/>
                    <w:autoSpaceDN w:val="0"/>
                    <w:adjustRightInd w:val="0"/>
                    <w:spacing w:line="340" w:lineRule="exact"/>
                    <w:ind w:left="-120" w:leftChars="-50" w:right="-120" w:rightChars="-50"/>
                    <w:jc w:val="center"/>
                    <w:rPr>
                      <w:bCs/>
                      <w:color w:val="000000" w:themeColor="text1"/>
                      <w:sz w:val="21"/>
                      <w:lang w:val="zh-CN"/>
                      <w14:textFill>
                        <w14:solidFill>
                          <w14:schemeClr w14:val="tx1"/>
                        </w14:solidFill>
                      </w14:textFill>
                    </w:rPr>
                  </w:pPr>
                  <w:r>
                    <w:rPr>
                      <w:bCs/>
                      <w:color w:val="000000" w:themeColor="text1"/>
                      <w:sz w:val="21"/>
                      <w:lang w:val="zh-CN"/>
                      <w14:textFill>
                        <w14:solidFill>
                          <w14:schemeClr w14:val="tx1"/>
                        </w14:solidFill>
                      </w14:textFill>
                    </w:rPr>
                    <w:t>给水</w:t>
                  </w:r>
                </w:p>
              </w:tc>
              <w:tc>
                <w:tcPr>
                  <w:tcW w:w="3860" w:type="pct"/>
                  <w:gridSpan w:val="3"/>
                  <w:tcBorders>
                    <w:top w:val="single" w:color="auto" w:sz="6" w:space="0"/>
                    <w:bottom w:val="single" w:color="auto" w:sz="6" w:space="0"/>
                    <w:right w:val="single" w:color="auto" w:sz="4" w:space="0"/>
                  </w:tcBorders>
                  <w:vAlign w:val="center"/>
                </w:tcPr>
                <w:p>
                  <w:pPr>
                    <w:spacing w:line="340" w:lineRule="exact"/>
                    <w:ind w:left="-120" w:leftChars="-50" w:right="-120" w:rightChars="-50"/>
                    <w:jc w:val="center"/>
                    <w:rPr>
                      <w:bCs/>
                      <w:color w:val="000000" w:themeColor="text1"/>
                      <w:sz w:val="21"/>
                      <w14:textFill>
                        <w14:solidFill>
                          <w14:schemeClr w14:val="tx1"/>
                        </w14:solidFill>
                      </w14:textFill>
                    </w:rPr>
                  </w:pPr>
                  <w:r>
                    <w:rPr>
                      <w:bCs/>
                      <w:color w:val="000000" w:themeColor="text1"/>
                      <w:sz w:val="21"/>
                      <w:lang w:val="zh-CN"/>
                      <w14:textFill>
                        <w14:solidFill>
                          <w14:schemeClr w14:val="tx1"/>
                        </w14:solidFill>
                      </w14:textFill>
                    </w:rPr>
                    <w:t>由开发区市政自来水管网供应，年给水量</w:t>
                  </w:r>
                  <w:r>
                    <w:rPr>
                      <w:rFonts w:hint="eastAsia"/>
                      <w:bCs/>
                      <w:color w:val="000000" w:themeColor="text1"/>
                      <w:sz w:val="21"/>
                      <w14:textFill>
                        <w14:solidFill>
                          <w14:schemeClr w14:val="tx1"/>
                        </w14:solidFill>
                      </w14:textFill>
                    </w:rPr>
                    <w:t>2802</w:t>
                  </w:r>
                  <w:r>
                    <w:rPr>
                      <w:bCs/>
                      <w:color w:val="000000" w:themeColor="text1"/>
                      <w:sz w:val="21"/>
                      <w14:textFill>
                        <w14:solidFill>
                          <w14:schemeClr w14:val="tx1"/>
                        </w14:solidFill>
                      </w14:textFill>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Align w:val="center"/>
                </w:tcPr>
                <w:p>
                  <w:pPr>
                    <w:autoSpaceDE w:val="0"/>
                    <w:autoSpaceDN w:val="0"/>
                    <w:adjustRightInd w:val="0"/>
                    <w:spacing w:line="340" w:lineRule="exact"/>
                    <w:ind w:left="-120" w:leftChars="-50" w:right="-120" w:rightChars="-50"/>
                    <w:jc w:val="center"/>
                    <w:rPr>
                      <w:bCs/>
                      <w:color w:val="000000" w:themeColor="text1"/>
                      <w:sz w:val="21"/>
                      <w:lang w:val="zh-CN"/>
                      <w14:textFill>
                        <w14:solidFill>
                          <w14:schemeClr w14:val="tx1"/>
                        </w14:solidFill>
                      </w14:textFill>
                    </w:rPr>
                  </w:pPr>
                  <w:r>
                    <w:rPr>
                      <w:bCs/>
                      <w:color w:val="000000" w:themeColor="text1"/>
                      <w:sz w:val="21"/>
                      <w:lang w:val="zh-CN"/>
                      <w14:textFill>
                        <w14:solidFill>
                          <w14:schemeClr w14:val="tx1"/>
                        </w14:solidFill>
                      </w14:textFill>
                    </w:rPr>
                    <w:t>排水</w:t>
                  </w:r>
                </w:p>
              </w:tc>
              <w:tc>
                <w:tcPr>
                  <w:tcW w:w="3860" w:type="pct"/>
                  <w:gridSpan w:val="3"/>
                  <w:tcBorders>
                    <w:top w:val="single" w:color="auto" w:sz="6" w:space="0"/>
                    <w:bottom w:val="single" w:color="auto" w:sz="6" w:space="0"/>
                    <w:right w:val="single" w:color="auto" w:sz="4" w:space="0"/>
                  </w:tcBorders>
                  <w:vAlign w:val="center"/>
                </w:tcPr>
                <w:p>
                  <w:pPr>
                    <w:spacing w:line="340" w:lineRule="exact"/>
                    <w:ind w:left="-120" w:leftChars="-50" w:right="-120" w:rightChars="-50"/>
                    <w:jc w:val="center"/>
                    <w:rPr>
                      <w:bCs/>
                      <w:color w:val="000000" w:themeColor="text1"/>
                      <w:sz w:val="21"/>
                      <w14:textFill>
                        <w14:solidFill>
                          <w14:schemeClr w14:val="tx1"/>
                        </w14:solidFill>
                      </w14:textFill>
                    </w:rPr>
                  </w:pPr>
                  <w:r>
                    <w:rPr>
                      <w:rFonts w:eastAsia="Times New Roman"/>
                      <w:color w:val="000000" w:themeColor="text1"/>
                      <w:kern w:val="0"/>
                      <w:sz w:val="21"/>
                      <w14:textFill>
                        <w14:solidFill>
                          <w14:schemeClr w14:val="tx1"/>
                        </w14:solidFill>
                      </w14:textFill>
                    </w:rPr>
                    <w:t>雨污分流，生活污水经化粪池处理后接管</w:t>
                  </w:r>
                  <w:r>
                    <w:rPr>
                      <w:rFonts w:hint="eastAsia"/>
                      <w:bCs/>
                      <w:color w:val="000000" w:themeColor="text1"/>
                      <w:sz w:val="21"/>
                      <w:szCs w:val="21"/>
                      <w14:textFill>
                        <w14:solidFill>
                          <w14:schemeClr w14:val="tx1"/>
                        </w14:solidFill>
                      </w14:textFill>
                    </w:rPr>
                    <w:t>芜湖市江北污水处理厂</w:t>
                  </w:r>
                  <w:r>
                    <w:rPr>
                      <w:rFonts w:eastAsia="Times New Roman"/>
                      <w:color w:val="000000" w:themeColor="text1"/>
                      <w:kern w:val="0"/>
                      <w:sz w:val="21"/>
                      <w14:textFill>
                        <w14:solidFill>
                          <w14:schemeClr w14:val="tx1"/>
                        </w14:solidFill>
                      </w14:textFill>
                    </w:rPr>
                    <w:t>处理，尾水排入</w:t>
                  </w:r>
                  <w:r>
                    <w:rPr>
                      <w:rFonts w:hint="eastAsia"/>
                      <w:color w:val="000000" w:themeColor="text1"/>
                      <w:kern w:val="0"/>
                      <w:sz w:val="21"/>
                      <w14:textFill>
                        <w14:solidFill>
                          <w14:schemeClr w14:val="tx1"/>
                        </w14:solidFill>
                      </w14:textFill>
                    </w:rPr>
                    <w:t>长江</w:t>
                  </w:r>
                  <w:r>
                    <w:rPr>
                      <w:color w:val="000000" w:themeColor="text1"/>
                      <w:kern w:val="0"/>
                      <w:sz w:val="21"/>
                      <w14:textFill>
                        <w14:solidFill>
                          <w14:schemeClr w14:val="tx1"/>
                        </w14:solidFill>
                      </w14:textFill>
                    </w:rPr>
                    <w:t>，</w:t>
                  </w:r>
                  <w:r>
                    <w:rPr>
                      <w:bCs/>
                      <w:color w:val="000000" w:themeColor="text1"/>
                      <w:sz w:val="21"/>
                      <w14:textFill>
                        <w14:solidFill>
                          <w14:schemeClr w14:val="tx1"/>
                        </w14:solidFill>
                      </w14:textFill>
                    </w:rPr>
                    <w:t>年排水量</w:t>
                  </w:r>
                  <w:r>
                    <w:rPr>
                      <w:rFonts w:hint="eastAsia"/>
                      <w:bCs/>
                      <w:color w:val="000000" w:themeColor="text1"/>
                      <w:sz w:val="21"/>
                      <w14:textFill>
                        <w14:solidFill>
                          <w14:schemeClr w14:val="tx1"/>
                        </w14:solidFill>
                      </w14:textFill>
                    </w:rPr>
                    <w:t>2119.8</w:t>
                  </w:r>
                  <w:r>
                    <w:rPr>
                      <w:bCs/>
                      <w:color w:val="000000" w:themeColor="text1"/>
                      <w:sz w:val="21"/>
                      <w14:textFill>
                        <w14:solidFill>
                          <w14:schemeClr w14:val="tx1"/>
                        </w14:solidFill>
                      </w14:textFill>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Align w:val="center"/>
                </w:tcPr>
                <w:p>
                  <w:pPr>
                    <w:autoSpaceDE w:val="0"/>
                    <w:autoSpaceDN w:val="0"/>
                    <w:adjustRightInd w:val="0"/>
                    <w:spacing w:line="340" w:lineRule="exact"/>
                    <w:ind w:left="-120" w:leftChars="-50" w:right="-120" w:rightChars="-50"/>
                    <w:jc w:val="center"/>
                    <w:rPr>
                      <w:bCs/>
                      <w:color w:val="000000" w:themeColor="text1"/>
                      <w:sz w:val="21"/>
                      <w:lang w:val="zh-CN"/>
                      <w14:textFill>
                        <w14:solidFill>
                          <w14:schemeClr w14:val="tx1"/>
                        </w14:solidFill>
                      </w14:textFill>
                    </w:rPr>
                  </w:pPr>
                  <w:r>
                    <w:rPr>
                      <w:bCs/>
                      <w:color w:val="000000" w:themeColor="text1"/>
                      <w:sz w:val="21"/>
                      <w:lang w:val="zh-CN"/>
                      <w14:textFill>
                        <w14:solidFill>
                          <w14:schemeClr w14:val="tx1"/>
                        </w14:solidFill>
                      </w14:textFill>
                    </w:rPr>
                    <w:t>供电</w:t>
                  </w:r>
                </w:p>
              </w:tc>
              <w:tc>
                <w:tcPr>
                  <w:tcW w:w="3860" w:type="pct"/>
                  <w:gridSpan w:val="3"/>
                  <w:tcBorders>
                    <w:top w:val="single" w:color="auto" w:sz="6" w:space="0"/>
                    <w:bottom w:val="single" w:color="auto" w:sz="6" w:space="0"/>
                    <w:right w:val="single" w:color="auto" w:sz="4" w:space="0"/>
                  </w:tcBorders>
                  <w:vAlign w:val="center"/>
                </w:tcPr>
                <w:p>
                  <w:pPr>
                    <w:autoSpaceDE w:val="0"/>
                    <w:adjustRightInd w:val="0"/>
                    <w:snapToGrid w:val="0"/>
                    <w:spacing w:line="320" w:lineRule="exact"/>
                    <w:jc w:val="center"/>
                    <w:rPr>
                      <w:bCs/>
                      <w:color w:val="000000" w:themeColor="text1"/>
                      <w:sz w:val="21"/>
                      <w14:textFill>
                        <w14:solidFill>
                          <w14:schemeClr w14:val="tx1"/>
                        </w14:solidFill>
                      </w14:textFill>
                    </w:rPr>
                  </w:pPr>
                  <w:r>
                    <w:rPr>
                      <w:rFonts w:hint="eastAsia"/>
                      <w:bCs/>
                      <w:color w:val="000000" w:themeColor="text1"/>
                      <w:sz w:val="21"/>
                      <w14:textFill>
                        <w14:solidFill>
                          <w14:schemeClr w14:val="tx1"/>
                        </w14:solidFill>
                      </w14:textFill>
                    </w:rPr>
                    <w:t>用电</w:t>
                  </w:r>
                  <w:r>
                    <w:rPr>
                      <w:bCs/>
                      <w:color w:val="000000" w:themeColor="text1"/>
                      <w:sz w:val="21"/>
                      <w14:textFill>
                        <w14:solidFill>
                          <w14:schemeClr w14:val="tx1"/>
                        </w14:solidFill>
                      </w14:textFill>
                    </w:rPr>
                    <w:t>由开发区电网供给，年总消耗电量约</w:t>
                  </w:r>
                  <w:r>
                    <w:rPr>
                      <w:rFonts w:hint="eastAsia"/>
                      <w:bCs/>
                      <w:color w:val="000000" w:themeColor="text1"/>
                      <w:sz w:val="21"/>
                      <w14:textFill>
                        <w14:solidFill>
                          <w14:schemeClr w14:val="tx1"/>
                        </w14:solidFill>
                      </w14:textFill>
                    </w:rPr>
                    <w:t>100</w:t>
                  </w:r>
                  <w:r>
                    <w:rPr>
                      <w:bCs/>
                      <w:color w:val="000000" w:themeColor="text1"/>
                      <w:sz w:val="21"/>
                      <w14:textFill>
                        <w14:solidFill>
                          <w14:schemeClr w14:val="tx1"/>
                        </w14:solidFill>
                      </w14:textFill>
                    </w:rPr>
                    <w:t>万度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20" w:hRule="atLeast"/>
                <w:jc w:val="center"/>
              </w:trPr>
              <w:tc>
                <w:tcPr>
                  <w:tcW w:w="343" w:type="pct"/>
                  <w:vMerge w:val="restart"/>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环保</w:t>
                  </w:r>
                </w:p>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工程</w:t>
                  </w:r>
                </w:p>
              </w:tc>
              <w:tc>
                <w:tcPr>
                  <w:tcW w:w="263" w:type="pct"/>
                  <w:vMerge w:val="restart"/>
                  <w:tcBorders>
                    <w:righ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废气</w:t>
                  </w:r>
                </w:p>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处理</w:t>
                  </w:r>
                </w:p>
              </w:tc>
              <w:tc>
                <w:tcPr>
                  <w:tcW w:w="532" w:type="pct"/>
                  <w:tcBorders>
                    <w:left w:val="single" w:color="auto" w:sz="4" w:space="0"/>
                    <w:bottom w:val="single" w:color="auto" w:sz="4" w:space="0"/>
                    <w:right w:val="single" w:color="000000" w:sz="6" w:space="0"/>
                  </w:tcBorders>
                  <w:vAlign w:val="center"/>
                </w:tcPr>
                <w:p>
                  <w:pPr>
                    <w:widowControl/>
                    <w:jc w:val="center"/>
                    <w:textAlignment w:val="center"/>
                    <w:rPr>
                      <w:color w:val="000000" w:themeColor="text1"/>
                      <w:sz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涂布废气</w:t>
                  </w:r>
                </w:p>
              </w:tc>
              <w:tc>
                <w:tcPr>
                  <w:tcW w:w="3860" w:type="pct"/>
                  <w:gridSpan w:val="3"/>
                  <w:tcBorders>
                    <w:left w:val="single" w:color="000000" w:sz="6" w:space="0"/>
                    <w:bottom w:val="single" w:color="auto" w:sz="4" w:space="0"/>
                    <w:right w:val="single" w:color="auto" w:sz="4" w:space="0"/>
                  </w:tcBorders>
                  <w:vAlign w:val="center"/>
                </w:tcPr>
                <w:p>
                  <w:pPr>
                    <w:adjustRightInd w:val="0"/>
                    <w:spacing w:line="240" w:lineRule="atLeast"/>
                    <w:jc w:val="center"/>
                    <w:rPr>
                      <w:color w:val="000000" w:themeColor="text1"/>
                      <w:sz w:val="21"/>
                      <w14:textFill>
                        <w14:solidFill>
                          <w14:schemeClr w14:val="tx1"/>
                        </w14:solidFill>
                      </w14:textFill>
                    </w:rPr>
                  </w:pPr>
                  <w:r>
                    <w:rPr>
                      <w:rFonts w:hint="eastAsia"/>
                      <w:color w:val="000000" w:themeColor="text1"/>
                      <w:sz w:val="21"/>
                      <w:szCs w:val="21"/>
                      <w14:textFill>
                        <w14:solidFill>
                          <w14:schemeClr w14:val="tx1"/>
                        </w14:solidFill>
                      </w14:textFill>
                    </w:rPr>
                    <w:t>涂布产生的非甲烷总烃通过涂布机上方布置的集气罩收集后，废气汇集至1套二级活性炭吸附装置处理（TA001），尾气通过1根15米高的排气筒DA001排放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20"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263" w:type="pct"/>
                  <w:vMerge w:val="continue"/>
                  <w:tcBorders>
                    <w:righ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532" w:type="pct"/>
                  <w:tcBorders>
                    <w:left w:val="single" w:color="auto" w:sz="4" w:space="0"/>
                    <w:bottom w:val="single" w:color="auto" w:sz="4" w:space="0"/>
                    <w:right w:val="single" w:color="000000" w:sz="6" w:space="0"/>
                  </w:tcBorders>
                  <w:vAlign w:val="center"/>
                </w:tcPr>
                <w:p>
                  <w:pPr>
                    <w:adjustRightInd w:val="0"/>
                    <w:spacing w:line="240" w:lineRule="atLeast"/>
                    <w:jc w:val="center"/>
                    <w:rPr>
                      <w:color w:val="000000" w:themeColor="text1"/>
                      <w:sz w:val="21"/>
                      <w14:textFill>
                        <w14:solidFill>
                          <w14:schemeClr w14:val="tx1"/>
                        </w14:solidFill>
                      </w14:textFill>
                    </w:rPr>
                  </w:pPr>
                  <w:r>
                    <w:rPr>
                      <w:rFonts w:hint="eastAsia"/>
                      <w:color w:val="000000" w:themeColor="text1"/>
                      <w:sz w:val="21"/>
                      <w:szCs w:val="21"/>
                      <w14:textFill>
                        <w14:solidFill>
                          <w14:schemeClr w14:val="tx1"/>
                        </w14:solidFill>
                      </w14:textFill>
                    </w:rPr>
                    <w:t>烘干废气</w:t>
                  </w:r>
                </w:p>
              </w:tc>
              <w:tc>
                <w:tcPr>
                  <w:tcW w:w="3860" w:type="pct"/>
                  <w:gridSpan w:val="3"/>
                  <w:tcBorders>
                    <w:left w:val="single" w:color="000000" w:sz="6"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烘干产生的非甲烷总烃通过烘箱内部的集气系统收集后，废气汇集至1套二级活性炭吸附装置处理（TA001），尾气通过1根15米高的排气筒DA001排放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1"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废水处理</w:t>
                  </w:r>
                </w:p>
              </w:tc>
              <w:tc>
                <w:tcPr>
                  <w:tcW w:w="1676" w:type="pct"/>
                  <w:tcBorders>
                    <w:right w:val="single" w:color="auto" w:sz="4" w:space="0"/>
                  </w:tcBorders>
                  <w:vAlign w:val="center"/>
                </w:tcPr>
                <w:p>
                  <w:pPr>
                    <w:spacing w:line="320" w:lineRule="exact"/>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生活污水</w:t>
                  </w:r>
                </w:p>
              </w:tc>
              <w:tc>
                <w:tcPr>
                  <w:tcW w:w="2184" w:type="pct"/>
                  <w:gridSpan w:val="2"/>
                  <w:tcBorders>
                    <w:left w:val="single" w:color="auto" w:sz="4" w:space="0"/>
                    <w:right w:val="single" w:color="auto" w:sz="4" w:space="0"/>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化粪池1座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Merge w:val="restart"/>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固废处理</w:t>
                  </w:r>
                </w:p>
              </w:tc>
              <w:tc>
                <w:tcPr>
                  <w:tcW w:w="1676" w:type="pct"/>
                  <w:tcBorders>
                    <w:right w:val="single" w:color="auto" w:sz="4" w:space="0"/>
                  </w:tcBorders>
                  <w:vAlign w:val="center"/>
                </w:tcPr>
                <w:p>
                  <w:pPr>
                    <w:jc w:val="center"/>
                    <w:rPr>
                      <w:bCs/>
                      <w:color w:val="000000" w:themeColor="text1"/>
                      <w:sz w:val="21"/>
                      <w14:textFill>
                        <w14:solidFill>
                          <w14:schemeClr w14:val="tx1"/>
                        </w14:solidFill>
                      </w14:textFill>
                    </w:rPr>
                  </w:pPr>
                  <w:r>
                    <w:rPr>
                      <w:rFonts w:hint="eastAsia"/>
                      <w:bCs/>
                      <w:color w:val="000000" w:themeColor="text1"/>
                      <w:sz w:val="21"/>
                      <w:szCs w:val="21"/>
                      <w14:textFill>
                        <w14:solidFill>
                          <w14:schemeClr w14:val="tx1"/>
                        </w14:solidFill>
                      </w14:textFill>
                    </w:rPr>
                    <w:t>废料</w:t>
                  </w:r>
                </w:p>
              </w:tc>
              <w:tc>
                <w:tcPr>
                  <w:tcW w:w="736" w:type="pct"/>
                  <w:tcBorders>
                    <w:left w:val="single" w:color="auto" w:sz="4" w:space="0"/>
                    <w:bottom w:val="single" w:color="auto" w:sz="4" w:space="0"/>
                    <w:right w:val="single" w:color="auto" w:sz="4" w:space="0"/>
                  </w:tcBorders>
                  <w:vAlign w:val="center"/>
                </w:tcPr>
                <w:p>
                  <w:pPr>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外售</w:t>
                  </w:r>
                </w:p>
              </w:tc>
              <w:tc>
                <w:tcPr>
                  <w:tcW w:w="1448" w:type="pct"/>
                  <w:tcBorders>
                    <w:left w:val="single" w:color="auto" w:sz="4" w:space="0"/>
                    <w:right w:val="single" w:color="auto" w:sz="4" w:space="0"/>
                  </w:tcBorders>
                  <w:vAlign w:val="center"/>
                </w:tcPr>
                <w:p>
                  <w:pPr>
                    <w:adjustRightInd w:val="0"/>
                    <w:snapToGrid w:val="0"/>
                    <w:spacing w:line="320" w:lineRule="exact"/>
                    <w:jc w:val="center"/>
                    <w:rPr>
                      <w:color w:val="000000" w:themeColor="text1"/>
                      <w:sz w:val="21"/>
                      <w14:textFill>
                        <w14:solidFill>
                          <w14:schemeClr w14:val="tx1"/>
                        </w14:solidFill>
                      </w14:textFill>
                    </w:rPr>
                  </w:pPr>
                  <w:r>
                    <w:rPr>
                      <w:snapToGrid w:val="0"/>
                      <w:color w:val="000000" w:themeColor="text1"/>
                      <w:kern w:val="18"/>
                      <w:sz w:val="21"/>
                      <w14:textFill>
                        <w14:solidFill>
                          <w14:schemeClr w14:val="tx1"/>
                        </w14:solidFill>
                      </w14:textFill>
                    </w:rPr>
                    <w:t>设置一般固废暂存库，面积</w:t>
                  </w:r>
                  <w:r>
                    <w:rPr>
                      <w:rFonts w:hint="eastAsia"/>
                      <w:snapToGrid w:val="0"/>
                      <w:color w:val="000000" w:themeColor="text1"/>
                      <w:kern w:val="18"/>
                      <w:sz w:val="21"/>
                      <w14:textFill>
                        <w14:solidFill>
                          <w14:schemeClr w14:val="tx1"/>
                        </w14:solidFill>
                      </w14:textFill>
                    </w:rPr>
                    <w:t>5</w:t>
                  </w:r>
                  <w:r>
                    <w:rPr>
                      <w:snapToGrid w:val="0"/>
                      <w:color w:val="000000" w:themeColor="text1"/>
                      <w:kern w:val="18"/>
                      <w:sz w:val="21"/>
                      <w14:textFill>
                        <w14:solidFill>
                          <w14:schemeClr w14:val="tx1"/>
                        </w14:solidFill>
                      </w14:textFill>
                    </w:rPr>
                    <w:t>0m</w:t>
                  </w:r>
                  <w:r>
                    <w:rPr>
                      <w:snapToGrid w:val="0"/>
                      <w:color w:val="000000" w:themeColor="text1"/>
                      <w:kern w:val="18"/>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Merge w:val="continue"/>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1676" w:type="pct"/>
                  <w:tcBorders>
                    <w:right w:val="single" w:color="auto" w:sz="4" w:space="0"/>
                  </w:tcBorders>
                  <w:vAlign w:val="center"/>
                </w:tcPr>
                <w:p>
                  <w:pPr>
                    <w:jc w:val="center"/>
                    <w:rPr>
                      <w:bCs/>
                      <w:color w:val="000000" w:themeColor="text1"/>
                      <w:sz w:val="21"/>
                      <w:lang w:val="zh-CN"/>
                      <w14:textFill>
                        <w14:solidFill>
                          <w14:schemeClr w14:val="tx1"/>
                        </w14:solidFill>
                      </w14:textFill>
                    </w:rPr>
                  </w:pPr>
                  <w:r>
                    <w:rPr>
                      <w:color w:val="000000" w:themeColor="text1"/>
                      <w:sz w:val="21"/>
                      <w:szCs w:val="21"/>
                      <w14:textFill>
                        <w14:solidFill>
                          <w14:schemeClr w14:val="tx1"/>
                        </w14:solidFill>
                      </w14:textFill>
                    </w:rPr>
                    <w:t>废活性炭</w:t>
                  </w:r>
                  <w:r>
                    <w:rPr>
                      <w:rFonts w:hint="eastAsia"/>
                      <w:color w:val="000000" w:themeColor="text1"/>
                      <w:sz w:val="21"/>
                      <w:szCs w:val="21"/>
                      <w14:textFill>
                        <w14:solidFill>
                          <w14:schemeClr w14:val="tx1"/>
                        </w14:solidFill>
                      </w14:textFill>
                    </w:rPr>
                    <w:t>、废化学品包装桶、废清洗液、废机油</w:t>
                  </w:r>
                </w:p>
              </w:tc>
              <w:tc>
                <w:tcPr>
                  <w:tcW w:w="736" w:type="pct"/>
                  <w:tcBorders>
                    <w:top w:val="single" w:color="auto" w:sz="4" w:space="0"/>
                    <w:left w:val="single" w:color="auto" w:sz="4" w:space="0"/>
                    <w:right w:val="single" w:color="auto" w:sz="4" w:space="0"/>
                  </w:tcBorders>
                  <w:vAlign w:val="center"/>
                </w:tcPr>
                <w:p>
                  <w:pPr>
                    <w:rPr>
                      <w:bCs/>
                      <w:color w:val="000000" w:themeColor="text1"/>
                      <w:sz w:val="21"/>
                      <w:lang w:val="zh-CN"/>
                      <w14:textFill>
                        <w14:solidFill>
                          <w14:schemeClr w14:val="tx1"/>
                        </w14:solidFill>
                      </w14:textFill>
                    </w:rPr>
                  </w:pPr>
                  <w:r>
                    <w:rPr>
                      <w:color w:val="000000" w:themeColor="text1"/>
                      <w:sz w:val="21"/>
                      <w:szCs w:val="21"/>
                      <w14:textFill>
                        <w14:solidFill>
                          <w14:schemeClr w14:val="tx1"/>
                        </w14:solidFill>
                      </w14:textFill>
                    </w:rPr>
                    <w:t>设置危</w:t>
                  </w:r>
                  <w:r>
                    <w:rPr>
                      <w:rFonts w:hint="eastAsia"/>
                      <w:color w:val="000000" w:themeColor="text1"/>
                      <w:sz w:val="21"/>
                      <w:szCs w:val="21"/>
                      <w14:textFill>
                        <w14:solidFill>
                          <w14:schemeClr w14:val="tx1"/>
                        </w14:solidFill>
                      </w14:textFill>
                    </w:rPr>
                    <w:t>废库</w:t>
                  </w:r>
                  <w:r>
                    <w:rPr>
                      <w:color w:val="000000" w:themeColor="text1"/>
                      <w:sz w:val="21"/>
                      <w:szCs w:val="21"/>
                      <w14:textFill>
                        <w14:solidFill>
                          <w14:schemeClr w14:val="tx1"/>
                        </w14:solidFill>
                      </w14:textFill>
                    </w:rPr>
                    <w:t>，交由有危废处置资质的单位规范处置</w:t>
                  </w:r>
                </w:p>
              </w:tc>
              <w:tc>
                <w:tcPr>
                  <w:tcW w:w="1448" w:type="pct"/>
                  <w:tcBorders>
                    <w:left w:val="single" w:color="auto" w:sz="4" w:space="0"/>
                    <w:right w:val="single" w:color="auto" w:sz="4" w:space="0"/>
                  </w:tcBorders>
                  <w:vAlign w:val="center"/>
                </w:tcPr>
                <w:p>
                  <w:pPr>
                    <w:adjustRightInd w:val="0"/>
                    <w:snapToGrid w:val="0"/>
                    <w:spacing w:line="320" w:lineRule="exact"/>
                    <w:jc w:val="center"/>
                    <w:rPr>
                      <w:bCs/>
                      <w:color w:val="000000" w:themeColor="text1"/>
                      <w:sz w:val="21"/>
                      <w14:textFill>
                        <w14:solidFill>
                          <w14:schemeClr w14:val="tx1"/>
                        </w14:solidFill>
                      </w14:textFill>
                    </w:rPr>
                  </w:pPr>
                  <w:r>
                    <w:rPr>
                      <w:snapToGrid w:val="0"/>
                      <w:color w:val="000000" w:themeColor="text1"/>
                      <w:kern w:val="18"/>
                      <w:sz w:val="21"/>
                      <w14:textFill>
                        <w14:solidFill>
                          <w14:schemeClr w14:val="tx1"/>
                        </w14:solidFill>
                      </w14:textFill>
                    </w:rPr>
                    <w:t>设置</w:t>
                  </w:r>
                  <w:r>
                    <w:rPr>
                      <w:color w:val="000000" w:themeColor="text1"/>
                      <w:sz w:val="21"/>
                      <w14:textFill>
                        <w14:solidFill>
                          <w14:schemeClr w14:val="tx1"/>
                        </w14:solidFill>
                      </w14:textFill>
                    </w:rPr>
                    <w:t>危险废物</w:t>
                  </w:r>
                  <w:r>
                    <w:rPr>
                      <w:snapToGrid w:val="0"/>
                      <w:color w:val="000000" w:themeColor="text1"/>
                      <w:kern w:val="18"/>
                      <w:sz w:val="21"/>
                      <w14:textFill>
                        <w14:solidFill>
                          <w14:schemeClr w14:val="tx1"/>
                        </w14:solidFill>
                      </w14:textFill>
                    </w:rPr>
                    <w:t>暂存库，面积</w:t>
                  </w:r>
                  <w:r>
                    <w:rPr>
                      <w:rFonts w:hint="eastAsia"/>
                      <w:snapToGrid w:val="0"/>
                      <w:color w:val="000000" w:themeColor="text1"/>
                      <w:kern w:val="18"/>
                      <w:sz w:val="21"/>
                      <w14:textFill>
                        <w14:solidFill>
                          <w14:schemeClr w14:val="tx1"/>
                        </w14:solidFill>
                      </w14:textFill>
                    </w:rPr>
                    <w:t>5</w:t>
                  </w:r>
                  <w:r>
                    <w:rPr>
                      <w:snapToGrid w:val="0"/>
                      <w:color w:val="000000" w:themeColor="text1"/>
                      <w:kern w:val="18"/>
                      <w:sz w:val="21"/>
                      <w14:textFill>
                        <w14:solidFill>
                          <w14:schemeClr w14:val="tx1"/>
                        </w14:solidFill>
                      </w14:textFill>
                    </w:rPr>
                    <w:t>0m</w:t>
                  </w:r>
                  <w:r>
                    <w:rPr>
                      <w:snapToGrid w:val="0"/>
                      <w:color w:val="000000" w:themeColor="text1"/>
                      <w:kern w:val="18"/>
                      <w:sz w:val="21"/>
                      <w:vertAlign w:val="superscript"/>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Merge w:val="continue"/>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1676" w:type="pct"/>
                  <w:tcBorders>
                    <w:right w:val="single" w:color="auto" w:sz="4" w:space="0"/>
                  </w:tcBorders>
                  <w:vAlign w:val="center"/>
                </w:tcPr>
                <w:p>
                  <w:pPr>
                    <w:tabs>
                      <w:tab w:val="left" w:pos="5560"/>
                    </w:tabs>
                    <w:spacing w:line="320" w:lineRule="exact"/>
                    <w:jc w:val="center"/>
                    <w:rPr>
                      <w:bCs/>
                      <w:color w:val="000000" w:themeColor="text1"/>
                      <w:sz w:val="21"/>
                      <w:lang w:val="zh-CN"/>
                      <w14:textFill>
                        <w14:solidFill>
                          <w14:schemeClr w14:val="tx1"/>
                        </w14:solidFill>
                      </w14:textFill>
                    </w:rPr>
                  </w:pPr>
                  <w:r>
                    <w:rPr>
                      <w:bCs/>
                      <w:color w:val="000000" w:themeColor="text1"/>
                      <w:sz w:val="21"/>
                      <w14:textFill>
                        <w14:solidFill>
                          <w14:schemeClr w14:val="tx1"/>
                        </w14:solidFill>
                      </w14:textFill>
                    </w:rPr>
                    <w:t>生活垃圾</w:t>
                  </w:r>
                </w:p>
              </w:tc>
              <w:tc>
                <w:tcPr>
                  <w:tcW w:w="2184" w:type="pct"/>
                  <w:gridSpan w:val="2"/>
                  <w:tcBorders>
                    <w:left w:val="single" w:color="auto" w:sz="4" w:space="0"/>
                    <w:right w:val="single" w:color="auto" w:sz="4" w:space="0"/>
                  </w:tcBorders>
                  <w:vAlign w:val="center"/>
                </w:tcPr>
                <w:p>
                  <w:pPr>
                    <w:autoSpaceDE w:val="0"/>
                    <w:autoSpaceDN w:val="0"/>
                    <w:adjustRightInd w:val="0"/>
                    <w:spacing w:line="340" w:lineRule="exact"/>
                    <w:ind w:left="-48" w:leftChars="-20" w:right="-48" w:rightChars="-20"/>
                    <w:jc w:val="center"/>
                    <w:rPr>
                      <w:bCs/>
                      <w:color w:val="000000" w:themeColor="text1"/>
                      <w:sz w:val="21"/>
                      <w14:textFill>
                        <w14:solidFill>
                          <w14:schemeClr w14:val="tx1"/>
                        </w14:solidFill>
                      </w14:textFill>
                    </w:rPr>
                  </w:pPr>
                  <w:r>
                    <w:rPr>
                      <w:color w:val="000000" w:themeColor="text1"/>
                      <w:sz w:val="21"/>
                      <w14:textFill>
                        <w14:solidFill>
                          <w14:schemeClr w14:val="tx1"/>
                        </w14:solidFill>
                      </w14:textFill>
                    </w:rPr>
                    <w:t>环卫部门清运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Align w:val="center"/>
                </w:tcPr>
                <w:p>
                  <w:pPr>
                    <w:spacing w:line="340" w:lineRule="exact"/>
                    <w:ind w:left="-120" w:leftChars="-50" w:right="-120" w:rightChars="-5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噪声治理</w:t>
                  </w:r>
                </w:p>
              </w:tc>
              <w:tc>
                <w:tcPr>
                  <w:tcW w:w="3860" w:type="pct"/>
                  <w:gridSpan w:val="3"/>
                  <w:tcBorders>
                    <w:right w:val="single" w:color="auto" w:sz="4" w:space="0"/>
                  </w:tcBorders>
                  <w:vAlign w:val="center"/>
                </w:tcPr>
                <w:p>
                  <w:pPr>
                    <w:spacing w:line="340" w:lineRule="exact"/>
                    <w:ind w:left="-48" w:leftChars="-20" w:right="-48" w:rightChars="-2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选用低噪声设备、隔声减振等措施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343" w:type="pct"/>
                  <w:vMerge w:val="continue"/>
                  <w:tcBorders>
                    <w:left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vAlign w:val="center"/>
                </w:tcPr>
                <w:p>
                  <w:pPr>
                    <w:spacing w:line="320" w:lineRule="exact"/>
                    <w:ind w:left="-48" w:leftChars="-20" w:right="-48" w:rightChars="-20"/>
                    <w:jc w:val="center"/>
                    <w:rPr>
                      <w:color w:val="000000" w:themeColor="text1"/>
                      <w:sz w:val="21"/>
                      <w14:textFill>
                        <w14:solidFill>
                          <w14:schemeClr w14:val="tx1"/>
                        </w14:solidFill>
                      </w14:textFill>
                    </w:rPr>
                  </w:pPr>
                  <w:r>
                    <w:rPr>
                      <w:bCs/>
                      <w:color w:val="000000" w:themeColor="text1"/>
                      <w:sz w:val="21"/>
                      <w14:textFill>
                        <w14:solidFill>
                          <w14:schemeClr w14:val="tx1"/>
                        </w14:solidFill>
                      </w14:textFill>
                    </w:rPr>
                    <w:t>风险</w:t>
                  </w:r>
                </w:p>
              </w:tc>
              <w:tc>
                <w:tcPr>
                  <w:tcW w:w="3860" w:type="pct"/>
                  <w:gridSpan w:val="3"/>
                  <w:tcBorders>
                    <w:right w:val="single" w:color="auto" w:sz="4" w:space="0"/>
                  </w:tcBorders>
                  <w:vAlign w:val="center"/>
                </w:tcPr>
                <w:p>
                  <w:pPr>
                    <w:spacing w:line="320" w:lineRule="exact"/>
                    <w:ind w:left="-48" w:leftChars="-20" w:right="-48" w:rightChars="-20"/>
                    <w:jc w:val="center"/>
                    <w:rPr>
                      <w:color w:val="000000" w:themeColor="text1"/>
                      <w:sz w:val="21"/>
                      <w14:textFill>
                        <w14:solidFill>
                          <w14:schemeClr w14:val="tx1"/>
                        </w14:solidFill>
                      </w14:textFill>
                    </w:rPr>
                  </w:pPr>
                  <w:r>
                    <w:rPr>
                      <w:color w:val="000000" w:themeColor="text1"/>
                      <w:kern w:val="0"/>
                      <w:sz w:val="21"/>
                      <w:szCs w:val="21"/>
                      <w:lang w:bidi="ar"/>
                      <w14:textFill>
                        <w14:solidFill>
                          <w14:schemeClr w14:val="tx1"/>
                        </w14:solidFill>
                      </w14:textFill>
                    </w:rPr>
                    <w:t>设消防、火灾报警系统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343" w:type="pct"/>
                  <w:vMerge w:val="continue"/>
                  <w:tcBorders>
                    <w:left w:val="single" w:color="auto" w:sz="4" w:space="0"/>
                    <w:bottom w:val="single" w:color="auto" w:sz="4" w:space="0"/>
                  </w:tcBorders>
                  <w:vAlign w:val="center"/>
                </w:tcPr>
                <w:p>
                  <w:pPr>
                    <w:spacing w:line="340" w:lineRule="exact"/>
                    <w:ind w:left="-120" w:leftChars="-50" w:right="-120" w:rightChars="-50"/>
                    <w:jc w:val="center"/>
                    <w:rPr>
                      <w:color w:val="000000" w:themeColor="text1"/>
                      <w:sz w:val="21"/>
                      <w14:textFill>
                        <w14:solidFill>
                          <w14:schemeClr w14:val="tx1"/>
                        </w14:solidFill>
                      </w14:textFill>
                    </w:rPr>
                  </w:pPr>
                </w:p>
              </w:tc>
              <w:tc>
                <w:tcPr>
                  <w:tcW w:w="795" w:type="pct"/>
                  <w:gridSpan w:val="2"/>
                  <w:tcBorders>
                    <w:bottom w:val="single" w:color="auto" w:sz="4" w:space="0"/>
                  </w:tcBorders>
                  <w:vAlign w:val="center"/>
                </w:tcPr>
                <w:p>
                  <w:pPr>
                    <w:spacing w:line="320" w:lineRule="exact"/>
                    <w:ind w:left="-48" w:leftChars="-20" w:right="-48" w:rightChars="-20"/>
                    <w:jc w:val="center"/>
                    <w:rPr>
                      <w:color w:val="000000" w:themeColor="text1"/>
                      <w:sz w:val="21"/>
                      <w14:textFill>
                        <w14:solidFill>
                          <w14:schemeClr w14:val="tx1"/>
                        </w14:solidFill>
                      </w14:textFill>
                    </w:rPr>
                  </w:pPr>
                  <w:r>
                    <w:rPr>
                      <w:bCs/>
                      <w:color w:val="000000" w:themeColor="text1"/>
                      <w:sz w:val="21"/>
                      <w14:textFill>
                        <w14:solidFill>
                          <w14:schemeClr w14:val="tx1"/>
                        </w14:solidFill>
                      </w14:textFill>
                    </w:rPr>
                    <w:t>地下水</w:t>
                  </w:r>
                </w:p>
              </w:tc>
              <w:tc>
                <w:tcPr>
                  <w:tcW w:w="3860" w:type="pct"/>
                  <w:gridSpan w:val="3"/>
                  <w:tcBorders>
                    <w:bottom w:val="single" w:color="auto" w:sz="4" w:space="0"/>
                    <w:right w:val="single" w:color="auto" w:sz="4" w:space="0"/>
                  </w:tcBorders>
                  <w:vAlign w:val="center"/>
                </w:tcPr>
                <w:p>
                  <w:pPr>
                    <w:spacing w:line="320" w:lineRule="exact"/>
                    <w:ind w:left="-48" w:leftChars="-20" w:right="-48" w:rightChars="-2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危废暂存区、化学品仓库设置</w:t>
                  </w:r>
                  <w:r>
                    <w:rPr>
                      <w:rFonts w:hint="eastAsia"/>
                      <w:color w:val="000000" w:themeColor="text1"/>
                      <w:sz w:val="21"/>
                      <w14:textFill>
                        <w14:solidFill>
                          <w14:schemeClr w14:val="tx1"/>
                        </w14:solidFill>
                      </w14:textFill>
                    </w:rPr>
                    <w:t>重点</w:t>
                  </w:r>
                  <w:r>
                    <w:rPr>
                      <w:color w:val="000000" w:themeColor="text1"/>
                      <w:sz w:val="21"/>
                      <w14:textFill>
                        <w14:solidFill>
                          <w14:schemeClr w14:val="tx1"/>
                        </w14:solidFill>
                      </w14:textFill>
                    </w:rPr>
                    <w:t>防腐防渗措施，</w:t>
                  </w:r>
                  <w:r>
                    <w:rPr>
                      <w:rFonts w:hint="eastAsia"/>
                      <w:color w:val="000000" w:themeColor="text1"/>
                      <w:sz w:val="21"/>
                      <w14:textFill>
                        <w14:solidFill>
                          <w14:schemeClr w14:val="tx1"/>
                        </w14:solidFill>
                      </w14:textFill>
                    </w:rPr>
                    <w:t>使用水泥硬化防渗后，池体内表面涂刷水泥基渗透结晶型防渗涂料(渗透系数≤10</w:t>
                  </w:r>
                  <w:r>
                    <w:rPr>
                      <w:rFonts w:hint="eastAsia"/>
                      <w:color w:val="000000" w:themeColor="text1"/>
                      <w:sz w:val="21"/>
                      <w:vertAlign w:val="superscript"/>
                      <w14:textFill>
                        <w14:solidFill>
                          <w14:schemeClr w14:val="tx1"/>
                        </w14:solidFill>
                      </w14:textFill>
                    </w:rPr>
                    <w:t>-12</w:t>
                  </w:r>
                  <w:r>
                    <w:rPr>
                      <w:rFonts w:hint="eastAsia"/>
                      <w:color w:val="000000" w:themeColor="text1"/>
                      <w:sz w:val="21"/>
                      <w14:textFill>
                        <w14:solidFill>
                          <w14:schemeClr w14:val="tx1"/>
                        </w14:solidFill>
                      </w14:textFill>
                    </w:rPr>
                    <w:t>cm/s)</w:t>
                  </w:r>
                </w:p>
              </w:tc>
            </w:tr>
          </w:tbl>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p>
          <w:p>
            <w:pPr>
              <w:pStyle w:val="12"/>
              <w:spacing w:line="360" w:lineRule="auto"/>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2、产品方案</w:t>
            </w:r>
          </w:p>
          <w:p>
            <w:pPr>
              <w:spacing w:line="360" w:lineRule="auto"/>
              <w:ind w:firstLine="480" w:firstLine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产品规模见下表：</w:t>
            </w:r>
          </w:p>
          <w:p>
            <w:pPr>
              <w:spacing w:line="360" w:lineRule="auto"/>
              <w:ind w:firstLine="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表2-2 建设项目产品方案一览表</w:t>
            </w:r>
          </w:p>
          <w:tbl>
            <w:tblPr>
              <w:tblStyle w:val="29"/>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3114"/>
              <w:gridCol w:w="1943"/>
              <w:gridCol w:w="2592"/>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40" w:type="dxa"/>
                  <w:tcBorders>
                    <w:top w:val="single" w:color="auto" w:sz="4" w:space="0"/>
                    <w:left w:val="single" w:color="auto" w:sz="0"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序号</w:t>
                  </w:r>
                </w:p>
              </w:tc>
              <w:tc>
                <w:tcPr>
                  <w:tcW w:w="3114" w:type="dxa"/>
                  <w:tcBorders>
                    <w:top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产品名称</w:t>
                  </w:r>
                </w:p>
              </w:tc>
              <w:tc>
                <w:tcPr>
                  <w:tcW w:w="1943" w:type="dxa"/>
                  <w:tcBorders>
                    <w:top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生产能力</w:t>
                  </w:r>
                </w:p>
              </w:tc>
              <w:tc>
                <w:tcPr>
                  <w:tcW w:w="2592" w:type="dxa"/>
                  <w:tcBorders>
                    <w:top w:val="single" w:color="auto" w:sz="4" w:space="0"/>
                    <w:righ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40" w:type="dxa"/>
                  <w:tcBorders>
                    <w:lef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1</w:t>
                  </w:r>
                </w:p>
              </w:tc>
              <w:tc>
                <w:tcPr>
                  <w:tcW w:w="3114"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 xml:space="preserve"> 隔膜（Al</w:t>
                  </w:r>
                  <w:r>
                    <w:rPr>
                      <w:rFonts w:hint="eastAsia"/>
                      <w:color w:val="000000" w:themeColor="text1"/>
                      <w:kern w:val="0"/>
                      <w:sz w:val="21"/>
                      <w:szCs w:val="21"/>
                      <w:vertAlign w:val="subscript"/>
                      <w14:textFill>
                        <w14:solidFill>
                          <w14:schemeClr w14:val="tx1"/>
                        </w14:solidFill>
                      </w14:textFill>
                    </w:rPr>
                    <w:t>2</w:t>
                  </w:r>
                  <w:r>
                    <w:rPr>
                      <w:rFonts w:hint="eastAsia"/>
                      <w:color w:val="000000" w:themeColor="text1"/>
                      <w:kern w:val="0"/>
                      <w:sz w:val="21"/>
                      <w:szCs w:val="21"/>
                      <w14:textFill>
                        <w14:solidFill>
                          <w14:schemeClr w14:val="tx1"/>
                        </w14:solidFill>
                      </w14:textFill>
                    </w:rPr>
                    <w:t>O</w:t>
                  </w:r>
                  <w:r>
                    <w:rPr>
                      <w:rFonts w:hint="eastAsia"/>
                      <w:color w:val="000000" w:themeColor="text1"/>
                      <w:kern w:val="0"/>
                      <w:sz w:val="21"/>
                      <w:szCs w:val="21"/>
                      <w:vertAlign w:val="subscript"/>
                      <w14:textFill>
                        <w14:solidFill>
                          <w14:schemeClr w14:val="tx1"/>
                        </w14:solidFill>
                      </w14:textFill>
                    </w:rPr>
                    <w:t>3</w:t>
                  </w:r>
                  <w:r>
                    <w:rPr>
                      <w:rFonts w:hint="eastAsia"/>
                      <w:color w:val="000000" w:themeColor="text1"/>
                      <w:kern w:val="0"/>
                      <w:sz w:val="21"/>
                      <w:szCs w:val="21"/>
                      <w14:textFill>
                        <w14:solidFill>
                          <w14:schemeClr w14:val="tx1"/>
                        </w14:solidFill>
                      </w14:textFill>
                    </w:rPr>
                    <w:t>）</w:t>
                  </w:r>
                </w:p>
              </w:tc>
              <w:tc>
                <w:tcPr>
                  <w:tcW w:w="1943"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20000万平方米/年</w:t>
                  </w:r>
                </w:p>
              </w:tc>
              <w:tc>
                <w:tcPr>
                  <w:tcW w:w="2592" w:type="dxa"/>
                  <w:tcBorders>
                    <w:righ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涂布量：0.0058kg/m</w:t>
                  </w:r>
                  <w:r>
                    <w:rPr>
                      <w:rFonts w:hint="eastAsia"/>
                      <w:color w:val="000000" w:themeColor="text1"/>
                      <w:kern w:val="0"/>
                      <w:sz w:val="21"/>
                      <w:szCs w:val="21"/>
                      <w:vertAlign w:val="superscript"/>
                      <w14:textFill>
                        <w14:solidFill>
                          <w14:schemeClr w14:val="tx1"/>
                        </w14:solidFill>
                      </w14:textFill>
                    </w:rPr>
                    <w:t>2</w:t>
                  </w:r>
                  <w:r>
                    <w:rPr>
                      <w:rFonts w:hint="eastAsia"/>
                      <w:color w:val="000000" w:themeColor="text1"/>
                      <w:kern w:val="0"/>
                      <w:sz w:val="21"/>
                      <w:szCs w:val="21"/>
                      <w14:textFill>
                        <w14:solidFill>
                          <w14:schemeClr w14:val="tx1"/>
                        </w14:solidFill>
                      </w14:textFill>
                    </w:rPr>
                    <w:t>▪产品</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40" w:type="dxa"/>
                  <w:tcBorders>
                    <w:lef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2</w:t>
                  </w:r>
                </w:p>
              </w:tc>
              <w:tc>
                <w:tcPr>
                  <w:tcW w:w="3114"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隔膜（PVDF）</w:t>
                  </w:r>
                </w:p>
              </w:tc>
              <w:tc>
                <w:tcPr>
                  <w:tcW w:w="1943"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6000万平方米/年</w:t>
                  </w:r>
                </w:p>
              </w:tc>
              <w:tc>
                <w:tcPr>
                  <w:tcW w:w="2592" w:type="dxa"/>
                  <w:tcBorders>
                    <w:righ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涂布量：0.005kg/m</w:t>
                  </w:r>
                  <w:r>
                    <w:rPr>
                      <w:rFonts w:hint="eastAsia"/>
                      <w:color w:val="000000" w:themeColor="text1"/>
                      <w:kern w:val="0"/>
                      <w:sz w:val="21"/>
                      <w:szCs w:val="21"/>
                      <w:vertAlign w:val="superscript"/>
                      <w14:textFill>
                        <w14:solidFill>
                          <w14:schemeClr w14:val="tx1"/>
                        </w14:solidFill>
                      </w14:textFill>
                    </w:rPr>
                    <w:t>2</w:t>
                  </w:r>
                  <w:r>
                    <w:rPr>
                      <w:rFonts w:hint="eastAsia"/>
                      <w:color w:val="000000" w:themeColor="text1"/>
                      <w:kern w:val="0"/>
                      <w:sz w:val="21"/>
                      <w:szCs w:val="21"/>
                      <w14:textFill>
                        <w14:solidFill>
                          <w14:schemeClr w14:val="tx1"/>
                        </w14:solidFill>
                      </w14:textFill>
                    </w:rPr>
                    <w:t>▪产品</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40" w:type="dxa"/>
                  <w:tcBorders>
                    <w:lef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3</w:t>
                  </w:r>
                </w:p>
              </w:tc>
              <w:tc>
                <w:tcPr>
                  <w:tcW w:w="3114"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隔膜（Al</w:t>
                  </w:r>
                  <w:r>
                    <w:rPr>
                      <w:rFonts w:hint="eastAsia"/>
                      <w:color w:val="000000" w:themeColor="text1"/>
                      <w:kern w:val="0"/>
                      <w:sz w:val="21"/>
                      <w:szCs w:val="21"/>
                      <w:vertAlign w:val="subscript"/>
                      <w14:textFill>
                        <w14:solidFill>
                          <w14:schemeClr w14:val="tx1"/>
                        </w14:solidFill>
                      </w14:textFill>
                    </w:rPr>
                    <w:t>2</w:t>
                  </w:r>
                  <w:r>
                    <w:rPr>
                      <w:rFonts w:hint="eastAsia"/>
                      <w:color w:val="000000" w:themeColor="text1"/>
                      <w:kern w:val="0"/>
                      <w:sz w:val="21"/>
                      <w:szCs w:val="21"/>
                      <w14:textFill>
                        <w14:solidFill>
                          <w14:schemeClr w14:val="tx1"/>
                        </w14:solidFill>
                      </w14:textFill>
                    </w:rPr>
                    <w:t>O</w:t>
                  </w:r>
                  <w:r>
                    <w:rPr>
                      <w:rFonts w:hint="eastAsia"/>
                      <w:color w:val="000000" w:themeColor="text1"/>
                      <w:kern w:val="0"/>
                      <w:sz w:val="21"/>
                      <w:szCs w:val="21"/>
                      <w:vertAlign w:val="subscript"/>
                      <w14:textFill>
                        <w14:solidFill>
                          <w14:schemeClr w14:val="tx1"/>
                        </w14:solidFill>
                      </w14:textFill>
                    </w:rPr>
                    <w:t>3</w:t>
                  </w:r>
                  <w:r>
                    <w:rPr>
                      <w:rFonts w:hint="eastAsia"/>
                      <w:color w:val="000000" w:themeColor="text1"/>
                      <w:kern w:val="0"/>
                      <w:sz w:val="21"/>
                      <w:szCs w:val="21"/>
                      <w14:textFill>
                        <w14:solidFill>
                          <w14:schemeClr w14:val="tx1"/>
                        </w14:solidFill>
                      </w14:textFill>
                    </w:rPr>
                    <w:t>+PVDF）</w:t>
                  </w:r>
                </w:p>
              </w:tc>
              <w:tc>
                <w:tcPr>
                  <w:tcW w:w="1943" w:type="dxa"/>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9000万平方米/年</w:t>
                  </w:r>
                </w:p>
              </w:tc>
              <w:tc>
                <w:tcPr>
                  <w:tcW w:w="2592" w:type="dxa"/>
                  <w:tcBorders>
                    <w:righ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涂布量：0.011kg/m</w:t>
                  </w:r>
                  <w:r>
                    <w:rPr>
                      <w:rFonts w:hint="eastAsia"/>
                      <w:color w:val="000000" w:themeColor="text1"/>
                      <w:kern w:val="0"/>
                      <w:sz w:val="21"/>
                      <w:szCs w:val="21"/>
                      <w:vertAlign w:val="superscript"/>
                      <w14:textFill>
                        <w14:solidFill>
                          <w14:schemeClr w14:val="tx1"/>
                        </w14:solidFill>
                      </w14:textFill>
                    </w:rPr>
                    <w:t>2</w:t>
                  </w:r>
                  <w:r>
                    <w:rPr>
                      <w:rFonts w:hint="eastAsia"/>
                      <w:color w:val="000000" w:themeColor="text1"/>
                      <w:kern w:val="0"/>
                      <w:sz w:val="21"/>
                      <w:szCs w:val="21"/>
                      <w14:textFill>
                        <w14:solidFill>
                          <w14:schemeClr w14:val="tx1"/>
                        </w14:solidFill>
                      </w14:textFill>
                    </w:rPr>
                    <w:t>▪产品</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40" w:type="dxa"/>
                  <w:tcBorders>
                    <w:left w:val="single" w:color="auto" w:sz="4" w:space="0"/>
                    <w:bottom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4</w:t>
                  </w:r>
                </w:p>
              </w:tc>
              <w:tc>
                <w:tcPr>
                  <w:tcW w:w="3114" w:type="dxa"/>
                  <w:tcBorders>
                    <w:bottom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隔膜（Al</w:t>
                  </w:r>
                  <w:r>
                    <w:rPr>
                      <w:rFonts w:hint="eastAsia"/>
                      <w:color w:val="000000" w:themeColor="text1"/>
                      <w:kern w:val="0"/>
                      <w:sz w:val="21"/>
                      <w:szCs w:val="21"/>
                      <w:vertAlign w:val="subscript"/>
                      <w14:textFill>
                        <w14:solidFill>
                          <w14:schemeClr w14:val="tx1"/>
                        </w14:solidFill>
                      </w14:textFill>
                    </w:rPr>
                    <w:t>2</w:t>
                  </w:r>
                  <w:r>
                    <w:rPr>
                      <w:rFonts w:hint="eastAsia"/>
                      <w:color w:val="000000" w:themeColor="text1"/>
                      <w:kern w:val="0"/>
                      <w:sz w:val="21"/>
                      <w:szCs w:val="21"/>
                      <w14:textFill>
                        <w14:solidFill>
                          <w14:schemeClr w14:val="tx1"/>
                        </w14:solidFill>
                      </w14:textFill>
                    </w:rPr>
                    <w:t>O</w:t>
                  </w:r>
                  <w:r>
                    <w:rPr>
                      <w:rFonts w:hint="eastAsia"/>
                      <w:color w:val="000000" w:themeColor="text1"/>
                      <w:kern w:val="0"/>
                      <w:sz w:val="21"/>
                      <w:szCs w:val="21"/>
                      <w:vertAlign w:val="subscript"/>
                      <w14:textFill>
                        <w14:solidFill>
                          <w14:schemeClr w14:val="tx1"/>
                        </w14:solidFill>
                      </w14:textFill>
                    </w:rPr>
                    <w:t>3</w:t>
                  </w:r>
                  <w:r>
                    <w:rPr>
                      <w:rFonts w:hint="eastAsia"/>
                      <w:color w:val="000000" w:themeColor="text1"/>
                      <w:kern w:val="0"/>
                      <w:sz w:val="21"/>
                      <w:szCs w:val="21"/>
                      <w14:textFill>
                        <w14:solidFill>
                          <w14:schemeClr w14:val="tx1"/>
                        </w14:solidFill>
                      </w14:textFill>
                    </w:rPr>
                    <w:t>+PMMA）</w:t>
                  </w:r>
                </w:p>
              </w:tc>
              <w:tc>
                <w:tcPr>
                  <w:tcW w:w="1943" w:type="dxa"/>
                  <w:tcBorders>
                    <w:bottom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5000万平方米/年</w:t>
                  </w:r>
                </w:p>
              </w:tc>
              <w:tc>
                <w:tcPr>
                  <w:tcW w:w="2592" w:type="dxa"/>
                  <w:tcBorders>
                    <w:bottom w:val="single" w:color="auto" w:sz="4" w:space="0"/>
                    <w:right w:val="single" w:color="auto" w:sz="4" w:space="0"/>
                  </w:tcBorders>
                  <w:vAlign w:val="center"/>
                </w:tcPr>
                <w:p>
                  <w:pPr>
                    <w:widowControl/>
                    <w:snapToGrid w:val="0"/>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涂布量：0.0064kg/m</w:t>
                  </w:r>
                  <w:r>
                    <w:rPr>
                      <w:rFonts w:hint="eastAsia"/>
                      <w:color w:val="000000" w:themeColor="text1"/>
                      <w:kern w:val="0"/>
                      <w:sz w:val="21"/>
                      <w:szCs w:val="21"/>
                      <w:vertAlign w:val="superscript"/>
                      <w14:textFill>
                        <w14:solidFill>
                          <w14:schemeClr w14:val="tx1"/>
                        </w14:solidFill>
                      </w14:textFill>
                    </w:rPr>
                    <w:t>2</w:t>
                  </w:r>
                  <w:r>
                    <w:rPr>
                      <w:rFonts w:hint="eastAsia"/>
                      <w:color w:val="000000" w:themeColor="text1"/>
                      <w:kern w:val="0"/>
                      <w:sz w:val="21"/>
                      <w:szCs w:val="21"/>
                      <w14:textFill>
                        <w14:solidFill>
                          <w14:schemeClr w14:val="tx1"/>
                        </w14:solidFill>
                      </w14:textFill>
                    </w:rPr>
                    <w:t>▪产品</w:t>
                  </w:r>
                </w:p>
              </w:tc>
            </w:tr>
          </w:tbl>
          <w:p>
            <w:pPr>
              <w:pStyle w:val="71"/>
              <w:spacing w:line="240" w:lineRule="auto"/>
              <w:ind w:firstLine="422" w:firstLineChars="200"/>
              <w:rPr>
                <w:rFonts w:ascii="Times New Roman"/>
                <w:color w:val="000000" w:themeColor="text1"/>
                <w:kern w:val="2"/>
                <w:sz w:val="24"/>
                <w:szCs w:val="24"/>
                <w14:textFill>
                  <w14:solidFill>
                    <w14:schemeClr w14:val="tx1"/>
                  </w14:solidFill>
                </w14:textFill>
              </w:rPr>
            </w:pPr>
            <w:r>
              <w:rPr>
                <w:rFonts w:hint="eastAsia" w:ascii="Times New Roman"/>
                <w:b/>
                <w:bCs/>
                <w:color w:val="000000" w:themeColor="text1"/>
                <w:kern w:val="2"/>
                <w:sz w:val="21"/>
                <w:szCs w:val="21"/>
                <w14:textFill>
                  <w14:solidFill>
                    <w14:schemeClr w14:val="tx1"/>
                  </w14:solidFill>
                </w14:textFill>
              </w:rPr>
              <w:t>备注：基膜表面双面均需涂布，产品用于锂电池制造。</w:t>
            </w:r>
          </w:p>
          <w:p>
            <w:pPr>
              <w:pStyle w:val="12"/>
              <w:spacing w:line="360" w:lineRule="auto"/>
              <w:ind w:firstLine="482" w:firstLineChars="200"/>
              <w:rPr>
                <w:b/>
                <w:bCs/>
                <w:color w:val="000000" w:themeColor="text1"/>
                <w14:textFill>
                  <w14:solidFill>
                    <w14:schemeClr w14:val="tx1"/>
                  </w14:solidFill>
                </w14:textFill>
              </w:rPr>
            </w:pPr>
          </w:p>
          <w:p>
            <w:pPr>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w:t>
            </w:r>
            <w:r>
              <w:rPr>
                <w:b/>
                <w:color w:val="000000" w:themeColor="text1"/>
                <w14:textFill>
                  <w14:solidFill>
                    <w14:schemeClr w14:val="tx1"/>
                  </w14:solidFill>
                </w14:textFill>
              </w:rPr>
              <w:t>主要生产设备</w:t>
            </w:r>
          </w:p>
          <w:p>
            <w:pPr>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本项目主要生产设备详见下表。</w:t>
            </w:r>
          </w:p>
          <w:p>
            <w:pPr>
              <w:spacing w:line="360" w:lineRule="auto"/>
              <w:ind w:firstLine="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w:t>
            </w:r>
            <w:r>
              <w:rPr>
                <w:rFonts w:hint="eastAsia"/>
                <w:b/>
                <w:color w:val="000000" w:themeColor="text1"/>
                <w:szCs w:val="21"/>
                <w14:textFill>
                  <w14:solidFill>
                    <w14:schemeClr w14:val="tx1"/>
                  </w14:solidFill>
                </w14:textFill>
              </w:rPr>
              <w:t>3</w:t>
            </w:r>
            <w:r>
              <w:rPr>
                <w:b/>
                <w:color w:val="000000" w:themeColor="text1"/>
                <w:szCs w:val="21"/>
                <w14:textFill>
                  <w14:solidFill>
                    <w14:schemeClr w14:val="tx1"/>
                  </w14:solidFill>
                </w14:textFill>
              </w:rPr>
              <w:t xml:space="preserve"> 项目主要生产设备一览表</w:t>
            </w:r>
          </w:p>
          <w:tbl>
            <w:tblPr>
              <w:tblStyle w:val="29"/>
              <w:tblW w:w="499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2880"/>
              <w:gridCol w:w="2165"/>
              <w:gridCol w:w="2040"/>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top w:val="single" w:color="auto" w:sz="4" w:space="0"/>
                    <w:left w:val="single" w:color="auto" w:sz="0" w:space="0"/>
                  </w:tcBorders>
                  <w:vAlign w:val="center"/>
                </w:tcPr>
                <w:p>
                  <w:pPr>
                    <w:spacing w:line="36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2876" w:type="dxa"/>
                  <w:tcBorders>
                    <w:top w:val="single" w:color="auto" w:sz="4" w:space="0"/>
                  </w:tcBorders>
                  <w:vAlign w:val="center"/>
                </w:tcPr>
                <w:p>
                  <w:pPr>
                    <w:spacing w:line="36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设备名称</w:t>
                  </w:r>
                </w:p>
              </w:tc>
              <w:tc>
                <w:tcPr>
                  <w:tcW w:w="2165" w:type="dxa"/>
                  <w:tcBorders>
                    <w:top w:val="single" w:color="auto" w:sz="4" w:space="0"/>
                  </w:tcBorders>
                  <w:vAlign w:val="center"/>
                </w:tcPr>
                <w:p>
                  <w:pPr>
                    <w:spacing w:line="36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设备规格</w:t>
                  </w:r>
                </w:p>
              </w:tc>
              <w:tc>
                <w:tcPr>
                  <w:tcW w:w="2040" w:type="dxa"/>
                  <w:tcBorders>
                    <w:top w:val="single" w:color="auto" w:sz="4" w:space="0"/>
                    <w:right w:val="single" w:color="auto" w:sz="4" w:space="0"/>
                  </w:tcBorders>
                  <w:vAlign w:val="center"/>
                </w:tcPr>
                <w:p>
                  <w:pPr>
                    <w:spacing w:line="36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数量</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523" w:type="dxa"/>
                  <w:gridSpan w:val="4"/>
                  <w:tcBorders>
                    <w:left w:val="single" w:color="auto" w:sz="4" w:space="0"/>
                    <w:right w:val="single" w:color="auto" w:sz="4" w:space="0"/>
                  </w:tcBorders>
                  <w:vAlign w:val="center"/>
                </w:tcPr>
                <w:p>
                  <w:pPr>
                    <w:spacing w:line="36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生产设备</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涂布机</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YZ-750</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涂布机</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JT1350</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去离子水装置</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空压机</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分切机</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w:t>
                  </w:r>
                  <w:r>
                    <w:rPr>
                      <w:color w:val="000000" w:themeColor="text1"/>
                      <w:sz w:val="21"/>
                      <w:szCs w:val="21"/>
                      <w14:textFill>
                        <w14:solidFill>
                          <w14:schemeClr w14:val="tx1"/>
                        </w14:solidFill>
                      </w14:textFill>
                    </w:rPr>
                    <w:t>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烘箱</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w:t>
                  </w:r>
                  <w:r>
                    <w:rPr>
                      <w:color w:val="000000" w:themeColor="text1"/>
                      <w:sz w:val="21"/>
                      <w:szCs w:val="21"/>
                      <w14:textFill>
                        <w14:solidFill>
                          <w14:schemeClr w14:val="tx1"/>
                        </w14:solidFill>
                      </w14:textFill>
                    </w:rPr>
                    <w:t>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523" w:type="dxa"/>
                  <w:gridSpan w:val="4"/>
                  <w:tcBorders>
                    <w:left w:val="single" w:color="auto" w:sz="4" w:space="0"/>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产品检验设备</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四位天平</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测厚仪</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粒度分析仪</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2876"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粘度计</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40"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523" w:type="dxa"/>
                  <w:gridSpan w:val="4"/>
                  <w:tcBorders>
                    <w:left w:val="single" w:color="auto" w:sz="4" w:space="0"/>
                    <w:right w:val="single" w:color="auto" w:sz="4" w:space="0"/>
                  </w:tcBorders>
                  <w:vAlign w:val="center"/>
                </w:tcPr>
                <w:p>
                  <w:pPr>
                    <w:adjustRightInd w:val="0"/>
                    <w:spacing w:line="320" w:lineRule="exac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环保设备</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2879" w:type="dxa"/>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二级活性炭吸附设备</w:t>
                  </w:r>
                </w:p>
              </w:tc>
              <w:tc>
                <w:tcPr>
                  <w:tcW w:w="2165" w:type="dxa"/>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37" w:type="dxa"/>
                  <w:tcBorders>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台</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42" w:type="dxa"/>
                  <w:tcBorders>
                    <w:left w:val="single" w:color="auto" w:sz="4" w:space="0"/>
                    <w:bottom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2879" w:type="dxa"/>
                  <w:tcBorders>
                    <w:bottom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风机</w:t>
                  </w:r>
                </w:p>
              </w:tc>
              <w:tc>
                <w:tcPr>
                  <w:tcW w:w="2165" w:type="dxa"/>
                  <w:tcBorders>
                    <w:bottom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037" w:type="dxa"/>
                  <w:tcBorders>
                    <w:bottom w:val="single" w:color="auto" w:sz="4" w:space="0"/>
                    <w:right w:val="single" w:color="auto" w:sz="4" w:space="0"/>
                  </w:tcBorders>
                  <w:vAlign w:val="center"/>
                </w:tcPr>
                <w:p>
                  <w:pPr>
                    <w:adjustRightInd w:val="0"/>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w:t>
                  </w:r>
                  <w:r>
                    <w:rPr>
                      <w:color w:val="000000" w:themeColor="text1"/>
                      <w:sz w:val="21"/>
                      <w:szCs w:val="21"/>
                      <w14:textFill>
                        <w14:solidFill>
                          <w14:schemeClr w14:val="tx1"/>
                        </w14:solidFill>
                      </w14:textFill>
                    </w:rPr>
                    <w:t>台</w:t>
                  </w:r>
                </w:p>
              </w:tc>
            </w:tr>
          </w:tbl>
          <w:p>
            <w:pPr>
              <w:adjustRightInd w:val="0"/>
              <w:spacing w:line="360" w:lineRule="auto"/>
              <w:rPr>
                <w:b/>
                <w:color w:val="000000" w:themeColor="text1"/>
                <w:kern w:val="0"/>
                <w14:textFill>
                  <w14:solidFill>
                    <w14:schemeClr w14:val="tx1"/>
                  </w14:solidFill>
                </w14:textFill>
              </w:rPr>
            </w:pPr>
          </w:p>
          <w:p>
            <w:pPr>
              <w:spacing w:line="360" w:lineRule="auto"/>
              <w:ind w:firstLine="482" w:firstLineChars="200"/>
              <w:jc w:val="left"/>
              <w:rPr>
                <w:b/>
                <w:color w:val="000000" w:themeColor="text1"/>
                <w14:textFill>
                  <w14:solidFill>
                    <w14:schemeClr w14:val="tx1"/>
                  </w14:solidFill>
                </w14:textFill>
              </w:rPr>
            </w:pPr>
          </w:p>
          <w:p>
            <w:pPr>
              <w:spacing w:line="360" w:lineRule="auto"/>
              <w:ind w:firstLine="482" w:firstLineChars="200"/>
              <w:jc w:val="left"/>
              <w:rPr>
                <w:b/>
                <w:color w:val="000000" w:themeColor="text1"/>
                <w14:textFill>
                  <w14:solidFill>
                    <w14:schemeClr w14:val="tx1"/>
                  </w14:solidFill>
                </w14:textFill>
              </w:rPr>
            </w:pPr>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主要原辅材料及年消耗量</w:t>
            </w:r>
          </w:p>
          <w:p>
            <w:pPr>
              <w:spacing w:line="360" w:lineRule="auto"/>
              <w:ind w:firstLine="480" w:firstLineChars="200"/>
              <w:jc w:val="left"/>
              <w:rPr>
                <w:bCs/>
                <w:color w:val="000000" w:themeColor="text1"/>
                <w14:textFill>
                  <w14:solidFill>
                    <w14:schemeClr w14:val="tx1"/>
                  </w14:solidFill>
                </w14:textFill>
              </w:rPr>
            </w:pPr>
            <w:r>
              <w:rPr>
                <w:bCs/>
                <w:color w:val="000000" w:themeColor="text1"/>
                <w14:textFill>
                  <w14:solidFill>
                    <w14:schemeClr w14:val="tx1"/>
                  </w14:solidFill>
                </w14:textFill>
              </w:rPr>
              <w:t>所使用的原料消耗及能耗详见下表</w:t>
            </w:r>
            <w:r>
              <w:rPr>
                <w:rFonts w:hint="eastAsia"/>
                <w:bCs/>
                <w:color w:val="000000" w:themeColor="text1"/>
                <w14:textFill>
                  <w14:solidFill>
                    <w14:schemeClr w14:val="tx1"/>
                  </w14:solidFill>
                </w14:textFill>
              </w:rPr>
              <w:t>：</w:t>
            </w:r>
          </w:p>
          <w:p>
            <w:pPr>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表2</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 xml:space="preserve">4 </w:t>
            </w:r>
            <w:r>
              <w:rPr>
                <w:b/>
                <w:color w:val="000000" w:themeColor="text1"/>
                <w14:textFill>
                  <w14:solidFill>
                    <w14:schemeClr w14:val="tx1"/>
                  </w14:solidFill>
                </w14:textFill>
              </w:rPr>
              <w:t xml:space="preserve"> 主要原辅材料消耗一览表</w:t>
            </w:r>
          </w:p>
          <w:tbl>
            <w:tblPr>
              <w:tblStyle w:val="29"/>
              <w:tblW w:w="498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08"/>
              <w:gridCol w:w="1082"/>
              <w:gridCol w:w="1082"/>
              <w:gridCol w:w="1719"/>
              <w:gridCol w:w="1508"/>
              <w:gridCol w:w="553"/>
              <w:gridCol w:w="173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tcBorders>
                    <w:top w:val="single" w:color="auto" w:sz="4" w:space="0"/>
                    <w:left w:val="single" w:color="000000" w:sz="4" w:space="0"/>
                    <w:bottom w:val="single" w:color="000000" w:sz="4" w:space="0"/>
                    <w:right w:val="single" w:color="000000" w:sz="4" w:space="0"/>
                  </w:tcBorders>
                  <w:vAlign w:val="center"/>
                </w:tcPr>
                <w:p>
                  <w:pPr>
                    <w:autoSpaceDN w:val="0"/>
                    <w:adjustRightInd w:val="0"/>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产品名称</w:t>
                  </w:r>
                </w:p>
              </w:tc>
              <w:tc>
                <w:tcPr>
                  <w:tcW w:w="638" w:type="pct"/>
                  <w:tcBorders>
                    <w:top w:val="single" w:color="auto" w:sz="4" w:space="0"/>
                    <w:left w:val="single" w:color="000000" w:sz="4" w:space="0"/>
                    <w:bottom w:val="single" w:color="000000" w:sz="4" w:space="0"/>
                    <w:right w:val="single" w:color="000000" w:sz="4" w:space="0"/>
                  </w:tcBorders>
                  <w:vAlign w:val="center"/>
                </w:tcPr>
                <w:p>
                  <w:pPr>
                    <w:autoSpaceDN w:val="0"/>
                    <w:adjustRightInd w:val="0"/>
                    <w:ind w:left="-120" w:leftChars="-50" w:right="-120" w:rightChars="-50"/>
                    <w:jc w:val="center"/>
                    <w:textAlignment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原辅材料</w:t>
                  </w:r>
                </w:p>
              </w:tc>
              <w:tc>
                <w:tcPr>
                  <w:tcW w:w="638" w:type="pct"/>
                  <w:tcBorders>
                    <w:top w:val="single" w:color="auto" w:sz="4" w:space="0"/>
                    <w:left w:val="single" w:color="000000" w:sz="4" w:space="0"/>
                    <w:right w:val="single" w:color="000000" w:sz="4" w:space="0"/>
                  </w:tcBorders>
                  <w:vAlign w:val="center"/>
                </w:tcPr>
                <w:p>
                  <w:pPr>
                    <w:autoSpaceDN w:val="0"/>
                    <w:adjustRightInd w:val="0"/>
                    <w:ind w:left="-120" w:leftChars="-50" w:right="-120" w:rightChars="-50"/>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成分</w:t>
                  </w:r>
                </w:p>
              </w:tc>
              <w:tc>
                <w:tcPr>
                  <w:tcW w:w="1012" w:type="pct"/>
                  <w:tcBorders>
                    <w:top w:val="single" w:color="auto" w:sz="4" w:space="0"/>
                    <w:left w:val="single" w:color="000000" w:sz="4" w:space="0"/>
                    <w:bottom w:val="single" w:color="000000" w:sz="4" w:space="0"/>
                    <w:right w:val="single" w:color="000000" w:sz="4" w:space="0"/>
                  </w:tcBorders>
                  <w:vAlign w:val="center"/>
                </w:tcPr>
                <w:p>
                  <w:pPr>
                    <w:autoSpaceDN w:val="0"/>
                    <w:adjustRightInd w:val="0"/>
                    <w:jc w:val="center"/>
                    <w:textAlignment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储存方式/</w:t>
                  </w:r>
                </w:p>
                <w:p>
                  <w:pPr>
                    <w:autoSpaceDN w:val="0"/>
                    <w:adjustRightInd w:val="0"/>
                    <w:jc w:val="center"/>
                    <w:textAlignment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储存位置</w:t>
                  </w:r>
                </w:p>
              </w:tc>
              <w:tc>
                <w:tcPr>
                  <w:tcW w:w="888" w:type="pct"/>
                  <w:tcBorders>
                    <w:top w:val="single" w:color="auto" w:sz="4" w:space="0"/>
                    <w:left w:val="single" w:color="000000" w:sz="4" w:space="0"/>
                    <w:bottom w:val="single" w:color="000000" w:sz="4" w:space="0"/>
                    <w:right w:val="single" w:color="000000" w:sz="4" w:space="0"/>
                  </w:tcBorders>
                  <w:vAlign w:val="center"/>
                </w:tcPr>
                <w:p>
                  <w:pPr>
                    <w:autoSpaceDN w:val="0"/>
                    <w:adjustRightInd w:val="0"/>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一次</w:t>
                  </w:r>
                  <w:r>
                    <w:rPr>
                      <w:b/>
                      <w:bCs/>
                      <w:color w:val="000000" w:themeColor="text1"/>
                      <w:sz w:val="21"/>
                      <w:szCs w:val="21"/>
                      <w14:textFill>
                        <w14:solidFill>
                          <w14:schemeClr w14:val="tx1"/>
                        </w14:solidFill>
                      </w14:textFill>
                    </w:rPr>
                    <w:t>最大存储量/存储周期</w:t>
                  </w:r>
                </w:p>
              </w:tc>
              <w:tc>
                <w:tcPr>
                  <w:tcW w:w="326" w:type="pct"/>
                  <w:tcBorders>
                    <w:top w:val="single" w:color="auto" w:sz="4" w:space="0"/>
                    <w:left w:val="single" w:color="000000" w:sz="4" w:space="0"/>
                    <w:bottom w:val="single" w:color="000000" w:sz="4" w:space="0"/>
                    <w:right w:val="single" w:color="000000" w:sz="4" w:space="0"/>
                  </w:tcBorders>
                  <w:vAlign w:val="center"/>
                </w:tcPr>
                <w:p>
                  <w:pPr>
                    <w:autoSpaceDN w:val="0"/>
                    <w:adjustRightInd w:val="0"/>
                    <w:ind w:left="-120" w:leftChars="-50" w:right="-120" w:rightChars="-50"/>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性状</w:t>
                  </w:r>
                </w:p>
              </w:tc>
              <w:tc>
                <w:tcPr>
                  <w:tcW w:w="1019" w:type="pct"/>
                  <w:tcBorders>
                    <w:top w:val="single" w:color="auto" w:sz="4" w:space="0"/>
                    <w:left w:val="single" w:color="000000" w:sz="4" w:space="0"/>
                    <w:bottom w:val="single" w:color="000000" w:sz="4" w:space="0"/>
                    <w:right w:val="single" w:color="auto" w:sz="4" w:space="0"/>
                  </w:tcBorders>
                  <w:vAlign w:val="center"/>
                </w:tcPr>
                <w:p>
                  <w:pPr>
                    <w:autoSpaceDN w:val="0"/>
                    <w:adjustRightInd w:val="0"/>
                    <w:ind w:left="-120" w:leftChars="-50" w:right="-120" w:rightChars="-50"/>
                    <w:jc w:val="center"/>
                    <w:textAlignment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年</w:t>
                  </w:r>
                  <w:r>
                    <w:rPr>
                      <w:b/>
                      <w:bCs/>
                      <w:color w:val="000000" w:themeColor="text1"/>
                      <w:sz w:val="21"/>
                      <w:szCs w:val="21"/>
                      <w14:textFill>
                        <w14:solidFill>
                          <w14:schemeClr w14:val="tx1"/>
                        </w14:solidFill>
                      </w14:textFill>
                    </w:rPr>
                    <w:t>耗量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restart"/>
                  <w:tcBorders>
                    <w:top w:val="single" w:color="auto" w:sz="4" w:space="0"/>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r>
                    <w:rPr>
                      <w:rFonts w:hint="eastAsia"/>
                      <w:color w:val="000000" w:themeColor="text1"/>
                      <w:sz w:val="21"/>
                      <w:szCs w:val="21"/>
                      <w14:textFill>
                        <w14:solidFill>
                          <w14:schemeClr w14:val="tx1"/>
                        </w14:solidFill>
                      </w14:textFill>
                    </w:rPr>
                    <w:t>隔膜原料</w:t>
                  </w: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隔膜</w:t>
                  </w:r>
                </w:p>
              </w:tc>
              <w:tc>
                <w:tcPr>
                  <w:tcW w:w="638" w:type="pct"/>
                  <w:tcBorders>
                    <w:top w:val="single" w:color="000000" w:sz="4" w:space="0"/>
                    <w:left w:val="single" w:color="000000" w:sz="4" w:space="0"/>
                    <w:bottom w:val="single" w:color="000000" w:sz="4" w:space="0"/>
                    <w:right w:val="single" w:color="000000" w:sz="4" w:space="0"/>
                  </w:tcBorders>
                  <w:vAlign w:val="center"/>
                </w:tcPr>
                <w:p>
                  <w:pPr>
                    <w:widowControl/>
                    <w:ind w:left="-120" w:leftChars="-50" w:right="-120" w:rightChars="-50"/>
                    <w:jc w:val="center"/>
                    <w:textAlignment w:val="center"/>
                    <w:rPr>
                      <w:color w:val="000000" w:themeColor="text1"/>
                      <w:kern w:val="0"/>
                      <w:szCs w:val="21"/>
                      <w14:textFill>
                        <w14:solidFill>
                          <w14:schemeClr w14:val="tx1"/>
                        </w14:solidFill>
                      </w14:textFill>
                    </w:rPr>
                  </w:pPr>
                  <w:r>
                    <w:rPr>
                      <w:rFonts w:hint="eastAsia"/>
                      <w:color w:val="000000" w:themeColor="text1"/>
                      <w:sz w:val="21"/>
                      <w:szCs w:val="21"/>
                      <w14:textFill>
                        <w14:solidFill>
                          <w14:schemeClr w14:val="tx1"/>
                        </w14:solidFill>
                      </w14:textFill>
                    </w:rPr>
                    <w:t>PE</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箱装，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原料仓库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60吨，30天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600吨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陶瓷浆料</w:t>
                  </w:r>
                </w:p>
              </w:tc>
              <w:tc>
                <w:tcPr>
                  <w:tcW w:w="638" w:type="pct"/>
                  <w:tcBorders>
                    <w:top w:val="single" w:color="000000" w:sz="4" w:space="0"/>
                    <w:left w:val="single" w:color="000000" w:sz="4" w:space="0"/>
                    <w:bottom w:val="single" w:color="000000" w:sz="4" w:space="0"/>
                    <w:right w:val="single" w:color="000000" w:sz="4" w:space="0"/>
                  </w:tcBorders>
                  <w:vAlign w:val="center"/>
                </w:tcPr>
                <w:p>
                  <w:pPr>
                    <w:widowControl/>
                    <w:ind w:left="-120" w:leftChars="-50" w:right="-120" w:rightChars="-50"/>
                    <w:jc w:val="center"/>
                    <w:textAlignment w:val="center"/>
                    <w:rPr>
                      <w:color w:val="000000" w:themeColor="text1"/>
                      <w:kern w:val="0"/>
                      <w:szCs w:val="21"/>
                      <w14:textFill>
                        <w14:solidFill>
                          <w14:schemeClr w14:val="tx1"/>
                        </w14:solidFill>
                      </w14:textFill>
                    </w:rPr>
                  </w:pPr>
                  <w:r>
                    <w:rPr>
                      <w:rFonts w:hint="eastAsia"/>
                      <w:color w:val="000000" w:themeColor="text1"/>
                      <w:sz w:val="21"/>
                      <w:szCs w:val="21"/>
                      <w14:textFill>
                        <w14:solidFill>
                          <w14:schemeClr w14:val="tx1"/>
                        </w14:solidFill>
                      </w14:textFill>
                    </w:rPr>
                    <w:t>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23.5吨，3天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2350吨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restart"/>
                  <w:tcBorders>
                    <w:top w:val="single" w:color="auto" w:sz="4" w:space="0"/>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PVDF隔膜原料</w:t>
                  </w: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隔膜</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PE</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箱装，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原料仓库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18吨，30天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PVDF</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聚偏二氟乙烯和六氟丙烯的共聚物</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6吨，3天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600吨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restart"/>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PVDF+Al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r>
                    <w:rPr>
                      <w:rFonts w:hint="eastAsia"/>
                      <w:color w:val="000000" w:themeColor="text1"/>
                      <w:sz w:val="21"/>
                      <w:szCs w:val="21"/>
                      <w14:textFill>
                        <w14:solidFill>
                          <w14:schemeClr w14:val="tx1"/>
                        </w14:solidFill>
                      </w14:textFill>
                    </w:rPr>
                    <w:t>隔膜原料</w:t>
                  </w: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隔膜</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Cs w:val="21"/>
                      <w14:textFill>
                        <w14:solidFill>
                          <w14:schemeClr w14:val="tx1"/>
                        </w14:solidFill>
                      </w14:textFill>
                    </w:rPr>
                  </w:pPr>
                  <w:r>
                    <w:rPr>
                      <w:rFonts w:hint="eastAsia"/>
                      <w:color w:val="000000" w:themeColor="text1"/>
                      <w:kern w:val="0"/>
                      <w:sz w:val="21"/>
                      <w:szCs w:val="21"/>
                      <w14:textFill>
                        <w14:solidFill>
                          <w14:schemeClr w14:val="tx1"/>
                        </w14:solidFill>
                      </w14:textFill>
                    </w:rPr>
                    <w:t>PE</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箱装，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原料仓库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27吨，30天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陶瓷浆料</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Cs w:val="21"/>
                      <w14:textFill>
                        <w14:solidFill>
                          <w14:schemeClr w14:val="tx1"/>
                        </w14:solidFill>
                      </w14:textFill>
                    </w:rPr>
                  </w:pPr>
                  <w:r>
                    <w:rPr>
                      <w:rFonts w:hint="eastAsia"/>
                      <w:color w:val="000000" w:themeColor="text1"/>
                      <w:sz w:val="21"/>
                      <w:szCs w:val="21"/>
                      <w14:textFill>
                        <w14:solidFill>
                          <w14:schemeClr w14:val="tx1"/>
                        </w14:solidFill>
                      </w14:textFill>
                    </w:rPr>
                    <w:t>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10.6吨，3天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1060吨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PVDF</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聚偏二氟乙烯和六氟丙烯的共聚物</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9吨，3天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restart"/>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PMMA+Al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r>
                    <w:rPr>
                      <w:rFonts w:hint="eastAsia"/>
                      <w:color w:val="000000" w:themeColor="text1"/>
                      <w:sz w:val="21"/>
                      <w:szCs w:val="21"/>
                      <w14:textFill>
                        <w14:solidFill>
                          <w14:schemeClr w14:val="tx1"/>
                        </w14:solidFill>
                      </w14:textFill>
                    </w:rPr>
                    <w:t>隔膜原料</w:t>
                  </w: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隔膜</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Cs w:val="21"/>
                      <w14:textFill>
                        <w14:solidFill>
                          <w14:schemeClr w14:val="tx1"/>
                        </w14:solidFill>
                      </w14:textFill>
                    </w:rPr>
                  </w:pPr>
                  <w:r>
                    <w:rPr>
                      <w:rFonts w:hint="eastAsia"/>
                      <w:color w:val="000000" w:themeColor="text1"/>
                      <w:kern w:val="0"/>
                      <w:sz w:val="21"/>
                      <w:szCs w:val="21"/>
                      <w14:textFill>
                        <w14:solidFill>
                          <w14:schemeClr w14:val="tx1"/>
                        </w14:solidFill>
                      </w14:textFill>
                    </w:rPr>
                    <w:t>PE</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箱装，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原料仓库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15吨，30天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陶瓷浆料</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 w:val="21"/>
                      <w:szCs w:val="21"/>
                      <w14:textFill>
                        <w14:solidFill>
                          <w14:schemeClr w14:val="tx1"/>
                        </w14:solidFill>
                      </w14:textFill>
                    </w:rPr>
                  </w:pPr>
                  <w:r>
                    <w:rPr>
                      <w:rFonts w:hint="eastAsia"/>
                      <w:color w:val="000000" w:themeColor="text1"/>
                      <w:sz w:val="21"/>
                      <w:szCs w:val="21"/>
                      <w14:textFill>
                        <w14:solidFill>
                          <w14:schemeClr w14:val="tx1"/>
                        </w14:solidFill>
                      </w14:textFill>
                    </w:rPr>
                    <w:t>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5.9吨，3天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590吨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left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PMMA</w:t>
                  </w:r>
                </w:p>
              </w:tc>
              <w:tc>
                <w:tcPr>
                  <w:tcW w:w="638"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聚丙烯酸酯混合物</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桶装，</w:t>
                  </w:r>
                  <w:r>
                    <w:rPr>
                      <w:color w:val="000000" w:themeColor="text1"/>
                      <w:sz w:val="21"/>
                      <w:szCs w:val="21"/>
                      <w14:textFill>
                        <w14:solidFill>
                          <w14:schemeClr w14:val="tx1"/>
                        </w14:solidFill>
                      </w14:textFill>
                    </w:rPr>
                    <w:t>置于</w:t>
                  </w:r>
                  <w:r>
                    <w:rPr>
                      <w:rFonts w:hint="eastAsia"/>
                      <w:color w:val="000000" w:themeColor="text1"/>
                      <w:sz w:val="21"/>
                      <w:szCs w:val="21"/>
                      <w14:textFill>
                        <w14:solidFill>
                          <w14:schemeClr w14:val="tx1"/>
                        </w14:solidFill>
                      </w14:textFill>
                    </w:rPr>
                    <w:t>化学品仓库</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最大存储量</w:t>
                  </w:r>
                  <w:r>
                    <w:rPr>
                      <w:rFonts w:hint="eastAsia"/>
                      <w:color w:val="000000" w:themeColor="text1"/>
                      <w:sz w:val="21"/>
                      <w:szCs w:val="21"/>
                      <w14:textFill>
                        <w14:solidFill>
                          <w14:schemeClr w14:val="tx1"/>
                        </w14:solidFill>
                      </w14:textFill>
                    </w:rPr>
                    <w:t>0.5吨，3天</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tcBorders>
                    <w:top w:val="single" w:color="auto" w:sz="4" w:space="0"/>
                    <w:left w:val="single" w:color="auto" w:sz="4" w:space="0"/>
                    <w:bottom w:val="single" w:color="auto" w:sz="4" w:space="0"/>
                    <w:right w:val="single" w:color="000000"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其他辅料</w:t>
                  </w:r>
                </w:p>
              </w:tc>
              <w:tc>
                <w:tcPr>
                  <w:tcW w:w="638" w:type="pct"/>
                  <w:tcBorders>
                    <w:top w:val="single" w:color="000000" w:sz="4" w:space="0"/>
                    <w:left w:val="single" w:color="000000" w:sz="4" w:space="0"/>
                    <w:bottom w:val="single" w:color="000000" w:sz="4" w:space="0"/>
                    <w:right w:val="single" w:color="000000"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活性炭</w:t>
                  </w:r>
                </w:p>
              </w:tc>
              <w:tc>
                <w:tcPr>
                  <w:tcW w:w="638" w:type="pct"/>
                  <w:tcBorders>
                    <w:top w:val="single" w:color="000000" w:sz="4" w:space="0"/>
                    <w:left w:val="single" w:color="000000" w:sz="4" w:space="0"/>
                    <w:bottom w:val="single" w:color="000000" w:sz="4" w:space="0"/>
                    <w:right w:val="single" w:color="000000" w:sz="4" w:space="0"/>
                  </w:tcBorders>
                  <w:vAlign w:val="center"/>
                </w:tcPr>
                <w:p>
                  <w:pPr>
                    <w:widowControl/>
                    <w:ind w:left="-120" w:leftChars="-50" w:right="-120" w:rightChars="-50"/>
                    <w:jc w:val="center"/>
                    <w:textAlignment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p>
              </w:tc>
              <w:tc>
                <w:tcPr>
                  <w:tcW w:w="1012" w:type="pct"/>
                  <w:tcBorders>
                    <w:top w:val="single" w:color="000000" w:sz="4" w:space="0"/>
                    <w:left w:val="single" w:color="000000" w:sz="4" w:space="0"/>
                    <w:bottom w:val="single" w:color="000000" w:sz="4" w:space="0"/>
                    <w:right w:val="single" w:color="000000" w:sz="4" w:space="0"/>
                  </w:tcBorders>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8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326" w:type="pct"/>
                  <w:tcBorders>
                    <w:top w:val="single" w:color="000000" w:sz="4" w:space="0"/>
                    <w:left w:val="single" w:color="000000" w:sz="4" w:space="0"/>
                    <w:bottom w:val="single" w:color="000000" w:sz="4" w:space="0"/>
                    <w:right w:val="single" w:color="000000"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019" w:type="pct"/>
                  <w:tcBorders>
                    <w:top w:val="single" w:color="000000" w:sz="4" w:space="0"/>
                    <w:left w:val="single" w:color="000000" w:sz="4" w:space="0"/>
                    <w:bottom w:val="single" w:color="000000" w:sz="4" w:space="0"/>
                    <w:right w:val="single" w:color="auto" w:sz="4" w:space="0"/>
                  </w:tcBorders>
                  <w:vAlign w:val="center"/>
                </w:tcPr>
                <w:p>
                  <w:pPr>
                    <w:widowControl/>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6.369吨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restart"/>
                  <w:tcBorders>
                    <w:top w:val="single" w:color="auto" w:sz="4" w:space="0"/>
                    <w:left w:val="single" w:color="auto" w:sz="4" w:space="0"/>
                    <w:bottom w:val="single" w:color="auto" w:sz="4" w:space="0"/>
                    <w:right w:val="single" w:color="000000" w:sz="4" w:space="0"/>
                  </w:tcBorders>
                  <w:vAlign w:val="center"/>
                </w:tcPr>
                <w:p>
                  <w:pPr>
                    <w:widowControl/>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能源</w:t>
                  </w:r>
                </w:p>
              </w:tc>
              <w:tc>
                <w:tcPr>
                  <w:tcW w:w="638" w:type="pct"/>
                  <w:tcBorders>
                    <w:top w:val="single" w:color="000000" w:sz="4" w:space="0"/>
                    <w:left w:val="single" w:color="000000" w:sz="4" w:space="0"/>
                    <w:bottom w:val="single" w:color="000000"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水</w:t>
                  </w:r>
                </w:p>
              </w:tc>
              <w:tc>
                <w:tcPr>
                  <w:tcW w:w="638" w:type="pct"/>
                  <w:tcBorders>
                    <w:top w:val="single" w:color="000000" w:sz="4" w:space="0"/>
                    <w:left w:val="single" w:color="000000" w:sz="4" w:space="0"/>
                    <w:bottom w:val="single" w:color="000000"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12" w:type="pct"/>
                  <w:tcBorders>
                    <w:top w:val="single" w:color="000000" w:sz="4" w:space="0"/>
                    <w:left w:val="single" w:color="000000" w:sz="4" w:space="0"/>
                    <w:bottom w:val="single" w:color="000000" w:sz="4" w:space="0"/>
                    <w:right w:val="single" w:color="000000" w:sz="4" w:space="0"/>
                  </w:tcBorders>
                  <w:vAlign w:val="center"/>
                </w:tcPr>
                <w:p>
                  <w:pPr>
                    <w:autoSpaceDN w:val="0"/>
                    <w:adjustRightInd w:val="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888" w:type="pct"/>
                  <w:tcBorders>
                    <w:top w:val="single" w:color="000000" w:sz="4" w:space="0"/>
                    <w:left w:val="single" w:color="000000" w:sz="4" w:space="0"/>
                    <w:bottom w:val="single" w:color="000000" w:sz="4" w:space="0"/>
                    <w:right w:val="single" w:color="000000" w:sz="4" w:space="0"/>
                  </w:tcBorders>
                  <w:vAlign w:val="center"/>
                </w:tcPr>
                <w:p>
                  <w:pPr>
                    <w:autoSpaceDN w:val="0"/>
                    <w:adjustRightInd w:val="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326" w:type="pct"/>
                  <w:tcBorders>
                    <w:top w:val="single" w:color="000000" w:sz="4" w:space="0"/>
                    <w:left w:val="single" w:color="000000" w:sz="4" w:space="0"/>
                    <w:bottom w:val="single" w:color="000000"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19" w:type="pct"/>
                  <w:tcBorders>
                    <w:top w:val="single" w:color="000000" w:sz="4" w:space="0"/>
                    <w:left w:val="single" w:color="000000" w:sz="4" w:space="0"/>
                    <w:bottom w:val="single" w:color="000000"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2802吨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76" w:type="pct"/>
                  <w:vMerge w:val="continue"/>
                  <w:tcBorders>
                    <w:top w:val="single" w:color="auto" w:sz="4" w:space="0"/>
                    <w:left w:val="single" w:color="auto" w:sz="4" w:space="0"/>
                    <w:bottom w:val="single" w:color="auto" w:sz="4" w:space="0"/>
                    <w:right w:val="single" w:color="000000" w:sz="4" w:space="0"/>
                  </w:tcBorders>
                  <w:vAlign w:val="center"/>
                </w:tcPr>
                <w:p>
                  <w:pPr>
                    <w:widowControl/>
                    <w:jc w:val="center"/>
                    <w:rPr>
                      <w:color w:val="000000" w:themeColor="text1"/>
                      <w:sz w:val="21"/>
                      <w:szCs w:val="21"/>
                      <w14:textFill>
                        <w14:solidFill>
                          <w14:schemeClr w14:val="tx1"/>
                        </w14:solidFill>
                      </w14:textFill>
                    </w:rPr>
                  </w:pPr>
                </w:p>
              </w:tc>
              <w:tc>
                <w:tcPr>
                  <w:tcW w:w="638" w:type="pct"/>
                  <w:tcBorders>
                    <w:top w:val="single" w:color="000000" w:sz="4" w:space="0"/>
                    <w:left w:val="single" w:color="000000" w:sz="4" w:space="0"/>
                    <w:bottom w:val="single" w:color="auto"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w:t>
                  </w:r>
                </w:p>
              </w:tc>
              <w:tc>
                <w:tcPr>
                  <w:tcW w:w="638" w:type="pct"/>
                  <w:tcBorders>
                    <w:top w:val="single" w:color="000000" w:sz="4" w:space="0"/>
                    <w:left w:val="single" w:color="000000" w:sz="4" w:space="0"/>
                    <w:bottom w:val="single" w:color="auto"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12" w:type="pct"/>
                  <w:tcBorders>
                    <w:top w:val="single" w:color="000000" w:sz="4" w:space="0"/>
                    <w:left w:val="single" w:color="000000" w:sz="4" w:space="0"/>
                    <w:bottom w:val="single" w:color="auto" w:sz="4" w:space="0"/>
                    <w:right w:val="single" w:color="000000" w:sz="4" w:space="0"/>
                  </w:tcBorders>
                  <w:vAlign w:val="center"/>
                </w:tcPr>
                <w:p>
                  <w:pPr>
                    <w:autoSpaceDN w:val="0"/>
                    <w:adjustRightInd w:val="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888" w:type="pct"/>
                  <w:tcBorders>
                    <w:top w:val="single" w:color="000000" w:sz="4" w:space="0"/>
                    <w:left w:val="single" w:color="000000" w:sz="4" w:space="0"/>
                    <w:bottom w:val="single" w:color="auto" w:sz="4" w:space="0"/>
                    <w:right w:val="single" w:color="000000" w:sz="4" w:space="0"/>
                  </w:tcBorders>
                  <w:vAlign w:val="center"/>
                </w:tcPr>
                <w:p>
                  <w:pPr>
                    <w:autoSpaceDN w:val="0"/>
                    <w:adjustRightInd w:val="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326" w:type="pct"/>
                  <w:tcBorders>
                    <w:top w:val="single" w:color="000000" w:sz="4" w:space="0"/>
                    <w:left w:val="single" w:color="000000" w:sz="4" w:space="0"/>
                    <w:bottom w:val="single" w:color="auto" w:sz="4" w:space="0"/>
                    <w:right w:val="single" w:color="000000"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019" w:type="pct"/>
                  <w:tcBorders>
                    <w:top w:val="single" w:color="000000" w:sz="4" w:space="0"/>
                    <w:left w:val="single" w:color="000000" w:sz="4" w:space="0"/>
                    <w:bottom w:val="single" w:color="auto" w:sz="4" w:space="0"/>
                    <w:right w:val="single" w:color="auto" w:sz="4" w:space="0"/>
                  </w:tcBorders>
                  <w:vAlign w:val="center"/>
                </w:tcPr>
                <w:p>
                  <w:pPr>
                    <w:autoSpaceDN w:val="0"/>
                    <w:adjustRightInd w:val="0"/>
                    <w:ind w:left="-120" w:leftChars="-50" w:right="-120" w:rightChars="-5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100万度</w:t>
                  </w:r>
                </w:p>
              </w:tc>
            </w:tr>
          </w:tbl>
          <w:p>
            <w:pPr>
              <w:ind w:firstLine="422" w:firstLineChars="200"/>
              <w:jc w:val="left"/>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注：本项目所使用浆料均为成品，使用时无需调配</w:t>
            </w: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p>
          <w:p>
            <w:pPr>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表2</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 xml:space="preserve">5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浆料成分及配比</w:t>
            </w:r>
            <w:r>
              <w:rPr>
                <w:b/>
                <w:color w:val="000000" w:themeColor="text1"/>
                <w14:textFill>
                  <w14:solidFill>
                    <w14:schemeClr w14:val="tx1"/>
                  </w14:solidFill>
                </w14:textFill>
              </w:rPr>
              <w:t>一览表</w:t>
            </w:r>
          </w:p>
          <w:p>
            <w:pPr>
              <w:spacing w:line="360" w:lineRule="auto"/>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drawing>
                <wp:inline distT="0" distB="0" distL="114300" distR="114300">
                  <wp:extent cx="5415280" cy="1495425"/>
                  <wp:effectExtent l="0" t="0" r="7620" b="3175"/>
                  <wp:docPr id="1" name="图片 1" descr="6a086a363288da83336991829a92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a086a363288da83336991829a92367"/>
                          <pic:cNvPicPr>
                            <a:picLocks noChangeAspect="1"/>
                          </pic:cNvPicPr>
                        </pic:nvPicPr>
                        <pic:blipFill>
                          <a:blip r:embed="rId5"/>
                          <a:stretch>
                            <a:fillRect/>
                          </a:stretch>
                        </pic:blipFill>
                        <pic:spPr>
                          <a:xfrm>
                            <a:off x="0" y="0"/>
                            <a:ext cx="5415280" cy="1495425"/>
                          </a:xfrm>
                          <a:prstGeom prst="rect">
                            <a:avLst/>
                          </a:prstGeom>
                        </pic:spPr>
                      </pic:pic>
                    </a:graphicData>
                  </a:graphic>
                </wp:inline>
              </w:drawing>
            </w:r>
          </w:p>
          <w:p>
            <w:pPr>
              <w:ind w:firstLine="422" w:firstLineChars="200"/>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备注：粘合剂使用LA型水性粘合剂，其主要成分为丙烯腈多元共聚物（15%）+水（84.4%）+丙烯腈、丙烯酰胺（0.6%），成分表见附件7。</w:t>
            </w:r>
          </w:p>
          <w:p>
            <w:pPr>
              <w:spacing w:line="360" w:lineRule="auto"/>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表2-6 原辅料理化性质</w:t>
            </w:r>
          </w:p>
          <w:tbl>
            <w:tblPr>
              <w:tblStyle w:val="29"/>
              <w:tblW w:w="8533" w:type="dxa"/>
              <w:jc w:val="center"/>
              <w:tblLayout w:type="fixed"/>
              <w:tblCellMar>
                <w:top w:w="0" w:type="dxa"/>
                <w:left w:w="108" w:type="dxa"/>
                <w:bottom w:w="0" w:type="dxa"/>
                <w:right w:w="108" w:type="dxa"/>
              </w:tblCellMar>
            </w:tblPr>
            <w:tblGrid>
              <w:gridCol w:w="1487"/>
              <w:gridCol w:w="7046"/>
            </w:tblGrid>
            <w:tr>
              <w:tblPrEx>
                <w:tblCellMar>
                  <w:top w:w="0" w:type="dxa"/>
                  <w:left w:w="108" w:type="dxa"/>
                  <w:bottom w:w="0" w:type="dxa"/>
                  <w:right w:w="108" w:type="dxa"/>
                </w:tblCellMar>
              </w:tblPrEx>
              <w:trPr>
                <w:trHeight w:val="369" w:hRule="atLeast"/>
                <w:jc w:val="center"/>
              </w:trPr>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名称</w:t>
                  </w:r>
                </w:p>
              </w:tc>
              <w:tc>
                <w:tcPr>
                  <w:tcW w:w="7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主要理化性质</w:t>
                  </w:r>
                </w:p>
              </w:tc>
            </w:tr>
            <w:tr>
              <w:tblPrEx>
                <w:tblCellMar>
                  <w:top w:w="0" w:type="dxa"/>
                  <w:left w:w="108" w:type="dxa"/>
                  <w:bottom w:w="0" w:type="dxa"/>
                  <w:right w:w="108" w:type="dxa"/>
                </w:tblCellMar>
              </w:tblPrEx>
              <w:trPr>
                <w:trHeight w:val="369" w:hRule="atLeast"/>
                <w:jc w:val="center"/>
              </w:trPr>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PE隔膜</w:t>
                  </w:r>
                </w:p>
              </w:tc>
              <w:tc>
                <w:tcPr>
                  <w:tcW w:w="7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隔膜是电解反应时，用以将正负两极分开防止在电解池中直接反应损失能量的一层薄膜。锂电池的结构中，隔膜是关键的内层组件之一。隔膜的性能决定了电池的界面结构、内阻等，直接影响电池的容量、循环以及安全性能等特性，性能优异的隔膜对提高电池的综合性能具有重要的作用。</w:t>
                  </w:r>
                </w:p>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PE</w:t>
                  </w:r>
                  <w:r>
                    <w:rPr>
                      <w:color w:val="000000" w:themeColor="text1"/>
                      <w:sz w:val="21"/>
                      <w:szCs w:val="21"/>
                      <w14:textFill>
                        <w14:solidFill>
                          <w14:schemeClr w14:val="tx1"/>
                        </w14:solidFill>
                      </w14:textFill>
                    </w:rPr>
                    <w:t>是乙烯经聚合制得的一种热塑性树脂。在工业上，也包括乙烯与少量α-烯烃的共聚物。聚乙烯无臭，无毒，手感似蜡，具有优良的耐低温性能（最低使用温度可达-100~-70°C），化学稳定性好，能耐大多数酸碱的侵蚀（不耐具有氧化性质的酸）。常温下不溶于一般溶剂，吸水性小，电绝缘性优良</w:t>
                  </w:r>
                </w:p>
              </w:tc>
            </w:tr>
            <w:tr>
              <w:tblPrEx>
                <w:tblCellMar>
                  <w:top w:w="0" w:type="dxa"/>
                  <w:left w:w="108" w:type="dxa"/>
                  <w:bottom w:w="0" w:type="dxa"/>
                  <w:right w:w="108" w:type="dxa"/>
                </w:tblCellMar>
              </w:tblPrEx>
              <w:trPr>
                <w:trHeight w:val="369" w:hRule="atLeast"/>
                <w:jc w:val="center"/>
              </w:trPr>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陶瓷浆料</w:t>
                  </w:r>
                </w:p>
              </w:tc>
              <w:tc>
                <w:tcPr>
                  <w:tcW w:w="7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sz w:val="21"/>
                      <w:szCs w:val="21"/>
                      <w14:textFill>
                        <w14:solidFill>
                          <w14:schemeClr w14:val="tx1"/>
                        </w14:solidFill>
                      </w14:textFill>
                    </w:rPr>
                    <w:t>本项目使用Al</w:t>
                  </w:r>
                  <w:r>
                    <w:rPr>
                      <w:rFonts w:hint="eastAsia"/>
                      <w:color w:val="000000" w:themeColor="text1"/>
                      <w:sz w:val="21"/>
                      <w:szCs w:val="21"/>
                      <w:vertAlign w:val="subscript"/>
                      <w14:textFill>
                        <w14:solidFill>
                          <w14:schemeClr w14:val="tx1"/>
                        </w14:solidFill>
                      </w14:textFill>
                    </w:rPr>
                    <w:t>2</w:t>
                  </w:r>
                  <w:r>
                    <w:rPr>
                      <w:rFonts w:hint="eastAsia"/>
                      <w:color w:val="000000" w:themeColor="text1"/>
                      <w:sz w:val="21"/>
                      <w:szCs w:val="21"/>
                      <w14:textFill>
                        <w14:solidFill>
                          <w14:schemeClr w14:val="tx1"/>
                        </w14:solidFill>
                      </w14:textFill>
                    </w:rPr>
                    <w:t>O</w:t>
                  </w:r>
                  <w:r>
                    <w:rPr>
                      <w:rFonts w:hint="eastAsia"/>
                      <w:color w:val="000000" w:themeColor="text1"/>
                      <w:sz w:val="21"/>
                      <w:szCs w:val="21"/>
                      <w:vertAlign w:val="subscript"/>
                      <w14:textFill>
                        <w14:solidFill>
                          <w14:schemeClr w14:val="tx1"/>
                        </w14:solidFill>
                      </w14:textFill>
                    </w:rPr>
                    <w:t>3</w:t>
                  </w:r>
                  <w:r>
                    <w:rPr>
                      <w:color w:val="000000" w:themeColor="text1"/>
                      <w:kern w:val="0"/>
                      <w:sz w:val="21"/>
                      <w:szCs w:val="21"/>
                      <w:lang w:bidi="ar"/>
                      <w14:textFill>
                        <w14:solidFill>
                          <w14:schemeClr w14:val="tx1"/>
                        </w14:solidFill>
                      </w14:textFill>
                    </w:rPr>
                    <w:t>陶瓷浆料</w:t>
                  </w:r>
                  <w:r>
                    <w:rPr>
                      <w:rFonts w:hint="eastAsia"/>
                      <w:color w:val="000000" w:themeColor="text1"/>
                      <w:kern w:val="0"/>
                      <w:sz w:val="21"/>
                      <w:szCs w:val="21"/>
                      <w:lang w:bidi="ar"/>
                      <w14:textFill>
                        <w14:solidFill>
                          <w14:schemeClr w14:val="tx1"/>
                        </w14:solidFill>
                      </w14:textFill>
                    </w:rPr>
                    <w:t>，氧化铝是一种无机物，是一种高硬度的化合物，外观与性状：白色无定形粉末，无气味，无味，质极硬，易吸潮而不潮解。气味阀值：无资料；熔点/凝固点（℃）：2050℃；密度/相对密度（水=1）：p（20）3.94g/mL；溶解性：溶于浓硫酸，缓慢溶于碱液中形成氢氧化物，几乎不溶于水及非极性有机溶剂。pH：5-8（100g/L，H20，20℃）</w:t>
                  </w:r>
                </w:p>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沸点、初沸点、沸程（℃）：2980℃/760mmHg</w:t>
                  </w:r>
                </w:p>
              </w:tc>
            </w:tr>
            <w:tr>
              <w:tblPrEx>
                <w:tblCellMar>
                  <w:top w:w="0" w:type="dxa"/>
                  <w:left w:w="108" w:type="dxa"/>
                  <w:bottom w:w="0" w:type="dxa"/>
                  <w:right w:w="108" w:type="dxa"/>
                </w:tblCellMar>
              </w:tblPrEx>
              <w:trPr>
                <w:trHeight w:val="369" w:hRule="atLeast"/>
                <w:jc w:val="center"/>
              </w:trPr>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PVDF</w:t>
                  </w:r>
                </w:p>
              </w:tc>
              <w:tc>
                <w:tcPr>
                  <w:tcW w:w="7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highlight w:val="yellow"/>
                      <w14:textFill>
                        <w14:solidFill>
                          <w14:schemeClr w14:val="tx1"/>
                        </w14:solidFill>
                      </w14:textFill>
                    </w:rPr>
                  </w:pPr>
                  <w:r>
                    <w:rPr>
                      <w:rFonts w:hint="eastAsia"/>
                      <w:color w:val="000000" w:themeColor="text1"/>
                      <w:sz w:val="21"/>
                      <w:szCs w:val="21"/>
                      <w14:textFill>
                        <w14:solidFill>
                          <w14:schemeClr w14:val="tx1"/>
                        </w14:solidFill>
                      </w14:textFill>
                    </w:rPr>
                    <w:t>是一种高度非反应性热塑性聚合物。其可通过1，1-二氟乙烯的聚合反应合成。溶于二甲基乙酰胺等强极性溶剂。物理状态（20℃）：固体；形状：粉末；粒度</w:t>
                  </w:r>
                  <w:r>
                    <w:rPr>
                      <w:color w:val="000000" w:themeColor="text1"/>
                      <w:sz w:val="21"/>
                      <w:szCs w:val="21"/>
                      <w14:textFill>
                        <w14:solidFill>
                          <w14:schemeClr w14:val="tx1"/>
                        </w14:solidFill>
                      </w14:textFill>
                    </w:rPr>
                    <w:t>：&lt;20μm气味</w:t>
                  </w:r>
                  <w:r>
                    <w:rPr>
                      <w:rFonts w:hint="eastAsia"/>
                      <w:color w:val="000000" w:themeColor="text1"/>
                      <w:sz w:val="21"/>
                      <w:szCs w:val="21"/>
                      <w14:textFill>
                        <w14:solidFill>
                          <w14:schemeClr w14:val="tx1"/>
                        </w14:solidFill>
                      </w14:textFill>
                    </w:rPr>
                    <w:t>；嗅阀：无关的pH值：不适用；熔点/熔程：148-160℃；密度：1.770-1.790kg/m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，在20℃相对密度（水=1）：1.77-1.79在20℃水溶性：不溶在20℃；分解温度：〉300℃</w:t>
                  </w:r>
                </w:p>
              </w:tc>
            </w:tr>
            <w:tr>
              <w:tblPrEx>
                <w:tblCellMar>
                  <w:top w:w="0" w:type="dxa"/>
                  <w:left w:w="108" w:type="dxa"/>
                  <w:bottom w:w="0" w:type="dxa"/>
                  <w:right w:w="108" w:type="dxa"/>
                </w:tblCellMar>
              </w:tblPrEx>
              <w:trPr>
                <w:trHeight w:val="369" w:hRule="atLeast"/>
                <w:jc w:val="center"/>
              </w:trPr>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PMMA</w:t>
                  </w:r>
                </w:p>
              </w:tc>
              <w:tc>
                <w:tcPr>
                  <w:tcW w:w="70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highlight w:val="yellow"/>
                      <w14:textFill>
                        <w14:solidFill>
                          <w14:schemeClr w14:val="tx1"/>
                        </w14:solidFill>
                      </w14:textFill>
                    </w:rPr>
                  </w:pPr>
                  <w:r>
                    <w:rPr>
                      <w:color w:val="000000" w:themeColor="text1"/>
                      <w:sz w:val="21"/>
                      <w:szCs w:val="21"/>
                      <w14:textFill>
                        <w14:solidFill>
                          <w14:schemeClr w14:val="tx1"/>
                        </w14:solidFill>
                      </w14:textFill>
                    </w:rPr>
                    <w:t>是一种高分子聚合物，又称作亚克力或有机玻璃，具有高透明度，低价格，易于机械加工等优点，是平常经常使用的玻璃替代材料。物理状态液体</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颜色乳白色</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气味轻微气味</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凝固点0℃文献（水）</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pH值6.5-8.5</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沸点（760mmHg）100℃文献（按水来算）</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闪点不适应</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蒸汽压2.4kpa@20℃文献（水）</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比重（水=1）1.02-1.10估计值</w:t>
                  </w:r>
                </w:p>
              </w:tc>
            </w:tr>
          </w:tbl>
          <w:p>
            <w:pPr>
              <w:rPr>
                <w:color w:val="000000" w:themeColor="text1"/>
                <w14:textFill>
                  <w14:solidFill>
                    <w14:schemeClr w14:val="tx1"/>
                  </w14:solidFill>
                </w14:textFill>
              </w:rPr>
            </w:pPr>
          </w:p>
          <w:p>
            <w:pPr>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5、</w:t>
            </w:r>
            <w:r>
              <w:rPr>
                <w:b/>
                <w:bCs/>
                <w:color w:val="000000" w:themeColor="text1"/>
                <w14:textFill>
                  <w14:solidFill>
                    <w14:schemeClr w14:val="tx1"/>
                  </w14:solidFill>
                </w14:textFill>
              </w:rPr>
              <w:t>公用工程</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给水</w:t>
            </w:r>
            <w:r>
              <w:rPr>
                <w:rFonts w:hint="eastAsia"/>
                <w:color w:val="000000" w:themeColor="text1"/>
                <w14:textFill>
                  <w14:solidFill>
                    <w14:schemeClr w14:val="tx1"/>
                  </w14:solidFill>
                </w14:textFill>
              </w:rPr>
              <w:t>、排水</w:t>
            </w:r>
            <w:r>
              <w:rPr>
                <w:color w:val="000000" w:themeColor="text1"/>
                <w14:textFill>
                  <w14:solidFill>
                    <w14:schemeClr w14:val="tx1"/>
                  </w14:solidFill>
                </w14:textFill>
              </w:rPr>
              <w:t>工程</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由园区</w:t>
            </w:r>
            <w:r>
              <w:rPr>
                <w:color w:val="000000" w:themeColor="text1"/>
                <w14:textFill>
                  <w14:solidFill>
                    <w14:schemeClr w14:val="tx1"/>
                  </w14:solidFill>
                </w14:textFill>
              </w:rPr>
              <w:t>供水管网供给，项目用水主要为</w:t>
            </w:r>
            <w:r>
              <w:rPr>
                <w:rFonts w:hint="eastAsia"/>
                <w:color w:val="000000" w:themeColor="text1"/>
                <w14:textFill>
                  <w14:solidFill>
                    <w14:schemeClr w14:val="tx1"/>
                  </w14:solidFill>
                </w14:textFill>
              </w:rPr>
              <w:t>办公</w:t>
            </w:r>
            <w:r>
              <w:rPr>
                <w:color w:val="000000" w:themeColor="text1"/>
                <w14:textFill>
                  <w14:solidFill>
                    <w14:schemeClr w14:val="tx1"/>
                  </w14:solidFill>
                </w14:textFill>
              </w:rPr>
              <w:t>生活用水</w:t>
            </w:r>
            <w:r>
              <w:rPr>
                <w:rFonts w:hint="eastAsia"/>
                <w:color w:val="000000" w:themeColor="text1"/>
                <w14:textFill>
                  <w14:solidFill>
                    <w14:schemeClr w14:val="tx1"/>
                  </w14:solidFill>
                </w14:textFill>
              </w:rPr>
              <w:t>、冷却循环用水以及地面清洗用水。</w:t>
            </w:r>
          </w:p>
          <w:p>
            <w:pPr>
              <w:widowControl/>
              <w:spacing w:line="360" w:lineRule="auto"/>
              <w:ind w:firstLine="480" w:firstLineChars="200"/>
              <w:jc w:val="left"/>
              <w:rPr>
                <w:color w:val="000000" w:themeColor="text1"/>
                <w:kern w:val="0"/>
                <w:lang w:bidi="ar"/>
                <w14:textFill>
                  <w14:solidFill>
                    <w14:schemeClr w14:val="tx1"/>
                  </w14:solidFill>
                </w14:textFill>
              </w:rPr>
            </w:pPr>
            <w:r>
              <w:rPr>
                <w:rFonts w:hint="eastAsia"/>
                <w:color w:val="000000" w:themeColor="text1"/>
                <w:kern w:val="0"/>
                <w:lang w:bidi="ar"/>
                <w14:textFill>
                  <w14:solidFill>
                    <w14:schemeClr w14:val="tx1"/>
                  </w14:solidFill>
                </w14:textFill>
              </w:rPr>
              <w:t>①生活用水</w:t>
            </w:r>
          </w:p>
          <w:p>
            <w:pPr>
              <w:widowControl/>
              <w:spacing w:line="360" w:lineRule="auto"/>
              <w:ind w:firstLine="480" w:firstLineChars="200"/>
              <w:jc w:val="left"/>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项目劳动定员</w:t>
            </w:r>
            <w:r>
              <w:rPr>
                <w:rFonts w:hint="eastAsia"/>
                <w:color w:val="000000" w:themeColor="text1"/>
                <w:kern w:val="0"/>
                <w:lang w:bidi="ar"/>
                <w14:textFill>
                  <w14:solidFill>
                    <w14:schemeClr w14:val="tx1"/>
                  </w14:solidFill>
                </w14:textFill>
              </w:rPr>
              <w:t>120</w:t>
            </w:r>
            <w:r>
              <w:rPr>
                <w:color w:val="000000" w:themeColor="text1"/>
                <w:kern w:val="0"/>
                <w:lang w:bidi="ar"/>
                <w14:textFill>
                  <w14:solidFill>
                    <w14:schemeClr w14:val="tx1"/>
                  </w14:solidFill>
                </w14:textFill>
              </w:rPr>
              <w:t>人，年工作300天，厂区</w:t>
            </w:r>
            <w:r>
              <w:rPr>
                <w:rFonts w:hint="eastAsia"/>
                <w:color w:val="000000" w:themeColor="text1"/>
                <w:kern w:val="0"/>
                <w:lang w:bidi="ar"/>
                <w14:textFill>
                  <w14:solidFill>
                    <w14:schemeClr w14:val="tx1"/>
                  </w14:solidFill>
                </w14:textFill>
              </w:rPr>
              <w:t>不设置食宿</w:t>
            </w:r>
            <w:r>
              <w:rPr>
                <w:color w:val="000000" w:themeColor="text1"/>
                <w:kern w:val="0"/>
                <w:lang w:bidi="ar"/>
                <w14:textFill>
                  <w14:solidFill>
                    <w14:schemeClr w14:val="tx1"/>
                  </w14:solidFill>
                </w14:textFill>
              </w:rPr>
              <w:t>，根据《安徽省行业用水定额》（DB34/T679-201</w:t>
            </w:r>
            <w:r>
              <w:rPr>
                <w:rFonts w:hint="eastAsia"/>
                <w:color w:val="000000" w:themeColor="text1"/>
                <w:kern w:val="0"/>
                <w:lang w:bidi="ar"/>
                <w14:textFill>
                  <w14:solidFill>
                    <w14:schemeClr w14:val="tx1"/>
                  </w14:solidFill>
                </w14:textFill>
              </w:rPr>
              <w:t>9</w:t>
            </w:r>
            <w:r>
              <w:rPr>
                <w:color w:val="000000" w:themeColor="text1"/>
                <w:kern w:val="0"/>
                <w:lang w:bidi="ar"/>
                <w14:textFill>
                  <w14:solidFill>
                    <w14:schemeClr w14:val="tx1"/>
                  </w14:solidFill>
                </w14:textFill>
              </w:rPr>
              <w:t>），员工用水以</w:t>
            </w:r>
            <w:r>
              <w:rPr>
                <w:rFonts w:hint="eastAsia"/>
                <w:color w:val="000000" w:themeColor="text1"/>
                <w:kern w:val="0"/>
                <w:lang w:bidi="ar"/>
                <w14:textFill>
                  <w14:solidFill>
                    <w14:schemeClr w14:val="tx1"/>
                  </w14:solidFill>
                </w14:textFill>
              </w:rPr>
              <w:t>5</w:t>
            </w:r>
            <w:r>
              <w:rPr>
                <w:color w:val="000000" w:themeColor="text1"/>
                <w:kern w:val="0"/>
                <w:lang w:bidi="ar"/>
                <w14:textFill>
                  <w14:solidFill>
                    <w14:schemeClr w14:val="tx1"/>
                  </w14:solidFill>
                </w14:textFill>
              </w:rPr>
              <w:t>0L/人·天计，则用水量为</w:t>
            </w:r>
            <w:r>
              <w:rPr>
                <w:rFonts w:hint="eastAsia"/>
                <w:color w:val="000000" w:themeColor="text1"/>
                <w:kern w:val="0"/>
                <w:lang w:bidi="ar"/>
                <w14:textFill>
                  <w14:solidFill>
                    <w14:schemeClr w14:val="tx1"/>
                  </w14:solidFill>
                </w14:textFill>
              </w:rPr>
              <w:t>6</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/d（</w:t>
            </w:r>
            <w:r>
              <w:rPr>
                <w:rFonts w:hint="eastAsia"/>
                <w:color w:val="000000" w:themeColor="text1"/>
                <w:kern w:val="0"/>
                <w:lang w:bidi="ar"/>
                <w14:textFill>
                  <w14:solidFill>
                    <w14:schemeClr w14:val="tx1"/>
                  </w14:solidFill>
                </w14:textFill>
              </w:rPr>
              <w:t>180</w:t>
            </w:r>
            <w:r>
              <w:rPr>
                <w:color w:val="000000" w:themeColor="text1"/>
                <w:kern w:val="0"/>
                <w:lang w:bidi="ar"/>
                <w14:textFill>
                  <w14:solidFill>
                    <w14:schemeClr w14:val="tx1"/>
                  </w14:solidFill>
                </w14:textFill>
              </w:rPr>
              <w:t>0m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/a）。排污系数取0.8，则</w:t>
            </w:r>
            <w:r>
              <w:rPr>
                <w:rFonts w:hint="eastAsia"/>
                <w:color w:val="000000" w:themeColor="text1"/>
                <w:kern w:val="0"/>
                <w:lang w:bidi="ar"/>
                <w14:textFill>
                  <w14:solidFill>
                    <w14:schemeClr w14:val="tx1"/>
                  </w14:solidFill>
                </w14:textFill>
              </w:rPr>
              <w:t>办公生活</w:t>
            </w:r>
            <w:r>
              <w:rPr>
                <w:color w:val="000000" w:themeColor="text1"/>
                <w:kern w:val="0"/>
                <w:lang w:bidi="ar"/>
                <w14:textFill>
                  <w14:solidFill>
                    <w14:schemeClr w14:val="tx1"/>
                  </w14:solidFill>
                </w14:textFill>
              </w:rPr>
              <w:t>废水产生量为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/d（</w:t>
            </w:r>
            <w:r>
              <w:rPr>
                <w:rFonts w:hint="eastAsia"/>
                <w:color w:val="000000" w:themeColor="text1"/>
                <w:kern w:val="0"/>
                <w:lang w:bidi="ar"/>
                <w14:textFill>
                  <w14:solidFill>
                    <w14:schemeClr w14:val="tx1"/>
                  </w14:solidFill>
                </w14:textFill>
              </w:rPr>
              <w:t>1440</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/a）。</w:t>
            </w:r>
            <w:r>
              <w:rPr>
                <w:rFonts w:hint="eastAsia"/>
                <w:color w:val="000000" w:themeColor="text1"/>
                <w:kern w:val="0"/>
                <w:lang w:bidi="ar"/>
                <w14:textFill>
                  <w14:solidFill>
                    <w14:schemeClr w14:val="tx1"/>
                  </w14:solidFill>
                </w14:textFill>
              </w:rPr>
              <w:t>办公生活废水</w:t>
            </w:r>
            <w:r>
              <w:rPr>
                <w:color w:val="000000" w:themeColor="text1"/>
                <w:kern w:val="0"/>
                <w:lang w:bidi="ar"/>
                <w14:textFill>
                  <w14:solidFill>
                    <w14:schemeClr w14:val="tx1"/>
                  </w14:solidFill>
                </w14:textFill>
              </w:rPr>
              <w:t>经</w:t>
            </w:r>
            <w:r>
              <w:rPr>
                <w:rFonts w:hint="eastAsia"/>
                <w:color w:val="000000" w:themeColor="text1"/>
                <w:kern w:val="0"/>
                <w:lang w:bidi="ar"/>
                <w14:textFill>
                  <w14:solidFill>
                    <w14:schemeClr w14:val="tx1"/>
                  </w14:solidFill>
                </w14:textFill>
              </w:rPr>
              <w:t>化粪池</w:t>
            </w:r>
            <w:r>
              <w:rPr>
                <w:color w:val="000000" w:themeColor="text1"/>
                <w:kern w:val="0"/>
                <w:lang w:bidi="ar"/>
                <w14:textFill>
                  <w14:solidFill>
                    <w14:schemeClr w14:val="tx1"/>
                  </w14:solidFill>
                </w14:textFill>
              </w:rPr>
              <w:t>处理后，由市政污水管网接入</w:t>
            </w:r>
            <w:r>
              <w:rPr>
                <w:rFonts w:hint="eastAsia"/>
                <w:color w:val="000000" w:themeColor="text1"/>
                <w:kern w:val="0"/>
                <w:lang w:bidi="ar"/>
                <w14:textFill>
                  <w14:solidFill>
                    <w14:schemeClr w14:val="tx1"/>
                  </w14:solidFill>
                </w14:textFill>
              </w:rPr>
              <w:t>芜湖市江北污水处理厂</w:t>
            </w:r>
            <w:r>
              <w:rPr>
                <w:color w:val="000000" w:themeColor="text1"/>
                <w:kern w:val="0"/>
                <w:lang w:bidi="ar"/>
                <w14:textFill>
                  <w14:solidFill>
                    <w14:schemeClr w14:val="tx1"/>
                  </w14:solidFill>
                </w14:textFill>
              </w:rPr>
              <w:t>处理。</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②清洗用水</w:t>
            </w:r>
          </w:p>
          <w:p>
            <w:pPr>
              <w:pStyle w:val="6"/>
              <w:ind w:firstLine="480" w:firstLineChars="200"/>
              <w:rPr>
                <w:rFonts w:cs="Times New Roman"/>
                <w:b w:val="0"/>
                <w:bCs w:val="0"/>
                <w:color w:val="000000" w:themeColor="text1"/>
                <w:kern w:val="0"/>
                <w:szCs w:val="24"/>
                <w:lang w:bidi="ar"/>
                <w14:textFill>
                  <w14:solidFill>
                    <w14:schemeClr w14:val="tx1"/>
                  </w14:solidFill>
                </w14:textFill>
              </w:rPr>
            </w:pPr>
            <w:r>
              <w:rPr>
                <w:rFonts w:hint="eastAsia" w:cs="Times New Roman"/>
                <w:b w:val="0"/>
                <w:bCs w:val="0"/>
                <w:color w:val="000000" w:themeColor="text1"/>
                <w:kern w:val="0"/>
                <w:szCs w:val="24"/>
                <w:lang w:bidi="ar"/>
                <w14:textFill>
                  <w14:solidFill>
                    <w14:schemeClr w14:val="tx1"/>
                  </w14:solidFill>
                </w14:textFill>
              </w:rPr>
              <w:t>设备清洗用水使用纯水，纯水使用去离子水设备制备，纯水采用离子交换树脂制备，设备每天清洗1次，据建设单位提供资料，每天清洗所使用纯水量为120kg（36t/a），去离子设备纯水制备效率以75%计，则每天所需新鲜水用量160kg（48t/a），则浓水产生量为0.04t/d，12t/a，浓水直接排放至市政污水管网，清洗废水作为危废，收集后交由有资质单位处置。</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③地面冲洗用水</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本项目生产厂房总占地面积15792m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，采用拖把清洗方式，地面清洗用水量按0.2L/m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·次计，每天冲洗1次，则清洗用水量为3.18m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/d，合954m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/a。废水产生系数按0.7计，则清洗废水产生量为2.226m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/d，合667.8m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水平衡图见下图</w:t>
            </w:r>
            <w:r>
              <w:rPr>
                <w:rFonts w:hint="eastAsia"/>
                <w:color w:val="000000" w:themeColor="text1"/>
                <w14:textFill>
                  <w14:solidFill>
                    <w14:schemeClr w14:val="tx1"/>
                  </w14:solidFill>
                </w14:textFill>
              </w:rPr>
              <w:t>：</w:t>
            </w:r>
          </w:p>
          <w:p>
            <w:pPr>
              <w:pStyle w:val="24"/>
              <w:spacing w:after="0" w:line="360" w:lineRule="auto"/>
              <w:jc w:val="center"/>
              <w:rPr>
                <w:color w:val="000000" w:themeColor="text1"/>
                <w14:textFill>
                  <w14:solidFill>
                    <w14:schemeClr w14:val="tx1"/>
                  </w14:solidFill>
                </w14:textFill>
              </w:rPr>
            </w:pPr>
            <w:r>
              <w:rPr>
                <w:b/>
                <w:bCs/>
                <w:color w:val="000000" w:themeColor="text1"/>
                <w14:textFill>
                  <w14:solidFill>
                    <w14:schemeClr w14:val="tx1"/>
                  </w14:solidFill>
                </w14:textFill>
              </w:rPr>
              <w:drawing>
                <wp:inline distT="0" distB="0" distL="114300" distR="114300">
                  <wp:extent cx="5417820" cy="2032000"/>
                  <wp:effectExtent l="0" t="0" r="5080" b="0"/>
                  <wp:docPr id="3" name="图片 3" descr="1668138407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68138407064"/>
                          <pic:cNvPicPr>
                            <a:picLocks noChangeAspect="1"/>
                          </pic:cNvPicPr>
                        </pic:nvPicPr>
                        <pic:blipFill>
                          <a:blip r:embed="rId6"/>
                          <a:stretch>
                            <a:fillRect/>
                          </a:stretch>
                        </pic:blipFill>
                        <pic:spPr>
                          <a:xfrm>
                            <a:off x="0" y="0"/>
                            <a:ext cx="5417820" cy="2032000"/>
                          </a:xfrm>
                          <a:prstGeom prst="rect">
                            <a:avLst/>
                          </a:prstGeom>
                        </pic:spPr>
                      </pic:pic>
                    </a:graphicData>
                  </a:graphic>
                </wp:inline>
              </w:drawing>
            </w:r>
            <w:r>
              <w:rPr>
                <w:b/>
                <w:bCs/>
                <w:color w:val="000000" w:themeColor="text1"/>
                <w14:textFill>
                  <w14:solidFill>
                    <w14:schemeClr w14:val="tx1"/>
                  </w14:solidFill>
                </w14:textFill>
              </w:rPr>
              <w:t>图</w:t>
            </w: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1  建设项目水平衡图</w:t>
            </w:r>
            <w:r>
              <w:rPr>
                <w:rFonts w:hint="eastAsia"/>
                <w:b/>
                <w:bCs/>
                <w:color w:val="000000" w:themeColor="text1"/>
                <w14:textFill>
                  <w14:solidFill>
                    <w14:schemeClr w14:val="tx1"/>
                  </w14:solidFill>
                </w14:textFill>
              </w:rPr>
              <w:t xml:space="preserve">   单位：</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t</w:t>
            </w:r>
            <w:r>
              <w:rPr>
                <w:b/>
                <w:bCs/>
                <w:color w:val="000000" w:themeColor="text1"/>
                <w14:textFill>
                  <w14:solidFill>
                    <w14:schemeClr w14:val="tx1"/>
                  </w14:solidFill>
                </w14:textFill>
              </w:rPr>
              <w:t>/d）</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供电工程</w:t>
            </w:r>
          </w:p>
          <w:p>
            <w:pPr>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园区</w:t>
            </w:r>
            <w:r>
              <w:rPr>
                <w:color w:val="000000" w:themeColor="text1"/>
                <w14:textFill>
                  <w14:solidFill>
                    <w14:schemeClr w14:val="tx1"/>
                  </w14:solidFill>
                </w14:textFill>
              </w:rPr>
              <w:t>供电网统一供电，供电设施齐全，可满足企业生产和生活用电需要。本项目年消耗电量</w:t>
            </w:r>
            <w:r>
              <w:rPr>
                <w:rFonts w:hint="eastAsia"/>
                <w:color w:val="000000" w:themeColor="text1"/>
                <w14:textFill>
                  <w14:solidFill>
                    <w14:schemeClr w14:val="tx1"/>
                  </w14:solidFill>
                </w14:textFill>
              </w:rPr>
              <w:t>100</w:t>
            </w:r>
            <w:r>
              <w:rPr>
                <w:color w:val="000000" w:themeColor="text1"/>
                <w:lang w:val="en-GB"/>
                <w14:textFill>
                  <w14:solidFill>
                    <w14:schemeClr w14:val="tx1"/>
                  </w14:solidFill>
                </w14:textFill>
              </w:rPr>
              <w:t>万kWh/</w:t>
            </w:r>
            <w:r>
              <w:rPr>
                <w:color w:val="000000" w:themeColor="text1"/>
                <w14:textFill>
                  <w14:solidFill>
                    <w14:schemeClr w14:val="tx1"/>
                  </w14:solidFill>
                </w14:textFill>
              </w:rPr>
              <w:t>a。</w:t>
            </w:r>
          </w:p>
          <w:p>
            <w:pPr>
              <w:spacing w:line="360" w:lineRule="auto"/>
              <w:ind w:firstLine="482" w:firstLineChars="200"/>
              <w:jc w:val="left"/>
              <w:rPr>
                <w:b/>
                <w:bCs/>
                <w:color w:val="000000" w:themeColor="text1"/>
                <w14:textFill>
                  <w14:solidFill>
                    <w14:schemeClr w14:val="tx1"/>
                  </w14:solidFill>
                </w14:textFill>
              </w:rPr>
            </w:pPr>
          </w:p>
          <w:p>
            <w:pPr>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6、</w:t>
            </w:r>
            <w:r>
              <w:rPr>
                <w:b/>
                <w:bCs/>
                <w:color w:val="000000" w:themeColor="text1"/>
                <w14:textFill>
                  <w14:solidFill>
                    <w14:schemeClr w14:val="tx1"/>
                  </w14:solidFill>
                </w14:textFill>
              </w:rPr>
              <w:t>工作制度及员工人数</w:t>
            </w:r>
          </w:p>
          <w:p>
            <w:pPr>
              <w:spacing w:line="360" w:lineRule="auto"/>
              <w:ind w:firstLine="480" w:firstLineChars="200"/>
              <w:jc w:val="left"/>
              <w:rPr>
                <w:bCs/>
                <w:color w:val="000000" w:themeColor="text1"/>
                <w:highlight w:val="yellow"/>
                <w14:textFill>
                  <w14:solidFill>
                    <w14:schemeClr w14:val="tx1"/>
                  </w14:solidFill>
                </w14:textFill>
              </w:rPr>
            </w:pPr>
            <w:r>
              <w:rPr>
                <w:color w:val="000000" w:themeColor="text1"/>
                <w14:textFill>
                  <w14:solidFill>
                    <w14:schemeClr w14:val="tx1"/>
                  </w14:solidFill>
                </w14:textFill>
              </w:rPr>
              <w:t>本项目职工人数</w:t>
            </w:r>
            <w:r>
              <w:rPr>
                <w:rFonts w:hint="eastAsia"/>
                <w:color w:val="000000" w:themeColor="text1"/>
                <w14:textFill>
                  <w14:solidFill>
                    <w14:schemeClr w14:val="tx1"/>
                  </w14:solidFill>
                </w14:textFill>
              </w:rPr>
              <w:t>120</w:t>
            </w:r>
            <w:r>
              <w:rPr>
                <w:color w:val="000000" w:themeColor="text1"/>
                <w14:textFill>
                  <w14:solidFill>
                    <w14:schemeClr w14:val="tx1"/>
                  </w14:solidFill>
                </w14:textFill>
              </w:rPr>
              <w:t>人，年工作300d，</w:t>
            </w:r>
            <w:r>
              <w:rPr>
                <w:rFonts w:hint="eastAsia"/>
                <w:color w:val="000000" w:themeColor="text1"/>
                <w14:textFill>
                  <w14:solidFill>
                    <w14:schemeClr w14:val="tx1"/>
                  </w14:solidFill>
                </w14:textFill>
              </w:rPr>
              <w:t>单班制，</w:t>
            </w:r>
            <w:r>
              <w:rPr>
                <w:color w:val="000000" w:themeColor="text1"/>
                <w14:textFill>
                  <w14:solidFill>
                    <w14:schemeClr w14:val="tx1"/>
                  </w14:solidFill>
                </w14:textFill>
              </w:rPr>
              <w:t>8h/d。</w:t>
            </w:r>
            <w:r>
              <w:rPr>
                <w:rFonts w:hint="eastAsia"/>
                <w:color w:val="000000" w:themeColor="text1"/>
                <w14:textFill>
                  <w14:solidFill>
                    <w14:schemeClr w14:val="tx1"/>
                  </w14:solidFill>
                </w14:textFill>
              </w:rPr>
              <w:t>厂区不提供食宿。</w:t>
            </w:r>
          </w:p>
          <w:p>
            <w:pPr>
              <w:spacing w:line="360" w:lineRule="auto"/>
              <w:ind w:firstLine="482" w:firstLineChars="200"/>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7、总平面布置合理性分析 </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租赁厂房呈L形建设，共4层，本次生产区域1层厂房的全部以及3层厂房的东侧，办公区设置与各楼层最南侧位置，其余区域为仓储区域。厂房总体布局简洁方便，设计符合相关标准要求，各区域相互独立，互不干扰，厂房布置较为合理。</w:t>
            </w:r>
          </w:p>
          <w:p>
            <w:pPr>
              <w:spacing w:line="360" w:lineRule="auto"/>
              <w:ind w:firstLine="480" w:firstLineChars="200"/>
              <w:jc w:val="left"/>
              <w:rPr>
                <w:color w:val="000000" w:themeColor="text1"/>
                <w14:textFill>
                  <w14:solidFill>
                    <w14:schemeClr w14:val="tx1"/>
                  </w14:solidFill>
                </w14:textFill>
              </w:rPr>
            </w:pPr>
          </w:p>
          <w:p>
            <w:pPr>
              <w:spacing w:line="360" w:lineRule="auto"/>
              <w:ind w:firstLine="480" w:firstLineChars="200"/>
              <w:jc w:val="left"/>
              <w:rPr>
                <w:color w:val="000000" w:themeColor="text1"/>
                <w14:textFill>
                  <w14:solidFill>
                    <w14:schemeClr w14:val="tx1"/>
                  </w14:solidFill>
                </w14:textFill>
              </w:rPr>
            </w:pPr>
          </w:p>
          <w:p>
            <w:pPr>
              <w:pStyle w:val="28"/>
              <w:ind w:left="480" w:firstLine="560"/>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spacing w:line="360" w:lineRule="auto"/>
              <w:ind w:firstLine="480" w:firstLineChars="200"/>
              <w:jc w:val="left"/>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360" w:lineRule="auto"/>
              <w:ind w:firstLine="480" w:firstLineChars="200"/>
              <w:jc w:val="left"/>
              <w:rPr>
                <w:color w:val="000000" w:themeColor="text1"/>
                <w14:textFill>
                  <w14:solidFill>
                    <w14:schemeClr w14:val="tx1"/>
                  </w14:solidFill>
                </w14:textFill>
              </w:rPr>
            </w:pPr>
          </w:p>
          <w:p>
            <w:pPr>
              <w:spacing w:line="360" w:lineRule="auto"/>
              <w:ind w:firstLine="480" w:firstLineChars="200"/>
              <w:jc w:val="left"/>
              <w:rPr>
                <w:color w:val="000000" w:themeColor="text1"/>
                <w14:textFill>
                  <w14:solidFill>
                    <w14:schemeClr w14:val="tx1"/>
                  </w14:solidFill>
                </w14:textFill>
              </w:rPr>
            </w:pPr>
          </w:p>
          <w:p>
            <w:pPr>
              <w:spacing w:line="360" w:lineRule="auto"/>
              <w:ind w:firstLine="480" w:firstLineChars="200"/>
              <w:jc w:val="left"/>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5" w:type="dxa"/>
            <w:vAlign w:val="center"/>
          </w:tcPr>
          <w:p>
            <w:pPr>
              <w:pStyle w:val="25"/>
              <w:adjustRightInd w:val="0"/>
              <w:snapToGrid w:val="0"/>
              <w:spacing w:before="0" w:beforeAutospacing="0" w:after="0" w:afterAutospacing="0" w:line="360" w:lineRule="auto"/>
              <w:jc w:val="center"/>
              <w:rPr>
                <w:rFonts w:ascii="Times New Roman" w:hAnsi="Times New Roman"/>
                <w:color w:val="000000" w:themeColor="text1"/>
                <w:szCs w:val="24"/>
                <w14:textFill>
                  <w14:solidFill>
                    <w14:schemeClr w14:val="tx1"/>
                  </w14:solidFill>
                </w14:textFill>
              </w:rPr>
            </w:pPr>
          </w:p>
          <w:p>
            <w:pPr>
              <w:pStyle w:val="25"/>
              <w:adjustRightInd w:val="0"/>
              <w:snapToGrid w:val="0"/>
              <w:spacing w:before="0" w:beforeAutospacing="0" w:after="0" w:afterAutospacing="0" w:line="360" w:lineRule="auto"/>
              <w:jc w:val="center"/>
              <w:rPr>
                <w:rFonts w:ascii="Times New Roman" w:hAnsi="Times New Roman"/>
                <w:color w:val="000000" w:themeColor="text1"/>
                <w:szCs w:val="24"/>
                <w14:textFill>
                  <w14:solidFill>
                    <w14:schemeClr w14:val="tx1"/>
                  </w14:solidFill>
                </w14:textFill>
              </w:rPr>
            </w:pPr>
          </w:p>
          <w:p>
            <w:pPr>
              <w:pStyle w:val="25"/>
              <w:adjustRightInd w:val="0"/>
              <w:snapToGrid w:val="0"/>
              <w:spacing w:before="0" w:beforeAutospacing="0" w:after="0" w:afterAutospacing="0" w:line="360" w:lineRule="auto"/>
              <w:jc w:val="center"/>
              <w:rPr>
                <w:rFonts w:cs="宋体"/>
                <w:color w:val="000000" w:themeColor="text1"/>
                <w:sz w:val="21"/>
                <w:szCs w:val="21"/>
                <w:highlight w:val="yellow"/>
                <w14:textFill>
                  <w14:solidFill>
                    <w14:schemeClr w14:val="tx1"/>
                  </w14:solidFill>
                </w14:textFill>
              </w:rPr>
            </w:pPr>
            <w:r>
              <w:rPr>
                <w:rFonts w:ascii="Times New Roman" w:hAnsi="Times New Roman"/>
                <w:color w:val="000000" w:themeColor="text1"/>
                <w:szCs w:val="24"/>
                <w14:textFill>
                  <w14:solidFill>
                    <w14:schemeClr w14:val="tx1"/>
                  </w14:solidFill>
                </w14:textFill>
              </w:rPr>
              <w:t>工艺流程和产排污环节</w:t>
            </w:r>
          </w:p>
        </w:tc>
        <w:tc>
          <w:tcPr>
            <w:tcW w:w="8833" w:type="dxa"/>
          </w:tcPr>
          <w:p>
            <w:pPr>
              <w:adjustRightInd w:val="0"/>
              <w:snapToGrid w:val="0"/>
              <w:spacing w:line="360" w:lineRule="auto"/>
              <w:ind w:firstLine="482" w:firstLineChars="200"/>
              <w:jc w:val="left"/>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一、</w:t>
            </w:r>
            <w:r>
              <w:rPr>
                <w:rFonts w:ascii="宋体" w:hAnsi="宋体"/>
                <w:b/>
                <w:color w:val="000000" w:themeColor="text1"/>
                <w14:textFill>
                  <w14:solidFill>
                    <w14:schemeClr w14:val="tx1"/>
                  </w14:solidFill>
                </w14:textFill>
              </w:rPr>
              <w:t>施工期</w:t>
            </w:r>
            <w:r>
              <w:rPr>
                <w:rFonts w:hint="eastAsia" w:ascii="宋体" w:hAnsi="宋体"/>
                <w:b/>
                <w:color w:val="000000" w:themeColor="text1"/>
                <w14:textFill>
                  <w14:solidFill>
                    <w14:schemeClr w14:val="tx1"/>
                  </w14:solidFill>
                </w14:textFill>
              </w:rPr>
              <w:t>工程分析</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本项目厂房已建成，无土方开挖、结构等施工作业，施工期工程内容主要为设备安装，工期较短，故不对施工工艺展开分析。</w:t>
            </w:r>
          </w:p>
          <w:p>
            <w:pPr>
              <w:spacing w:line="360" w:lineRule="auto"/>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二、</w:t>
            </w:r>
            <w:r>
              <w:rPr>
                <w:b/>
                <w:color w:val="000000" w:themeColor="text1"/>
                <w14:textFill>
                  <w14:solidFill>
                    <w14:schemeClr w14:val="tx1"/>
                  </w14:solidFill>
                </w14:textFill>
              </w:rPr>
              <w:t>运营期</w:t>
            </w:r>
            <w:r>
              <w:rPr>
                <w:rFonts w:hint="eastAsia"/>
                <w:b/>
                <w:color w:val="000000" w:themeColor="text1"/>
                <w14:textFill>
                  <w14:solidFill>
                    <w14:schemeClr w14:val="tx1"/>
                  </w14:solidFill>
                </w14:textFill>
              </w:rPr>
              <w:t>工程分析</w:t>
            </w:r>
          </w:p>
          <w:p>
            <w:pPr>
              <w:pStyle w:val="21"/>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2、隔膜涂布</w:t>
            </w:r>
            <w:r>
              <w:rPr>
                <w:bCs/>
                <w:color w:val="000000" w:themeColor="text1"/>
                <w14:textFill>
                  <w14:solidFill>
                    <w14:schemeClr w14:val="tx1"/>
                  </w14:solidFill>
                </w14:textFill>
              </w:rPr>
              <w:t>生产工艺简述</w:t>
            </w:r>
          </w:p>
          <w:p>
            <w:pPr>
              <w:pStyle w:val="21"/>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r>
              <w:rPr>
                <w:rFonts w:hint="eastAsia"/>
                <w:color w:val="000000" w:themeColor="text1"/>
                <w14:textFill>
                  <w14:solidFill>
                    <w14:schemeClr w14:val="tx1"/>
                  </w14:solidFill>
                </w14:textFill>
              </w:rPr>
              <w:t>放卷：准备生产需要基膜。</w:t>
            </w:r>
          </w:p>
          <w:p>
            <w:pPr>
              <w:pStyle w:val="21"/>
              <w:numPr>
                <w:ilvl w:val="0"/>
                <w:numId w:val="4"/>
              </w:num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辊涂：使用涂布机将外购回来浆料通过微凹辊转移涂布至基膜上，基膜两面均需涂布，涂布机每天需要擦洗，使用纯水擦洗，擦洗废水作为危废处置，不外排，本项目使用的各浆料主要成分为无机物或聚合物，浆料由供应商直接调配完成，本项目无需调配，浆料中使用水性粘合剂，其挥发份主要为单体丙烯腈、丙烯酰胺。涂布产生的非甲烷总烃通过涂布机上方布置的集气罩收集后，废气汇集至1套二级活性炭吸附装置处理（TA001），尾气通过1根15米高的排气筒DA001排放。此工序产生废活性炭（S1）、废包装桶（S2）、废擦洗水（S3）、非甲烷总烃（G1）。</w:t>
            </w:r>
          </w:p>
          <w:p>
            <w:pPr>
              <w:pStyle w:val="21"/>
              <w:numPr>
                <w:ilvl w:val="0"/>
                <w:numId w:val="4"/>
              </w:num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烘干：涂布后的产品送入烘箱内烘干，烘箱使用电加热，加热温度为60℃，烘干产生的非甲烷总烃通过烘箱内部的集气系统收集后，废气汇集至1套二级活性炭吸附装置处理（TA001），尾气通过1根15米高的排气筒DA001排放。此工序产生废活性炭（S1）、废包装桶（S2）、非甲烷总烃（G1）。</w:t>
            </w:r>
          </w:p>
          <w:p>
            <w:pPr>
              <w:pStyle w:val="21"/>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（4）收卷、分切包装：烘干后的产品通过机械方式收成卷装，并按照规格要求分切包装成品。</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项目生产过程中污染物产生及治理措施汇总如下</w:t>
            </w:r>
            <w:r>
              <w:rPr>
                <w:rFonts w:hint="eastAsia"/>
                <w:bCs/>
                <w:color w:val="000000" w:themeColor="text1"/>
                <w14:textFill>
                  <w14:solidFill>
                    <w14:schemeClr w14:val="tx1"/>
                  </w14:solidFill>
                </w14:textFill>
              </w:rPr>
              <w:t>：</w:t>
            </w:r>
          </w:p>
          <w:p>
            <w:pPr>
              <w:spacing w:line="360" w:lineRule="auto"/>
              <w:jc w:val="center"/>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表2-7  生产工艺产污节点、主要污染物及治理措施</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817"/>
              <w:gridCol w:w="1091"/>
              <w:gridCol w:w="1532"/>
              <w:gridCol w:w="4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名称</w:t>
                  </w: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序号</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污染来源</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主要污染物</w:t>
                  </w:r>
                </w:p>
              </w:tc>
              <w:tc>
                <w:tcPr>
                  <w:tcW w:w="438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治理措施及去向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restart"/>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废气</w:t>
                  </w: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G1</w:t>
                  </w:r>
                </w:p>
              </w:tc>
              <w:tc>
                <w:tcPr>
                  <w:tcW w:w="109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w:t>
                  </w:r>
                </w:p>
              </w:tc>
              <w:tc>
                <w:tcPr>
                  <w:tcW w:w="1532" w:type="dxa"/>
                  <w:tcBorders>
                    <w:top w:val="single" w:color="auto" w:sz="4" w:space="0"/>
                    <w:left w:val="single" w:color="auto" w:sz="4" w:space="0"/>
                    <w:right w:val="single" w:color="auto" w:sz="4" w:space="0"/>
                  </w:tcBorders>
                  <w:vAlign w:val="center"/>
                </w:tcPr>
                <w:p>
                  <w:pPr>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4387"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涂布产生的非甲烷总烃通过涂布机上方布置的集气罩收集后，废气汇集至1套二级活性炭吸附装置处理（TA001），尾气通过1根15米高的排气筒DA001排放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G1</w:t>
                  </w:r>
                </w:p>
              </w:tc>
              <w:tc>
                <w:tcPr>
                  <w:tcW w:w="109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w:t>
                  </w:r>
                </w:p>
              </w:tc>
              <w:tc>
                <w:tcPr>
                  <w:tcW w:w="1532" w:type="dxa"/>
                  <w:tcBorders>
                    <w:top w:val="single" w:color="auto" w:sz="4" w:space="0"/>
                    <w:left w:val="single" w:color="auto" w:sz="4" w:space="0"/>
                    <w:right w:val="single" w:color="auto" w:sz="4" w:space="0"/>
                  </w:tcBorders>
                  <w:vAlign w:val="center"/>
                </w:tcPr>
                <w:p>
                  <w:pPr>
                    <w:spacing w:line="320" w:lineRule="exac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4387"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烘干产生的非甲烷总烃通过烘箱内部的集气系统收集后，废气汇集至1套二级活性炭吸附装置处理（TA001），尾气通过1根15米高的排气筒DA001排放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废水</w:t>
                  </w: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生活污水</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pH、COD、氨氮、SS、BOD</w:t>
                  </w:r>
                  <w:r>
                    <w:rPr>
                      <w:rFonts w:hint="eastAsia"/>
                      <w:color w:val="000000" w:themeColor="text1"/>
                      <w:sz w:val="21"/>
                      <w:szCs w:val="21"/>
                      <w:vertAlign w:val="subscript"/>
                      <w14:textFill>
                        <w14:solidFill>
                          <w14:schemeClr w14:val="tx1"/>
                        </w14:solidFill>
                      </w14:textFill>
                    </w:rPr>
                    <w:t>5</w:t>
                  </w:r>
                </w:p>
              </w:tc>
              <w:tc>
                <w:tcPr>
                  <w:tcW w:w="438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ind w:left="-120" w:leftChars="-50" w:right="-120" w:rightChars="-50"/>
                    <w:jc w:val="center"/>
                    <w:rPr>
                      <w:color w:val="000000" w:themeColor="text1"/>
                      <w:sz w:val="21"/>
                      <w:szCs w:val="21"/>
                      <w14:textFill>
                        <w14:solidFill>
                          <w14:schemeClr w14:val="tx1"/>
                        </w14:solidFill>
                      </w14:textFill>
                    </w:rPr>
                  </w:pPr>
                  <w:r>
                    <w:rPr>
                      <w:rFonts w:hint="eastAsia" w:ascii="宋体" w:hAnsi="宋体" w:cs="Calibri"/>
                      <w:color w:val="000000" w:themeColor="text1"/>
                      <w:sz w:val="21"/>
                      <w:szCs w:val="21"/>
                      <w:lang w:bidi="ar"/>
                      <w14:textFill>
                        <w14:solidFill>
                          <w14:schemeClr w14:val="tx1"/>
                        </w14:solidFill>
                      </w14:textFill>
                    </w:rPr>
                    <w:t>生活污水经化粪池预处理</w:t>
                  </w:r>
                  <w:r>
                    <w:rPr>
                      <w:color w:val="000000" w:themeColor="text1"/>
                      <w:sz w:val="21"/>
                      <w:szCs w:val="21"/>
                      <w14:textFill>
                        <w14:solidFill>
                          <w14:schemeClr w14:val="tx1"/>
                        </w14:solidFill>
                      </w14:textFill>
                    </w:rPr>
                    <w:t>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w:t>
                  </w: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N</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w:t>
                  </w:r>
                </w:p>
              </w:tc>
              <w:tc>
                <w:tcPr>
                  <w:tcW w:w="438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隔声、减振等措施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restart"/>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固废</w:t>
                  </w: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S1</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废气净化</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废活性炭</w:t>
                  </w:r>
                </w:p>
              </w:tc>
              <w:tc>
                <w:tcPr>
                  <w:tcW w:w="4387" w:type="dxa"/>
                  <w:vMerge w:val="restart"/>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暂存危废暂存间，委托有资质单位处置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S2</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废包装桶</w:t>
                  </w:r>
                </w:p>
              </w:tc>
              <w:tc>
                <w:tcPr>
                  <w:tcW w:w="4387"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S3</w:t>
                  </w:r>
                </w:p>
              </w:tc>
              <w:tc>
                <w:tcPr>
                  <w:tcW w:w="1091"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清洗</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废擦洗水</w:t>
                  </w:r>
                </w:p>
              </w:tc>
              <w:tc>
                <w:tcPr>
                  <w:tcW w:w="4387"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S4</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分切</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废料</w:t>
                  </w:r>
                </w:p>
              </w:tc>
              <w:tc>
                <w:tcPr>
                  <w:tcW w:w="4387" w:type="dxa"/>
                  <w:vMerge w:val="restart"/>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外售给物资回收部门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S5</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包装</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不合格产品</w:t>
                  </w:r>
                </w:p>
              </w:tc>
              <w:tc>
                <w:tcPr>
                  <w:tcW w:w="4387"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S6</w:t>
                  </w:r>
                </w:p>
              </w:tc>
              <w:tc>
                <w:tcPr>
                  <w:tcW w:w="10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纯水制备</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废滤芯</w:t>
                  </w:r>
                </w:p>
              </w:tc>
              <w:tc>
                <w:tcPr>
                  <w:tcW w:w="4387" w:type="dxa"/>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由厂家回收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6" w:type="dxa"/>
                  <w:vMerge w:val="continue"/>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p>
              </w:tc>
              <w:tc>
                <w:tcPr>
                  <w:tcW w:w="817"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S7</w:t>
                  </w:r>
                </w:p>
              </w:tc>
              <w:tc>
                <w:tcPr>
                  <w:tcW w:w="1091" w:type="dxa"/>
                  <w:tcBorders>
                    <w:top w:val="single" w:color="auto" w:sz="4" w:space="0"/>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地面清洗</w:t>
                  </w:r>
                </w:p>
              </w:tc>
              <w:tc>
                <w:tcPr>
                  <w:tcW w:w="1532"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拖洗抹布</w:t>
                  </w:r>
                </w:p>
              </w:tc>
              <w:tc>
                <w:tcPr>
                  <w:tcW w:w="4387" w:type="dxa"/>
                  <w:tcBorders>
                    <w:left w:val="single" w:color="auto" w:sz="4" w:space="0"/>
                    <w:right w:val="single" w:color="auto" w:sz="4" w:space="0"/>
                  </w:tcBorders>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分类收集，定期交由有资质的企业处置</w:t>
                  </w:r>
                </w:p>
              </w:tc>
            </w:tr>
          </w:tbl>
          <w:p>
            <w:pPr>
              <w:spacing w:line="360" w:lineRule="auto"/>
              <w:rPr>
                <w:bCs/>
                <w:color w:val="000000" w:themeColor="text1"/>
                <w14:textFill>
                  <w14:solidFill>
                    <w14:schemeClr w14:val="tx1"/>
                  </w14:solidFill>
                </w14:textFill>
              </w:rPr>
            </w:pPr>
          </w:p>
          <w:p>
            <w:pPr>
              <w:spacing w:line="360" w:lineRule="auto"/>
              <w:rPr>
                <w:bCs/>
                <w:color w:val="000000" w:themeColor="text1"/>
                <w14:textFill>
                  <w14:solidFill>
                    <w14:schemeClr w14:val="tx1"/>
                  </w14:solidFill>
                </w14:textFill>
              </w:rPr>
            </w:pPr>
          </w:p>
          <w:p>
            <w:pPr>
              <w:pStyle w:val="12"/>
              <w:rPr>
                <w:bCs/>
                <w:color w:val="000000" w:themeColor="text1"/>
                <w14:textFill>
                  <w14:solidFill>
                    <w14:schemeClr w14:val="tx1"/>
                  </w14:solidFill>
                </w14:textFill>
              </w:rPr>
            </w:pPr>
          </w:p>
          <w:p>
            <w:pPr>
              <w:rPr>
                <w:bCs/>
                <w:color w:val="000000" w:themeColor="text1"/>
                <w14:textFill>
                  <w14:solidFill>
                    <w14:schemeClr w14:val="tx1"/>
                  </w14:solidFill>
                </w14:textFill>
              </w:rPr>
            </w:pPr>
          </w:p>
          <w:p>
            <w:pPr>
              <w:pStyle w:val="12"/>
              <w:rPr>
                <w:bCs/>
                <w:color w:val="000000" w:themeColor="text1"/>
                <w14:textFill>
                  <w14:solidFill>
                    <w14:schemeClr w14:val="tx1"/>
                  </w14:solidFill>
                </w14:textFill>
              </w:rPr>
            </w:pPr>
          </w:p>
          <w:p>
            <w:pPr>
              <w:rPr>
                <w:bCs/>
                <w:color w:val="000000" w:themeColor="text1"/>
                <w14:textFill>
                  <w14:solidFill>
                    <w14:schemeClr w14:val="tx1"/>
                  </w14:solidFill>
                </w14:textFill>
              </w:rPr>
            </w:pPr>
          </w:p>
          <w:p>
            <w:pPr>
              <w:pStyle w:val="12"/>
              <w:rPr>
                <w:bCs/>
                <w:color w:val="000000" w:themeColor="text1"/>
                <w14:textFill>
                  <w14:solidFill>
                    <w14:schemeClr w14:val="tx1"/>
                  </w14:solidFill>
                </w14:textFill>
              </w:rPr>
            </w:pPr>
          </w:p>
          <w:p>
            <w:pPr>
              <w:rPr>
                <w:bCs/>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9" w:type="pct"/>
            <w:vAlign w:val="center"/>
          </w:tcPr>
          <w:p>
            <w:pPr>
              <w:pStyle w:val="25"/>
              <w:spacing w:before="0" w:beforeAutospacing="0" w:after="0" w:afterAutospacing="0"/>
              <w:jc w:val="center"/>
              <w:rPr>
                <w:rFonts w:cs="宋体"/>
                <w:color w:val="000000" w:themeColor="text1"/>
                <w:sz w:val="21"/>
                <w:szCs w:val="21"/>
                <w14:textFill>
                  <w14:solidFill>
                    <w14:schemeClr w14:val="tx1"/>
                  </w14:solidFill>
                </w14:textFill>
              </w:rPr>
            </w:pPr>
            <w:r>
              <w:rPr>
                <w:rFonts w:hint="eastAsia" w:cs="宋体"/>
                <w:bCs/>
                <w:color w:val="000000" w:themeColor="text1"/>
                <w:kern w:val="2"/>
                <w:szCs w:val="24"/>
                <w14:textFill>
                  <w14:solidFill>
                    <w14:schemeClr w14:val="tx1"/>
                  </w14:solidFill>
                </w14:textFill>
              </w:rPr>
              <w:t>与项目有关的原有环境污染问题</w:t>
            </w:r>
          </w:p>
        </w:tc>
        <w:tc>
          <w:tcPr>
            <w:tcW w:w="4710" w:type="pct"/>
          </w:tcPr>
          <w:p>
            <w:pPr>
              <w:pStyle w:val="60"/>
              <w:spacing w:line="360" w:lineRule="auto"/>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芜湖永拓新材料有限公司租用安徽省江北新城建设发展有限公司已建成厂房，本项目为新建，据现场踏勘，租赁厂房为空置状态，无与项目有关的原有环境污染问题。</w:t>
            </w:r>
          </w:p>
          <w:p>
            <w:pPr>
              <w:pStyle w:val="24"/>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tc>
      </w:tr>
    </w:tbl>
    <w:p>
      <w:pPr>
        <w:pStyle w:val="20"/>
        <w:rPr>
          <w:color w:val="000000" w:themeColor="text1"/>
          <w:highlight w:val="yellow"/>
          <w14:textFill>
            <w14:solidFill>
              <w14:schemeClr w14:val="tx1"/>
            </w14:solidFill>
          </w14:textFill>
        </w:rPr>
        <w:sectPr>
          <w:pgSz w:w="11906" w:h="16838"/>
          <w:pgMar w:top="1440" w:right="1417" w:bottom="1440" w:left="1417" w:header="851" w:footer="992" w:gutter="0"/>
          <w:cols w:space="425" w:num="1"/>
          <w:docGrid w:type="lines" w:linePitch="312" w:charSpace="0"/>
        </w:sectPr>
      </w:pPr>
    </w:p>
    <w:p>
      <w:pPr>
        <w:pStyle w:val="3"/>
        <w:spacing w:beforeAutospacing="0" w:afterAutospacing="0" w:line="360" w:lineRule="auto"/>
        <w:jc w:val="center"/>
        <w:rPr>
          <w:rFonts w:hint="default" w:ascii="黑体" w:hAnsi="黑体" w:eastAsia="黑体"/>
          <w:b w:val="0"/>
          <w:bCs w:val="0"/>
          <w:snapToGrid w:val="0"/>
          <w:color w:val="000000" w:themeColor="text1"/>
          <w:kern w:val="0"/>
          <w:sz w:val="30"/>
          <w:szCs w:val="30"/>
          <w14:textFill>
            <w14:solidFill>
              <w14:schemeClr w14:val="tx1"/>
            </w14:solidFill>
          </w14:textFill>
        </w:rPr>
      </w:pPr>
      <w:bookmarkStart w:id="3" w:name="_Toc10153"/>
      <w:bookmarkStart w:id="4" w:name="_Toc10866"/>
      <w:r>
        <w:rPr>
          <w:rFonts w:ascii="黑体" w:hAnsi="黑体" w:eastAsia="黑体"/>
          <w:b w:val="0"/>
          <w:bCs w:val="0"/>
          <w:snapToGrid w:val="0"/>
          <w:color w:val="000000" w:themeColor="text1"/>
          <w:kern w:val="0"/>
          <w:sz w:val="30"/>
          <w:szCs w:val="30"/>
          <w14:textFill>
            <w14:solidFill>
              <w14:schemeClr w14:val="tx1"/>
            </w14:solidFill>
          </w14:textFill>
        </w:rPr>
        <w:t>三、区域环境质量现状、环境保护目标及评价标准</w:t>
      </w:r>
      <w:bookmarkEnd w:id="3"/>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dxa"/>
            <w:vAlign w:val="center"/>
          </w:tcPr>
          <w:p>
            <w:pPr>
              <w:spacing w:line="360"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区域</w:t>
            </w:r>
          </w:p>
          <w:p>
            <w:pPr>
              <w:spacing w:line="360"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环境</w:t>
            </w:r>
          </w:p>
          <w:p>
            <w:pPr>
              <w:spacing w:line="360"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质量</w:t>
            </w:r>
          </w:p>
          <w:p>
            <w:pPr>
              <w:spacing w:line="360" w:lineRule="auto"/>
              <w:jc w:val="center"/>
              <w:rPr>
                <w:rFonts w:eastAsia="黑体"/>
                <w:snapToGrid w:val="0"/>
                <w:color w:val="000000" w:themeColor="text1"/>
                <w:sz w:val="30"/>
                <w:szCs w:val="30"/>
                <w:highlight w:val="yellow"/>
                <w14:textFill>
                  <w14:solidFill>
                    <w14:schemeClr w14:val="tx1"/>
                  </w14:solidFill>
                </w14:textFill>
              </w:rPr>
            </w:pPr>
            <w:r>
              <w:rPr>
                <w:color w:val="000000" w:themeColor="text1"/>
                <w:kern w:val="0"/>
                <w:szCs w:val="21"/>
                <w14:textFill>
                  <w14:solidFill>
                    <w14:schemeClr w14:val="tx1"/>
                  </w14:solidFill>
                </w14:textFill>
              </w:rPr>
              <w:t>现状</w:t>
            </w:r>
          </w:p>
        </w:tc>
        <w:tc>
          <w:tcPr>
            <w:tcW w:w="8824" w:type="dxa"/>
            <w:vAlign w:val="center"/>
          </w:tcPr>
          <w:p>
            <w:pPr>
              <w:spacing w:line="360" w:lineRule="auto"/>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建设项目所在地区域环境质量现状及主要环境问题（环境空气、地面水、地下水、声环境、生态环境等）：</w:t>
            </w:r>
          </w:p>
          <w:p>
            <w:pPr>
              <w:widowControl/>
              <w:jc w:val="left"/>
              <w:rPr>
                <w:color w:val="000000" w:themeColor="text1"/>
                <w14:textFill>
                  <w14:solidFill>
                    <w14:schemeClr w14:val="tx1"/>
                  </w14:solidFill>
                </w14:textFill>
              </w:rPr>
            </w:pPr>
            <w:r>
              <w:rPr>
                <w:rFonts w:hint="eastAsia"/>
                <w:b/>
                <w:bCs/>
                <w:color w:val="000000" w:themeColor="text1"/>
                <w:kern w:val="0"/>
                <w:lang w:bidi="ar"/>
                <w14:textFill>
                  <w14:solidFill>
                    <w14:schemeClr w14:val="tx1"/>
                  </w14:solidFill>
                </w14:textFill>
              </w:rPr>
              <w:t>一</w:t>
            </w:r>
            <w:r>
              <w:rPr>
                <w:rFonts w:hint="eastAsia" w:ascii="宋体" w:hAnsi="宋体" w:cs="宋体"/>
                <w:b/>
                <w:bCs/>
                <w:color w:val="000000" w:themeColor="text1"/>
                <w:kern w:val="0"/>
                <w:lang w:bidi="ar"/>
                <w14:textFill>
                  <w14:solidFill>
                    <w14:schemeClr w14:val="tx1"/>
                  </w14:solidFill>
                </w14:textFill>
              </w:rPr>
              <w:t xml:space="preserve">、环境空气 </w:t>
            </w:r>
          </w:p>
          <w:p>
            <w:pPr>
              <w:spacing w:line="360" w:lineRule="auto"/>
              <w:ind w:firstLine="504" w:firstLineChars="200"/>
              <w:rPr>
                <w:color w:val="000000" w:themeColor="text1"/>
                <w:spacing w:val="6"/>
                <w14:textFill>
                  <w14:solidFill>
                    <w14:schemeClr w14:val="tx1"/>
                  </w14:solidFill>
                </w14:textFill>
              </w:rPr>
            </w:pPr>
            <w:r>
              <w:rPr>
                <w:rFonts w:hint="eastAsia"/>
                <w:color w:val="000000" w:themeColor="text1"/>
                <w:spacing w:val="6"/>
                <w14:textFill>
                  <w14:solidFill>
                    <w14:schemeClr w14:val="tx1"/>
                  </w14:solidFill>
                </w14:textFill>
              </w:rPr>
              <w:t>（1）常规因子</w:t>
            </w:r>
          </w:p>
          <w:p>
            <w:pPr>
              <w:spacing w:line="360" w:lineRule="auto"/>
              <w:ind w:firstLine="504" w:firstLineChars="200"/>
              <w:rPr>
                <w:color w:val="000000" w:themeColor="text1"/>
                <w:spacing w:val="6"/>
                <w14:textFill>
                  <w14:solidFill>
                    <w14:schemeClr w14:val="tx1"/>
                  </w14:solidFill>
                </w14:textFill>
              </w:rPr>
            </w:pPr>
            <w:r>
              <w:rPr>
                <w:rFonts w:hint="eastAsia"/>
                <w:color w:val="000000" w:themeColor="text1"/>
                <w:spacing w:val="6"/>
                <w14:textFill>
                  <w14:solidFill>
                    <w14:schemeClr w14:val="tx1"/>
                  </w14:solidFill>
                </w14:textFill>
              </w:rPr>
              <w:t>根据《芜湖市2021年度城市环境质量公报》可知，全年环境空气优良天数为310天，优良率为84.9%，其中，优100天，良210天，污染天数为55天，其中，轻度污染50天，中度污染5天，无重度污染和严重污染天气。</w:t>
            </w:r>
          </w:p>
          <w:p>
            <w:pPr>
              <w:spacing w:line="360" w:lineRule="auto"/>
              <w:ind w:firstLine="504" w:firstLineChars="200"/>
              <w:rPr>
                <w:color w:val="000000" w:themeColor="text1"/>
                <w:spacing w:val="6"/>
                <w14:textFill>
                  <w14:solidFill>
                    <w14:schemeClr w14:val="tx1"/>
                  </w14:solidFill>
                </w14:textFill>
              </w:rPr>
            </w:pPr>
            <w:r>
              <w:rPr>
                <w:rFonts w:hint="eastAsia"/>
                <w:color w:val="000000" w:themeColor="text1"/>
                <w:spacing w:val="6"/>
                <w14:textFill>
                  <w14:solidFill>
                    <w14:schemeClr w14:val="tx1"/>
                  </w14:solidFill>
                </w14:textFill>
              </w:rPr>
              <w:t>细颗粒物（PM</w:t>
            </w:r>
            <w:r>
              <w:rPr>
                <w:rFonts w:hint="eastAsia"/>
                <w:color w:val="000000" w:themeColor="text1"/>
                <w:spacing w:val="6"/>
                <w:vertAlign w:val="subscript"/>
                <w14:textFill>
                  <w14:solidFill>
                    <w14:schemeClr w14:val="tx1"/>
                  </w14:solidFill>
                </w14:textFill>
              </w:rPr>
              <w:t>2.5</w:t>
            </w:r>
            <w:r>
              <w:rPr>
                <w:rFonts w:hint="eastAsia"/>
                <w:color w:val="000000" w:themeColor="text1"/>
                <w:spacing w:val="6"/>
                <w14:textFill>
                  <w14:solidFill>
                    <w14:schemeClr w14:val="tx1"/>
                  </w14:solidFill>
                </w14:textFill>
              </w:rPr>
              <w:t>）年均浓度值为33.8微克/立方米，同比下降3.4%；可吸入颗粒物（PM</w:t>
            </w:r>
            <w:r>
              <w:rPr>
                <w:rFonts w:hint="eastAsia"/>
                <w:color w:val="000000" w:themeColor="text1"/>
                <w:spacing w:val="6"/>
                <w:vertAlign w:val="subscript"/>
                <w14:textFill>
                  <w14:solidFill>
                    <w14:schemeClr w14:val="tx1"/>
                  </w14:solidFill>
                </w14:textFill>
              </w:rPr>
              <w:t>10</w:t>
            </w:r>
            <w:r>
              <w:rPr>
                <w:rFonts w:hint="eastAsia"/>
                <w:color w:val="000000" w:themeColor="text1"/>
                <w:spacing w:val="6"/>
                <w14:textFill>
                  <w14:solidFill>
                    <w14:schemeClr w14:val="tx1"/>
                  </w14:solidFill>
                </w14:textFill>
              </w:rPr>
              <w:t>）年均浓度为57微克/立方米，同比上升14%；二氧化氮（NO</w:t>
            </w:r>
            <w:r>
              <w:rPr>
                <w:rFonts w:hint="eastAsia"/>
                <w:color w:val="000000" w:themeColor="text1"/>
                <w:spacing w:val="6"/>
                <w:vertAlign w:val="subscript"/>
                <w14:textFill>
                  <w14:solidFill>
                    <w14:schemeClr w14:val="tx1"/>
                  </w14:solidFill>
                </w14:textFill>
              </w:rPr>
              <w:t>2</w:t>
            </w:r>
            <w:r>
              <w:rPr>
                <w:rFonts w:hint="eastAsia"/>
                <w:color w:val="000000" w:themeColor="text1"/>
                <w:spacing w:val="6"/>
                <w14:textFill>
                  <w14:solidFill>
                    <w14:schemeClr w14:val="tx1"/>
                  </w14:solidFill>
                </w14:textFill>
              </w:rPr>
              <w:t>）年均浓度为32微克/立方米，同比下降13.5%；二氧化硫（SO</w:t>
            </w:r>
            <w:r>
              <w:rPr>
                <w:rFonts w:hint="eastAsia"/>
                <w:color w:val="000000" w:themeColor="text1"/>
                <w:spacing w:val="6"/>
                <w:vertAlign w:val="subscript"/>
                <w14:textFill>
                  <w14:solidFill>
                    <w14:schemeClr w14:val="tx1"/>
                  </w14:solidFill>
                </w14:textFill>
              </w:rPr>
              <w:t>2</w:t>
            </w:r>
            <w:r>
              <w:rPr>
                <w:rFonts w:hint="eastAsia"/>
                <w:color w:val="000000" w:themeColor="text1"/>
                <w:spacing w:val="6"/>
                <w14:textFill>
                  <w14:solidFill>
                    <w14:schemeClr w14:val="tx1"/>
                  </w14:solidFill>
                </w14:textFill>
              </w:rPr>
              <w:t>）年均浓度值为9微克/立方米，与2020年持平；臭氧（O</w:t>
            </w:r>
            <w:r>
              <w:rPr>
                <w:rFonts w:hint="eastAsia"/>
                <w:color w:val="000000" w:themeColor="text1"/>
                <w:spacing w:val="6"/>
                <w:vertAlign w:val="subscript"/>
                <w14:textFill>
                  <w14:solidFill>
                    <w14:schemeClr w14:val="tx1"/>
                  </w14:solidFill>
                </w14:textFill>
              </w:rPr>
              <w:t>3</w:t>
            </w:r>
            <w:r>
              <w:rPr>
                <w:rFonts w:hint="eastAsia"/>
                <w:color w:val="000000" w:themeColor="text1"/>
                <w:spacing w:val="6"/>
                <w14:textFill>
                  <w14:solidFill>
                    <w14:schemeClr w14:val="tx1"/>
                  </w14:solidFill>
                </w14:textFill>
              </w:rPr>
              <w:t>）日最大8小时平均值第90百分位浓度为152微克/立方米，同比上升8.6%；一氧化碳（CO）日均值第95百分位浓度为1.1毫克/立方米，同比下降8.3%，具体数据如下。</w:t>
            </w:r>
          </w:p>
          <w:p>
            <w:pPr>
              <w:spacing w:line="360" w:lineRule="auto"/>
              <w:jc w:val="center"/>
              <w:rPr>
                <w:b/>
                <w:bCs/>
                <w:color w:val="000000" w:themeColor="text1"/>
                <w:spacing w:val="6"/>
                <w14:textFill>
                  <w14:solidFill>
                    <w14:schemeClr w14:val="tx1"/>
                  </w14:solidFill>
                </w14:textFill>
              </w:rPr>
            </w:pPr>
            <w:r>
              <w:rPr>
                <w:rFonts w:hint="eastAsia"/>
                <w:b/>
                <w:bCs/>
                <w:color w:val="000000" w:themeColor="text1"/>
                <w:spacing w:val="6"/>
                <w14:textFill>
                  <w14:solidFill>
                    <w14:schemeClr w14:val="tx1"/>
                  </w14:solidFill>
                </w14:textFill>
              </w:rPr>
              <w:t>表3-1  项目区域环境空气质量达标判定表</w:t>
            </w:r>
          </w:p>
          <w:tbl>
            <w:tblPr>
              <w:tblStyle w:val="29"/>
              <w:tblW w:w="5000" w:type="pct"/>
              <w:jc w:val="center"/>
              <w:tblLayout w:type="fixed"/>
              <w:tblCellMar>
                <w:top w:w="0" w:type="dxa"/>
                <w:left w:w="108" w:type="dxa"/>
                <w:bottom w:w="0" w:type="dxa"/>
                <w:right w:w="108" w:type="dxa"/>
              </w:tblCellMar>
            </w:tblPr>
            <w:tblGrid>
              <w:gridCol w:w="612"/>
              <w:gridCol w:w="936"/>
              <w:gridCol w:w="1654"/>
              <w:gridCol w:w="838"/>
              <w:gridCol w:w="1005"/>
              <w:gridCol w:w="783"/>
              <w:gridCol w:w="1005"/>
              <w:gridCol w:w="1022"/>
              <w:gridCol w:w="753"/>
            </w:tblGrid>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污染物</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评价指标</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单位</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现状浓度</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标准值</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占标率%</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达标情况</w:t>
                  </w:r>
                </w:p>
              </w:tc>
              <w:tc>
                <w:tcPr>
                  <w:tcW w:w="1898"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49"/>
                      <w:color w:val="000000" w:themeColor="text1"/>
                      <w:lang w:bidi="ar"/>
                      <w14:textFill>
                        <w14:solidFill>
                          <w14:schemeClr w14:val="tx1"/>
                        </w14:solidFill>
                      </w14:textFill>
                    </w:rPr>
                    <w:t>判定结果</w:t>
                  </w: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SO</w:t>
                  </w:r>
                  <w:r>
                    <w:rPr>
                      <w:color w:val="000000" w:themeColor="text1"/>
                      <w:vertAlign w:val="subscript"/>
                      <w14:textFill>
                        <w14:solidFill>
                          <w14:schemeClr w14:val="tx1"/>
                        </w14:solidFill>
                      </w14:textFill>
                    </w:rPr>
                    <w:t>2</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年平均质量浓度</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60</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11.7</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49"/>
                      <w:color w:val="000000" w:themeColor="text1"/>
                      <w:lang w:bidi="ar"/>
                      <w14:textFill>
                        <w14:solidFill>
                          <w14:schemeClr w14:val="tx1"/>
                        </w14:solidFill>
                      </w14:textFill>
                    </w:rPr>
                    <w:t>达标区</w:t>
                  </w: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2</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NO</w:t>
                  </w:r>
                  <w:r>
                    <w:rPr>
                      <w:color w:val="000000" w:themeColor="text1"/>
                      <w:vertAlign w:val="subscript"/>
                      <w14:textFill>
                        <w14:solidFill>
                          <w14:schemeClr w14:val="tx1"/>
                        </w14:solidFill>
                      </w14:textFill>
                    </w:rPr>
                    <w:t>2</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年平均质量浓度</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40</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57.5</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3</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10</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年平均质量浓度</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57</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70</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81.4</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4</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2.5</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年平均质量浓度</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33.8</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35</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96.6</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5</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CO</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24小时平均第95百分位数</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1.1</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4</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27.5</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6</w:t>
                  </w:r>
                </w:p>
              </w:tc>
              <w:tc>
                <w:tcPr>
                  <w:tcW w:w="248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O</w:t>
                  </w:r>
                  <w:r>
                    <w:rPr>
                      <w:color w:val="000000" w:themeColor="text1"/>
                      <w:vertAlign w:val="subscript"/>
                      <w14:textFill>
                        <w14:solidFill>
                          <w14:schemeClr w14:val="tx1"/>
                        </w14:solidFill>
                      </w14:textFill>
                    </w:rPr>
                    <w:t>3</w:t>
                  </w:r>
                </w:p>
              </w:tc>
              <w:tc>
                <w:tcPr>
                  <w:tcW w:w="479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日最大8h滑动平均值的第90百分位数</w:t>
                  </w:r>
                </w:p>
              </w:tc>
              <w:tc>
                <w:tcPr>
                  <w:tcW w:w="2173"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μg/m</w:t>
                  </w:r>
                  <w:r>
                    <w:rPr>
                      <w:color w:val="000000" w:themeColor="text1"/>
                      <w:vertAlign w:val="superscript"/>
                      <w14:textFill>
                        <w14:solidFill>
                          <w14:schemeClr w14:val="tx1"/>
                        </w14:solidFill>
                      </w14:textFill>
                    </w:rPr>
                    <w:t>3</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52</w:t>
                  </w:r>
                </w:p>
              </w:tc>
              <w:tc>
                <w:tcPr>
                  <w:tcW w:w="199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160</w:t>
                  </w:r>
                </w:p>
              </w:tc>
              <w:tc>
                <w:tcPr>
                  <w:tcW w:w="2709"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95</w:t>
                  </w:r>
                </w:p>
              </w:tc>
              <w:tc>
                <w:tcPr>
                  <w:tcW w:w="2764" w:type="dxa"/>
                  <w:tcBorders>
                    <w:top w:val="single" w:color="auto" w:sz="4" w:space="0"/>
                    <w:left w:val="single" w:color="auto" w:sz="4" w:space="0"/>
                    <w:bottom w:val="single" w:color="auto" w:sz="4" w:space="0"/>
                    <w:right w:val="single" w:color="auto" w:sz="4" w:space="0"/>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p>
              </w:tc>
            </w:tr>
          </w:tbl>
          <w:p>
            <w:pPr>
              <w:ind w:firstLine="492"/>
              <w:rPr>
                <w:color w:val="000000" w:themeColor="text1"/>
                <w:spacing w:val="6"/>
                <w14:textFill>
                  <w14:solidFill>
                    <w14:schemeClr w14:val="tx1"/>
                  </w14:solidFill>
                </w14:textFill>
              </w:rPr>
            </w:pPr>
          </w:p>
          <w:p>
            <w:pPr>
              <w:spacing w:line="360" w:lineRule="auto"/>
              <w:ind w:firstLine="504" w:firstLineChars="200"/>
              <w:rPr>
                <w:color w:val="000000" w:themeColor="text1"/>
                <w:spacing w:val="6"/>
                <w14:textFill>
                  <w14:solidFill>
                    <w14:schemeClr w14:val="tx1"/>
                  </w14:solidFill>
                </w14:textFill>
              </w:rPr>
            </w:pPr>
            <w:r>
              <w:rPr>
                <w:rFonts w:hint="eastAsia"/>
                <w:color w:val="000000" w:themeColor="text1"/>
                <w:spacing w:val="6"/>
                <w14:textFill>
                  <w14:solidFill>
                    <w14:schemeClr w14:val="tx1"/>
                  </w14:solidFill>
                </w14:textFill>
              </w:rPr>
              <w:t>由上表可知，芜湖市2021年全年SO</w:t>
            </w:r>
            <w:r>
              <w:rPr>
                <w:rFonts w:hint="eastAsia"/>
                <w:color w:val="000000" w:themeColor="text1"/>
                <w:spacing w:val="6"/>
                <w:vertAlign w:val="subscript"/>
                <w14:textFill>
                  <w14:solidFill>
                    <w14:schemeClr w14:val="tx1"/>
                  </w14:solidFill>
                </w14:textFill>
              </w:rPr>
              <w:t>2</w:t>
            </w:r>
            <w:r>
              <w:rPr>
                <w:rFonts w:hint="eastAsia"/>
                <w:color w:val="000000" w:themeColor="text1"/>
                <w:spacing w:val="6"/>
                <w14:textFill>
                  <w14:solidFill>
                    <w14:schemeClr w14:val="tx1"/>
                  </w14:solidFill>
                </w14:textFill>
              </w:rPr>
              <w:t>、NO</w:t>
            </w:r>
            <w:r>
              <w:rPr>
                <w:rFonts w:hint="eastAsia"/>
                <w:color w:val="000000" w:themeColor="text1"/>
                <w:spacing w:val="6"/>
                <w:vertAlign w:val="subscript"/>
                <w14:textFill>
                  <w14:solidFill>
                    <w14:schemeClr w14:val="tx1"/>
                  </w14:solidFill>
                </w14:textFill>
              </w:rPr>
              <w:t>2</w:t>
            </w:r>
            <w:r>
              <w:rPr>
                <w:rFonts w:hint="eastAsia"/>
                <w:color w:val="000000" w:themeColor="text1"/>
                <w:spacing w:val="6"/>
                <w14:textFill>
                  <w14:solidFill>
                    <w14:schemeClr w14:val="tx1"/>
                  </w14:solidFill>
                </w14:textFill>
              </w:rPr>
              <w:t>、CO、PM</w:t>
            </w:r>
            <w:r>
              <w:rPr>
                <w:rFonts w:hint="eastAsia"/>
                <w:color w:val="000000" w:themeColor="text1"/>
                <w:spacing w:val="6"/>
                <w:vertAlign w:val="subscript"/>
                <w14:textFill>
                  <w14:solidFill>
                    <w14:schemeClr w14:val="tx1"/>
                  </w14:solidFill>
                </w14:textFill>
              </w:rPr>
              <w:t>10</w:t>
            </w:r>
            <w:r>
              <w:rPr>
                <w:rFonts w:hint="eastAsia"/>
                <w:color w:val="000000" w:themeColor="text1"/>
                <w:spacing w:val="6"/>
                <w14:textFill>
                  <w14:solidFill>
                    <w14:schemeClr w14:val="tx1"/>
                  </w14:solidFill>
                </w14:textFill>
              </w:rPr>
              <w:t>、PM</w:t>
            </w:r>
            <w:r>
              <w:rPr>
                <w:rFonts w:hint="eastAsia"/>
                <w:color w:val="000000" w:themeColor="text1"/>
                <w:spacing w:val="6"/>
                <w:vertAlign w:val="subscript"/>
                <w14:textFill>
                  <w14:solidFill>
                    <w14:schemeClr w14:val="tx1"/>
                  </w14:solidFill>
                </w14:textFill>
              </w:rPr>
              <w:t>2.5</w:t>
            </w:r>
            <w:r>
              <w:rPr>
                <w:rFonts w:hint="eastAsia"/>
                <w:color w:val="000000" w:themeColor="text1"/>
                <w:spacing w:val="6"/>
                <w14:textFill>
                  <w14:solidFill>
                    <w14:schemeClr w14:val="tx1"/>
                  </w14:solidFill>
                </w14:textFill>
              </w:rPr>
              <w:t>、O</w:t>
            </w:r>
            <w:r>
              <w:rPr>
                <w:rFonts w:hint="eastAsia"/>
                <w:color w:val="000000" w:themeColor="text1"/>
                <w:spacing w:val="6"/>
                <w:vertAlign w:val="subscript"/>
                <w14:textFill>
                  <w14:solidFill>
                    <w14:schemeClr w14:val="tx1"/>
                  </w14:solidFill>
                </w14:textFill>
              </w:rPr>
              <w:t>3</w:t>
            </w:r>
            <w:r>
              <w:rPr>
                <w:rFonts w:hint="eastAsia"/>
                <w:color w:val="000000" w:themeColor="text1"/>
                <w:spacing w:val="6"/>
                <w14:textFill>
                  <w14:solidFill>
                    <w14:schemeClr w14:val="tx1"/>
                  </w14:solidFill>
                </w14:textFill>
              </w:rPr>
              <w:t>相关指标符合《环境空气质量标准》（GB 3095-2012）二级标准。因此区域属于达标区。</w:t>
            </w:r>
          </w:p>
          <w:p>
            <w:pPr>
              <w:widowControl/>
              <w:shd w:val="clear" w:color="auto" w:fill="FFFFFF"/>
              <w:spacing w:line="360" w:lineRule="auto"/>
              <w:ind w:firstLine="480"/>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（2）其他污染物环境质量现状（引用数据）</w:t>
            </w:r>
          </w:p>
          <w:p>
            <w:pPr>
              <w:widowControl/>
              <w:shd w:val="clear" w:color="auto" w:fill="FFFFFF"/>
              <w:spacing w:line="360" w:lineRule="auto"/>
              <w:ind w:firstLine="480"/>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本报告环境空气质量现状中的非甲烷总烃因子评价引用《芜湖经开化工园区总体发展规划（2021-2035 年）环境影响报告书》中的监测数据，监测时间为2020年6月10日~6月16日。根据《环境影响评价技术导则-大气环境》（HJ2.2-2018），与项目有关的监测数据三年内有效，故本次监测数据引用合理。</w:t>
            </w:r>
          </w:p>
          <w:p>
            <w:pPr>
              <w:spacing w:before="32"/>
              <w:jc w:val="cente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1711960</wp:posOffset>
                      </wp:positionH>
                      <wp:positionV relativeFrom="paragraph">
                        <wp:posOffset>2012315</wp:posOffset>
                      </wp:positionV>
                      <wp:extent cx="75565" cy="75565"/>
                      <wp:effectExtent l="27940" t="32385" r="36195" b="31750"/>
                      <wp:wrapNone/>
                      <wp:docPr id="5" name="五角星 5"/>
                      <wp:cNvGraphicFramePr/>
                      <a:graphic xmlns:a="http://schemas.openxmlformats.org/drawingml/2006/main">
                        <a:graphicData uri="http://schemas.microsoft.com/office/word/2010/wordprocessingShape">
                          <wps:wsp>
                            <wps:cNvSpPr/>
                            <wps:spPr>
                              <a:xfrm>
                                <a:off x="0" y="0"/>
                                <a:ext cx="75565" cy="75565"/>
                              </a:xfrm>
                              <a:prstGeom prst="star5">
                                <a:avLst/>
                              </a:prstGeom>
                              <a:solidFill>
                                <a:srgbClr val="FFFFFF"/>
                              </a:solidFill>
                              <a:ln w="19050" cap="flat" cmpd="sng">
                                <a:solidFill>
                                  <a:srgbClr val="FFFF00"/>
                                </a:solidFill>
                                <a:prstDash val="solid"/>
                                <a:miter/>
                                <a:headEnd type="none" w="med" len="med"/>
                                <a:tailEnd type="none" w="med" len="med"/>
                              </a:ln>
                            </wps:spPr>
                            <wps:txbx>
                              <w:txbxContent>
                                <w:p>
                                  <w:pPr>
                                    <w:ind w:firstLine="480"/>
                                  </w:pPr>
                                </w:p>
                              </w:txbxContent>
                            </wps:txbx>
                            <wps:bodyPr upright="1"/>
                          </wps:wsp>
                        </a:graphicData>
                      </a:graphic>
                    </wp:anchor>
                  </w:drawing>
                </mc:Choice>
                <mc:Fallback>
                  <w:pict>
                    <v:shape id="_x0000_s1026" o:spid="_x0000_s1026" style="position:absolute;left:0pt;margin-left:134.8pt;margin-top:158.45pt;height:5.95pt;width:5.95pt;z-index:251660288;mso-width-relative:page;mso-height-relative:page;" fillcolor="#FFFFFF" filled="t" stroked="t" coordsize="75565,75565" o:gfxdata="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j0Y4NkAAAALAQAADwAAAAAAAAABACAAAAAiAAAAZHJz&#10;L2Rvd25yZXYueG1sUEsBAhQAFAAAAAgAh07iQOFnBEgDAgAAKwQAAA4AAAAAAAAAAQAgAAAAKAEA&#10;AGRycy9lMm9Eb2MueG1sUEsFBgAAAAAGAAYAWQEAAJ0FAAAAAA==&#10;" path="m0,28863l28863,28863,37782,0,46701,28863,75564,28863,52213,46701,61133,75564,37782,57726,14431,75564,23351,46701xe">
                      <v:path textboxrect="0,0,75565,75565" o:connectlocs="37782,0;0,28863;14431,75564;61133,75564;75564,28863" o:connectangles="247,164,82,82,0"/>
                      <v:fill on="t" focussize="0,0"/>
                      <v:stroke weight="1.5pt" color="#FFFF00" joinstyle="miter"/>
                      <v:imagedata o:title=""/>
                      <o:lock v:ext="edit" aspectratio="f"/>
                      <v:textbox>
                        <w:txbxContent>
                          <w:p>
                            <w:pPr>
                              <w:ind w:firstLine="480"/>
                            </w:pPr>
                          </w:p>
                        </w:txbxContent>
                      </v:textbox>
                    </v:shape>
                  </w:pict>
                </mc:Fallback>
              </mc:AlternateContent>
            </w:r>
            <w:r>
              <w:rPr>
                <w:color w:val="000000" w:themeColor="text1"/>
                <w14:textFill>
                  <w14:solidFill>
                    <w14:schemeClr w14:val="tx1"/>
                  </w14:solidFill>
                </w14:textFill>
              </w:rPr>
              <w:drawing>
                <wp:inline distT="0" distB="0" distL="114300" distR="114300">
                  <wp:extent cx="5408930" cy="2821305"/>
                  <wp:effectExtent l="0" t="0" r="1270" b="1079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7"/>
                          <a:stretch>
                            <a:fillRect/>
                          </a:stretch>
                        </pic:blipFill>
                        <pic:spPr>
                          <a:xfrm>
                            <a:off x="0" y="0"/>
                            <a:ext cx="5408930" cy="2821305"/>
                          </a:xfrm>
                          <a:prstGeom prst="rect">
                            <a:avLst/>
                          </a:prstGeom>
                          <a:noFill/>
                          <a:ln>
                            <a:noFill/>
                          </a:ln>
                        </pic:spPr>
                      </pic:pic>
                    </a:graphicData>
                  </a:graphic>
                </wp:inline>
              </w:drawing>
            </w:r>
          </w:p>
          <w:p>
            <w:pPr>
              <w:widowControl/>
              <w:shd w:val="clear" w:color="auto" w:fill="FFFFFF"/>
              <w:spacing w:line="360" w:lineRule="auto"/>
              <w:jc w:val="center"/>
              <w:rPr>
                <w:color w:val="000000" w:themeColor="text1"/>
                <w:kern w:val="0"/>
                <w14:textFill>
                  <w14:solidFill>
                    <w14:schemeClr w14:val="tx1"/>
                  </w14:solidFill>
                </w14:textFill>
              </w:rPr>
            </w:pPr>
            <w:r>
              <w:rPr>
                <w:rFonts w:hint="eastAsia"/>
                <w:b/>
                <w:bCs/>
                <w:color w:val="000000" w:themeColor="text1"/>
                <w14:textFill>
                  <w14:solidFill>
                    <w14:schemeClr w14:val="tx1"/>
                  </w14:solidFill>
                </w14:textFill>
              </w:rPr>
              <w:t>图3-1 引用点位</w:t>
            </w:r>
            <w:r>
              <w:rPr>
                <w:b/>
                <w:bCs/>
                <w:color w:val="000000" w:themeColor="text1"/>
                <w14:textFill>
                  <w14:solidFill>
                    <w14:schemeClr w14:val="tx1"/>
                  </w14:solidFill>
                </w14:textFill>
              </w:rPr>
              <w:t>布点图</w:t>
            </w:r>
          </w:p>
          <w:p>
            <w:pPr>
              <w:widowControl/>
              <w:shd w:val="clear" w:color="auto" w:fill="FFFFFF"/>
              <w:spacing w:line="360" w:lineRule="auto"/>
              <w:ind w:firstLine="480"/>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①监测点位信息见下表：</w:t>
            </w:r>
          </w:p>
          <w:p>
            <w:pPr>
              <w:widowControl/>
              <w:shd w:val="clear" w:color="auto" w:fill="FFFFFF"/>
              <w:spacing w:line="360" w:lineRule="auto"/>
              <w:ind w:firstLine="480"/>
              <w:jc w:val="center"/>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表3-2  监测点位基本信息</w:t>
            </w:r>
          </w:p>
          <w:tbl>
            <w:tblPr>
              <w:tblStyle w:val="29"/>
              <w:tblW w:w="8608" w:type="dxa"/>
              <w:jc w:val="center"/>
              <w:tblLayout w:type="fixed"/>
              <w:tblCellMar>
                <w:top w:w="0" w:type="dxa"/>
                <w:left w:w="108" w:type="dxa"/>
                <w:bottom w:w="0" w:type="dxa"/>
                <w:right w:w="108" w:type="dxa"/>
              </w:tblCellMar>
            </w:tblPr>
            <w:tblGrid>
              <w:gridCol w:w="895"/>
              <w:gridCol w:w="2452"/>
              <w:gridCol w:w="863"/>
              <w:gridCol w:w="1183"/>
              <w:gridCol w:w="3215"/>
            </w:tblGrid>
            <w:tr>
              <w:tblPrEx>
                <w:tblCellMar>
                  <w:top w:w="0" w:type="dxa"/>
                  <w:left w:w="108" w:type="dxa"/>
                  <w:bottom w:w="0" w:type="dxa"/>
                  <w:right w:w="108" w:type="dxa"/>
                </w:tblCellMar>
              </w:tblPrEx>
              <w:trPr>
                <w:trHeight w:val="369" w:hRule="atLeast"/>
                <w:jc w:val="center"/>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点位</w:t>
                  </w: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名称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方位</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与本项目</w:t>
                  </w:r>
                  <w:r>
                    <w:rPr>
                      <w:color w:val="000000" w:themeColor="text1"/>
                      <w:kern w:val="0"/>
                      <w:sz w:val="21"/>
                      <w:szCs w:val="21"/>
                      <w:lang w:bidi="ar"/>
                      <w14:textFill>
                        <w14:solidFill>
                          <w14:schemeClr w14:val="tx1"/>
                        </w14:solidFill>
                      </w14:textFill>
                    </w:rPr>
                    <w:t>距离(m)</w:t>
                  </w:r>
                </w:p>
              </w:tc>
              <w:tc>
                <w:tcPr>
                  <w:tcW w:w="3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监测因子</w:t>
                  </w:r>
                </w:p>
              </w:tc>
            </w:tr>
            <w:tr>
              <w:tblPrEx>
                <w:tblCellMar>
                  <w:top w:w="0" w:type="dxa"/>
                  <w:left w:w="108" w:type="dxa"/>
                  <w:bottom w:w="0" w:type="dxa"/>
                  <w:right w:w="108" w:type="dxa"/>
                </w:tblCellMar>
              </w:tblPrEx>
              <w:trPr>
                <w:trHeight w:val="369" w:hRule="atLeast"/>
                <w:jc w:val="center"/>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G7</w:t>
                  </w: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安徽中晨照明科技股份有公司</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西北</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2900</w:t>
                  </w:r>
                </w:p>
              </w:tc>
              <w:tc>
                <w:tcPr>
                  <w:tcW w:w="3215" w:type="dxa"/>
                  <w:vMerge w:val="restart"/>
                  <w:tcBorders>
                    <w:top w:val="single" w:color="000000" w:sz="4" w:space="0"/>
                    <w:left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非甲烷总烃</w:t>
                  </w:r>
                </w:p>
              </w:tc>
            </w:tr>
            <w:tr>
              <w:tblPrEx>
                <w:tblCellMar>
                  <w:top w:w="0" w:type="dxa"/>
                  <w:left w:w="108" w:type="dxa"/>
                  <w:bottom w:w="0" w:type="dxa"/>
                  <w:right w:w="108" w:type="dxa"/>
                </w:tblCellMar>
              </w:tblPrEx>
              <w:trPr>
                <w:trHeight w:val="369" w:hRule="atLeast"/>
                <w:jc w:val="center"/>
              </w:trPr>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G8</w:t>
                  </w: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沈巷镇镇政府</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西</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2360</w:t>
                  </w:r>
                </w:p>
              </w:tc>
              <w:tc>
                <w:tcPr>
                  <w:tcW w:w="3215"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color w:val="000000" w:themeColor="text1"/>
                      <w:kern w:val="0"/>
                      <w:sz w:val="21"/>
                      <w:szCs w:val="21"/>
                      <w:lang w:bidi="ar"/>
                      <w14:textFill>
                        <w14:solidFill>
                          <w14:schemeClr w14:val="tx1"/>
                        </w14:solidFill>
                      </w14:textFill>
                    </w:rPr>
                  </w:pPr>
                </w:p>
              </w:tc>
            </w:tr>
          </w:tbl>
          <w:p>
            <w:pPr>
              <w:spacing w:line="360" w:lineRule="auto"/>
              <w:jc w:val="center"/>
              <w:rPr>
                <w:b/>
                <w:color w:val="000000" w:themeColor="text1"/>
                <w:spacing w:val="6"/>
                <w14:textFill>
                  <w14:solidFill>
                    <w14:schemeClr w14:val="tx1"/>
                  </w14:solidFill>
                </w14:textFill>
              </w:rPr>
            </w:pPr>
            <w:r>
              <w:rPr>
                <w:rFonts w:hint="eastAsia"/>
                <w:b/>
                <w:color w:val="000000" w:themeColor="text1"/>
                <w:spacing w:val="6"/>
                <w14:textFill>
                  <w14:solidFill>
                    <w14:schemeClr w14:val="tx1"/>
                  </w14:solidFill>
                </w14:textFill>
              </w:rPr>
              <w:t>表3-3</w:t>
            </w:r>
            <w:r>
              <w:rPr>
                <w:b/>
                <w:color w:val="000000" w:themeColor="text1"/>
                <w:spacing w:val="6"/>
                <w14:textFill>
                  <w14:solidFill>
                    <w14:schemeClr w14:val="tx1"/>
                  </w14:solidFill>
                </w14:textFill>
              </w:rPr>
              <w:t xml:space="preserve">    </w:t>
            </w:r>
            <w:r>
              <w:rPr>
                <w:rFonts w:hint="eastAsia"/>
                <w:b/>
                <w:color w:val="000000" w:themeColor="text1"/>
                <w:spacing w:val="6"/>
                <w14:textFill>
                  <w14:solidFill>
                    <w14:schemeClr w14:val="tx1"/>
                  </w14:solidFill>
                </w14:textFill>
              </w:rPr>
              <w:t>其他污染物环境质量现状监测结果表</w:t>
            </w:r>
          </w:p>
          <w:tbl>
            <w:tblPr>
              <w:tblStyle w:val="29"/>
              <w:tblW w:w="86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2"/>
              <w:gridCol w:w="800"/>
              <w:gridCol w:w="1146"/>
              <w:gridCol w:w="1284"/>
              <w:gridCol w:w="1367"/>
              <w:gridCol w:w="1401"/>
              <w:gridCol w:w="935"/>
              <w:gridCol w:w="10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378"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w:t>
                  </w:r>
                </w:p>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点位</w:t>
                  </w:r>
                </w:p>
              </w:tc>
              <w:tc>
                <w:tcPr>
                  <w:tcW w:w="464"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w:t>
                  </w:r>
                </w:p>
              </w:tc>
              <w:tc>
                <w:tcPr>
                  <w:tcW w:w="66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平均</w:t>
                  </w:r>
                </w:p>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时间</w:t>
                  </w:r>
                </w:p>
              </w:tc>
              <w:tc>
                <w:tcPr>
                  <w:tcW w:w="74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评价标准</w:t>
                  </w:r>
                </w:p>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μg/m</w:t>
                  </w:r>
                  <w:r>
                    <w:rPr>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w:t>
                  </w:r>
                </w:p>
              </w:tc>
              <w:tc>
                <w:tcPr>
                  <w:tcW w:w="794"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监测浓度范围（</w:t>
                  </w:r>
                  <w:r>
                    <w:rPr>
                      <w:color w:val="000000" w:themeColor="text1"/>
                      <w:sz w:val="21"/>
                      <w:szCs w:val="21"/>
                      <w14:textFill>
                        <w14:solidFill>
                          <w14:schemeClr w14:val="tx1"/>
                        </w14:solidFill>
                      </w14:textFill>
                    </w:rPr>
                    <w:t>μg/m</w:t>
                  </w:r>
                  <w:r>
                    <w:rPr>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w:t>
                  </w:r>
                </w:p>
              </w:tc>
              <w:tc>
                <w:tcPr>
                  <w:tcW w:w="814"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最大浓度占标率（</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p>
              </w:tc>
              <w:tc>
                <w:tcPr>
                  <w:tcW w:w="543"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超标频率（</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p>
              </w:tc>
              <w:tc>
                <w:tcPr>
                  <w:tcW w:w="594" w:type="pct"/>
                  <w:vMerge w:val="restar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blHeader/>
                <w:jc w:val="center"/>
              </w:trPr>
              <w:tc>
                <w:tcPr>
                  <w:tcW w:w="378"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464"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665"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745"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794"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814"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543"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c>
                <w:tcPr>
                  <w:tcW w:w="594"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jc w:val="left"/>
                    <w:rPr>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78" w:type="pc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G7</w:t>
                  </w:r>
                </w:p>
              </w:tc>
              <w:tc>
                <w:tcPr>
                  <w:tcW w:w="464" w:type="pct"/>
                  <w:vMerge w:val="restart"/>
                  <w:tcBorders>
                    <w:top w:val="single" w:color="auto" w:sz="4" w:space="0"/>
                    <w:left w:val="single" w:color="auto" w:sz="4" w:space="0"/>
                    <w:right w:val="single" w:color="auto" w:sz="4" w:space="0"/>
                  </w:tcBorders>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非甲烷总烃</w:t>
                  </w: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1小时平均</w:t>
                  </w:r>
                </w:p>
              </w:tc>
              <w:tc>
                <w:tcPr>
                  <w:tcW w:w="745" w:type="pc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2000</w:t>
                  </w:r>
                </w:p>
              </w:tc>
              <w:tc>
                <w:tcPr>
                  <w:tcW w:w="79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580~1300</w:t>
                  </w:r>
                </w:p>
              </w:tc>
              <w:tc>
                <w:tcPr>
                  <w:tcW w:w="81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65</w:t>
                  </w:r>
                </w:p>
              </w:tc>
              <w:tc>
                <w:tcPr>
                  <w:tcW w:w="543"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59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378" w:type="pc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G8</w:t>
                  </w:r>
                </w:p>
              </w:tc>
              <w:tc>
                <w:tcPr>
                  <w:tcW w:w="464" w:type="pct"/>
                  <w:vMerge w:val="continue"/>
                  <w:tcBorders>
                    <w:left w:val="single" w:color="auto" w:sz="4" w:space="0"/>
                    <w:bottom w:val="single" w:color="auto" w:sz="4" w:space="0"/>
                    <w:right w:val="single" w:color="auto" w:sz="4" w:space="0"/>
                  </w:tcBorders>
                  <w:vAlign w:val="center"/>
                </w:tcPr>
                <w:p>
                  <w:pPr>
                    <w:widowControl/>
                    <w:spacing w:line="240" w:lineRule="atLeast"/>
                    <w:jc w:val="center"/>
                    <w:textAlignment w:val="center"/>
                    <w:rPr>
                      <w:color w:val="000000" w:themeColor="text1"/>
                      <w:sz w:val="21"/>
                      <w:szCs w:val="21"/>
                      <w14:textFill>
                        <w14:solidFill>
                          <w14:schemeClr w14:val="tx1"/>
                        </w14:solidFill>
                      </w14:textFill>
                    </w:rPr>
                  </w:pPr>
                </w:p>
              </w:tc>
              <w:tc>
                <w:tcPr>
                  <w:tcW w:w="665"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1小时平均</w:t>
                  </w:r>
                </w:p>
              </w:tc>
              <w:tc>
                <w:tcPr>
                  <w:tcW w:w="745" w:type="pct"/>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2000</w:t>
                  </w:r>
                </w:p>
              </w:tc>
              <w:tc>
                <w:tcPr>
                  <w:tcW w:w="79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6206~1300</w:t>
                  </w:r>
                </w:p>
              </w:tc>
              <w:tc>
                <w:tcPr>
                  <w:tcW w:w="81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65</w:t>
                  </w:r>
                </w:p>
              </w:tc>
              <w:tc>
                <w:tcPr>
                  <w:tcW w:w="543"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594" w:type="pct"/>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r>
          </w:tbl>
          <w:p>
            <w:pPr>
              <w:ind w:firstLine="480"/>
              <w:rPr>
                <w:color w:val="000000" w:themeColor="text1"/>
                <w14:textFill>
                  <w14:solidFill>
                    <w14:schemeClr w14:val="tx1"/>
                  </w14:solidFill>
                </w14:textFill>
              </w:rPr>
            </w:pPr>
          </w:p>
          <w:p>
            <w:pPr>
              <w:widowControl/>
              <w:shd w:val="clear" w:color="auto" w:fill="FFFFFF"/>
              <w:spacing w:line="360" w:lineRule="auto"/>
              <w:ind w:firstLine="480"/>
              <w:jc w:val="left"/>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监测结果显示，监测点位非甲总烃的监测浓度符合《大气污染物综合排放标准详解》中相关标准要求。</w:t>
            </w: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二、地表水</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本次环评依据芜湖市生态环境局发布的《2021年芜湖市生态环境状况公报》进行区域达标性判断评价，对项目所在区域水环境质量现状进行分析。</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（1）主要河流水质状况</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我市“十四五”列入国家水质考核断面的共有10个，根据《地表水环境质量标准》（GB3838-2002）进行评价，10个国考断面水质优良比例达100%。</w:t>
            </w:r>
          </w:p>
          <w:p>
            <w:pPr>
              <w:numPr>
                <w:ilvl w:val="0"/>
                <w:numId w:val="5"/>
              </w:num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县级以上集中式饮用水水源水质状况</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市级集中式饮用水水源地共6个（芜湖市二水厂（长江）水源地、芜湖市四水厂（长江）水源地、芜湖市漳河备用水源地、湾祉区自来水厂（青弋江）水源地、繁昌区新港自来水厂（长江）水源地、芜湖市三山水厂繁昌芦南水厂（长江）饮用水水源地），取水口位于长江、青弋江和漳河，按每月对水源地开展的61项指标检测结果评价，水源地总体水质符合《地表水环境质量标准》（GB3838-2002）I类标准，满足生活饮用水源地水质要求，水质达标率为100%。</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县级集中式饮用水水源地共3个（无为市自来水公司（长江）水源地、南陵县二水厂（青弋江）水源地、无为市西河备用水源地），取水口位于长江、青弋江和西河，按每季度对水源地开展的水质61项指标检测结果评价，水源地总体水质符合《地表水环境质量标准》（GB3838-2002）II类标准，水质达标率为100%。</w:t>
            </w:r>
          </w:p>
          <w:p>
            <w:pPr>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本项目地所在区域污水由</w:t>
            </w:r>
            <w:r>
              <w:rPr>
                <w:rFonts w:hint="eastAsia"/>
                <w:color w:val="000000" w:themeColor="text1"/>
                <w:kern w:val="0"/>
                <w:szCs w:val="20"/>
                <w14:textFill>
                  <w14:solidFill>
                    <w14:schemeClr w14:val="tx1"/>
                  </w14:solidFill>
                </w14:textFill>
              </w:rPr>
              <w:t>芜湖市江北污水处理厂</w:t>
            </w:r>
            <w:r>
              <w:rPr>
                <w:rFonts w:hint="eastAsia"/>
                <w:color w:val="000000" w:themeColor="text1"/>
                <w14:textFill>
                  <w14:solidFill>
                    <w14:schemeClr w14:val="tx1"/>
                  </w14:solidFill>
                </w14:textFill>
              </w:rPr>
              <w:t>收集处理后执行《城镇污水处理厂污染物排放标准》（GB18918-2002）表1中一级A标准排入长江芜湖段。根据上述资料，长江芜湖段水质现状符合国家《地表水环境质量标准》（GB3838-2002）III类标准，地表水质量较好，水质达标。</w:t>
            </w: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三、地下水</w:t>
            </w:r>
            <w:r>
              <w:rPr>
                <w:rFonts w:hint="eastAsia"/>
                <w:b/>
                <w:bCs/>
                <w:color w:val="000000" w:themeColor="text1"/>
                <w14:textFill>
                  <w14:solidFill>
                    <w14:schemeClr w14:val="tx1"/>
                  </w14:solidFill>
                </w14:textFill>
              </w:rPr>
              <w:t>、土壤环境</w:t>
            </w:r>
          </w:p>
          <w:p>
            <w:pPr>
              <w:spacing w:line="360" w:lineRule="auto"/>
              <w:ind w:firstLine="470" w:firstLineChars="196"/>
              <w:rPr>
                <w:color w:val="000000" w:themeColor="text1"/>
                <w14:textFill>
                  <w14:solidFill>
                    <w14:schemeClr w14:val="tx1"/>
                  </w14:solidFill>
                </w14:textFill>
              </w:rPr>
            </w:pPr>
            <w:r>
              <w:rPr>
                <w:color w:val="000000" w:themeColor="text1"/>
                <w14:textFill>
                  <w14:solidFill>
                    <w14:schemeClr w14:val="tx1"/>
                  </w14:solidFill>
                </w14:textFill>
              </w:rPr>
              <w:t>根据《建设项目环境影响报告表编制技术指南（污染影响类）》（试行）要求，原则上不开展环境质量现状调查。</w:t>
            </w: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四、声环境</w:t>
            </w:r>
          </w:p>
          <w:p>
            <w:pPr>
              <w:spacing w:line="360" w:lineRule="auto"/>
              <w:ind w:firstLine="480" w:firstLineChars="200"/>
              <w:rPr>
                <w:bCs/>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根据《</w:t>
            </w:r>
            <w:r>
              <w:rPr>
                <w:bCs/>
                <w:color w:val="000000" w:themeColor="text1"/>
                <w14:textFill>
                  <w14:solidFill>
                    <w14:schemeClr w14:val="tx1"/>
                  </w14:solidFill>
                </w14:textFill>
              </w:rPr>
              <w:t>建设项目环境影响报告表编制技术指南(污染影响类) (试行)》中“区域环境质量”的“3、声环境—厂界外周边50米范围内存在声环境保护目标的建设项目，应监测保护目标声环境质量现状并评价达标情况。各点位应监测昼夜间噪声，监测时间不少于1天，项目夜间不生产则仅监测昼间噪声。”。</w:t>
            </w:r>
          </w:p>
          <w:p>
            <w:pPr>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本项目厂界外周边50米范围内不存在声环境保护目标，故无需进行声现状监测。</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根据《2021年芜湖市生态环境状况公报》：2021年，芜湖市声环境平均等效声级为58.2分贝。2021年共设监测点10个，其中：1类标准适用区设监测点1个，2类标准适用区设监测点5个，3类标准适用区设监测点2个，四类标准适用区设监测点2个。芜湖市各功能区的环境噪声声级大致是随着1类标准适用区&lt;2类标准适用区&lt;3类标准适用区&lt;4类标准适用区依次递增，这一点和功能区的区域功能划分是完全一致的。</w:t>
            </w:r>
          </w:p>
          <w:p>
            <w:pPr>
              <w:spacing w:line="360" w:lineRule="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项目所在区域声环境满足《声环境质量标准》（GB3096-2008）中的3类区标准的要求（昼间65dB（A），夜间55dB（A））。</w:t>
            </w: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五、生态环境</w:t>
            </w:r>
          </w:p>
          <w:p>
            <w:pPr>
              <w:spacing w:line="360" w:lineRule="auto"/>
              <w:ind w:firstLine="480" w:firstLineChars="200"/>
              <w:jc w:val="left"/>
              <w:rPr>
                <w:rFonts w:eastAsia="黑体"/>
                <w:snapToGrid w:val="0"/>
                <w:color w:val="000000" w:themeColor="text1"/>
                <w:sz w:val="30"/>
                <w:szCs w:val="30"/>
                <w:highlight w:val="yellow"/>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位于安徽省芜湖市鸠江区沈巷镇江北产业集中区中小企业园新能源新材料产业聚集区4#厂房</w:t>
            </w:r>
            <w:r>
              <w:rPr>
                <w:color w:val="000000" w:themeColor="text1"/>
                <w14:textFill>
                  <w14:solidFill>
                    <w14:schemeClr w14:val="tx1"/>
                  </w14:solidFill>
                </w14:textFill>
              </w:rPr>
              <w:t>，不涉及新增用地，用地范围内不涉及生态环境保护目标</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 w:type="dxa"/>
            <w:vAlign w:val="center"/>
          </w:tcPr>
          <w:p>
            <w:pPr>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环境</w:t>
            </w:r>
          </w:p>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保护</w:t>
            </w:r>
          </w:p>
          <w:p>
            <w:pPr>
              <w:jc w:val="center"/>
              <w:rPr>
                <w:rFonts w:eastAsia="黑体"/>
                <w:snapToGrid w:val="0"/>
                <w:color w:val="000000" w:themeColor="text1"/>
                <w:sz w:val="30"/>
                <w:szCs w:val="30"/>
                <w:highlight w:val="yellow"/>
                <w14:textFill>
                  <w14:solidFill>
                    <w14:schemeClr w14:val="tx1"/>
                  </w14:solidFill>
                </w14:textFill>
              </w:rPr>
            </w:pPr>
            <w:r>
              <w:rPr>
                <w:color w:val="000000" w:themeColor="text1"/>
                <w:kern w:val="0"/>
                <w:szCs w:val="21"/>
                <w14:textFill>
                  <w14:solidFill>
                    <w14:schemeClr w14:val="tx1"/>
                  </w14:solidFill>
                </w14:textFill>
              </w:rPr>
              <w:t>目标</w:t>
            </w:r>
          </w:p>
        </w:tc>
        <w:tc>
          <w:tcPr>
            <w:tcW w:w="8824" w:type="dxa"/>
            <w:vAlign w:val="center"/>
          </w:tcPr>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主要环境保护目标（列出名单及保护级别）：</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评价范围内无自然保护区、风景名胜区和文物古迹等需要特殊保护的环境敏感对象，总体上不因本项目的实施而改变区域环境现有功能。具体环境保护目标如下：</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、大气环境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大气环境保护目标见下表。环境空气质量执行</w:t>
            </w:r>
            <w:r>
              <w:rPr>
                <w:color w:val="000000" w:themeColor="text1"/>
                <w14:textFill>
                  <w14:solidFill>
                    <w14:schemeClr w14:val="tx1"/>
                  </w14:solidFill>
                </w14:textFill>
              </w:rPr>
              <w:t>《环境空气质量标准》（GB3095-2012）及其修改单中的二级标准</w:t>
            </w:r>
            <w:r>
              <w:rPr>
                <w:rFonts w:hint="eastAsia"/>
                <w:color w:val="000000" w:themeColor="text1"/>
                <w14:textFill>
                  <w14:solidFill>
                    <w14:schemeClr w14:val="tx1"/>
                  </w14:solidFill>
                </w14:textFill>
              </w:rPr>
              <w:t>。</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、声环境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厂界</w:t>
            </w:r>
            <w:r>
              <w:rPr>
                <w:color w:val="000000" w:themeColor="text1"/>
                <w14:textFill>
                  <w14:solidFill>
                    <w14:schemeClr w14:val="tx1"/>
                  </w14:solidFill>
                </w14:textFill>
              </w:rPr>
              <w:t>50m</w:t>
            </w:r>
            <w:r>
              <w:rPr>
                <w:rFonts w:hint="eastAsia"/>
                <w:color w:val="000000" w:themeColor="text1"/>
                <w14:textFill>
                  <w14:solidFill>
                    <w14:schemeClr w14:val="tx1"/>
                  </w14:solidFill>
                </w14:textFill>
              </w:rPr>
              <w:t xml:space="preserve">范围无声环境保护目标。 </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、地表水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厂界</w:t>
            </w:r>
            <w:r>
              <w:rPr>
                <w:color w:val="000000" w:themeColor="text1"/>
                <w14:textFill>
                  <w14:solidFill>
                    <w14:schemeClr w14:val="tx1"/>
                  </w14:solidFill>
                </w14:textFill>
              </w:rPr>
              <w:t xml:space="preserve">500m </w:t>
            </w:r>
            <w:r>
              <w:rPr>
                <w:rFonts w:hint="eastAsia"/>
                <w:color w:val="000000" w:themeColor="text1"/>
                <w14:textFill>
                  <w14:solidFill>
                    <w14:schemeClr w14:val="tx1"/>
                  </w14:solidFill>
                </w14:textFill>
              </w:rPr>
              <w:t xml:space="preserve">范围内无集中式饮用水水源、热水、矿泉水、温泉等特殊水资源保护目标。 </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、生态环境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本项目位于安徽省芜湖市鸠江区沈巷镇江北产业集中区中小企业园新能源新材料产业聚集区4#厂房，根据现场勘查，项目周边无生态保护目标。</w:t>
            </w:r>
          </w:p>
          <w:p>
            <w:pPr>
              <w:widowControl/>
              <w:spacing w:line="360" w:lineRule="auto"/>
              <w:jc w:val="center"/>
              <w:rPr>
                <w:b/>
                <w:bCs/>
                <w:color w:val="000000" w:themeColor="text1"/>
                <w14:textFill>
                  <w14:solidFill>
                    <w14:schemeClr w14:val="tx1"/>
                  </w14:solidFill>
                </w14:textFill>
              </w:rPr>
            </w:pPr>
          </w:p>
          <w:p>
            <w:pPr>
              <w:widowControl/>
              <w:spacing w:line="360" w:lineRule="auto"/>
              <w:jc w:val="center"/>
              <w:rPr>
                <w:b/>
                <w:bCs/>
                <w:color w:val="000000" w:themeColor="text1"/>
                <w:spacing w:val="6"/>
                <w14:textFill>
                  <w14:solidFill>
                    <w14:schemeClr w14:val="tx1"/>
                  </w14:solidFill>
                </w14:textFill>
              </w:rPr>
            </w:pPr>
          </w:p>
          <w:p>
            <w:pPr>
              <w:widowControl/>
              <w:spacing w:line="360" w:lineRule="auto"/>
              <w:jc w:val="center"/>
              <w:rPr>
                <w:b/>
                <w:bCs/>
                <w:color w:val="000000" w:themeColor="text1"/>
                <w14:textFill>
                  <w14:solidFill>
                    <w14:schemeClr w14:val="tx1"/>
                  </w14:solidFill>
                </w14:textFill>
              </w:rPr>
            </w:pPr>
            <w:r>
              <w:rPr>
                <w:rFonts w:hint="eastAsia"/>
                <w:b/>
                <w:bCs/>
                <w:color w:val="000000" w:themeColor="text1"/>
                <w:spacing w:val="6"/>
                <w14:textFill>
                  <w14:solidFill>
                    <w14:schemeClr w14:val="tx1"/>
                  </w14:solidFill>
                </w14:textFill>
              </w:rPr>
              <w:t>表3-4  主要环境保护目标表</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925"/>
              <w:gridCol w:w="801"/>
              <w:gridCol w:w="1036"/>
              <w:gridCol w:w="1083"/>
              <w:gridCol w:w="2319"/>
              <w:gridCol w:w="650"/>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名称</w:t>
                  </w:r>
                </w:p>
              </w:tc>
              <w:tc>
                <w:tcPr>
                  <w:tcW w:w="1726" w:type="dxa"/>
                  <w:gridSpan w:val="2"/>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坐标（m）</w:t>
                  </w:r>
                </w:p>
              </w:tc>
              <w:tc>
                <w:tcPr>
                  <w:tcW w:w="1036"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保护对象</w:t>
                  </w:r>
                </w:p>
              </w:tc>
              <w:tc>
                <w:tcPr>
                  <w:tcW w:w="1083"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保护内容</w:t>
                  </w:r>
                </w:p>
              </w:tc>
              <w:tc>
                <w:tcPr>
                  <w:tcW w:w="2319"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环境功能区</w:t>
                  </w:r>
                </w:p>
              </w:tc>
              <w:tc>
                <w:tcPr>
                  <w:tcW w:w="650"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相对厂址方位</w:t>
                  </w:r>
                </w:p>
              </w:tc>
              <w:tc>
                <w:tcPr>
                  <w:tcW w:w="933"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Merge w:val="continue"/>
                  <w:vAlign w:val="center"/>
                </w:tcPr>
                <w:p>
                  <w:pPr>
                    <w:jc w:val="center"/>
                    <w:rPr>
                      <w:color w:val="000000" w:themeColor="text1"/>
                      <w:sz w:val="21"/>
                      <w:szCs w:val="21"/>
                      <w14:textFill>
                        <w14:solidFill>
                          <w14:schemeClr w14:val="tx1"/>
                        </w14:solidFill>
                      </w14:textFill>
                    </w:rPr>
                  </w:pPr>
                </w:p>
              </w:tc>
              <w:tc>
                <w:tcPr>
                  <w:tcW w:w="92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X</w:t>
                  </w:r>
                </w:p>
              </w:tc>
              <w:tc>
                <w:tcPr>
                  <w:tcW w:w="801"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Y</w:t>
                  </w:r>
                </w:p>
              </w:tc>
              <w:tc>
                <w:tcPr>
                  <w:tcW w:w="1036" w:type="dxa"/>
                  <w:vMerge w:val="continue"/>
                  <w:vAlign w:val="center"/>
                </w:tcPr>
                <w:p>
                  <w:pPr>
                    <w:rPr>
                      <w:color w:val="000000" w:themeColor="text1"/>
                      <w:sz w:val="21"/>
                      <w:szCs w:val="21"/>
                      <w14:textFill>
                        <w14:solidFill>
                          <w14:schemeClr w14:val="tx1"/>
                        </w14:solidFill>
                      </w14:textFill>
                    </w:rPr>
                  </w:pPr>
                </w:p>
              </w:tc>
              <w:tc>
                <w:tcPr>
                  <w:tcW w:w="1083" w:type="dxa"/>
                  <w:vMerge w:val="continue"/>
                  <w:vAlign w:val="center"/>
                </w:tcPr>
                <w:p>
                  <w:pPr>
                    <w:rPr>
                      <w:color w:val="000000" w:themeColor="text1"/>
                      <w:sz w:val="21"/>
                      <w:szCs w:val="21"/>
                      <w14:textFill>
                        <w14:solidFill>
                          <w14:schemeClr w14:val="tx1"/>
                        </w14:solidFill>
                      </w14:textFill>
                    </w:rPr>
                  </w:pPr>
                </w:p>
              </w:tc>
              <w:tc>
                <w:tcPr>
                  <w:tcW w:w="2319" w:type="dxa"/>
                  <w:vMerge w:val="continue"/>
                  <w:vAlign w:val="center"/>
                </w:tcPr>
                <w:p>
                  <w:pPr>
                    <w:rPr>
                      <w:color w:val="000000" w:themeColor="text1"/>
                      <w:sz w:val="21"/>
                      <w:szCs w:val="21"/>
                      <w14:textFill>
                        <w14:solidFill>
                          <w14:schemeClr w14:val="tx1"/>
                        </w14:solidFill>
                      </w14:textFill>
                    </w:rPr>
                  </w:pPr>
                </w:p>
              </w:tc>
              <w:tc>
                <w:tcPr>
                  <w:tcW w:w="650" w:type="dxa"/>
                  <w:vMerge w:val="continue"/>
                  <w:vAlign w:val="center"/>
                </w:tcPr>
                <w:p>
                  <w:pPr>
                    <w:rPr>
                      <w:color w:val="000000" w:themeColor="text1"/>
                      <w:sz w:val="21"/>
                      <w:szCs w:val="21"/>
                      <w14:textFill>
                        <w14:solidFill>
                          <w14:schemeClr w14:val="tx1"/>
                        </w14:solidFill>
                      </w14:textFill>
                    </w:rPr>
                  </w:pPr>
                </w:p>
              </w:tc>
              <w:tc>
                <w:tcPr>
                  <w:tcW w:w="933" w:type="dxa"/>
                  <w:vMerge w:val="continue"/>
                  <w:vAlign w:val="center"/>
                </w:tcPr>
                <w:p>
                  <w:pP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大气环境</w:t>
                  </w:r>
                </w:p>
              </w:tc>
              <w:tc>
                <w:tcPr>
                  <w:tcW w:w="92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801"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p>
              </w:tc>
              <w:tc>
                <w:tcPr>
                  <w:tcW w:w="103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江北天合苑</w:t>
                  </w:r>
                </w:p>
              </w:tc>
              <w:tc>
                <w:tcPr>
                  <w:tcW w:w="108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居民</w:t>
                  </w:r>
                </w:p>
              </w:tc>
              <w:tc>
                <w:tcPr>
                  <w:tcW w:w="2319"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《环境空气质量标</w:t>
                  </w:r>
                </w:p>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准》（GB3095-</w:t>
                  </w:r>
                </w:p>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2012）二级标准及</w:t>
                  </w:r>
                </w:p>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其修改单</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w:t>
                  </w:r>
                </w:p>
              </w:tc>
              <w:tc>
                <w:tcPr>
                  <w:tcW w:w="93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Merge w:val="continue"/>
                  <w:vAlign w:val="center"/>
                </w:tcPr>
                <w:p>
                  <w:pPr>
                    <w:jc w:val="center"/>
                    <w:rPr>
                      <w:color w:val="000000" w:themeColor="text1"/>
                      <w:sz w:val="21"/>
                      <w:szCs w:val="21"/>
                      <w14:textFill>
                        <w14:solidFill>
                          <w14:schemeClr w14:val="tx1"/>
                        </w14:solidFill>
                      </w14:textFill>
                    </w:rPr>
                  </w:pPr>
                </w:p>
              </w:tc>
              <w:tc>
                <w:tcPr>
                  <w:tcW w:w="92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p>
              </w:tc>
              <w:tc>
                <w:tcPr>
                  <w:tcW w:w="801"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-428</w:t>
                  </w:r>
                </w:p>
              </w:tc>
              <w:tc>
                <w:tcPr>
                  <w:tcW w:w="103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张八村</w:t>
                  </w:r>
                </w:p>
              </w:tc>
              <w:tc>
                <w:tcPr>
                  <w:tcW w:w="108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居民</w:t>
                  </w:r>
                </w:p>
              </w:tc>
              <w:tc>
                <w:tcPr>
                  <w:tcW w:w="2319" w:type="dxa"/>
                  <w:vMerge w:val="continue"/>
                  <w:vAlign w:val="center"/>
                </w:tcPr>
                <w:p>
                  <w:pPr>
                    <w:jc w:val="center"/>
                    <w:rPr>
                      <w:color w:val="000000" w:themeColor="text1"/>
                      <w:sz w:val="21"/>
                      <w:szCs w:val="21"/>
                      <w14:textFill>
                        <w14:solidFill>
                          <w14:schemeClr w14:val="tx1"/>
                        </w14:solidFill>
                      </w14:textFill>
                    </w:rPr>
                  </w:pP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w:t>
                  </w:r>
                </w:p>
              </w:tc>
              <w:tc>
                <w:tcPr>
                  <w:tcW w:w="93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地表水环境</w:t>
                  </w:r>
                </w:p>
              </w:tc>
              <w:tc>
                <w:tcPr>
                  <w:tcW w:w="925"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801"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103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长江</w:t>
                  </w:r>
                </w:p>
              </w:tc>
              <w:tc>
                <w:tcPr>
                  <w:tcW w:w="108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大型河流</w:t>
                  </w:r>
                </w:p>
              </w:tc>
              <w:tc>
                <w:tcPr>
                  <w:tcW w:w="2319"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《地表水环境质量标准》（GB3838-2002）Ⅲ类标准</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w:t>
                  </w:r>
                </w:p>
              </w:tc>
              <w:tc>
                <w:tcPr>
                  <w:tcW w:w="93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51"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声环境</w:t>
                  </w:r>
                </w:p>
              </w:tc>
              <w:tc>
                <w:tcPr>
                  <w:tcW w:w="925"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801"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2119" w:type="dxa"/>
                  <w:gridSpan w:val="2"/>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项目区界外</w:t>
                  </w:r>
                </w:p>
              </w:tc>
              <w:tc>
                <w:tcPr>
                  <w:tcW w:w="2319"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《声环境质量标准》（GB3096-2008）</w:t>
                  </w: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类</w:t>
                  </w:r>
                </w:p>
              </w:tc>
              <w:tc>
                <w:tcPr>
                  <w:tcW w:w="65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厂界外</w:t>
                  </w:r>
                </w:p>
              </w:tc>
              <w:tc>
                <w:tcPr>
                  <w:tcW w:w="933"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r>
          </w:tbl>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1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37"/>
              <w:numPr>
                <w:ilvl w:val="0"/>
                <w:numId w:val="0"/>
              </w:numPr>
              <w:adjustRightInd/>
              <w:spacing w:line="360" w:lineRule="auto"/>
              <w:rPr>
                <w:color w:val="000000" w:themeColor="text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4" w:type="dxa"/>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w:t>
            </w:r>
          </w:p>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物排</w:t>
            </w:r>
          </w:p>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放控</w:t>
            </w:r>
          </w:p>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制标</w:t>
            </w:r>
          </w:p>
          <w:p>
            <w:pPr>
              <w:jc w:val="center"/>
              <w:rPr>
                <w:color w:val="000000" w:themeColor="text1"/>
                <w:kern w:val="0"/>
                <w:szCs w:val="21"/>
                <w:highlight w:val="yellow"/>
                <w14:textFill>
                  <w14:solidFill>
                    <w14:schemeClr w14:val="tx1"/>
                  </w14:solidFill>
                </w14:textFill>
              </w:rPr>
            </w:pPr>
            <w:r>
              <w:rPr>
                <w:color w:val="000000" w:themeColor="text1"/>
                <w:kern w:val="0"/>
                <w:szCs w:val="21"/>
                <w14:textFill>
                  <w14:solidFill>
                    <w14:schemeClr w14:val="tx1"/>
                  </w14:solidFill>
                </w14:textFill>
              </w:rPr>
              <w:t>准</w:t>
            </w:r>
          </w:p>
        </w:tc>
        <w:tc>
          <w:tcPr>
            <w:tcW w:w="8824" w:type="dxa"/>
            <w:vAlign w:val="center"/>
          </w:tcPr>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1、废气</w:t>
            </w:r>
          </w:p>
          <w:p>
            <w:pPr>
              <w:spacing w:line="360" w:lineRule="auto"/>
              <w:ind w:firstLine="48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废气排放执行《合成树脂工业污染物排放标准》（GB31732-2015）表5大气污染物特别排放限值以及表9企业边界大气污染物浓度限值。同时非甲烷总烃应满足《挥发性有机物无组织排放控制标准》（GB37822-2019）厂区内VOCs无组织排放限值和无组织排放控制要求。</w:t>
            </w:r>
          </w:p>
          <w:p>
            <w:pPr>
              <w:widowControl/>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3-5 大气污染物排放限值</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8"/>
              <w:gridCol w:w="3170"/>
              <w:gridCol w:w="3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9" w:type="pct"/>
                  <w:vAlign w:val="center"/>
                </w:tcPr>
                <w:p>
                  <w:pPr>
                    <w:keepNex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w:t>
                  </w:r>
                </w:p>
              </w:tc>
              <w:tc>
                <w:tcPr>
                  <w:tcW w:w="1843" w:type="pct"/>
                  <w:vAlign w:val="center"/>
                </w:tcPr>
                <w:p>
                  <w:pPr>
                    <w:keepNex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最高允许排放浓度（mg/m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w:t>
                  </w:r>
                </w:p>
              </w:tc>
              <w:tc>
                <w:tcPr>
                  <w:tcW w:w="1867" w:type="pct"/>
                  <w:vAlign w:val="center"/>
                </w:tcPr>
                <w:p>
                  <w:pPr>
                    <w:keepNex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厂界大气污染物监控浓度限值（mg/m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9"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843"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r>
                    <w:rPr>
                      <w:color w:val="000000" w:themeColor="text1"/>
                      <w:sz w:val="21"/>
                      <w:szCs w:val="21"/>
                      <w14:textFill>
                        <w14:solidFill>
                          <w14:schemeClr w14:val="tx1"/>
                        </w14:solidFill>
                      </w14:textFill>
                    </w:rPr>
                    <w:t>0</w:t>
                  </w:r>
                </w:p>
              </w:tc>
              <w:tc>
                <w:tcPr>
                  <w:tcW w:w="1867"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4.0</w:t>
                  </w:r>
                </w:p>
              </w:tc>
            </w:tr>
          </w:tbl>
          <w:p>
            <w:pPr>
              <w:jc w:val="center"/>
              <w:rPr>
                <w:b/>
                <w:bCs/>
                <w:color w:val="000000" w:themeColor="text1"/>
                <w:sz w:val="21"/>
                <w:szCs w:val="21"/>
                <w14:textFill>
                  <w14:solidFill>
                    <w14:schemeClr w14:val="tx1"/>
                  </w14:solidFill>
                </w14:textFill>
              </w:rPr>
            </w:pPr>
          </w:p>
          <w:p>
            <w:pPr>
              <w:widowControl/>
              <w:spacing w:line="360" w:lineRule="auto"/>
              <w:jc w:val="center"/>
              <w:rPr>
                <w:b/>
                <w:bCs/>
                <w:color w:val="000000" w:themeColor="text1"/>
                <w:spacing w:val="6"/>
                <w14:textFill>
                  <w14:solidFill>
                    <w14:schemeClr w14:val="tx1"/>
                  </w14:solidFill>
                </w14:textFill>
              </w:rPr>
            </w:pPr>
            <w:r>
              <w:rPr>
                <w:rFonts w:hint="eastAsia"/>
                <w:b/>
                <w:bCs/>
                <w:color w:val="000000" w:themeColor="text1"/>
                <w:spacing w:val="6"/>
                <w14:textFill>
                  <w14:solidFill>
                    <w14:schemeClr w14:val="tx1"/>
                  </w14:solidFill>
                </w14:textFill>
              </w:rPr>
              <w:t>表3-6 挥发性有机物无组织排放控制标准</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2336"/>
              <w:gridCol w:w="2652"/>
              <w:gridCol w:w="2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8" w:type="pct"/>
                  <w:vAlign w:val="center"/>
                </w:tcPr>
                <w:p>
                  <w:pPr>
                    <w:keepNex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w:t>
                  </w:r>
                </w:p>
              </w:tc>
              <w:tc>
                <w:tcPr>
                  <w:tcW w:w="1358"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特别排放限值</w:t>
                  </w:r>
                  <w:r>
                    <w:rPr>
                      <w:color w:val="000000" w:themeColor="text1"/>
                      <w:sz w:val="21"/>
                      <w:szCs w:val="21"/>
                      <w14:textFill>
                        <w14:solidFill>
                          <w14:schemeClr w14:val="tx1"/>
                        </w14:solidFill>
                      </w14:textFill>
                    </w:rPr>
                    <w:t>（mg/m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w:t>
                  </w:r>
                </w:p>
              </w:tc>
              <w:tc>
                <w:tcPr>
                  <w:tcW w:w="1541"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限值含义</w:t>
                  </w:r>
                </w:p>
              </w:tc>
              <w:tc>
                <w:tcPr>
                  <w:tcW w:w="1291"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08" w:type="pct"/>
                  <w:vMerge w:val="restar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358"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541"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监控点处1h平均浓度值</w:t>
                  </w:r>
                </w:p>
              </w:tc>
              <w:tc>
                <w:tcPr>
                  <w:tcW w:w="1291" w:type="pct"/>
                  <w:vMerge w:val="restar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08" w:type="pct"/>
                  <w:vMerge w:val="continue"/>
                  <w:vAlign w:val="center"/>
                </w:tcPr>
                <w:p>
                  <w:pPr>
                    <w:keepNext/>
                    <w:jc w:val="center"/>
                    <w:rPr>
                      <w:color w:val="000000" w:themeColor="text1"/>
                      <w:sz w:val="21"/>
                      <w:szCs w:val="21"/>
                      <w14:textFill>
                        <w14:solidFill>
                          <w14:schemeClr w14:val="tx1"/>
                        </w14:solidFill>
                      </w14:textFill>
                    </w:rPr>
                  </w:pPr>
                </w:p>
              </w:tc>
              <w:tc>
                <w:tcPr>
                  <w:tcW w:w="1358"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1541"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监控点处任意一次浓度值</w:t>
                  </w:r>
                </w:p>
              </w:tc>
              <w:tc>
                <w:tcPr>
                  <w:tcW w:w="1291" w:type="pct"/>
                  <w:vMerge w:val="continue"/>
                  <w:vAlign w:val="center"/>
                </w:tcPr>
                <w:p>
                  <w:pPr>
                    <w:keepNext/>
                    <w:jc w:val="center"/>
                    <w:rPr>
                      <w:color w:val="000000" w:themeColor="text1"/>
                      <w:sz w:val="21"/>
                      <w:szCs w:val="21"/>
                      <w14:textFill>
                        <w14:solidFill>
                          <w14:schemeClr w14:val="tx1"/>
                        </w14:solidFill>
                      </w14:textFill>
                    </w:rPr>
                  </w:pPr>
                </w:p>
              </w:tc>
            </w:tr>
          </w:tbl>
          <w:p>
            <w:pPr>
              <w:spacing w:line="360" w:lineRule="auto"/>
              <w:jc w:val="center"/>
              <w:rPr>
                <w:b/>
                <w:bCs/>
                <w:color w:val="000000" w:themeColor="text1"/>
                <w:spacing w:val="2"/>
                <w14:textFill>
                  <w14:solidFill>
                    <w14:schemeClr w14:val="tx1"/>
                  </w14:solidFill>
                </w14:textFill>
              </w:rPr>
            </w:pP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2、废水</w:t>
            </w:r>
          </w:p>
          <w:p>
            <w:pPr>
              <w:spacing w:line="360" w:lineRule="auto"/>
              <w:ind w:firstLine="480" w:firstLineChars="200"/>
              <w:jc w:val="left"/>
              <w:rPr>
                <w:color w:val="000000" w:themeColor="text1"/>
                <w:lang w:val="en-AU"/>
                <w14:textFill>
                  <w14:solidFill>
                    <w14:schemeClr w14:val="tx1"/>
                  </w14:solidFill>
                </w14:textFill>
              </w:rPr>
            </w:pPr>
            <w:r>
              <w:rPr>
                <w:rFonts w:hint="eastAsia"/>
                <w:color w:val="000000" w:themeColor="text1"/>
                <w14:textFill>
                  <w14:solidFill>
                    <w14:schemeClr w14:val="tx1"/>
                  </w14:solidFill>
                </w14:textFill>
              </w:rPr>
              <w:t>生活污水经化粪池处理后由市政污水管网排入芜湖市江北污水处理厂，经污水处理厂处理后排入长江，废水排放执行《污水综合排放标准》（</w:t>
            </w:r>
            <w:r>
              <w:rPr>
                <w:color w:val="000000" w:themeColor="text1"/>
                <w14:textFill>
                  <w14:solidFill>
                    <w14:schemeClr w14:val="tx1"/>
                  </w14:solidFill>
                </w14:textFill>
              </w:rPr>
              <w:t>GB8978-1996</w:t>
            </w:r>
            <w:r>
              <w:rPr>
                <w:rFonts w:hint="eastAsia"/>
                <w:color w:val="000000" w:themeColor="text1"/>
                <w14:textFill>
                  <w14:solidFill>
                    <w14:schemeClr w14:val="tx1"/>
                  </w14:solidFill>
                </w14:textFill>
              </w:rPr>
              <w:t>）表</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中的三级排放标准，芜湖市江北污水处理厂的出水执行《城镇污水处理厂污染物排放标准》（</w:t>
            </w:r>
            <w:r>
              <w:rPr>
                <w:color w:val="000000" w:themeColor="text1"/>
                <w14:textFill>
                  <w14:solidFill>
                    <w14:schemeClr w14:val="tx1"/>
                  </w14:solidFill>
                </w14:textFill>
              </w:rPr>
              <w:t>GB18918-2002</w:t>
            </w:r>
            <w:r>
              <w:rPr>
                <w:rFonts w:hint="eastAsia"/>
                <w:color w:val="000000" w:themeColor="text1"/>
                <w14:textFill>
                  <w14:solidFill>
                    <w14:schemeClr w14:val="tx1"/>
                  </w14:solidFill>
                </w14:textFill>
              </w:rPr>
              <w:t>）一级</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标准。</w:t>
            </w:r>
          </w:p>
          <w:p>
            <w:pPr>
              <w:widowControl/>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 xml:space="preserve">3-7 </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项目废水</w:t>
            </w:r>
            <w:r>
              <w:rPr>
                <w:b/>
                <w:bCs/>
                <w:color w:val="000000" w:themeColor="text1"/>
                <w14:textFill>
                  <w14:solidFill>
                    <w14:schemeClr w14:val="tx1"/>
                  </w14:solidFill>
                </w14:textFill>
              </w:rPr>
              <w:t>排放标准</w:t>
            </w:r>
            <w:r>
              <w:rPr>
                <w:rFonts w:hint="eastAsia"/>
                <w:b/>
                <w:bCs/>
                <w:color w:val="000000" w:themeColor="text1"/>
                <w14:textFill>
                  <w14:solidFill>
                    <w14:schemeClr w14:val="tx1"/>
                  </w14:solidFill>
                </w14:textFill>
              </w:rPr>
              <w:t xml:space="preserve">    </w:t>
            </w:r>
            <w:r>
              <w:rPr>
                <w:b/>
                <w:bCs/>
                <w:color w:val="000000" w:themeColor="text1"/>
                <w14:textFill>
                  <w14:solidFill>
                    <w14:schemeClr w14:val="tx1"/>
                  </w14:solidFill>
                </w14:textFill>
              </w:rPr>
              <w:t>（单位：mg/L</w:t>
            </w:r>
            <w:r>
              <w:rPr>
                <w:rFonts w:hint="eastAsia"/>
                <w:b/>
                <w:bCs/>
                <w:color w:val="000000" w:themeColor="text1"/>
                <w14:textFill>
                  <w14:solidFill>
                    <w14:schemeClr w14:val="tx1"/>
                  </w14:solidFill>
                </w14:textFill>
              </w:rPr>
              <w:t xml:space="preserve">，除 </w:t>
            </w:r>
            <w:r>
              <w:rPr>
                <w:b/>
                <w:bCs/>
                <w:color w:val="000000" w:themeColor="text1"/>
                <w14:textFill>
                  <w14:solidFill>
                    <w14:schemeClr w14:val="tx1"/>
                  </w14:solidFill>
                </w14:textFill>
              </w:rPr>
              <w:t xml:space="preserve">pH </w:t>
            </w:r>
            <w:r>
              <w:rPr>
                <w:rFonts w:hint="eastAsia"/>
                <w:b/>
                <w:bCs/>
                <w:color w:val="000000" w:themeColor="text1"/>
                <w14:textFill>
                  <w14:solidFill>
                    <w14:schemeClr w14:val="tx1"/>
                  </w14:solidFill>
                </w14:textFill>
              </w:rPr>
              <w:t>外）</w:t>
            </w:r>
          </w:p>
          <w:tbl>
            <w:tblPr>
              <w:tblStyle w:val="29"/>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3308"/>
              <w:gridCol w:w="999"/>
              <w:gridCol w:w="838"/>
              <w:gridCol w:w="889"/>
              <w:gridCol w:w="877"/>
              <w:gridCol w:w="956"/>
              <w:gridCol w:w="7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2826" w:type="dxa"/>
                  <w:tcBorders>
                    <w:top w:val="single" w:color="auto" w:sz="4" w:space="0"/>
                    <w:left w:val="single" w:color="000000"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污染物名称</w:t>
                  </w:r>
                </w:p>
              </w:tc>
              <w:tc>
                <w:tcPr>
                  <w:tcW w:w="85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COD</w:t>
                  </w:r>
                </w:p>
              </w:tc>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BOD</w:t>
                  </w:r>
                  <w:r>
                    <w:rPr>
                      <w:rFonts w:hint="eastAsia"/>
                      <w:color w:val="000000" w:themeColor="text1"/>
                      <w:sz w:val="21"/>
                      <w:szCs w:val="21"/>
                      <w:vertAlign w:val="subscript"/>
                      <w14:textFill>
                        <w14:solidFill>
                          <w14:schemeClr w14:val="tx1"/>
                        </w14:solidFill>
                      </w14:textFill>
                    </w:rPr>
                    <w:t>5</w:t>
                  </w: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SS</w:t>
                  </w:r>
                </w:p>
              </w:tc>
              <w:tc>
                <w:tcPr>
                  <w:tcW w:w="8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氨氮</w:t>
                  </w:r>
                </w:p>
              </w:tc>
              <w:tc>
                <w:tcPr>
                  <w:tcW w:w="6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TP</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282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《污水综合排放标准》（</w:t>
                  </w:r>
                  <w:r>
                    <w:rPr>
                      <w:color w:val="000000" w:themeColor="text1"/>
                      <w:sz w:val="21"/>
                      <w:szCs w:val="21"/>
                      <w14:textFill>
                        <w14:solidFill>
                          <w14:schemeClr w14:val="tx1"/>
                        </w14:solidFill>
                      </w14:textFill>
                    </w:rPr>
                    <w:t>GB8978-1996</w:t>
                  </w:r>
                  <w:r>
                    <w:rPr>
                      <w:rFonts w:hint="eastAsia"/>
                      <w:color w:val="000000" w:themeColor="text1"/>
                      <w:sz w:val="21"/>
                      <w:szCs w:val="21"/>
                      <w14:textFill>
                        <w14:solidFill>
                          <w14:schemeClr w14:val="tx1"/>
                        </w14:solidFill>
                      </w14:textFill>
                    </w:rPr>
                    <w:t xml:space="preserve">）表 </w:t>
                  </w:r>
                  <w:r>
                    <w:rPr>
                      <w:color w:val="000000" w:themeColor="text1"/>
                      <w:sz w:val="21"/>
                      <w:szCs w:val="21"/>
                      <w14:textFill>
                        <w14:solidFill>
                          <w14:schemeClr w14:val="tx1"/>
                        </w14:solidFill>
                      </w14:textFill>
                    </w:rPr>
                    <w:t xml:space="preserve">4 </w:t>
                  </w:r>
                  <w:r>
                    <w:rPr>
                      <w:rFonts w:hint="eastAsia"/>
                      <w:color w:val="000000" w:themeColor="text1"/>
                      <w:sz w:val="21"/>
                      <w:szCs w:val="21"/>
                      <w14:textFill>
                        <w14:solidFill>
                          <w14:schemeClr w14:val="tx1"/>
                        </w14:solidFill>
                      </w14:textFill>
                    </w:rPr>
                    <w:t>的三级标准</w:t>
                  </w:r>
                </w:p>
              </w:tc>
              <w:tc>
                <w:tcPr>
                  <w:tcW w:w="85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500</w:t>
                  </w:r>
                </w:p>
              </w:tc>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300</w:t>
                  </w: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400</w:t>
                  </w:r>
                </w:p>
              </w:tc>
              <w:tc>
                <w:tcPr>
                  <w:tcW w:w="8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282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《城镇污水处理厂污染物排放标准》（</w:t>
                  </w:r>
                  <w:r>
                    <w:rPr>
                      <w:color w:val="000000" w:themeColor="text1"/>
                      <w:sz w:val="21"/>
                      <w:szCs w:val="21"/>
                      <w14:textFill>
                        <w14:solidFill>
                          <w14:schemeClr w14:val="tx1"/>
                        </w14:solidFill>
                      </w14:textFill>
                    </w:rPr>
                    <w:t>GB18918-2002</w:t>
                  </w:r>
                  <w:r>
                    <w:rPr>
                      <w:rFonts w:hint="eastAsia"/>
                      <w:color w:val="000000" w:themeColor="text1"/>
                      <w:sz w:val="21"/>
                      <w:szCs w:val="21"/>
                      <w14:textFill>
                        <w14:solidFill>
                          <w14:schemeClr w14:val="tx1"/>
                        </w14:solidFill>
                      </w14:textFill>
                    </w:rPr>
                    <w:t xml:space="preserve">）一级 </w:t>
                  </w:r>
                  <w:r>
                    <w:rPr>
                      <w:color w:val="000000" w:themeColor="text1"/>
                      <w:sz w:val="21"/>
                      <w:szCs w:val="21"/>
                      <w14:textFill>
                        <w14:solidFill>
                          <w14:schemeClr w14:val="tx1"/>
                        </w14:solidFill>
                      </w14:textFill>
                    </w:rPr>
                    <w:t xml:space="preserve">A </w:t>
                  </w:r>
                  <w:r>
                    <w:rPr>
                      <w:rFonts w:hint="eastAsia"/>
                      <w:color w:val="000000" w:themeColor="text1"/>
                      <w:sz w:val="21"/>
                      <w:szCs w:val="21"/>
                      <w14:textFill>
                        <w14:solidFill>
                          <w14:schemeClr w14:val="tx1"/>
                        </w14:solidFill>
                      </w14:textFill>
                    </w:rPr>
                    <w:t>标准</w:t>
                  </w:r>
                </w:p>
              </w:tc>
              <w:tc>
                <w:tcPr>
                  <w:tcW w:w="85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w:t>
                  </w:r>
                </w:p>
              </w:tc>
              <w:tc>
                <w:tcPr>
                  <w:tcW w:w="7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p>
              </w:tc>
              <w:tc>
                <w:tcPr>
                  <w:tcW w:w="75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8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61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r>
          </w:tbl>
          <w:p>
            <w:pPr>
              <w:spacing w:line="360" w:lineRule="auto"/>
              <w:ind w:firstLine="480" w:firstLineChars="200"/>
              <w:rPr>
                <w:color w:val="000000" w:themeColor="text1"/>
                <w:highlight w:val="yellow"/>
                <w14:textFill>
                  <w14:solidFill>
                    <w14:schemeClr w14:val="tx1"/>
                  </w14:solidFill>
                </w14:textFill>
              </w:rPr>
            </w:pPr>
          </w:p>
          <w:p>
            <w:pPr>
              <w:spacing w:line="360" w:lineRule="auto"/>
              <w:rPr>
                <w:b/>
                <w:bCs/>
                <w:color w:val="000000" w:themeColor="text1"/>
                <w14:textFill>
                  <w14:solidFill>
                    <w14:schemeClr w14:val="tx1"/>
                  </w14:solidFill>
                </w14:textFill>
              </w:rPr>
            </w:pPr>
            <w:r>
              <w:rPr>
                <w:b/>
                <w:bCs/>
                <w:color w:val="000000" w:themeColor="text1"/>
                <w14:textFill>
                  <w14:solidFill>
                    <w14:schemeClr w14:val="tx1"/>
                  </w14:solidFill>
                </w14:textFill>
              </w:rPr>
              <w:t>3、噪声</w:t>
            </w:r>
          </w:p>
          <w:p>
            <w:pPr>
              <w:spacing w:line="360" w:lineRule="auto"/>
              <w:ind w:firstLine="480" w:firstLineChars="200"/>
              <w:jc w:val="left"/>
              <w:rPr>
                <w:color w:val="000000" w:themeColor="text1"/>
                <w14:textFill>
                  <w14:solidFill>
                    <w14:schemeClr w14:val="tx1"/>
                  </w14:solidFill>
                </w14:textFill>
              </w:rPr>
            </w:pPr>
            <w:r>
              <w:rPr>
                <w:color w:val="000000" w:themeColor="text1"/>
                <w:lang w:val="en-AU"/>
                <w14:textFill>
                  <w14:solidFill>
                    <w14:schemeClr w14:val="tx1"/>
                  </w14:solidFill>
                </w14:textFill>
              </w:rPr>
              <w:t>运营期厂界噪声执行《工业企业厂界环境噪声排放标准》（GB12348-2008）中</w:t>
            </w:r>
            <w:r>
              <w:rPr>
                <w:rFonts w:hint="eastAsia"/>
                <w:color w:val="000000" w:themeColor="text1"/>
                <w14:textFill>
                  <w14:solidFill>
                    <w14:schemeClr w14:val="tx1"/>
                  </w14:solidFill>
                </w14:textFill>
              </w:rPr>
              <w:t>3</w:t>
            </w:r>
            <w:r>
              <w:rPr>
                <w:color w:val="000000" w:themeColor="text1"/>
                <w:lang w:val="en-AU"/>
                <w14:textFill>
                  <w14:solidFill>
                    <w14:schemeClr w14:val="tx1"/>
                  </w14:solidFill>
                </w14:textFill>
              </w:rPr>
              <w:t>类标准</w:t>
            </w:r>
            <w:r>
              <w:rPr>
                <w:color w:val="000000" w:themeColor="text1"/>
                <w14:textFill>
                  <w14:solidFill>
                    <w14:schemeClr w14:val="tx1"/>
                  </w14:solidFill>
                </w14:textFill>
              </w:rPr>
              <w:t>。</w:t>
            </w:r>
          </w:p>
          <w:p>
            <w:pPr>
              <w:widowControl/>
              <w:spacing w:line="360" w:lineRule="auto"/>
              <w:jc w:val="center"/>
              <w:rPr>
                <w:b/>
                <w:bCs/>
                <w:color w:val="000000" w:themeColor="text1"/>
                <w14:textFill>
                  <w14:solidFill>
                    <w14:schemeClr w14:val="tx1"/>
                  </w14:solidFill>
                </w14:textFill>
              </w:rPr>
            </w:pPr>
          </w:p>
          <w:p>
            <w:pPr>
              <w:widowControl/>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 xml:space="preserve">3-8 噪声排放限值   </w:t>
            </w:r>
            <w:r>
              <w:rPr>
                <w:b/>
                <w:bCs/>
                <w:color w:val="000000" w:themeColor="text1"/>
                <w14:textFill>
                  <w14:solidFill>
                    <w14:schemeClr w14:val="tx1"/>
                  </w14:solidFill>
                </w14:textFill>
              </w:rPr>
              <w:t>单位：dB(A)</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0"/>
              <w:gridCol w:w="1663"/>
              <w:gridCol w:w="2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86"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类别</w:t>
                  </w:r>
                </w:p>
              </w:tc>
              <w:tc>
                <w:tcPr>
                  <w:tcW w:w="967"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346"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86"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《工业企业厂界环境噪声排放标准》（</w:t>
                  </w:r>
                  <w:r>
                    <w:rPr>
                      <w:color w:val="000000" w:themeColor="text1"/>
                      <w:sz w:val="21"/>
                      <w:szCs w:val="21"/>
                      <w14:textFill>
                        <w14:solidFill>
                          <w14:schemeClr w14:val="tx1"/>
                        </w14:solidFill>
                      </w14:textFill>
                    </w:rPr>
                    <w:t>GB12348-2008</w:t>
                  </w:r>
                  <w:r>
                    <w:rPr>
                      <w:rFonts w:hint="eastAsia"/>
                      <w:color w:val="000000" w:themeColor="text1"/>
                      <w:sz w:val="21"/>
                      <w:szCs w:val="21"/>
                      <w14:textFill>
                        <w14:solidFill>
                          <w14:schemeClr w14:val="tx1"/>
                        </w14:solidFill>
                      </w14:textFill>
                    </w:rPr>
                    <w:t xml:space="preserve">）中 </w:t>
                  </w:r>
                  <w:r>
                    <w:rPr>
                      <w:color w:val="000000" w:themeColor="text1"/>
                      <w:sz w:val="21"/>
                      <w:szCs w:val="21"/>
                      <w14:textFill>
                        <w14:solidFill>
                          <w14:schemeClr w14:val="tx1"/>
                        </w14:solidFill>
                      </w14:textFill>
                    </w:rPr>
                    <w:t xml:space="preserve">3 </w:t>
                  </w:r>
                  <w:r>
                    <w:rPr>
                      <w:rFonts w:hint="eastAsia"/>
                      <w:color w:val="000000" w:themeColor="text1"/>
                      <w:sz w:val="21"/>
                      <w:szCs w:val="21"/>
                      <w14:textFill>
                        <w14:solidFill>
                          <w14:schemeClr w14:val="tx1"/>
                        </w14:solidFill>
                      </w14:textFill>
                    </w:rPr>
                    <w:t>类标准</w:t>
                  </w:r>
                </w:p>
              </w:tc>
              <w:tc>
                <w:tcPr>
                  <w:tcW w:w="967"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65</w:t>
                  </w:r>
                </w:p>
              </w:tc>
              <w:tc>
                <w:tcPr>
                  <w:tcW w:w="1346" w:type="pct"/>
                  <w:vAlign w:val="center"/>
                </w:tcPr>
                <w:p>
                  <w:pPr>
                    <w:keepNex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r>
          </w:tbl>
          <w:p>
            <w:pPr>
              <w:spacing w:line="360" w:lineRule="auto"/>
              <w:jc w:val="left"/>
              <w:rPr>
                <w:b/>
                <w:bCs/>
                <w:snapToGrid w:val="0"/>
                <w:color w:val="000000" w:themeColor="text1"/>
                <w14:textFill>
                  <w14:solidFill>
                    <w14:schemeClr w14:val="tx1"/>
                  </w14:solidFill>
                </w14:textFill>
              </w:rPr>
            </w:pPr>
          </w:p>
          <w:p>
            <w:pPr>
              <w:spacing w:line="360" w:lineRule="auto"/>
              <w:jc w:val="left"/>
              <w:rPr>
                <w:b/>
                <w:bCs/>
                <w:snapToGrid w:val="0"/>
                <w:color w:val="000000" w:themeColor="text1"/>
                <w14:textFill>
                  <w14:solidFill>
                    <w14:schemeClr w14:val="tx1"/>
                  </w14:solidFill>
                </w14:textFill>
              </w:rPr>
            </w:pPr>
            <w:r>
              <w:rPr>
                <w:b/>
                <w:bCs/>
                <w:snapToGrid w:val="0"/>
                <w:color w:val="000000" w:themeColor="text1"/>
                <w14:textFill>
                  <w14:solidFill>
                    <w14:schemeClr w14:val="tx1"/>
                  </w14:solidFill>
                </w14:textFill>
              </w:rPr>
              <w:t>4、固体废物</w:t>
            </w:r>
          </w:p>
          <w:p>
            <w:pPr>
              <w:spacing w:line="360" w:lineRule="auto"/>
              <w:ind w:firstLine="480" w:firstLineChars="200"/>
              <w:jc w:val="left"/>
              <w:rPr>
                <w:rFonts w:eastAsia="黑体"/>
                <w:snapToGrid w:val="0"/>
                <w:color w:val="000000" w:themeColor="text1"/>
                <w:sz w:val="30"/>
                <w:szCs w:val="30"/>
                <w:highlight w:val="yellow"/>
                <w14:textFill>
                  <w14:solidFill>
                    <w14:schemeClr w14:val="tx1"/>
                  </w14:solidFill>
                </w14:textFill>
              </w:rPr>
            </w:pPr>
            <w:r>
              <w:rPr>
                <w:color w:val="000000" w:themeColor="text1"/>
                <w14:textFill>
                  <w14:solidFill>
                    <w14:schemeClr w14:val="tx1"/>
                  </w14:solidFill>
                </w14:textFill>
              </w:rPr>
              <w:t>一般工业固体废物</w:t>
            </w:r>
            <w:r>
              <w:rPr>
                <w:rFonts w:hint="eastAsia"/>
                <w:color w:val="000000" w:themeColor="text1"/>
                <w14:textFill>
                  <w14:solidFill>
                    <w14:schemeClr w14:val="tx1"/>
                  </w14:solidFill>
                </w14:textFill>
              </w:rPr>
              <w:t>的储存、处置</w:t>
            </w:r>
            <w:r>
              <w:rPr>
                <w:color w:val="000000" w:themeColor="text1"/>
                <w14:textFill>
                  <w14:solidFill>
                    <w14:schemeClr w14:val="tx1"/>
                  </w14:solidFill>
                </w14:textFill>
              </w:rPr>
              <w:t>执行《中华人民共和国固体废物污染环境防治法》（2020.9.1施行），参照执行《一般工业固体废物贮存和填埋污染控制标准》（GB 18599-2020）。</w:t>
            </w:r>
            <w:r>
              <w:rPr>
                <w:rFonts w:hint="eastAsia"/>
                <w:color w:val="000000" w:themeColor="text1"/>
                <w14:textFill>
                  <w14:solidFill>
                    <w14:schemeClr w14:val="tx1"/>
                  </w14:solidFill>
                </w14:textFill>
              </w:rPr>
              <w:t>危险废物贮存执行《危险废物贮存污染控制标准》（</w:t>
            </w:r>
            <w:r>
              <w:rPr>
                <w:color w:val="000000" w:themeColor="text1"/>
                <w14:textFill>
                  <w14:solidFill>
                    <w14:schemeClr w14:val="tx1"/>
                  </w14:solidFill>
                </w14:textFill>
              </w:rPr>
              <w:t>GB18597-2001</w:t>
            </w:r>
            <w:r>
              <w:rPr>
                <w:rFonts w:hint="eastAsia"/>
                <w:color w:val="000000" w:themeColor="text1"/>
                <w14:textFill>
                  <w14:solidFill>
                    <w14:schemeClr w14:val="tx1"/>
                  </w14:solidFill>
                </w14:textFill>
              </w:rPr>
              <w:t xml:space="preserve">）及其 </w:t>
            </w:r>
            <w:r>
              <w:rPr>
                <w:color w:val="000000" w:themeColor="text1"/>
                <w14:textFill>
                  <w14:solidFill>
                    <w14:schemeClr w14:val="tx1"/>
                  </w14:solidFill>
                </w14:textFill>
              </w:rPr>
              <w:t xml:space="preserve">2013 </w:t>
            </w:r>
            <w:r>
              <w:rPr>
                <w:rFonts w:hint="eastAsia"/>
                <w:color w:val="000000" w:themeColor="text1"/>
                <w14:textFill>
                  <w14:solidFill>
                    <w14:schemeClr w14:val="tx1"/>
                  </w14:solidFill>
                </w14:textFill>
              </w:rPr>
              <w:t xml:space="preserve">年修改单中的有关规定。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464" w:type="dxa"/>
            <w:vAlign w:val="center"/>
          </w:tcPr>
          <w:p>
            <w:pPr>
              <w:spacing w:line="360"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总量</w:t>
            </w:r>
          </w:p>
          <w:p>
            <w:pPr>
              <w:spacing w:line="360" w:lineRule="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控制</w:t>
            </w:r>
          </w:p>
          <w:p>
            <w:pPr>
              <w:spacing w:line="360" w:lineRule="auto"/>
              <w:jc w:val="center"/>
              <w:rPr>
                <w:color w:val="000000" w:themeColor="text1"/>
                <w:kern w:val="0"/>
                <w:szCs w:val="21"/>
                <w:highlight w:val="yellow"/>
                <w14:textFill>
                  <w14:solidFill>
                    <w14:schemeClr w14:val="tx1"/>
                  </w14:solidFill>
                </w14:textFill>
              </w:rPr>
            </w:pPr>
            <w:r>
              <w:rPr>
                <w:color w:val="000000" w:themeColor="text1"/>
                <w:kern w:val="0"/>
                <w:szCs w:val="21"/>
                <w14:textFill>
                  <w14:solidFill>
                    <w14:schemeClr w14:val="tx1"/>
                  </w14:solidFill>
                </w14:textFill>
              </w:rPr>
              <w:t>指标</w:t>
            </w:r>
          </w:p>
        </w:tc>
        <w:tc>
          <w:tcPr>
            <w:tcW w:w="8824" w:type="dxa"/>
            <w:vAlign w:val="center"/>
          </w:tcPr>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根据《国务院关于印发&lt;“十四五”节能减排综合工作方案&gt;的通知》（国发[2021]33 号），目前国家对化学需氧量 COD、氨氮、氮氧化物、VOCs 等四种主要污染物纳入排放总量控制计划管理。</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项目废水产生量为</w:t>
            </w:r>
            <w:r>
              <w:rPr>
                <w:rFonts w:hint="eastAsia"/>
                <w:color w:val="000000" w:themeColor="text1"/>
                <w14:textFill>
                  <w14:solidFill>
                    <w14:schemeClr w14:val="tx1"/>
                  </w14:solidFill>
                </w14:textFill>
              </w:rPr>
              <w:t>2119.8</w:t>
            </w:r>
            <w:r>
              <w:rPr>
                <w:color w:val="000000" w:themeColor="text1"/>
                <w14:textFill>
                  <w14:solidFill>
                    <w14:schemeClr w14:val="tx1"/>
                  </w14:solidFill>
                </w14:textFill>
              </w:rPr>
              <w:t>t/a。产生的废水接入市政污水管网入</w:t>
            </w:r>
            <w:r>
              <w:rPr>
                <w:rFonts w:hint="eastAsia"/>
                <w:bCs/>
                <w:color w:val="000000" w:themeColor="text1"/>
                <w14:textFill>
                  <w14:solidFill>
                    <w14:schemeClr w14:val="tx1"/>
                  </w14:solidFill>
                </w14:textFill>
              </w:rPr>
              <w:t>芜湖市江北污水处理厂</w:t>
            </w:r>
            <w:r>
              <w:rPr>
                <w:rFonts w:eastAsia="Times New Roman"/>
                <w:color w:val="000000" w:themeColor="text1"/>
                <w:kern w:val="0"/>
                <w14:textFill>
                  <w14:solidFill>
                    <w14:schemeClr w14:val="tx1"/>
                  </w14:solidFill>
                </w14:textFill>
              </w:rPr>
              <w:t>处理</w:t>
            </w:r>
            <w:r>
              <w:rPr>
                <w:color w:val="000000" w:themeColor="text1"/>
                <w14:textFill>
                  <w14:solidFill>
                    <w14:schemeClr w14:val="tx1"/>
                  </w14:solidFill>
                </w14:textFill>
              </w:rPr>
              <w:t>，本项目废水污染物排放总量计入</w:t>
            </w:r>
            <w:r>
              <w:rPr>
                <w:rFonts w:hint="eastAsia"/>
                <w:bCs/>
                <w:color w:val="000000" w:themeColor="text1"/>
                <w14:textFill>
                  <w14:solidFill>
                    <w14:schemeClr w14:val="tx1"/>
                  </w14:solidFill>
                </w14:textFill>
              </w:rPr>
              <w:t>芜湖市江北污水处理厂</w:t>
            </w:r>
            <w:r>
              <w:rPr>
                <w:rFonts w:eastAsia="Times New Roman"/>
                <w:color w:val="000000" w:themeColor="text1"/>
                <w:kern w:val="0"/>
                <w14:textFill>
                  <w14:solidFill>
                    <w14:schemeClr w14:val="tx1"/>
                  </w14:solidFill>
                </w14:textFill>
              </w:rPr>
              <w:t>处理</w:t>
            </w:r>
            <w:r>
              <w:rPr>
                <w:color w:val="000000" w:themeColor="text1"/>
                <w14:textFill>
                  <w14:solidFill>
                    <w14:schemeClr w14:val="tx1"/>
                  </w14:solidFill>
                </w14:textFill>
              </w:rPr>
              <w:t>总量指标内，不另外下达。本环评给出项目污水排入环境中的量作为环境主管部门参考，COD：</w:t>
            </w:r>
            <w:r>
              <w:rPr>
                <w:rFonts w:hint="eastAsia"/>
                <w:color w:val="000000" w:themeColor="text1"/>
                <w14:textFill>
                  <w14:solidFill>
                    <w14:schemeClr w14:val="tx1"/>
                  </w14:solidFill>
                </w14:textFill>
              </w:rPr>
              <w:t>0.5276t</w:t>
            </w:r>
            <w:r>
              <w:rPr>
                <w:color w:val="000000" w:themeColor="text1"/>
                <w14:textFill>
                  <w14:solidFill>
                    <w14:schemeClr w14:val="tx1"/>
                  </w14:solidFill>
                </w14:textFill>
              </w:rPr>
              <w:t>/a；NH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w:t>
            </w:r>
            <w:r>
              <w:rPr>
                <w:rFonts w:hint="eastAsia"/>
                <w:color w:val="000000" w:themeColor="text1"/>
                <w14:textFill>
                  <w14:solidFill>
                    <w14:schemeClr w14:val="tx1"/>
                  </w14:solidFill>
                </w14:textFill>
              </w:rPr>
              <w:t>0.06318t</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以</w:t>
            </w:r>
            <w:r>
              <w:rPr>
                <w:rFonts w:hint="eastAsia"/>
                <w:bCs/>
                <w:color w:val="000000" w:themeColor="text1"/>
                <w14:textFill>
                  <w14:solidFill>
                    <w14:schemeClr w14:val="tx1"/>
                  </w14:solidFill>
                </w14:textFill>
              </w:rPr>
              <w:t>芜湖市江北污水处理厂</w:t>
            </w:r>
            <w:r>
              <w:rPr>
                <w:color w:val="000000" w:themeColor="text1"/>
                <w14:textFill>
                  <w14:solidFill>
                    <w14:schemeClr w14:val="tx1"/>
                  </w14:solidFill>
                </w14:textFill>
              </w:rPr>
              <w:t>处理</w:t>
            </w:r>
            <w:r>
              <w:rPr>
                <w:rFonts w:hint="eastAsia"/>
                <w:color w:val="000000" w:themeColor="text1"/>
                <w14:textFill>
                  <w14:solidFill>
                    <w14:schemeClr w14:val="tx1"/>
                  </w14:solidFill>
                </w14:textFill>
              </w:rPr>
              <w:t>出水水质核算）。VOCs为0.1592t/a。</w:t>
            </w:r>
          </w:p>
          <w:p>
            <w:pPr>
              <w:spacing w:line="360" w:lineRule="auto"/>
              <w:ind w:firstLine="480" w:firstLineChars="200"/>
              <w:rPr>
                <w:color w:val="000000" w:themeColor="text1"/>
                <w14:textFill>
                  <w14:solidFill>
                    <w14:schemeClr w14:val="tx1"/>
                  </w14:solidFill>
                </w14:textFill>
              </w:rPr>
            </w:pPr>
          </w:p>
          <w:p>
            <w:pPr>
              <w:pStyle w:val="6"/>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6"/>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6"/>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6"/>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6"/>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4"/>
              <w:rPr>
                <w:color w:val="000000" w:themeColor="text1"/>
                <w14:textFill>
                  <w14:solidFill>
                    <w14:schemeClr w14:val="tx1"/>
                  </w14:solidFill>
                </w14:textFill>
              </w:rPr>
            </w:pPr>
          </w:p>
        </w:tc>
      </w:tr>
    </w:tbl>
    <w:p>
      <w:pPr>
        <w:pStyle w:val="21"/>
        <w:rPr>
          <w:rFonts w:ascii="黑体" w:hAnsi="黑体" w:eastAsia="黑体"/>
          <w:snapToGrid w:val="0"/>
          <w:color w:val="000000" w:themeColor="text1"/>
          <w:sz w:val="30"/>
          <w:szCs w:val="30"/>
          <w:highlight w:val="yellow"/>
          <w14:textFill>
            <w14:solidFill>
              <w14:schemeClr w14:val="tx1"/>
            </w14:solidFill>
          </w14:textFill>
        </w:rPr>
        <w:sectPr>
          <w:pgSz w:w="11906" w:h="16838"/>
          <w:pgMar w:top="1440" w:right="1417" w:bottom="1440" w:left="1417" w:header="851" w:footer="992" w:gutter="0"/>
          <w:cols w:space="425" w:num="1"/>
          <w:docGrid w:type="lines" w:linePitch="312" w:charSpace="0"/>
        </w:sectPr>
      </w:pPr>
    </w:p>
    <w:p>
      <w:pPr>
        <w:pStyle w:val="3"/>
        <w:spacing w:beforeAutospacing="0" w:afterAutospacing="0"/>
        <w:jc w:val="both"/>
        <w:rPr>
          <w:rFonts w:hint="default" w:ascii="黑体" w:hAnsi="黑体" w:eastAsia="黑体"/>
          <w:b w:val="0"/>
          <w:bCs w:val="0"/>
          <w:snapToGrid w:val="0"/>
          <w:color w:val="000000" w:themeColor="text1"/>
          <w:kern w:val="0"/>
          <w:sz w:val="30"/>
          <w:szCs w:val="30"/>
          <w14:textFill>
            <w14:solidFill>
              <w14:schemeClr w14:val="tx1"/>
            </w14:solidFill>
          </w14:textFill>
        </w:rPr>
      </w:pPr>
      <w:r>
        <w:rPr>
          <w:rFonts w:ascii="黑体" w:hAnsi="黑体" w:eastAsia="黑体"/>
          <w:b w:val="0"/>
          <w:bCs w:val="0"/>
          <w:snapToGrid w:val="0"/>
          <w:color w:val="000000" w:themeColor="text1"/>
          <w:kern w:val="0"/>
          <w:sz w:val="30"/>
          <w:szCs w:val="30"/>
          <w14:textFill>
            <w14:solidFill>
              <w14:schemeClr w14:val="tx1"/>
            </w14:solidFill>
          </w14:textFill>
        </w:rPr>
        <w:t>四、主要环境影响和保护措施</w:t>
      </w:r>
      <w:bookmarkEnd w:id="4"/>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9"/>
        <w:gridCol w:w="86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2" w:type="dxa"/>
            <w:tcMar>
              <w:left w:w="28" w:type="dxa"/>
              <w:right w:w="28" w:type="dxa"/>
            </w:tcMar>
            <w:vAlign w:val="center"/>
          </w:tcPr>
          <w:p>
            <w:pPr>
              <w:pStyle w:val="25"/>
              <w:adjustRightInd w:val="0"/>
              <w:snapToGrid w:val="0"/>
              <w:spacing w:before="0" w:beforeAutospacing="0" w:after="0" w:afterAutospacing="0" w:line="360" w:lineRule="auto"/>
              <w:jc w:val="center"/>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施工</w:t>
            </w:r>
          </w:p>
          <w:p>
            <w:pPr>
              <w:pStyle w:val="25"/>
              <w:adjustRightInd w:val="0"/>
              <w:snapToGrid w:val="0"/>
              <w:spacing w:before="0" w:beforeAutospacing="0" w:after="0" w:afterAutospacing="0" w:line="360" w:lineRule="auto"/>
              <w:jc w:val="center"/>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期环</w:t>
            </w:r>
          </w:p>
          <w:p>
            <w:pPr>
              <w:pStyle w:val="25"/>
              <w:adjustRightInd w:val="0"/>
              <w:snapToGrid w:val="0"/>
              <w:spacing w:before="0" w:beforeAutospacing="0" w:after="0" w:afterAutospacing="0" w:line="360" w:lineRule="auto"/>
              <w:jc w:val="center"/>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境保</w:t>
            </w:r>
          </w:p>
          <w:p>
            <w:pPr>
              <w:pStyle w:val="25"/>
              <w:adjustRightInd w:val="0"/>
              <w:snapToGrid w:val="0"/>
              <w:spacing w:before="0" w:beforeAutospacing="0" w:after="0" w:afterAutospacing="0" w:line="360" w:lineRule="auto"/>
              <w:jc w:val="center"/>
              <w:rPr>
                <w:rFonts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护措</w:t>
            </w:r>
          </w:p>
          <w:p>
            <w:pPr>
              <w:pStyle w:val="25"/>
              <w:adjustRightInd w:val="0"/>
              <w:snapToGrid w:val="0"/>
              <w:spacing w:before="0" w:beforeAutospacing="0" w:after="0" w:afterAutospacing="0" w:line="360" w:lineRule="auto"/>
              <w:jc w:val="center"/>
              <w:rPr>
                <w:rFonts w:cs="宋体"/>
                <w:bCs/>
                <w:color w:val="000000" w:themeColor="text1"/>
                <w:kern w:val="2"/>
                <w:sz w:val="21"/>
                <w:szCs w:val="21"/>
                <w:highlight w:val="yellow"/>
                <w14:textFill>
                  <w14:solidFill>
                    <w14:schemeClr w14:val="tx1"/>
                  </w14:solidFill>
                </w14:textFill>
              </w:rPr>
            </w:pPr>
            <w:r>
              <w:rPr>
                <w:rFonts w:hint="eastAsia" w:cs="宋体"/>
                <w:color w:val="000000" w:themeColor="text1"/>
                <w:kern w:val="2"/>
                <w:szCs w:val="24"/>
                <w14:textFill>
                  <w14:solidFill>
                    <w14:schemeClr w14:val="tx1"/>
                  </w14:solidFill>
                </w14:textFill>
              </w:rPr>
              <w:t>施</w:t>
            </w:r>
          </w:p>
        </w:tc>
        <w:tc>
          <w:tcPr>
            <w:tcW w:w="8406" w:type="dxa"/>
            <w:vAlign w:val="center"/>
          </w:tcPr>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在原有厂房基础上，本项目施工期主要为生产设备的安装调试，不涉及土建,施工期短，对环境的污染较小，故不再对施工期环境影响进行分析。</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利用现有厂房进行建设。因此，施工期内容仅是对已有厂房进行布置及局部改造（如用电线路、排气、排水管线改造等）和生产设备的安装及预埋固定钢件的处理，无大规模土建施工过程。在施工建设期间，各项施工活动、设备运输会产生废气、废水、噪声、固体废物等，会对周围的环境产生一定的影响。本项目施工内容简单，施工期较短。</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因此，本项目施工期间对项目所在区域环境的影响时间短、强度小。</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（1）施工期废水环境影响分析</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项目利用已建厂房进行生产，无土建施工，施工期废水主要为施工人员生活污水。施工人员生活污水主要污染物为COD、NH</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-N 等，可依托现有厂区现有卫生设施及污水管网，直接纳入市政污水管网。</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（2）施工期大气环境影响分析</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项目施工过程中产生废气主要为环保设备安装过程产生的少量焊接粉尘和运输车辆产生的汽车尾气和扬尘。</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施工场所位于现有厂房室外，施工期较短，少量焊接废气不会对周边环境造成明显影响。施工期间的设备运输车辆，在运行期间要排放汽车尾气，主要污染物为 CO、碳氢化合物和 NO</w:t>
            </w:r>
            <w:r>
              <w:rPr>
                <w:rFonts w:hint="eastAsia"/>
                <w:color w:val="000000" w:themeColor="text1"/>
                <w:vertAlign w:val="subscript"/>
                <w14:textFill>
                  <w14:solidFill>
                    <w14:schemeClr w14:val="tx1"/>
                  </w14:solidFill>
                </w14:textFill>
              </w:rPr>
              <w:t>X</w:t>
            </w:r>
            <w:r>
              <w:rPr>
                <w:rFonts w:hint="eastAsia"/>
                <w:color w:val="000000" w:themeColor="text1"/>
                <w14:textFill>
                  <w14:solidFill>
                    <w14:schemeClr w14:val="tx1"/>
                  </w14:solidFill>
                </w14:textFill>
              </w:rPr>
              <w:t>等。施工期设备运输过程较为短暂，影响有限，随着设备入场安装，施工期车辆汽车尾气的影响也随即消失。</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（3）施工期声环境影响分析</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项目不涉及土建，不使用打桩、混凝土搅拌机、振捣棒等高噪声设备，施工噪声主要来源于环保设备的安装、焊接等机械噪声，以及运输车辆产生的运输噪声。</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施工现场噪声声源合理布局，合理安排作业时间，施工车辆运输路线尽量避开周边声环境敏感目标，可符合《建筑施工场界环境噪声排放标准》(GB12523-2011)的规定，对周边声环境影响较小。</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（4）施工期固废环境影响分析</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施工垃圾主要来自施工所产生的建筑垃圾和施工队伍的生活垃圾。</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施工期间将涉及到管道敷设、材料运输、基础工程等工程，在此期间产生废弃建筑材料如砂石、石灰、混凝土、废砖等。</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对施工现场要及时进行清理，建筑垃圾要及时清运、加以利用，防止其因长期堆放而产生扬尘。</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施工过程中产生的生活垃圾依托厂区内现有生活垃圾处理设施，由环卫部门定期清运，对周边环境影响不大。</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综上，项目在落实上述施工期控制措施后，施工期环境影响不大。</w:t>
            </w:r>
          </w:p>
          <w:p>
            <w:pPr>
              <w:spacing w:line="360" w:lineRule="auto"/>
              <w:ind w:firstLine="480" w:firstLineChars="200"/>
              <w:jc w:val="left"/>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p>
            <w:pPr>
              <w:pStyle w:val="27"/>
              <w:rPr>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2" w:type="dxa"/>
            <w:tcMar>
              <w:left w:w="28" w:type="dxa"/>
              <w:right w:w="28" w:type="dxa"/>
            </w:tcMar>
            <w:vAlign w:val="center"/>
          </w:tcPr>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运营</w:t>
            </w:r>
          </w:p>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期环</w:t>
            </w:r>
          </w:p>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境影</w:t>
            </w:r>
          </w:p>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响和</w:t>
            </w:r>
          </w:p>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保护</w:t>
            </w:r>
          </w:p>
          <w:p>
            <w:pPr>
              <w:adjustRightInd w:val="0"/>
              <w:snapToGrid w:val="0"/>
              <w:spacing w:line="360" w:lineRule="auto"/>
              <w:jc w:val="center"/>
              <w:rPr>
                <w:rFonts w:ascii="宋体" w:hAnsi="宋体" w:cs="宋体"/>
                <w:bCs/>
                <w:color w:val="000000" w:themeColor="text1"/>
                <w:szCs w:val="21"/>
                <w:highlight w:val="yellow"/>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措施</w:t>
            </w:r>
          </w:p>
        </w:tc>
        <w:tc>
          <w:tcPr>
            <w:tcW w:w="8406" w:type="dxa"/>
          </w:tcPr>
          <w:p>
            <w:pPr>
              <w:adjustRightInd w:val="0"/>
              <w:snapToGrid w:val="0"/>
              <w:spacing w:line="360" w:lineRule="auto"/>
              <w:ind w:firstLine="482" w:firstLineChars="200"/>
              <w:rPr>
                <w:rFonts w:ascii="宋体" w:hAnsi="宋体" w:cs="宋体"/>
                <w:b/>
                <w:bCs/>
                <w:color w:val="000000" w:themeColor="text1"/>
                <w:szCs w:val="21"/>
                <w:lang w:bidi="ar"/>
                <w14:textFill>
                  <w14:solidFill>
                    <w14:schemeClr w14:val="tx1"/>
                  </w14:solidFill>
                </w14:textFill>
              </w:rPr>
            </w:pPr>
            <w:r>
              <w:rPr>
                <w:rFonts w:hint="eastAsia" w:ascii="宋体" w:hAnsi="宋体"/>
                <w:b/>
                <w:bCs/>
                <w:color w:val="000000" w:themeColor="text1"/>
                <w14:textFill>
                  <w14:solidFill>
                    <w14:schemeClr w14:val="tx1"/>
                  </w14:solidFill>
                </w14:textFill>
              </w:rPr>
              <w:t>（一）废水污染环境影响和保护措施</w:t>
            </w:r>
          </w:p>
          <w:p>
            <w:pPr>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污染物</w:t>
            </w:r>
            <w:r>
              <w:rPr>
                <w:rFonts w:hint="eastAsia"/>
                <w:b/>
                <w:bCs/>
                <w:color w:val="000000" w:themeColor="text1"/>
                <w14:textFill>
                  <w14:solidFill>
                    <w14:schemeClr w14:val="tx1"/>
                  </w14:solidFill>
                </w14:textFill>
              </w:rPr>
              <w:t>排放</w:t>
            </w:r>
            <w:r>
              <w:rPr>
                <w:b/>
                <w:bCs/>
                <w:color w:val="000000" w:themeColor="text1"/>
                <w14:textFill>
                  <w14:solidFill>
                    <w14:schemeClr w14:val="tx1"/>
                  </w14:solidFill>
                </w14:textFill>
              </w:rPr>
              <w:t>情况</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本项目外排废水主要为生活污水、地面清洗废水、纯水制备产生的浓水，</w:t>
            </w:r>
            <w:r>
              <w:rPr>
                <w:rFonts w:hint="eastAsia"/>
                <w:color w:val="000000" w:themeColor="text1"/>
                <w:kern w:val="0"/>
                <w:lang w:bidi="ar"/>
                <w14:textFill>
                  <w14:solidFill>
                    <w14:schemeClr w14:val="tx1"/>
                  </w14:solidFill>
                </w14:textFill>
              </w:rPr>
              <w:t>办公生活</w:t>
            </w:r>
            <w:r>
              <w:rPr>
                <w:color w:val="000000" w:themeColor="text1"/>
                <w:kern w:val="0"/>
                <w:lang w:bidi="ar"/>
                <w14:textFill>
                  <w14:solidFill>
                    <w14:schemeClr w14:val="tx1"/>
                  </w14:solidFill>
                </w14:textFill>
              </w:rPr>
              <w:t>废水产生量为</w:t>
            </w:r>
            <w:r>
              <w:rPr>
                <w:rFonts w:hint="eastAsia"/>
                <w:color w:val="000000" w:themeColor="text1"/>
                <w:kern w:val="0"/>
                <w:lang w:bidi="ar"/>
                <w14:textFill>
                  <w14:solidFill>
                    <w14:schemeClr w14:val="tx1"/>
                  </w14:solidFill>
                </w14:textFill>
              </w:rPr>
              <w:t>4.8</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/d（</w:t>
            </w:r>
            <w:r>
              <w:rPr>
                <w:rFonts w:hint="eastAsia"/>
                <w:color w:val="000000" w:themeColor="text1"/>
                <w:kern w:val="0"/>
                <w:lang w:bidi="ar"/>
                <w14:textFill>
                  <w14:solidFill>
                    <w14:schemeClr w14:val="tx1"/>
                  </w14:solidFill>
                </w14:textFill>
              </w:rPr>
              <w:t>1440</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/a）</w:t>
            </w:r>
            <w:r>
              <w:rPr>
                <w:rFonts w:hint="eastAsia"/>
                <w:color w:val="000000" w:themeColor="text1"/>
                <w:kern w:val="0"/>
                <w:lang w:bidi="ar"/>
                <w14:textFill>
                  <w14:solidFill>
                    <w14:schemeClr w14:val="tx1"/>
                  </w14:solidFill>
                </w14:textFill>
              </w:rPr>
              <w:t>，</w:t>
            </w:r>
            <w:r>
              <w:rPr>
                <w:rFonts w:hint="eastAsia"/>
                <w:color w:val="000000" w:themeColor="text1"/>
                <w14:textFill>
                  <w14:solidFill>
                    <w14:schemeClr w14:val="tx1"/>
                  </w14:solidFill>
                </w14:textFill>
              </w:rPr>
              <w:t>地面清洗废水量为2.226m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/d，合667.8m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w:t>
            </w:r>
            <w:r>
              <w:rPr>
                <w:rFonts w:hint="eastAsia"/>
                <w:color w:val="000000" w:themeColor="text1"/>
                <w:kern w:val="0"/>
                <w:lang w:bidi="ar"/>
                <w14:textFill>
                  <w14:solidFill>
                    <w14:schemeClr w14:val="tx1"/>
                  </w14:solidFill>
                </w14:textFill>
              </w:rPr>
              <w:t>浓水量为12</w:t>
            </w:r>
            <w:r>
              <w:rPr>
                <w:color w:val="000000" w:themeColor="text1"/>
                <w:kern w:val="0"/>
                <w:lang w:bidi="ar"/>
                <w14:textFill>
                  <w14:solidFill>
                    <w14:schemeClr w14:val="tx1"/>
                  </w14:solidFill>
                </w14:textFill>
              </w:rPr>
              <w:t>m</w:t>
            </w:r>
            <w:r>
              <w:rPr>
                <w:color w:val="000000" w:themeColor="text1"/>
                <w:kern w:val="0"/>
                <w:vertAlign w:val="superscript"/>
                <w:lang w:bidi="ar"/>
                <w14:textFill>
                  <w14:solidFill>
                    <w14:schemeClr w14:val="tx1"/>
                  </w14:solidFill>
                </w14:textFill>
              </w:rPr>
              <w:t>3</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a</w:t>
            </w:r>
            <w:r>
              <w:rPr>
                <w:color w:val="000000" w:themeColor="text1"/>
                <w:kern w:val="0"/>
                <w:lang w:bidi="ar"/>
                <w14:textFill>
                  <w14:solidFill>
                    <w14:schemeClr w14:val="tx1"/>
                  </w14:solidFill>
                </w14:textFill>
              </w:rPr>
              <w:t>。</w:t>
            </w:r>
            <w:r>
              <w:rPr>
                <w:rFonts w:hint="eastAsia"/>
                <w:color w:val="000000" w:themeColor="text1"/>
                <w:kern w:val="0"/>
                <w:lang w:bidi="ar"/>
                <w14:textFill>
                  <w14:solidFill>
                    <w14:schemeClr w14:val="tx1"/>
                  </w14:solidFill>
                </w14:textFill>
              </w:rPr>
              <w:t>办公生活废水、</w:t>
            </w:r>
            <w:r>
              <w:rPr>
                <w:rFonts w:hint="eastAsia"/>
                <w:color w:val="000000" w:themeColor="text1"/>
                <w14:textFill>
                  <w14:solidFill>
                    <w14:schemeClr w14:val="tx1"/>
                  </w14:solidFill>
                </w14:textFill>
              </w:rPr>
              <w:t>地面清洗废水</w:t>
            </w:r>
            <w:r>
              <w:rPr>
                <w:color w:val="000000" w:themeColor="text1"/>
                <w:kern w:val="0"/>
                <w:lang w:bidi="ar"/>
                <w14:textFill>
                  <w14:solidFill>
                    <w14:schemeClr w14:val="tx1"/>
                  </w14:solidFill>
                </w14:textFill>
              </w:rPr>
              <w:t>经</w:t>
            </w:r>
            <w:r>
              <w:rPr>
                <w:rFonts w:hint="eastAsia"/>
                <w:color w:val="000000" w:themeColor="text1"/>
                <w:kern w:val="0"/>
                <w:lang w:bidi="ar"/>
                <w14:textFill>
                  <w14:solidFill>
                    <w14:schemeClr w14:val="tx1"/>
                  </w14:solidFill>
                </w14:textFill>
              </w:rPr>
              <w:t>化粪池</w:t>
            </w:r>
            <w:r>
              <w:rPr>
                <w:color w:val="000000" w:themeColor="text1"/>
                <w:kern w:val="0"/>
                <w:lang w:bidi="ar"/>
                <w14:textFill>
                  <w14:solidFill>
                    <w14:schemeClr w14:val="tx1"/>
                  </w14:solidFill>
                </w14:textFill>
              </w:rPr>
              <w:t>处理后，由市政污水管网接入</w:t>
            </w:r>
            <w:r>
              <w:rPr>
                <w:rFonts w:hint="eastAsia"/>
                <w:color w:val="000000" w:themeColor="text1"/>
                <w:kern w:val="0"/>
                <w:lang w:bidi="ar"/>
                <w14:textFill>
                  <w14:solidFill>
                    <w14:schemeClr w14:val="tx1"/>
                  </w14:solidFill>
                </w14:textFill>
              </w:rPr>
              <w:t>芜湖市江北污水处理厂</w:t>
            </w:r>
            <w:r>
              <w:rPr>
                <w:color w:val="000000" w:themeColor="text1"/>
                <w:kern w:val="0"/>
                <w:lang w:bidi="ar"/>
                <w14:textFill>
                  <w14:solidFill>
                    <w14:schemeClr w14:val="tx1"/>
                  </w14:solidFill>
                </w14:textFill>
              </w:rPr>
              <w:t>处理</w:t>
            </w:r>
            <w:r>
              <w:rPr>
                <w:rFonts w:hint="eastAsia"/>
                <w:color w:val="000000" w:themeColor="text1"/>
                <w:kern w:val="0"/>
                <w:lang w:bidi="ar"/>
                <w14:textFill>
                  <w14:solidFill>
                    <w14:schemeClr w14:val="tx1"/>
                  </w14:solidFill>
                </w14:textFill>
              </w:rPr>
              <w:t>，浓水作为直接排放至市政污水管网</w:t>
            </w:r>
            <w:r>
              <w:rPr>
                <w:color w:val="000000" w:themeColor="text1"/>
                <w:kern w:val="0"/>
                <w:lang w:bidi="ar"/>
                <w14:textFill>
                  <w14:solidFill>
                    <w14:schemeClr w14:val="tx1"/>
                  </w14:solidFill>
                </w14:textFill>
              </w:rPr>
              <w:t>。</w:t>
            </w:r>
            <w:r>
              <w:rPr>
                <w:rFonts w:hAnsi="宋体"/>
                <w:color w:val="000000" w:themeColor="text1"/>
                <w14:textFill>
                  <w14:solidFill>
                    <w14:schemeClr w14:val="tx1"/>
                  </w14:solidFill>
                </w14:textFill>
              </w:rPr>
              <w:t>根据建设项目的生产特点，其排放的生活</w:t>
            </w:r>
            <w:r>
              <w:rPr>
                <w:rFonts w:hint="eastAsia" w:hAnsi="宋体"/>
                <w:color w:val="000000" w:themeColor="text1"/>
                <w14:textFill>
                  <w14:solidFill>
                    <w14:schemeClr w14:val="tx1"/>
                  </w14:solidFill>
                </w14:textFill>
              </w:rPr>
              <w:t>污</w:t>
            </w:r>
            <w:r>
              <w:rPr>
                <w:rFonts w:hAnsi="宋体"/>
                <w:color w:val="000000" w:themeColor="text1"/>
                <w14:textFill>
                  <w14:solidFill>
                    <w14:schemeClr w14:val="tx1"/>
                  </w14:solidFill>
                </w14:textFill>
              </w:rPr>
              <w:t>水</w:t>
            </w:r>
            <w:r>
              <w:rPr>
                <w:rFonts w:hint="eastAsia"/>
                <w:color w:val="000000" w:themeColor="text1"/>
                <w14:textFill>
                  <w14:solidFill>
                    <w14:schemeClr w14:val="tx1"/>
                  </w14:solidFill>
                </w14:textFill>
              </w:rPr>
              <w:t>中主要污染物为</w:t>
            </w:r>
            <w:r>
              <w:rPr>
                <w:color w:val="000000" w:themeColor="text1"/>
                <w14:textFill>
                  <w14:solidFill>
                    <w14:schemeClr w14:val="tx1"/>
                  </w14:solidFill>
                </w14:textFill>
              </w:rPr>
              <w:t>COD</w:t>
            </w:r>
            <w:r>
              <w:rPr>
                <w:rFonts w:hint="eastAsia"/>
                <w:color w:val="000000" w:themeColor="text1"/>
                <w14:textFill>
                  <w14:solidFill>
                    <w14:schemeClr w14:val="tx1"/>
                  </w14:solidFill>
                </w14:textFill>
              </w:rPr>
              <w:t>、</w:t>
            </w:r>
            <w:r>
              <w:rPr>
                <w:bCs/>
                <w:color w:val="000000" w:themeColor="text1"/>
                <w14:textFill>
                  <w14:solidFill>
                    <w14:schemeClr w14:val="tx1"/>
                  </w14:solidFill>
                </w14:textFill>
              </w:rPr>
              <w:t>BOD</w:t>
            </w:r>
            <w:r>
              <w:rPr>
                <w:bCs/>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、SS、氨氮等污染物，项目废水产生及排放情况见下表：</w:t>
            </w:r>
          </w:p>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表</w:t>
            </w:r>
            <w:r>
              <w:rPr>
                <w:rFonts w:hint="eastAsia"/>
                <w:b/>
                <w:color w:val="000000" w:themeColor="text1"/>
                <w:sz w:val="21"/>
                <w:szCs w:val="21"/>
                <w14:textFill>
                  <w14:solidFill>
                    <w14:schemeClr w14:val="tx1"/>
                  </w14:solidFill>
                </w14:textFill>
              </w:rPr>
              <w:t xml:space="preserve">4-1 </w:t>
            </w:r>
            <w:r>
              <w:rPr>
                <w:b/>
                <w:color w:val="000000" w:themeColor="text1"/>
                <w:sz w:val="21"/>
                <w:szCs w:val="21"/>
                <w14:textFill>
                  <w14:solidFill>
                    <w14:schemeClr w14:val="tx1"/>
                  </w14:solidFill>
                </w14:textFill>
              </w:rPr>
              <w:t>废水</w:t>
            </w:r>
            <w:r>
              <w:rPr>
                <w:rFonts w:hint="eastAsia"/>
                <w:b/>
                <w:color w:val="000000" w:themeColor="text1"/>
                <w:sz w:val="21"/>
                <w:szCs w:val="21"/>
                <w14:textFill>
                  <w14:solidFill>
                    <w14:schemeClr w14:val="tx1"/>
                  </w14:solidFill>
                </w14:textFill>
              </w:rPr>
              <w:t>排放清单</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873"/>
              <w:gridCol w:w="1198"/>
              <w:gridCol w:w="959"/>
              <w:gridCol w:w="1158"/>
              <w:gridCol w:w="1222"/>
              <w:gridCol w:w="978"/>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92"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水量</w:t>
                  </w:r>
                </w:p>
              </w:tc>
              <w:tc>
                <w:tcPr>
                  <w:tcW w:w="873"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w:t>
                  </w:r>
                </w:p>
              </w:tc>
              <w:tc>
                <w:tcPr>
                  <w:tcW w:w="1198"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产生浓度（mg/L）</w:t>
                  </w:r>
                </w:p>
              </w:tc>
              <w:tc>
                <w:tcPr>
                  <w:tcW w:w="959"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产生量（t/a）</w:t>
                  </w:r>
                </w:p>
              </w:tc>
              <w:tc>
                <w:tcPr>
                  <w:tcW w:w="1158"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处理方式</w:t>
                  </w:r>
                </w:p>
              </w:tc>
              <w:tc>
                <w:tcPr>
                  <w:tcW w:w="122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w:t>
                  </w:r>
                  <w:r>
                    <w:rPr>
                      <w:color w:val="000000" w:themeColor="text1"/>
                      <w:sz w:val="21"/>
                      <w:szCs w:val="21"/>
                      <w14:textFill>
                        <w14:solidFill>
                          <w14:schemeClr w14:val="tx1"/>
                        </w14:solidFill>
                      </w14:textFill>
                    </w:rPr>
                    <w:t>浓度（mg/L）</w:t>
                  </w:r>
                </w:p>
              </w:tc>
              <w:tc>
                <w:tcPr>
                  <w:tcW w:w="9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w:t>
                  </w:r>
                  <w:r>
                    <w:rPr>
                      <w:color w:val="000000" w:themeColor="text1"/>
                      <w:sz w:val="21"/>
                      <w:szCs w:val="21"/>
                      <w14:textFill>
                        <w14:solidFill>
                          <w14:schemeClr w14:val="tx1"/>
                        </w14:solidFill>
                      </w14:textFill>
                    </w:rPr>
                    <w:t>量（t/a）</w:t>
                  </w:r>
                </w:p>
              </w:tc>
              <w:tc>
                <w:tcPr>
                  <w:tcW w:w="88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生活污水</w:t>
                  </w:r>
                  <w:r>
                    <w:rPr>
                      <w:rFonts w:hint="eastAsia"/>
                      <w:color w:val="000000" w:themeColor="text1"/>
                      <w:sz w:val="21"/>
                      <w:szCs w:val="21"/>
                      <w14:textFill>
                        <w14:solidFill>
                          <w14:schemeClr w14:val="tx1"/>
                        </w14:solidFill>
                      </w14:textFill>
                    </w:rPr>
                    <w:t>、地面清洗废水2107.8</w:t>
                  </w:r>
                  <w:r>
                    <w:rPr>
                      <w:color w:val="000000" w:themeColor="text1"/>
                      <w:sz w:val="21"/>
                      <w:szCs w:val="21"/>
                      <w14:textFill>
                        <w14:solidFill>
                          <w14:schemeClr w14:val="tx1"/>
                        </w14:solidFill>
                      </w14:textFill>
                    </w:rPr>
                    <w:t>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/a</w:t>
                  </w:r>
                </w:p>
              </w:tc>
              <w:tc>
                <w:tcPr>
                  <w:tcW w:w="873" w:type="dxa"/>
                  <w:vAlign w:val="center"/>
                </w:tcPr>
                <w:p>
                  <w:pPr>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COD</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300</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0.632 </w:t>
                  </w:r>
                </w:p>
              </w:tc>
              <w:tc>
                <w:tcPr>
                  <w:tcW w:w="1158"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化粪池预处理后</w:t>
                  </w: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250</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0.527 </w:t>
                  </w:r>
                </w:p>
              </w:tc>
              <w:tc>
                <w:tcPr>
                  <w:tcW w:w="883"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continue"/>
                  <w:vAlign w:val="center"/>
                </w:tcPr>
                <w:p>
                  <w:pPr>
                    <w:jc w:val="center"/>
                    <w:rPr>
                      <w:color w:val="000000" w:themeColor="text1"/>
                      <w:sz w:val="21"/>
                      <w:szCs w:val="21"/>
                      <w14:textFill>
                        <w14:solidFill>
                          <w14:schemeClr w14:val="tx1"/>
                        </w14:solidFill>
                      </w14:textFill>
                    </w:rPr>
                  </w:pPr>
                </w:p>
              </w:tc>
              <w:tc>
                <w:tcPr>
                  <w:tcW w:w="873" w:type="dxa"/>
                  <w:vAlign w:val="center"/>
                </w:tcPr>
                <w:p>
                  <w:pPr>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BOD</w:t>
                  </w:r>
                  <w:r>
                    <w:rPr>
                      <w:color w:val="000000" w:themeColor="text1"/>
                      <w:spacing w:val="-6"/>
                      <w:sz w:val="21"/>
                      <w:szCs w:val="21"/>
                      <w:vertAlign w:val="subscript"/>
                      <w14:textFill>
                        <w14:solidFill>
                          <w14:schemeClr w14:val="tx1"/>
                        </w14:solidFill>
                      </w14:textFill>
                    </w:rPr>
                    <w:t>5</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160</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0.337 </w:t>
                  </w:r>
                </w:p>
              </w:tc>
              <w:tc>
                <w:tcPr>
                  <w:tcW w:w="1158"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1</w:t>
                  </w:r>
                  <w:r>
                    <w:rPr>
                      <w:rFonts w:hint="eastAsia"/>
                      <w:color w:val="000000" w:themeColor="text1"/>
                      <w:kern w:val="0"/>
                      <w:sz w:val="21"/>
                      <w:szCs w:val="21"/>
                      <w:lang w:bidi="ar"/>
                      <w14:textFill>
                        <w14:solidFill>
                          <w14:schemeClr w14:val="tx1"/>
                        </w14:solidFill>
                      </w14:textFill>
                    </w:rPr>
                    <w:t>46</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0.308 </w:t>
                  </w:r>
                </w:p>
              </w:tc>
              <w:tc>
                <w:tcPr>
                  <w:tcW w:w="883"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continue"/>
                  <w:vAlign w:val="center"/>
                </w:tcPr>
                <w:p>
                  <w:pPr>
                    <w:jc w:val="center"/>
                    <w:rPr>
                      <w:color w:val="000000" w:themeColor="text1"/>
                      <w:sz w:val="21"/>
                      <w:szCs w:val="21"/>
                      <w14:textFill>
                        <w14:solidFill>
                          <w14:schemeClr w14:val="tx1"/>
                        </w14:solidFill>
                      </w14:textFill>
                    </w:rPr>
                  </w:pPr>
                </w:p>
              </w:tc>
              <w:tc>
                <w:tcPr>
                  <w:tcW w:w="873" w:type="dxa"/>
                  <w:vAlign w:val="center"/>
                </w:tcPr>
                <w:p>
                  <w:pPr>
                    <w:jc w:val="center"/>
                    <w:rPr>
                      <w:color w:val="000000" w:themeColor="text1"/>
                      <w:spacing w:val="-6"/>
                      <w:sz w:val="21"/>
                      <w:szCs w:val="21"/>
                      <w14:textFill>
                        <w14:solidFill>
                          <w14:schemeClr w14:val="tx1"/>
                        </w14:solidFill>
                      </w14:textFill>
                    </w:rPr>
                  </w:pPr>
                  <w:r>
                    <w:rPr>
                      <w:color w:val="000000" w:themeColor="text1"/>
                      <w:spacing w:val="-6"/>
                      <w:sz w:val="21"/>
                      <w:szCs w:val="21"/>
                      <w14:textFill>
                        <w14:solidFill>
                          <w14:schemeClr w14:val="tx1"/>
                        </w14:solidFill>
                      </w14:textFill>
                    </w:rPr>
                    <w:t>NH</w:t>
                  </w:r>
                  <w:r>
                    <w:rPr>
                      <w:color w:val="000000" w:themeColor="text1"/>
                      <w:spacing w:val="-6"/>
                      <w:sz w:val="21"/>
                      <w:szCs w:val="21"/>
                      <w:vertAlign w:val="subscript"/>
                      <w14:textFill>
                        <w14:solidFill>
                          <w14:schemeClr w14:val="tx1"/>
                        </w14:solidFill>
                      </w14:textFill>
                    </w:rPr>
                    <w:t>3</w:t>
                  </w:r>
                  <w:r>
                    <w:rPr>
                      <w:color w:val="000000" w:themeColor="text1"/>
                      <w:spacing w:val="-6"/>
                      <w:sz w:val="21"/>
                      <w:szCs w:val="21"/>
                      <w14:textFill>
                        <w14:solidFill>
                          <w14:schemeClr w14:val="tx1"/>
                        </w14:solidFill>
                      </w14:textFill>
                    </w:rPr>
                    <w:t>-N</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30</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0.063 </w:t>
                  </w:r>
                </w:p>
              </w:tc>
              <w:tc>
                <w:tcPr>
                  <w:tcW w:w="1158"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30</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0.063 </w:t>
                  </w:r>
                </w:p>
              </w:tc>
              <w:tc>
                <w:tcPr>
                  <w:tcW w:w="883"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continue"/>
                  <w:vAlign w:val="center"/>
                </w:tcPr>
                <w:p>
                  <w:pPr>
                    <w:jc w:val="center"/>
                    <w:rPr>
                      <w:color w:val="000000" w:themeColor="text1"/>
                      <w:sz w:val="21"/>
                      <w:szCs w:val="21"/>
                      <w14:textFill>
                        <w14:solidFill>
                          <w14:schemeClr w14:val="tx1"/>
                        </w14:solidFill>
                      </w14:textFill>
                    </w:rPr>
                  </w:pPr>
                </w:p>
              </w:tc>
              <w:tc>
                <w:tcPr>
                  <w:tcW w:w="873" w:type="dxa"/>
                  <w:vAlign w:val="center"/>
                </w:tcPr>
                <w:p>
                  <w:pPr>
                    <w:jc w:val="center"/>
                    <w:rPr>
                      <w:color w:val="000000" w:themeColor="text1"/>
                      <w:sz w:val="21"/>
                      <w:szCs w:val="21"/>
                      <w14:textFill>
                        <w14:solidFill>
                          <w14:schemeClr w14:val="tx1"/>
                        </w14:solidFill>
                      </w14:textFill>
                    </w:rPr>
                  </w:pPr>
                  <w:r>
                    <w:rPr>
                      <w:color w:val="000000" w:themeColor="text1"/>
                      <w:spacing w:val="-6"/>
                      <w:sz w:val="21"/>
                      <w:szCs w:val="21"/>
                      <w14:textFill>
                        <w14:solidFill>
                          <w14:schemeClr w14:val="tx1"/>
                        </w14:solidFill>
                      </w14:textFill>
                    </w:rPr>
                    <w:t>SS</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220</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0.464 </w:t>
                  </w:r>
                </w:p>
              </w:tc>
              <w:tc>
                <w:tcPr>
                  <w:tcW w:w="1158"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132</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0.278 </w:t>
                  </w:r>
                </w:p>
              </w:tc>
              <w:tc>
                <w:tcPr>
                  <w:tcW w:w="883"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浓水12</w:t>
                  </w:r>
                  <w:r>
                    <w:rPr>
                      <w:color w:val="000000" w:themeColor="text1"/>
                      <w:sz w:val="21"/>
                      <w:szCs w:val="21"/>
                      <w14:textFill>
                        <w14:solidFill>
                          <w14:schemeClr w14:val="tx1"/>
                        </w14:solidFill>
                      </w14:textFill>
                    </w:rPr>
                    <w:t>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/a</w:t>
                  </w:r>
                </w:p>
              </w:tc>
              <w:tc>
                <w:tcPr>
                  <w:tcW w:w="873" w:type="dxa"/>
                  <w:vAlign w:val="center"/>
                </w:tcPr>
                <w:p>
                  <w:pPr>
                    <w:jc w:val="center"/>
                    <w:rPr>
                      <w:color w:val="000000" w:themeColor="text1"/>
                      <w:spacing w:val="-6"/>
                      <w:sz w:val="21"/>
                      <w:szCs w:val="21"/>
                      <w14:textFill>
                        <w14:solidFill>
                          <w14:schemeClr w14:val="tx1"/>
                        </w14:solidFill>
                      </w14:textFill>
                    </w:rPr>
                  </w:pPr>
                  <w:r>
                    <w:rPr>
                      <w:rFonts w:hint="eastAsia"/>
                      <w:color w:val="000000" w:themeColor="text1"/>
                      <w:spacing w:val="-6"/>
                      <w:sz w:val="21"/>
                      <w:szCs w:val="21"/>
                      <w14:textFill>
                        <w14:solidFill>
                          <w14:schemeClr w14:val="tx1"/>
                        </w14:solidFill>
                      </w14:textFill>
                    </w:rPr>
                    <w:t>COD</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50</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0.0006</w:t>
                  </w:r>
                </w:p>
              </w:tc>
              <w:tc>
                <w:tcPr>
                  <w:tcW w:w="1158"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50</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0.0006</w:t>
                  </w:r>
                </w:p>
              </w:tc>
              <w:tc>
                <w:tcPr>
                  <w:tcW w:w="883"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2" w:type="dxa"/>
                  <w:vMerge w:val="continue"/>
                  <w:vAlign w:val="center"/>
                </w:tcPr>
                <w:p>
                  <w:pPr>
                    <w:jc w:val="center"/>
                    <w:rPr>
                      <w:color w:val="000000" w:themeColor="text1"/>
                      <w:sz w:val="21"/>
                      <w:szCs w:val="21"/>
                      <w14:textFill>
                        <w14:solidFill>
                          <w14:schemeClr w14:val="tx1"/>
                        </w14:solidFill>
                      </w14:textFill>
                    </w:rPr>
                  </w:pPr>
                </w:p>
              </w:tc>
              <w:tc>
                <w:tcPr>
                  <w:tcW w:w="873" w:type="dxa"/>
                  <w:vAlign w:val="center"/>
                </w:tcPr>
                <w:p>
                  <w:pPr>
                    <w:jc w:val="center"/>
                    <w:rPr>
                      <w:color w:val="000000" w:themeColor="text1"/>
                      <w:spacing w:val="-6"/>
                      <w:sz w:val="21"/>
                      <w:szCs w:val="21"/>
                      <w14:textFill>
                        <w14:solidFill>
                          <w14:schemeClr w14:val="tx1"/>
                        </w14:solidFill>
                      </w14:textFill>
                    </w:rPr>
                  </w:pPr>
                  <w:r>
                    <w:rPr>
                      <w:color w:val="000000" w:themeColor="text1"/>
                      <w:spacing w:val="-6"/>
                      <w:sz w:val="21"/>
                      <w:szCs w:val="21"/>
                      <w14:textFill>
                        <w14:solidFill>
                          <w14:schemeClr w14:val="tx1"/>
                        </w14:solidFill>
                      </w14:textFill>
                    </w:rPr>
                    <w:t>NH</w:t>
                  </w:r>
                  <w:r>
                    <w:rPr>
                      <w:color w:val="000000" w:themeColor="text1"/>
                      <w:spacing w:val="-6"/>
                      <w:sz w:val="21"/>
                      <w:szCs w:val="21"/>
                      <w:vertAlign w:val="subscript"/>
                      <w14:textFill>
                        <w14:solidFill>
                          <w14:schemeClr w14:val="tx1"/>
                        </w14:solidFill>
                      </w14:textFill>
                    </w:rPr>
                    <w:t>3</w:t>
                  </w:r>
                  <w:r>
                    <w:rPr>
                      <w:color w:val="000000" w:themeColor="text1"/>
                      <w:spacing w:val="-6"/>
                      <w:sz w:val="21"/>
                      <w:szCs w:val="21"/>
                      <w14:textFill>
                        <w14:solidFill>
                          <w14:schemeClr w14:val="tx1"/>
                        </w14:solidFill>
                      </w14:textFill>
                    </w:rPr>
                    <w:t>-N</w:t>
                  </w:r>
                </w:p>
              </w:tc>
              <w:tc>
                <w:tcPr>
                  <w:tcW w:w="119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w:t>
                  </w:r>
                </w:p>
              </w:tc>
              <w:tc>
                <w:tcPr>
                  <w:tcW w:w="959"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0.00018</w:t>
                  </w:r>
                </w:p>
              </w:tc>
              <w:tc>
                <w:tcPr>
                  <w:tcW w:w="1158"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22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15</w:t>
                  </w:r>
                </w:p>
              </w:tc>
              <w:tc>
                <w:tcPr>
                  <w:tcW w:w="978"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0.00018</w:t>
                  </w:r>
                </w:p>
              </w:tc>
              <w:tc>
                <w:tcPr>
                  <w:tcW w:w="883" w:type="dxa"/>
                  <w:vMerge w:val="continue"/>
                  <w:vAlign w:val="center"/>
                </w:tcPr>
                <w:p>
                  <w:pPr>
                    <w:jc w:val="center"/>
                    <w:rPr>
                      <w:color w:val="000000" w:themeColor="text1"/>
                      <w:sz w:val="21"/>
                      <w:szCs w:val="21"/>
                      <w14:textFill>
                        <w14:solidFill>
                          <w14:schemeClr w14:val="tx1"/>
                        </w14:solidFill>
                      </w14:textFill>
                    </w:rPr>
                  </w:pPr>
                </w:p>
              </w:tc>
            </w:tr>
          </w:tbl>
          <w:p>
            <w:pPr>
              <w:spacing w:line="360" w:lineRule="auto"/>
              <w:ind w:firstLine="482" w:firstLineChars="200"/>
              <w:rPr>
                <w:b/>
                <w:bCs/>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2、建设项目废水污染物排放信息表</w:t>
            </w:r>
          </w:p>
          <w:p>
            <w:pPr>
              <w:spacing w:line="360" w:lineRule="auto"/>
              <w:ind w:firstLine="480" w:firstLineChars="200"/>
              <w:rPr>
                <w:b/>
                <w:bCs/>
                <w:color w:val="000000" w:themeColor="text1"/>
                <w14:textFill>
                  <w14:solidFill>
                    <w14:schemeClr w14:val="tx1"/>
                  </w14:solidFill>
                </w14:textFill>
              </w:rPr>
            </w:pPr>
            <w:r>
              <w:rPr>
                <w:rFonts w:hint="eastAsia"/>
                <w:color w:val="000000" w:themeColor="text1"/>
                <w14:textFill>
                  <w14:solidFill>
                    <w14:schemeClr w14:val="tx1"/>
                  </w14:solidFill>
                </w14:textFill>
              </w:rPr>
              <w:t>废水类别、污染物及污染物治理设施信息表以及废水间接排放口基本情况表分别如下表所示：</w:t>
            </w:r>
          </w:p>
          <w:p>
            <w:pPr>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表4-2  废水类别、污染物及污染物治理设施信息表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48"/>
              <w:gridCol w:w="939"/>
              <w:gridCol w:w="545"/>
              <w:gridCol w:w="636"/>
              <w:gridCol w:w="859"/>
              <w:gridCol w:w="673"/>
              <w:gridCol w:w="714"/>
              <w:gridCol w:w="881"/>
              <w:gridCol w:w="832"/>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383"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废水类别</w:t>
                  </w:r>
                </w:p>
              </w:tc>
              <w:tc>
                <w:tcPr>
                  <w:tcW w:w="554"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污染物种类</w:t>
                  </w:r>
                </w:p>
              </w:tc>
              <w:tc>
                <w:tcPr>
                  <w:tcW w:w="322"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排放去向</w:t>
                  </w:r>
                </w:p>
              </w:tc>
              <w:tc>
                <w:tcPr>
                  <w:tcW w:w="376"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排放规律</w:t>
                  </w:r>
                </w:p>
              </w:tc>
              <w:tc>
                <w:tcPr>
                  <w:tcW w:w="1327" w:type="pct"/>
                  <w:gridSpan w:val="3"/>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污染物治理设施</w:t>
                  </w:r>
                </w:p>
              </w:tc>
              <w:tc>
                <w:tcPr>
                  <w:tcW w:w="520"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排放口编号</w:t>
                  </w:r>
                </w:p>
              </w:tc>
              <w:tc>
                <w:tcPr>
                  <w:tcW w:w="492" w:type="pct"/>
                  <w:vMerge w:val="restart"/>
                  <w:vAlign w:val="center"/>
                </w:tcPr>
                <w:p>
                  <w:pPr>
                    <w:spacing w:line="240" w:lineRule="atLeast"/>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是否为可行技术</w:t>
                  </w:r>
                </w:p>
              </w:tc>
              <w:tc>
                <w:tcPr>
                  <w:tcW w:w="769" w:type="pct"/>
                  <w:vMerge w:val="restar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383"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554"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322"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376"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507" w:type="pc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污染治理设施编号</w:t>
                  </w:r>
                </w:p>
              </w:tc>
              <w:tc>
                <w:tcPr>
                  <w:tcW w:w="398" w:type="pc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污染治理设施名称</w:t>
                  </w:r>
                </w:p>
              </w:tc>
              <w:tc>
                <w:tcPr>
                  <w:tcW w:w="421" w:type="pct"/>
                  <w:vAlign w:val="center"/>
                </w:tcPr>
                <w:p>
                  <w:pPr>
                    <w:spacing w:line="240" w:lineRule="atLeast"/>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污染治理设施工艺</w:t>
                  </w:r>
                </w:p>
              </w:tc>
              <w:tc>
                <w:tcPr>
                  <w:tcW w:w="520"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492" w:type="pct"/>
                  <w:vMerge w:val="continue"/>
                  <w:vAlign w:val="center"/>
                </w:tcPr>
                <w:p>
                  <w:pPr>
                    <w:spacing w:line="240" w:lineRule="atLeast"/>
                    <w:jc w:val="center"/>
                    <w:rPr>
                      <w:color w:val="000000" w:themeColor="text1"/>
                      <w:sz w:val="21"/>
                      <w:szCs w:val="21"/>
                      <w14:textFill>
                        <w14:solidFill>
                          <w14:schemeClr w14:val="tx1"/>
                        </w14:solidFill>
                      </w14:textFill>
                    </w:rPr>
                  </w:pPr>
                </w:p>
              </w:tc>
              <w:tc>
                <w:tcPr>
                  <w:tcW w:w="769" w:type="pct"/>
                  <w:vMerge w:val="continue"/>
                  <w:vAlign w:val="center"/>
                </w:tcPr>
                <w:p>
                  <w:pPr>
                    <w:spacing w:line="240" w:lineRule="atLeast"/>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383"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生活污水</w:t>
                  </w:r>
                  <w:r>
                    <w:rPr>
                      <w:rFonts w:hint="eastAsia"/>
                      <w:color w:val="000000" w:themeColor="text1"/>
                      <w:sz w:val="21"/>
                      <w:szCs w:val="21"/>
                      <w14:textFill>
                        <w14:solidFill>
                          <w14:schemeClr w14:val="tx1"/>
                        </w14:solidFill>
                      </w14:textFill>
                    </w:rPr>
                    <w:t>、地面清洗废水、浓水</w:t>
                  </w:r>
                </w:p>
              </w:tc>
              <w:tc>
                <w:tcPr>
                  <w:tcW w:w="554"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SS</w:t>
                  </w:r>
                </w:p>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322"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市政污水管网</w:t>
                  </w:r>
                </w:p>
              </w:tc>
              <w:tc>
                <w:tcPr>
                  <w:tcW w:w="376"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无规律，间断排放</w:t>
                  </w:r>
                </w:p>
              </w:tc>
              <w:tc>
                <w:tcPr>
                  <w:tcW w:w="507"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TW001</w:t>
                  </w:r>
                </w:p>
              </w:tc>
              <w:tc>
                <w:tcPr>
                  <w:tcW w:w="398"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化粪池</w:t>
                  </w:r>
                </w:p>
              </w:tc>
              <w:tc>
                <w:tcPr>
                  <w:tcW w:w="421"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沉淀</w:t>
                  </w:r>
                </w:p>
              </w:tc>
              <w:tc>
                <w:tcPr>
                  <w:tcW w:w="520"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18"/>
                      <w:szCs w:val="18"/>
                      <w14:textFill>
                        <w14:solidFill>
                          <w14:schemeClr w14:val="tx1"/>
                        </w14:solidFill>
                      </w14:textFill>
                    </w:rPr>
                    <w:t>DW001</w:t>
                  </w:r>
                </w:p>
              </w:tc>
              <w:tc>
                <w:tcPr>
                  <w:tcW w:w="492"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tc>
              <w:tc>
                <w:tcPr>
                  <w:tcW w:w="769"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一般排放口</w:t>
                  </w:r>
                </w:p>
              </w:tc>
            </w:tr>
          </w:tbl>
          <w:p>
            <w:pPr>
              <w:jc w:val="center"/>
              <w:rPr>
                <w:b/>
                <w:color w:val="000000" w:themeColor="text1"/>
                <w:sz w:val="21"/>
                <w:szCs w:val="21"/>
                <w14:textFill>
                  <w14:solidFill>
                    <w14:schemeClr w14:val="tx1"/>
                  </w14:solidFill>
                </w14:textFill>
              </w:rPr>
            </w:pPr>
          </w:p>
          <w:p>
            <w:pPr>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表4-3  废水间接排放口基本信息表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645"/>
              <w:gridCol w:w="938"/>
              <w:gridCol w:w="540"/>
              <w:gridCol w:w="637"/>
              <w:gridCol w:w="594"/>
              <w:gridCol w:w="881"/>
              <w:gridCol w:w="725"/>
              <w:gridCol w:w="769"/>
              <w:gridCol w:w="2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51" w:type="pct"/>
                  <w:vMerge w:val="restar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381" w:type="pct"/>
                  <w:vMerge w:val="restar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污染物排放口名称</w:t>
                  </w:r>
                </w:p>
              </w:tc>
              <w:tc>
                <w:tcPr>
                  <w:tcW w:w="554" w:type="pct"/>
                  <w:vMerge w:val="restar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排放去向</w:t>
                  </w:r>
                </w:p>
              </w:tc>
              <w:tc>
                <w:tcPr>
                  <w:tcW w:w="319" w:type="pct"/>
                  <w:vMerge w:val="restar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排放去向</w:t>
                  </w:r>
                </w:p>
              </w:tc>
              <w:tc>
                <w:tcPr>
                  <w:tcW w:w="376" w:type="pct"/>
                  <w:vMerge w:val="restar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排放规律</w:t>
                  </w:r>
                </w:p>
              </w:tc>
              <w:tc>
                <w:tcPr>
                  <w:tcW w:w="872" w:type="pct"/>
                  <w:gridSpan w:val="2"/>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受纳自然水体</w:t>
                  </w:r>
                </w:p>
              </w:tc>
              <w:tc>
                <w:tcPr>
                  <w:tcW w:w="2244" w:type="pct"/>
                  <w:gridSpan w:val="3"/>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251" w:type="pct"/>
                  <w:vMerge w:val="continue"/>
                  <w:vAlign w:val="center"/>
                </w:tcPr>
                <w:p>
                  <w:pPr>
                    <w:jc w:val="center"/>
                    <w:rPr>
                      <w:b/>
                      <w:bCs/>
                      <w:color w:val="000000" w:themeColor="text1"/>
                      <w:sz w:val="21"/>
                      <w:szCs w:val="21"/>
                      <w14:textFill>
                        <w14:solidFill>
                          <w14:schemeClr w14:val="tx1"/>
                        </w14:solidFill>
                      </w14:textFill>
                    </w:rPr>
                  </w:pPr>
                </w:p>
              </w:tc>
              <w:tc>
                <w:tcPr>
                  <w:tcW w:w="381" w:type="pct"/>
                  <w:vMerge w:val="continue"/>
                  <w:vAlign w:val="center"/>
                </w:tcPr>
                <w:p>
                  <w:pPr>
                    <w:jc w:val="center"/>
                    <w:rPr>
                      <w:b/>
                      <w:bCs/>
                      <w:color w:val="000000" w:themeColor="text1"/>
                      <w:sz w:val="21"/>
                      <w:szCs w:val="21"/>
                      <w14:textFill>
                        <w14:solidFill>
                          <w14:schemeClr w14:val="tx1"/>
                        </w14:solidFill>
                      </w14:textFill>
                    </w:rPr>
                  </w:pPr>
                </w:p>
              </w:tc>
              <w:tc>
                <w:tcPr>
                  <w:tcW w:w="554" w:type="pct"/>
                  <w:vMerge w:val="continue"/>
                  <w:vAlign w:val="center"/>
                </w:tcPr>
                <w:p>
                  <w:pPr>
                    <w:jc w:val="center"/>
                    <w:rPr>
                      <w:b/>
                      <w:bCs/>
                      <w:color w:val="000000" w:themeColor="text1"/>
                      <w:sz w:val="21"/>
                      <w:szCs w:val="21"/>
                      <w14:textFill>
                        <w14:solidFill>
                          <w14:schemeClr w14:val="tx1"/>
                        </w14:solidFill>
                      </w14:textFill>
                    </w:rPr>
                  </w:pPr>
                </w:p>
              </w:tc>
              <w:tc>
                <w:tcPr>
                  <w:tcW w:w="319" w:type="pct"/>
                  <w:vMerge w:val="continue"/>
                  <w:vAlign w:val="center"/>
                </w:tcPr>
                <w:p>
                  <w:pPr>
                    <w:jc w:val="center"/>
                    <w:rPr>
                      <w:b/>
                      <w:bCs/>
                      <w:color w:val="000000" w:themeColor="text1"/>
                      <w:sz w:val="21"/>
                      <w:szCs w:val="21"/>
                      <w14:textFill>
                        <w14:solidFill>
                          <w14:schemeClr w14:val="tx1"/>
                        </w14:solidFill>
                      </w14:textFill>
                    </w:rPr>
                  </w:pPr>
                </w:p>
              </w:tc>
              <w:tc>
                <w:tcPr>
                  <w:tcW w:w="376" w:type="pct"/>
                  <w:vMerge w:val="continue"/>
                  <w:vAlign w:val="center"/>
                </w:tcPr>
                <w:p>
                  <w:pPr>
                    <w:jc w:val="center"/>
                    <w:rPr>
                      <w:b/>
                      <w:bCs/>
                      <w:color w:val="000000" w:themeColor="text1"/>
                      <w:sz w:val="21"/>
                      <w:szCs w:val="21"/>
                      <w14:textFill>
                        <w14:solidFill>
                          <w14:schemeClr w14:val="tx1"/>
                        </w14:solidFill>
                      </w14:textFill>
                    </w:rPr>
                  </w:pPr>
                </w:p>
              </w:tc>
              <w:tc>
                <w:tcPr>
                  <w:tcW w:w="351" w:type="pc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名称</w:t>
                  </w:r>
                </w:p>
              </w:tc>
              <w:tc>
                <w:tcPr>
                  <w:tcW w:w="520" w:type="pc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功能目标</w:t>
                  </w:r>
                </w:p>
              </w:tc>
              <w:tc>
                <w:tcPr>
                  <w:tcW w:w="429" w:type="pc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名称</w:t>
                  </w:r>
                </w:p>
              </w:tc>
              <w:tc>
                <w:tcPr>
                  <w:tcW w:w="455" w:type="pc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污染物种类</w:t>
                  </w:r>
                </w:p>
              </w:tc>
              <w:tc>
                <w:tcPr>
                  <w:tcW w:w="1358" w:type="pct"/>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 xml:space="preserve">国家或地方污染物排放标准浓度限值 </w:t>
                  </w:r>
                </w:p>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w:t>
                  </w:r>
                  <w:r>
                    <w:rPr>
                      <w:b/>
                      <w:bCs/>
                      <w:color w:val="000000" w:themeColor="text1"/>
                      <w:sz w:val="21"/>
                      <w:szCs w:val="21"/>
                      <w14:textFill>
                        <w14:solidFill>
                          <w14:schemeClr w14:val="tx1"/>
                        </w14:solidFill>
                      </w14:textFill>
                    </w:rPr>
                    <w:t>mg/L</w:t>
                  </w:r>
                  <w:r>
                    <w:rPr>
                      <w:rFonts w:hint="eastAsia"/>
                      <w:b/>
                      <w:bCs/>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381"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厂区总排口</w:t>
                  </w:r>
                </w:p>
              </w:tc>
              <w:tc>
                <w:tcPr>
                  <w:tcW w:w="554" w:type="pct"/>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SS</w:t>
                  </w:r>
                </w:p>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319"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市政污水管网</w:t>
                  </w:r>
                </w:p>
              </w:tc>
              <w:tc>
                <w:tcPr>
                  <w:tcW w:w="376"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无规律，间断排放</w:t>
                  </w:r>
                </w:p>
              </w:tc>
              <w:tc>
                <w:tcPr>
                  <w:tcW w:w="351"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长江</w:t>
                  </w:r>
                </w:p>
              </w:tc>
              <w:tc>
                <w:tcPr>
                  <w:tcW w:w="520" w:type="pct"/>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Ⅲ</w:t>
                  </w:r>
                  <w:r>
                    <w:rPr>
                      <w:rFonts w:hint="eastAsia"/>
                      <w:color w:val="000000" w:themeColor="text1"/>
                      <w:sz w:val="21"/>
                      <w:szCs w:val="21"/>
                      <w14:textFill>
                        <w14:solidFill>
                          <w14:schemeClr w14:val="tx1"/>
                        </w14:solidFill>
                      </w14:textFill>
                    </w:rPr>
                    <w:t>类</w:t>
                  </w:r>
                </w:p>
              </w:tc>
              <w:tc>
                <w:tcPr>
                  <w:tcW w:w="429"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芜湖市江北污水处理厂</w:t>
                  </w:r>
                </w:p>
              </w:tc>
              <w:tc>
                <w:tcPr>
                  <w:tcW w:w="455"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pH</w:t>
                  </w:r>
                </w:p>
              </w:tc>
              <w:tc>
                <w:tcPr>
                  <w:tcW w:w="135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vAlign w:val="center"/>
                </w:tcPr>
                <w:p>
                  <w:pPr>
                    <w:jc w:val="center"/>
                    <w:rPr>
                      <w:color w:val="000000" w:themeColor="text1"/>
                      <w:sz w:val="21"/>
                      <w:szCs w:val="21"/>
                      <w14:textFill>
                        <w14:solidFill>
                          <w14:schemeClr w14:val="tx1"/>
                        </w14:solidFill>
                      </w14:textFill>
                    </w:rPr>
                  </w:pPr>
                </w:p>
              </w:tc>
              <w:tc>
                <w:tcPr>
                  <w:tcW w:w="381" w:type="pct"/>
                  <w:vMerge w:val="continue"/>
                  <w:vAlign w:val="center"/>
                </w:tcPr>
                <w:p>
                  <w:pPr>
                    <w:jc w:val="center"/>
                    <w:rPr>
                      <w:color w:val="000000" w:themeColor="text1"/>
                      <w:sz w:val="21"/>
                      <w:szCs w:val="21"/>
                      <w14:textFill>
                        <w14:solidFill>
                          <w14:schemeClr w14:val="tx1"/>
                        </w14:solidFill>
                      </w14:textFill>
                    </w:rPr>
                  </w:pPr>
                </w:p>
              </w:tc>
              <w:tc>
                <w:tcPr>
                  <w:tcW w:w="554" w:type="pct"/>
                  <w:vMerge w:val="continue"/>
                  <w:vAlign w:val="center"/>
                </w:tcPr>
                <w:p>
                  <w:pPr>
                    <w:jc w:val="center"/>
                    <w:rPr>
                      <w:color w:val="000000" w:themeColor="text1"/>
                      <w:sz w:val="21"/>
                      <w:szCs w:val="21"/>
                      <w14:textFill>
                        <w14:solidFill>
                          <w14:schemeClr w14:val="tx1"/>
                        </w14:solidFill>
                      </w14:textFill>
                    </w:rPr>
                  </w:pPr>
                </w:p>
              </w:tc>
              <w:tc>
                <w:tcPr>
                  <w:tcW w:w="319" w:type="pct"/>
                  <w:vMerge w:val="continue"/>
                  <w:vAlign w:val="center"/>
                </w:tcPr>
                <w:p>
                  <w:pPr>
                    <w:jc w:val="center"/>
                    <w:rPr>
                      <w:color w:val="000000" w:themeColor="text1"/>
                      <w:sz w:val="21"/>
                      <w:szCs w:val="21"/>
                      <w14:textFill>
                        <w14:solidFill>
                          <w14:schemeClr w14:val="tx1"/>
                        </w14:solidFill>
                      </w14:textFill>
                    </w:rPr>
                  </w:pPr>
                </w:p>
              </w:tc>
              <w:tc>
                <w:tcPr>
                  <w:tcW w:w="376" w:type="pct"/>
                  <w:vMerge w:val="continue"/>
                  <w:vAlign w:val="center"/>
                </w:tcPr>
                <w:p>
                  <w:pPr>
                    <w:jc w:val="center"/>
                    <w:rPr>
                      <w:color w:val="000000" w:themeColor="text1"/>
                      <w:sz w:val="21"/>
                      <w:szCs w:val="21"/>
                      <w14:textFill>
                        <w14:solidFill>
                          <w14:schemeClr w14:val="tx1"/>
                        </w14:solidFill>
                      </w14:textFill>
                    </w:rPr>
                  </w:pPr>
                </w:p>
              </w:tc>
              <w:tc>
                <w:tcPr>
                  <w:tcW w:w="351" w:type="pct"/>
                  <w:vMerge w:val="continue"/>
                  <w:vAlign w:val="center"/>
                </w:tcPr>
                <w:p>
                  <w:pPr>
                    <w:jc w:val="center"/>
                    <w:rPr>
                      <w:color w:val="000000" w:themeColor="text1"/>
                      <w:sz w:val="21"/>
                      <w:szCs w:val="21"/>
                      <w14:textFill>
                        <w14:solidFill>
                          <w14:schemeClr w14:val="tx1"/>
                        </w14:solidFill>
                      </w14:textFill>
                    </w:rPr>
                  </w:pPr>
                </w:p>
              </w:tc>
              <w:tc>
                <w:tcPr>
                  <w:tcW w:w="520" w:type="pct"/>
                  <w:vMerge w:val="continue"/>
                  <w:vAlign w:val="center"/>
                </w:tcPr>
                <w:p>
                  <w:pPr>
                    <w:jc w:val="center"/>
                    <w:rPr>
                      <w:color w:val="000000" w:themeColor="text1"/>
                      <w:sz w:val="21"/>
                      <w:szCs w:val="21"/>
                      <w14:textFill>
                        <w14:solidFill>
                          <w14:schemeClr w14:val="tx1"/>
                        </w14:solidFill>
                      </w14:textFill>
                    </w:rPr>
                  </w:pPr>
                </w:p>
              </w:tc>
              <w:tc>
                <w:tcPr>
                  <w:tcW w:w="429" w:type="pct"/>
                  <w:vMerge w:val="continue"/>
                  <w:vAlign w:val="center"/>
                </w:tcPr>
                <w:p>
                  <w:pPr>
                    <w:jc w:val="center"/>
                    <w:rPr>
                      <w:color w:val="000000" w:themeColor="text1"/>
                      <w:sz w:val="21"/>
                      <w:szCs w:val="21"/>
                      <w14:textFill>
                        <w14:solidFill>
                          <w14:schemeClr w14:val="tx1"/>
                        </w14:solidFill>
                      </w14:textFill>
                    </w:rPr>
                  </w:pPr>
                </w:p>
              </w:tc>
              <w:tc>
                <w:tcPr>
                  <w:tcW w:w="455"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p>
              </w:tc>
              <w:tc>
                <w:tcPr>
                  <w:tcW w:w="135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vAlign w:val="center"/>
                </w:tcPr>
                <w:p>
                  <w:pPr>
                    <w:jc w:val="center"/>
                    <w:rPr>
                      <w:color w:val="000000" w:themeColor="text1"/>
                      <w:sz w:val="21"/>
                      <w:szCs w:val="21"/>
                      <w14:textFill>
                        <w14:solidFill>
                          <w14:schemeClr w14:val="tx1"/>
                        </w14:solidFill>
                      </w14:textFill>
                    </w:rPr>
                  </w:pPr>
                </w:p>
              </w:tc>
              <w:tc>
                <w:tcPr>
                  <w:tcW w:w="381" w:type="pct"/>
                  <w:vMerge w:val="continue"/>
                  <w:vAlign w:val="center"/>
                </w:tcPr>
                <w:p>
                  <w:pPr>
                    <w:jc w:val="center"/>
                    <w:rPr>
                      <w:color w:val="000000" w:themeColor="text1"/>
                      <w:sz w:val="21"/>
                      <w:szCs w:val="21"/>
                      <w14:textFill>
                        <w14:solidFill>
                          <w14:schemeClr w14:val="tx1"/>
                        </w14:solidFill>
                      </w14:textFill>
                    </w:rPr>
                  </w:pPr>
                </w:p>
              </w:tc>
              <w:tc>
                <w:tcPr>
                  <w:tcW w:w="554" w:type="pct"/>
                  <w:vMerge w:val="continue"/>
                  <w:vAlign w:val="center"/>
                </w:tcPr>
                <w:p>
                  <w:pPr>
                    <w:jc w:val="center"/>
                    <w:rPr>
                      <w:color w:val="000000" w:themeColor="text1"/>
                      <w:sz w:val="21"/>
                      <w:szCs w:val="21"/>
                      <w14:textFill>
                        <w14:solidFill>
                          <w14:schemeClr w14:val="tx1"/>
                        </w14:solidFill>
                      </w14:textFill>
                    </w:rPr>
                  </w:pPr>
                </w:p>
              </w:tc>
              <w:tc>
                <w:tcPr>
                  <w:tcW w:w="319" w:type="pct"/>
                  <w:vMerge w:val="continue"/>
                  <w:vAlign w:val="center"/>
                </w:tcPr>
                <w:p>
                  <w:pPr>
                    <w:jc w:val="center"/>
                    <w:rPr>
                      <w:color w:val="000000" w:themeColor="text1"/>
                      <w:sz w:val="21"/>
                      <w:szCs w:val="21"/>
                      <w14:textFill>
                        <w14:solidFill>
                          <w14:schemeClr w14:val="tx1"/>
                        </w14:solidFill>
                      </w14:textFill>
                    </w:rPr>
                  </w:pPr>
                </w:p>
              </w:tc>
              <w:tc>
                <w:tcPr>
                  <w:tcW w:w="376" w:type="pct"/>
                  <w:vMerge w:val="continue"/>
                  <w:vAlign w:val="center"/>
                </w:tcPr>
                <w:p>
                  <w:pPr>
                    <w:jc w:val="center"/>
                    <w:rPr>
                      <w:color w:val="000000" w:themeColor="text1"/>
                      <w:sz w:val="21"/>
                      <w:szCs w:val="21"/>
                      <w14:textFill>
                        <w14:solidFill>
                          <w14:schemeClr w14:val="tx1"/>
                        </w14:solidFill>
                      </w14:textFill>
                    </w:rPr>
                  </w:pPr>
                </w:p>
              </w:tc>
              <w:tc>
                <w:tcPr>
                  <w:tcW w:w="351" w:type="pct"/>
                  <w:vMerge w:val="continue"/>
                  <w:vAlign w:val="center"/>
                </w:tcPr>
                <w:p>
                  <w:pPr>
                    <w:jc w:val="center"/>
                    <w:rPr>
                      <w:color w:val="000000" w:themeColor="text1"/>
                      <w:sz w:val="21"/>
                      <w:szCs w:val="21"/>
                      <w14:textFill>
                        <w14:solidFill>
                          <w14:schemeClr w14:val="tx1"/>
                        </w14:solidFill>
                      </w14:textFill>
                    </w:rPr>
                  </w:pPr>
                </w:p>
              </w:tc>
              <w:tc>
                <w:tcPr>
                  <w:tcW w:w="520" w:type="pct"/>
                  <w:vMerge w:val="continue"/>
                  <w:vAlign w:val="center"/>
                </w:tcPr>
                <w:p>
                  <w:pPr>
                    <w:jc w:val="center"/>
                    <w:rPr>
                      <w:color w:val="000000" w:themeColor="text1"/>
                      <w:sz w:val="21"/>
                      <w:szCs w:val="21"/>
                      <w14:textFill>
                        <w14:solidFill>
                          <w14:schemeClr w14:val="tx1"/>
                        </w14:solidFill>
                      </w14:textFill>
                    </w:rPr>
                  </w:pPr>
                </w:p>
              </w:tc>
              <w:tc>
                <w:tcPr>
                  <w:tcW w:w="429" w:type="pct"/>
                  <w:vMerge w:val="continue"/>
                  <w:vAlign w:val="center"/>
                </w:tcPr>
                <w:p>
                  <w:pPr>
                    <w:jc w:val="center"/>
                    <w:rPr>
                      <w:color w:val="000000" w:themeColor="text1"/>
                      <w:sz w:val="21"/>
                      <w:szCs w:val="21"/>
                      <w14:textFill>
                        <w14:solidFill>
                          <w14:schemeClr w14:val="tx1"/>
                        </w14:solidFill>
                      </w14:textFill>
                    </w:rPr>
                  </w:pPr>
                </w:p>
              </w:tc>
              <w:tc>
                <w:tcPr>
                  <w:tcW w:w="455"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p>
              </w:tc>
              <w:tc>
                <w:tcPr>
                  <w:tcW w:w="135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vAlign w:val="center"/>
                </w:tcPr>
                <w:p>
                  <w:pPr>
                    <w:jc w:val="center"/>
                    <w:rPr>
                      <w:color w:val="000000" w:themeColor="text1"/>
                      <w:sz w:val="21"/>
                      <w:szCs w:val="21"/>
                      <w14:textFill>
                        <w14:solidFill>
                          <w14:schemeClr w14:val="tx1"/>
                        </w14:solidFill>
                      </w14:textFill>
                    </w:rPr>
                  </w:pPr>
                </w:p>
              </w:tc>
              <w:tc>
                <w:tcPr>
                  <w:tcW w:w="381" w:type="pct"/>
                  <w:vMerge w:val="continue"/>
                  <w:vAlign w:val="center"/>
                </w:tcPr>
                <w:p>
                  <w:pPr>
                    <w:jc w:val="center"/>
                    <w:rPr>
                      <w:color w:val="000000" w:themeColor="text1"/>
                      <w:sz w:val="21"/>
                      <w:szCs w:val="21"/>
                      <w14:textFill>
                        <w14:solidFill>
                          <w14:schemeClr w14:val="tx1"/>
                        </w14:solidFill>
                      </w14:textFill>
                    </w:rPr>
                  </w:pPr>
                </w:p>
              </w:tc>
              <w:tc>
                <w:tcPr>
                  <w:tcW w:w="554" w:type="pct"/>
                  <w:vMerge w:val="continue"/>
                  <w:vAlign w:val="center"/>
                </w:tcPr>
                <w:p>
                  <w:pPr>
                    <w:jc w:val="center"/>
                    <w:rPr>
                      <w:color w:val="000000" w:themeColor="text1"/>
                      <w:sz w:val="21"/>
                      <w:szCs w:val="21"/>
                      <w14:textFill>
                        <w14:solidFill>
                          <w14:schemeClr w14:val="tx1"/>
                        </w14:solidFill>
                      </w14:textFill>
                    </w:rPr>
                  </w:pPr>
                </w:p>
              </w:tc>
              <w:tc>
                <w:tcPr>
                  <w:tcW w:w="319" w:type="pct"/>
                  <w:vMerge w:val="continue"/>
                  <w:vAlign w:val="center"/>
                </w:tcPr>
                <w:p>
                  <w:pPr>
                    <w:jc w:val="center"/>
                    <w:rPr>
                      <w:color w:val="000000" w:themeColor="text1"/>
                      <w:sz w:val="21"/>
                      <w:szCs w:val="21"/>
                      <w14:textFill>
                        <w14:solidFill>
                          <w14:schemeClr w14:val="tx1"/>
                        </w14:solidFill>
                      </w14:textFill>
                    </w:rPr>
                  </w:pPr>
                </w:p>
              </w:tc>
              <w:tc>
                <w:tcPr>
                  <w:tcW w:w="376" w:type="pct"/>
                  <w:vMerge w:val="continue"/>
                  <w:vAlign w:val="center"/>
                </w:tcPr>
                <w:p>
                  <w:pPr>
                    <w:jc w:val="center"/>
                    <w:rPr>
                      <w:color w:val="000000" w:themeColor="text1"/>
                      <w:sz w:val="21"/>
                      <w:szCs w:val="21"/>
                      <w14:textFill>
                        <w14:solidFill>
                          <w14:schemeClr w14:val="tx1"/>
                        </w14:solidFill>
                      </w14:textFill>
                    </w:rPr>
                  </w:pPr>
                </w:p>
              </w:tc>
              <w:tc>
                <w:tcPr>
                  <w:tcW w:w="351" w:type="pct"/>
                  <w:vMerge w:val="continue"/>
                  <w:vAlign w:val="center"/>
                </w:tcPr>
                <w:p>
                  <w:pPr>
                    <w:jc w:val="center"/>
                    <w:rPr>
                      <w:color w:val="000000" w:themeColor="text1"/>
                      <w:sz w:val="21"/>
                      <w:szCs w:val="21"/>
                      <w14:textFill>
                        <w14:solidFill>
                          <w14:schemeClr w14:val="tx1"/>
                        </w14:solidFill>
                      </w14:textFill>
                    </w:rPr>
                  </w:pPr>
                </w:p>
              </w:tc>
              <w:tc>
                <w:tcPr>
                  <w:tcW w:w="520" w:type="pct"/>
                  <w:vMerge w:val="continue"/>
                  <w:vAlign w:val="center"/>
                </w:tcPr>
                <w:p>
                  <w:pPr>
                    <w:jc w:val="center"/>
                    <w:rPr>
                      <w:color w:val="000000" w:themeColor="text1"/>
                      <w:sz w:val="21"/>
                      <w:szCs w:val="21"/>
                      <w14:textFill>
                        <w14:solidFill>
                          <w14:schemeClr w14:val="tx1"/>
                        </w14:solidFill>
                      </w14:textFill>
                    </w:rPr>
                  </w:pPr>
                </w:p>
              </w:tc>
              <w:tc>
                <w:tcPr>
                  <w:tcW w:w="429" w:type="pct"/>
                  <w:vMerge w:val="continue"/>
                  <w:vAlign w:val="center"/>
                </w:tcPr>
                <w:p>
                  <w:pPr>
                    <w:jc w:val="center"/>
                    <w:rPr>
                      <w:color w:val="000000" w:themeColor="text1"/>
                      <w:sz w:val="21"/>
                      <w:szCs w:val="21"/>
                      <w14:textFill>
                        <w14:solidFill>
                          <w14:schemeClr w14:val="tx1"/>
                        </w14:solidFill>
                      </w14:textFill>
                    </w:rPr>
                  </w:pPr>
                </w:p>
              </w:tc>
              <w:tc>
                <w:tcPr>
                  <w:tcW w:w="455"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135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vMerge w:val="continue"/>
                  <w:vAlign w:val="center"/>
                </w:tcPr>
                <w:p>
                  <w:pPr>
                    <w:jc w:val="center"/>
                    <w:rPr>
                      <w:color w:val="000000" w:themeColor="text1"/>
                      <w:sz w:val="21"/>
                      <w:szCs w:val="21"/>
                      <w14:textFill>
                        <w14:solidFill>
                          <w14:schemeClr w14:val="tx1"/>
                        </w14:solidFill>
                      </w14:textFill>
                    </w:rPr>
                  </w:pPr>
                </w:p>
              </w:tc>
              <w:tc>
                <w:tcPr>
                  <w:tcW w:w="381" w:type="pct"/>
                  <w:vMerge w:val="continue"/>
                  <w:vAlign w:val="center"/>
                </w:tcPr>
                <w:p>
                  <w:pPr>
                    <w:jc w:val="center"/>
                    <w:rPr>
                      <w:color w:val="000000" w:themeColor="text1"/>
                      <w:sz w:val="21"/>
                      <w:szCs w:val="21"/>
                      <w14:textFill>
                        <w14:solidFill>
                          <w14:schemeClr w14:val="tx1"/>
                        </w14:solidFill>
                      </w14:textFill>
                    </w:rPr>
                  </w:pPr>
                </w:p>
              </w:tc>
              <w:tc>
                <w:tcPr>
                  <w:tcW w:w="554" w:type="pct"/>
                  <w:vMerge w:val="continue"/>
                  <w:vAlign w:val="center"/>
                </w:tcPr>
                <w:p>
                  <w:pPr>
                    <w:jc w:val="center"/>
                    <w:rPr>
                      <w:color w:val="000000" w:themeColor="text1"/>
                      <w:sz w:val="21"/>
                      <w:szCs w:val="21"/>
                      <w14:textFill>
                        <w14:solidFill>
                          <w14:schemeClr w14:val="tx1"/>
                        </w14:solidFill>
                      </w14:textFill>
                    </w:rPr>
                  </w:pPr>
                </w:p>
              </w:tc>
              <w:tc>
                <w:tcPr>
                  <w:tcW w:w="319" w:type="pct"/>
                  <w:vMerge w:val="continue"/>
                  <w:vAlign w:val="center"/>
                </w:tcPr>
                <w:p>
                  <w:pPr>
                    <w:jc w:val="center"/>
                    <w:rPr>
                      <w:color w:val="000000" w:themeColor="text1"/>
                      <w:sz w:val="21"/>
                      <w:szCs w:val="21"/>
                      <w14:textFill>
                        <w14:solidFill>
                          <w14:schemeClr w14:val="tx1"/>
                        </w14:solidFill>
                      </w14:textFill>
                    </w:rPr>
                  </w:pPr>
                </w:p>
              </w:tc>
              <w:tc>
                <w:tcPr>
                  <w:tcW w:w="376" w:type="pct"/>
                  <w:vMerge w:val="continue"/>
                  <w:vAlign w:val="center"/>
                </w:tcPr>
                <w:p>
                  <w:pPr>
                    <w:jc w:val="center"/>
                    <w:rPr>
                      <w:color w:val="000000" w:themeColor="text1"/>
                      <w:sz w:val="21"/>
                      <w:szCs w:val="21"/>
                      <w14:textFill>
                        <w14:solidFill>
                          <w14:schemeClr w14:val="tx1"/>
                        </w14:solidFill>
                      </w14:textFill>
                    </w:rPr>
                  </w:pPr>
                </w:p>
              </w:tc>
              <w:tc>
                <w:tcPr>
                  <w:tcW w:w="351" w:type="pct"/>
                  <w:vMerge w:val="continue"/>
                  <w:vAlign w:val="center"/>
                </w:tcPr>
                <w:p>
                  <w:pPr>
                    <w:jc w:val="center"/>
                    <w:rPr>
                      <w:color w:val="000000" w:themeColor="text1"/>
                      <w:sz w:val="21"/>
                      <w:szCs w:val="21"/>
                      <w14:textFill>
                        <w14:solidFill>
                          <w14:schemeClr w14:val="tx1"/>
                        </w14:solidFill>
                      </w14:textFill>
                    </w:rPr>
                  </w:pPr>
                </w:p>
              </w:tc>
              <w:tc>
                <w:tcPr>
                  <w:tcW w:w="520" w:type="pct"/>
                  <w:vMerge w:val="continue"/>
                  <w:vAlign w:val="center"/>
                </w:tcPr>
                <w:p>
                  <w:pPr>
                    <w:jc w:val="center"/>
                    <w:rPr>
                      <w:color w:val="000000" w:themeColor="text1"/>
                      <w:sz w:val="21"/>
                      <w:szCs w:val="21"/>
                      <w14:textFill>
                        <w14:solidFill>
                          <w14:schemeClr w14:val="tx1"/>
                        </w14:solidFill>
                      </w14:textFill>
                    </w:rPr>
                  </w:pPr>
                </w:p>
              </w:tc>
              <w:tc>
                <w:tcPr>
                  <w:tcW w:w="429" w:type="pct"/>
                  <w:vMerge w:val="continue"/>
                  <w:vAlign w:val="center"/>
                </w:tcPr>
                <w:p>
                  <w:pPr>
                    <w:jc w:val="center"/>
                    <w:rPr>
                      <w:color w:val="000000" w:themeColor="text1"/>
                      <w:sz w:val="21"/>
                      <w:szCs w:val="21"/>
                      <w14:textFill>
                        <w14:solidFill>
                          <w14:schemeClr w14:val="tx1"/>
                        </w14:solidFill>
                      </w14:textFill>
                    </w:rPr>
                  </w:pPr>
                </w:p>
              </w:tc>
              <w:tc>
                <w:tcPr>
                  <w:tcW w:w="455"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SS</w:t>
                  </w:r>
                </w:p>
              </w:tc>
              <w:tc>
                <w:tcPr>
                  <w:tcW w:w="135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r>
          </w:tbl>
          <w:p>
            <w:pPr>
              <w:spacing w:line="360" w:lineRule="auto"/>
              <w:rPr>
                <w:b/>
                <w:bCs/>
                <w:color w:val="000000" w:themeColor="text1"/>
                <w:highlight w:val="yellow"/>
                <w14:textFill>
                  <w14:solidFill>
                    <w14:schemeClr w14:val="tx1"/>
                  </w14:solidFill>
                </w14:textFill>
              </w:rPr>
            </w:pPr>
          </w:p>
          <w:p>
            <w:pPr>
              <w:pStyle w:val="24"/>
              <w:spacing w:after="0"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3、水污染监测计划</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企业应按照《排污单位自行监测技术指南 总则》（</w:t>
            </w:r>
            <w:r>
              <w:rPr>
                <w:color w:val="000000" w:themeColor="text1"/>
                <w14:textFill>
                  <w14:solidFill>
                    <w14:schemeClr w14:val="tx1"/>
                  </w14:solidFill>
                </w14:textFill>
              </w:rPr>
              <w:t>HJ819-2017</w:t>
            </w:r>
            <w:r>
              <w:rPr>
                <w:rFonts w:hint="eastAsia"/>
                <w:color w:val="000000" w:themeColor="text1"/>
                <w14:textFill>
                  <w14:solidFill>
                    <w14:schemeClr w14:val="tx1"/>
                  </w14:solidFill>
                </w14:textFill>
              </w:rPr>
              <w:t>）、《固定污染源排污许可分类管理目录》、《排污许可证申请与核发技术规范 橡胶和塑料制品工业》（HJ1122-2020）</w:t>
            </w:r>
            <w:bookmarkStart w:id="18" w:name="_GoBack"/>
            <w:bookmarkEnd w:id="18"/>
            <w:r>
              <w:rPr>
                <w:rFonts w:hint="eastAsia"/>
                <w:color w:val="000000" w:themeColor="text1"/>
                <w14:textFill>
                  <w14:solidFill>
                    <w14:schemeClr w14:val="tx1"/>
                  </w14:solidFill>
                </w14:textFill>
              </w:rPr>
              <w:t xml:space="preserve">相关要求，开展废水污染源监测，废水污染源监测计划见下表。 </w:t>
            </w:r>
          </w:p>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表</w:t>
            </w:r>
            <w:r>
              <w:rPr>
                <w:rFonts w:hint="eastAsia"/>
                <w:b/>
                <w:color w:val="000000" w:themeColor="text1"/>
                <w:sz w:val="21"/>
                <w:szCs w:val="21"/>
                <w14:textFill>
                  <w14:solidFill>
                    <w14:schemeClr w14:val="tx1"/>
                  </w14:solidFill>
                </w14:textFill>
              </w:rPr>
              <w:t>4-4 水污染监测计划</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788"/>
              <w:gridCol w:w="1893"/>
              <w:gridCol w:w="1327"/>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9"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监测类别</w:t>
                  </w:r>
                </w:p>
              </w:tc>
              <w:tc>
                <w:tcPr>
                  <w:tcW w:w="1056"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监测点位</w:t>
                  </w:r>
                </w:p>
              </w:tc>
              <w:tc>
                <w:tcPr>
                  <w:tcW w:w="1118"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监测项目</w:t>
                  </w:r>
                </w:p>
              </w:tc>
              <w:tc>
                <w:tcPr>
                  <w:tcW w:w="78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监测频次</w:t>
                  </w:r>
                </w:p>
              </w:tc>
              <w:tc>
                <w:tcPr>
                  <w:tcW w:w="1361"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9"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废水</w:t>
                  </w:r>
                </w:p>
              </w:tc>
              <w:tc>
                <w:tcPr>
                  <w:tcW w:w="1056"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污水总排口</w:t>
                  </w:r>
                </w:p>
              </w:tc>
              <w:tc>
                <w:tcPr>
                  <w:tcW w:w="1118"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SS</w:t>
                  </w:r>
                  <w:r>
                    <w:rPr>
                      <w:rFonts w:hint="eastAsia"/>
                      <w:color w:val="000000" w:themeColor="text1"/>
                      <w:sz w:val="21"/>
                      <w:szCs w:val="21"/>
                      <w14:textFill>
                        <w14:solidFill>
                          <w14:schemeClr w14:val="tx1"/>
                        </w14:solidFill>
                      </w14:textFill>
                    </w:rPr>
                    <w:t xml:space="preserve">、 </w:t>
                  </w:r>
                </w:p>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NH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-N</w:t>
                  </w:r>
                </w:p>
              </w:tc>
              <w:tc>
                <w:tcPr>
                  <w:tcW w:w="78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一年</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 xml:space="preserve">次 </w:t>
                  </w:r>
                </w:p>
              </w:tc>
              <w:tc>
                <w:tcPr>
                  <w:tcW w:w="1361"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《污水综合排放标准》（</w:t>
                  </w:r>
                  <w:r>
                    <w:rPr>
                      <w:color w:val="000000" w:themeColor="text1"/>
                      <w:sz w:val="21"/>
                      <w:szCs w:val="21"/>
                      <w14:textFill>
                        <w14:solidFill>
                          <w14:schemeClr w14:val="tx1"/>
                        </w14:solidFill>
                      </w14:textFill>
                    </w:rPr>
                    <w:t>GB8978-1996</w:t>
                  </w:r>
                  <w:r>
                    <w:rPr>
                      <w:rFonts w:hint="eastAsia"/>
                      <w:color w:val="000000" w:themeColor="text1"/>
                      <w:sz w:val="21"/>
                      <w:szCs w:val="21"/>
                      <w14:textFill>
                        <w14:solidFill>
                          <w14:schemeClr w14:val="tx1"/>
                        </w14:solidFill>
                      </w14:textFill>
                    </w:rPr>
                    <w:t>）的三级排放标准</w:t>
                  </w:r>
                </w:p>
              </w:tc>
            </w:tr>
          </w:tbl>
          <w:p>
            <w:pPr>
              <w:rPr>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4、接管可行性论证</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本项目外排废水量为2119.8</w:t>
            </w:r>
            <w:r>
              <w:rPr>
                <w:color w:val="000000" w:themeColor="text1"/>
                <w14:textFill>
                  <w14:solidFill>
                    <w14:schemeClr w14:val="tx1"/>
                  </w14:solidFill>
                </w14:textFill>
              </w:rPr>
              <w:t>t/a</w:t>
            </w:r>
            <w:r>
              <w:rPr>
                <w:rFonts w:hint="eastAsia"/>
                <w:color w:val="000000" w:themeColor="text1"/>
                <w14:textFill>
                  <w14:solidFill>
                    <w14:schemeClr w14:val="tx1"/>
                  </w14:solidFill>
                </w14:textFill>
              </w:rPr>
              <w:t>，废水主要污染因子为</w:t>
            </w:r>
            <w:r>
              <w:rPr>
                <w:color w:val="000000" w:themeColor="text1"/>
                <w14:textFill>
                  <w14:solidFill>
                    <w14:schemeClr w14:val="tx1"/>
                  </w14:solidFill>
                </w14:textFill>
              </w:rPr>
              <w:t>COD</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SS</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BOD</w:t>
            </w:r>
            <w:r>
              <w:rPr>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等。生活污水、地面清洗废水经化粪池处理排入市政污水管网，浓水直接排放至市政污水管网，市政污水管网接入芜湖市江北污水处理厂处理，处理达标后排入长江。经芜湖市江北污水处理厂处理后，废水中主要污染物排放浓度均达到《城镇污水处理厂污染物排放标准》（</w:t>
            </w:r>
            <w:r>
              <w:rPr>
                <w:color w:val="000000" w:themeColor="text1"/>
                <w14:textFill>
                  <w14:solidFill>
                    <w14:schemeClr w14:val="tx1"/>
                  </w14:solidFill>
                </w14:textFill>
              </w:rPr>
              <w:t>GB18918-2002</w:t>
            </w:r>
            <w:r>
              <w:rPr>
                <w:rFonts w:hint="eastAsia"/>
                <w:color w:val="000000" w:themeColor="text1"/>
                <w14:textFill>
                  <w14:solidFill>
                    <w14:schemeClr w14:val="tx1"/>
                  </w14:solidFill>
                </w14:textFill>
              </w:rPr>
              <w:t xml:space="preserve">）一级 </w:t>
            </w:r>
            <w:r>
              <w:rPr>
                <w:color w:val="000000" w:themeColor="text1"/>
                <w14:textFill>
                  <w14:solidFill>
                    <w14:schemeClr w14:val="tx1"/>
                  </w14:solidFill>
                </w14:textFill>
              </w:rPr>
              <w:t xml:space="preserve">A </w:t>
            </w:r>
            <w:r>
              <w:rPr>
                <w:rFonts w:hint="eastAsia"/>
                <w:color w:val="000000" w:themeColor="text1"/>
                <w14:textFill>
                  <w14:solidFill>
                    <w14:schemeClr w14:val="tx1"/>
                  </w14:solidFill>
                </w14:textFill>
              </w:rPr>
              <w:t>标准要求。依托污水处理厂处理可行性分析内容如下：</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位于安徽省芜湖市鸠江区沈巷镇江北产业集中区中小企业园新能源新材料产业聚集区4#厂房；根据芜湖市沈巷镇江北产业集中区污水收集规划，项目排水属于江北污水处理厂收水范围，因此项目排水能进入到江北污水处理厂，经集中处理后外排水质达《城镇污水处理厂污染物排放标准》（GB18918-2002）中一级 A 标准要求后，最终排入长江。</w:t>
            </w:r>
          </w:p>
          <w:p>
            <w:pPr>
              <w:numPr>
                <w:ilvl w:val="0"/>
                <w:numId w:val="6"/>
              </w:num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江北污水处理厂简介</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江北产业园污水处理厂现已建成并投产运营，污水厂位于长河南路和和煦路交叉口西南侧，服务范围主要为江北产业集中区，主要处理该服务范围内的工业废水和生活废水。污水处理厂一期设计规模为30000立方米/日，现状一期一阶段15000立方米/日已建成投运，目前实际处理水量约0.55万立方米/日。二期计划扩建3万立方米/日处理能力，扩建完成后污水处理厂总处理能力将达到6万立方米/日。园区内管道已铺设到位，企业废水经江北产业园污水处理厂处理达到《城镇污水处理厂污染物排放标准》（GB18918-2002）一级A标准后经过污水处理厂的排污口，通过提升泵站将尾水通过管道输送至起步区黄山寺二号排涝站前池，再由前池自流或强排至长江。</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（2）纳管污水量可行性</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由废水污染源预测结果，本项目废水排放量分别约为2119.8m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/a，均未超过已建江北产业园污水处理厂设计处理能力，且占比较小，项目实施后新增废水排放在污水处理厂余量范围内。因此从废水量来讲，本项目污废水纳管可行。</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（3）纳管污水水质可行性</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本项目废水经处理后达到《污水综合排放标准》（GB8978-1996）表4中的三级标准要求。水质均可满足即江北产业园污水处理厂的进水水质要求，不会影响污水处理厂正常运行。</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因此，即江北产业园污水处理厂有能力接纳本项目排放的废水，出水水质可满足《城镇污水处理厂污染物排放标准》（GB 18918-2002）一级A标准要求，对地表水影响很小。</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5、地表水环境影响评价结论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本项目采用</w:t>
            </w:r>
            <w:r>
              <w:rPr>
                <w:rFonts w:hint="eastAsia" w:ascii="宋体" w:hAnsi="宋体" w:cs="宋体"/>
                <w:color w:val="000000" w:themeColor="text1"/>
                <w14:textFill>
                  <w14:solidFill>
                    <w14:schemeClr w14:val="tx1"/>
                  </w14:solidFill>
                </w14:textFill>
              </w:rPr>
              <w:t>“雨污分流制”排</w:t>
            </w:r>
            <w:r>
              <w:rPr>
                <w:rFonts w:hint="eastAsia"/>
                <w:color w:val="000000" w:themeColor="text1"/>
                <w14:textFill>
                  <w14:solidFill>
                    <w14:schemeClr w14:val="tx1"/>
                  </w14:solidFill>
                </w14:textFill>
              </w:rPr>
              <w:t xml:space="preserve">水系统。雨水直接进入市政雨水管网，排入区域地表水系。 </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本项目废水年排放量为2119.8</w:t>
            </w:r>
            <w:r>
              <w:rPr>
                <w:color w:val="000000" w:themeColor="text1"/>
                <w14:textFill>
                  <w14:solidFill>
                    <w14:schemeClr w14:val="tx1"/>
                  </w14:solidFill>
                </w14:textFill>
              </w:rPr>
              <w:t>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，主要为生活污水、地面清洗废水、浓水，主要污染因子为</w:t>
            </w:r>
            <w:r>
              <w:rPr>
                <w:color w:val="000000" w:themeColor="text1"/>
                <w14:textFill>
                  <w14:solidFill>
                    <w14:schemeClr w14:val="tx1"/>
                  </w14:solidFill>
                </w14:textFill>
              </w:rPr>
              <w:t>COD</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SS</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BOD</w:t>
            </w:r>
            <w:r>
              <w:rPr>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等。废水排放量较小且成分简单，不会降低地表水长江的现有水环境功能。</w:t>
            </w:r>
          </w:p>
          <w:p>
            <w:pPr>
              <w:adjustRightInd w:val="0"/>
              <w:snapToGrid w:val="0"/>
              <w:spacing w:line="360" w:lineRule="auto"/>
              <w:ind w:firstLine="482" w:firstLineChars="200"/>
              <w:rPr>
                <w:rFonts w:ascii="宋体" w:hAnsi="宋体" w:cs="宋体"/>
                <w:b/>
                <w:bCs/>
                <w:color w:val="000000" w:themeColor="text1"/>
                <w:szCs w:val="21"/>
                <w:lang w:bidi="ar"/>
                <w14:textFill>
                  <w14:solidFill>
                    <w14:schemeClr w14:val="tx1"/>
                  </w14:solidFill>
                </w14:textFill>
              </w:rPr>
            </w:pPr>
            <w:r>
              <w:rPr>
                <w:rFonts w:hint="eastAsia" w:ascii="宋体" w:hAnsi="宋体"/>
                <w:b/>
                <w:bCs/>
                <w:color w:val="000000" w:themeColor="text1"/>
                <w14:textFill>
                  <w14:solidFill>
                    <w14:schemeClr w14:val="tx1"/>
                  </w14:solidFill>
                </w14:textFill>
              </w:rPr>
              <w:t>（二）大气污染环境影响和保护措施</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1、污染物源强分析</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项目废气主要为涂布及烘干过程产生的非甲烷总烃。</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涂布废气</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使用的各浆料主要成分为无机物或聚合物，浆料由供应商直接调配完成，本项目无需调配，浆料中使用水性粘合剂，其挥发份主要为单体丙烯腈、丙烯酰胺。根据厂家提供的成分报告，浆料所含LA型水性粘合剂比例以最大5%计，LA型水性粘合剂中单体丙烯腈和丙烯酰胺所占比例为0.6%，本项目年使用的各浆料总量为5550吨，则LA型水性粘合剂所用量为277.5t/a，污染因子以非甲烷总烃评价，则非甲烷总烃产生量为1.665t/a。涂布工序挥发比例以30%计，烘干工序以70%计。</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涂布工序非甲烷总烃产生量为0.4995t/a，涂布产生的非甲烷总烃通过涂布机上方布置的集气罩收集后，废气汇集至1套二级活性炭吸附装置处理（TA001），尾气通过1根15米高的排气筒DA001排放。</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设立局部气体收集系统，在涂布机上方安装集气罩，废气收集系统排风罩的设置应按照《挥发性有机物无组织排放控制标准》（GB37822-2019）中有关废气收集系统10.2.2节要求进行设计，即：废气收集系统排风罩（集气罩）的设置应符合GB/T 16758的规定。采用外部排风罩的，应按GB/T 16758、AQ/T 4274-2016规定的方法测量控制风速，测量点应选取在距排风罩开口面最远处的无组织排放位置，控制风速不应低于0.3 m/s（行业相关规范有具体规定的，按相关规定执行）。废气收集系统的输送管道应密闭。废气收集系统应在负压下运行，若处于正压状态，应对输送管道组件的密封点进行泄漏检测，泄漏检测值不应超过500 µmol/mol，亦不应有感官可察觉泄漏。泄漏检测频次、修复与记录的要求按照第8章规定执行。</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参考《局部排风设施控制风速检测与评估控制规范》（AQ/T4274- 2016），本项目集气罩罩口风速按0.6m/s设计。根据企业工艺及环保工程设计，涂布机器规格为0.8m*1m，涂布工序集气罩尺寸按1m*1m计。</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按照《环境工程设计手册》中的有关公式，集气罩距离污染产生源的距离取 0.2m，则按照以下经验公式计算得出各设备所需的风量L。</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L=3600(5X</w:t>
            </w:r>
            <w:r>
              <w:rPr>
                <w:rFonts w:hint="eastAsia"/>
                <w:color w:val="000000" w:themeColor="text1"/>
                <w:vertAlign w:val="superscript"/>
                <w14:textFill>
                  <w14:solidFill>
                    <w14:schemeClr w14:val="tx1"/>
                  </w14:solidFill>
                </w14:textFill>
              </w:rPr>
              <w:t xml:space="preserve"> 2</w:t>
            </w:r>
            <w:r>
              <w:rPr>
                <w:rFonts w:hint="eastAsia"/>
                <w:color w:val="000000" w:themeColor="text1"/>
                <w14:textFill>
                  <w14:solidFill>
                    <w14:schemeClr w14:val="tx1"/>
                  </w14:solidFill>
                </w14:textFill>
              </w:rPr>
              <w:t xml:space="preserve"> +F)×V</w:t>
            </w:r>
            <w:r>
              <w:rPr>
                <w:rFonts w:hint="eastAsia"/>
                <w:color w:val="000000" w:themeColor="text1"/>
                <w:vertAlign w:val="subscript"/>
                <w14:textFill>
                  <w14:solidFill>
                    <w14:schemeClr w14:val="tx1"/>
                  </w14:solidFill>
                </w14:textFill>
              </w:rPr>
              <w:t>X</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其中：X—集气罩至污染源的距离（取0.2m）；</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F—集气罩口面积；</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V</w:t>
            </w:r>
            <w:r>
              <w:rPr>
                <w:rFonts w:hint="eastAsia"/>
                <w:color w:val="000000" w:themeColor="text1"/>
                <w:vertAlign w:val="subscript"/>
                <w14:textFill>
                  <w14:solidFill>
                    <w14:schemeClr w14:val="tx1"/>
                  </w14:solidFill>
                </w14:textFill>
              </w:rPr>
              <w:t>X</w:t>
            </w:r>
            <w:r>
              <w:rPr>
                <w:rFonts w:hint="eastAsia"/>
                <w:color w:val="000000" w:themeColor="text1"/>
                <w14:textFill>
                  <w14:solidFill>
                    <w14:schemeClr w14:val="tx1"/>
                  </w14:solidFill>
                </w14:textFill>
              </w:rPr>
              <w:t>—控制风速（取0.6m/s）。</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项目共设置涂布机20台根据以上公式计算，涂布工序废气收集风量为 2592m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/h，涂布工序共用废气处理设施，考虑设备收集管线较多、风阻较大，因此涂布工序拟选用设计风量为3000m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/h的风机，涂布工序总风量为60000m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p>
            <w:pPr>
              <w:spacing w:line="360" w:lineRule="auto"/>
              <w:ind w:firstLine="480" w:firstLineChars="200"/>
              <w:rPr>
                <w:color w:val="000000" w:themeColor="text1"/>
                <w:kern w:val="0"/>
                <w:lang w:bidi="ar"/>
                <w14:textFill>
                  <w14:solidFill>
                    <w14:schemeClr w14:val="tx1"/>
                  </w14:solidFill>
                </w14:textFill>
              </w:rPr>
            </w:pPr>
            <w:r>
              <w:rPr>
                <w:rFonts w:hint="eastAsia"/>
                <w:color w:val="000000" w:themeColor="text1"/>
                <w14:textFill>
                  <w14:solidFill>
                    <w14:schemeClr w14:val="tx1"/>
                  </w14:solidFill>
                </w14:textFill>
              </w:rPr>
              <w:t xml:space="preserve">涂布工序集气捕集效率取90%，二级活性炭装置处理效率达90%，则有组织非甲烷总烃排放量为 </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0449</w:t>
            </w:r>
            <w:r>
              <w:rPr>
                <w:color w:val="000000" w:themeColor="text1"/>
                <w14:textFill>
                  <w14:solidFill>
                    <w14:schemeClr w14:val="tx1"/>
                  </w14:solidFill>
                </w14:textFill>
              </w:rPr>
              <w:t>t/a，排放速率为0.</w:t>
            </w:r>
            <w:r>
              <w:rPr>
                <w:rFonts w:hint="eastAsia"/>
                <w:color w:val="000000" w:themeColor="text1"/>
                <w14:textFill>
                  <w14:solidFill>
                    <w14:schemeClr w14:val="tx1"/>
                  </w14:solidFill>
                </w14:textFill>
              </w:rPr>
              <w:t>0187k</w:t>
            </w:r>
            <w:r>
              <w:rPr>
                <w:color w:val="000000" w:themeColor="text1"/>
                <w14:textFill>
                  <w14:solidFill>
                    <w14:schemeClr w14:val="tx1"/>
                  </w14:solidFill>
                </w14:textFill>
              </w:rPr>
              <w:t>g/h，无组织排放的</w:t>
            </w:r>
            <w:r>
              <w:rPr>
                <w:rFonts w:hint="eastAsia"/>
                <w:color w:val="000000" w:themeColor="text1"/>
                <w14:textFill>
                  <w14:solidFill>
                    <w14:schemeClr w14:val="tx1"/>
                  </w14:solidFill>
                </w14:textFill>
              </w:rPr>
              <w:t>非甲烷总烃</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0.0499</w:t>
            </w:r>
            <w:r>
              <w:rPr>
                <w:color w:val="000000" w:themeColor="text1"/>
                <w14:textFill>
                  <w14:solidFill>
                    <w14:schemeClr w14:val="tx1"/>
                  </w14:solidFill>
                </w14:textFill>
              </w:rPr>
              <w:t>t/a，排放速率为0.</w:t>
            </w:r>
            <w:r>
              <w:rPr>
                <w:rFonts w:hint="eastAsia"/>
                <w:color w:val="000000" w:themeColor="text1"/>
                <w14:textFill>
                  <w14:solidFill>
                    <w14:schemeClr w14:val="tx1"/>
                  </w14:solidFill>
                </w14:textFill>
              </w:rPr>
              <w:t>021</w:t>
            </w:r>
            <w:r>
              <w:rPr>
                <w:color w:val="000000" w:themeColor="text1"/>
                <w14:textFill>
                  <w14:solidFill>
                    <w14:schemeClr w14:val="tx1"/>
                  </w14:solidFill>
                </w14:textFill>
              </w:rPr>
              <w:t>kg/h。</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（2）烘干工序废气</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烘干工序以70%计，涂布工序非甲烷总烃产生量为1.166t/a，烘干产生的非甲烷总烃通过烘箱内部设置的集气管收集后，废气汇集至1套二级活性炭吸附装置处理（TA001），尾气通过1根15米高的排气筒DA001排放。</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烘箱内部密闭性较好，收集效率以98%计，二级活性炭装置</w:t>
            </w:r>
            <w:r>
              <w:rPr>
                <w:rFonts w:hint="eastAsia"/>
                <w:bCs/>
                <w:color w:val="000000" w:themeColor="text1"/>
                <w14:textFill>
                  <w14:solidFill>
                    <w14:schemeClr w14:val="tx1"/>
                  </w14:solidFill>
                </w14:textFill>
              </w:rPr>
              <w:t>处理效率为9</w:t>
            </w:r>
            <w:r>
              <w:rPr>
                <w:rFonts w:hint="eastAsia"/>
                <w:bCs/>
                <w:color w:val="000000" w:themeColor="text1"/>
                <w:lang w:val="en-US" w:eastAsia="zh-CN"/>
                <w14:textFill>
                  <w14:solidFill>
                    <w14:schemeClr w14:val="tx1"/>
                  </w14:solidFill>
                </w14:textFill>
              </w:rPr>
              <w:t>0</w:t>
            </w:r>
            <w:r>
              <w:rPr>
                <w:rFonts w:hint="eastAsia"/>
                <w:bCs/>
                <w:color w:val="000000" w:themeColor="text1"/>
                <w14:textFill>
                  <w14:solidFill>
                    <w14:schemeClr w14:val="tx1"/>
                  </w14:solidFill>
                </w14:textFill>
              </w:rPr>
              <w:t>%，年工作时间为2400h。烘箱内部集气</w:t>
            </w:r>
            <w:r>
              <w:rPr>
                <w:rFonts w:hint="eastAsia"/>
                <w:color w:val="000000" w:themeColor="text1"/>
                <w14:textFill>
                  <w14:solidFill>
                    <w14:schemeClr w14:val="tx1"/>
                  </w14:solidFill>
                </w14:textFill>
              </w:rPr>
              <w:t>风量单台为1000m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/h，共设置7台烘箱，烘干工序总风量为7000m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p>
            <w:pPr>
              <w:spacing w:line="360" w:lineRule="auto"/>
              <w:ind w:firstLine="480" w:firstLineChars="200"/>
              <w:jc w:val="lef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因此烘干工序</w:t>
            </w:r>
            <w:r>
              <w:rPr>
                <w:rFonts w:hint="eastAsia"/>
                <w:color w:val="000000" w:themeColor="text1"/>
                <w14:textFill>
                  <w14:solidFill>
                    <w14:schemeClr w14:val="tx1"/>
                  </w14:solidFill>
                </w14:textFill>
              </w:rPr>
              <w:t xml:space="preserve">非甲烷总烃排放量为 </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.114</w:t>
            </w:r>
            <w:r>
              <w:rPr>
                <w:color w:val="000000" w:themeColor="text1"/>
                <w14:textFill>
                  <w14:solidFill>
                    <w14:schemeClr w14:val="tx1"/>
                  </w14:solidFill>
                </w14:textFill>
              </w:rPr>
              <w:t>t/a，排放速率为0.</w:t>
            </w:r>
            <w:r>
              <w:rPr>
                <w:rFonts w:hint="eastAsia"/>
                <w:color w:val="000000" w:themeColor="text1"/>
                <w14:textFill>
                  <w14:solidFill>
                    <w14:schemeClr w14:val="tx1"/>
                  </w14:solidFill>
                </w14:textFill>
              </w:rPr>
              <w:t>0476</w:t>
            </w:r>
            <w:r>
              <w:rPr>
                <w:color w:val="000000" w:themeColor="text1"/>
                <w14:textFill>
                  <w14:solidFill>
                    <w14:schemeClr w14:val="tx1"/>
                  </w14:solidFill>
                </w14:textFill>
              </w:rPr>
              <w:t>kg/h，无组织排放的</w:t>
            </w:r>
            <w:r>
              <w:rPr>
                <w:rFonts w:hint="eastAsia"/>
                <w:color w:val="000000" w:themeColor="text1"/>
                <w14:textFill>
                  <w14:solidFill>
                    <w14:schemeClr w14:val="tx1"/>
                  </w14:solidFill>
                </w14:textFill>
              </w:rPr>
              <w:t>非甲烷总烃</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0.02331</w:t>
            </w:r>
            <w:r>
              <w:rPr>
                <w:color w:val="000000" w:themeColor="text1"/>
                <w14:textFill>
                  <w14:solidFill>
                    <w14:schemeClr w14:val="tx1"/>
                  </w14:solidFill>
                </w14:textFill>
              </w:rPr>
              <w:t>t/a，排放速率为0.</w:t>
            </w:r>
            <w:r>
              <w:rPr>
                <w:rFonts w:hint="eastAsia"/>
                <w:color w:val="000000" w:themeColor="text1"/>
                <w14:textFill>
                  <w14:solidFill>
                    <w14:schemeClr w14:val="tx1"/>
                  </w14:solidFill>
                </w14:textFill>
              </w:rPr>
              <w:t>01k</w:t>
            </w:r>
            <w:r>
              <w:rPr>
                <w:color w:val="000000" w:themeColor="text1"/>
                <w14:textFill>
                  <w14:solidFill>
                    <w14:schemeClr w14:val="tx1"/>
                  </w14:solidFill>
                </w14:textFill>
              </w:rPr>
              <w:t>g/h。</w:t>
            </w:r>
          </w:p>
          <w:p>
            <w:pPr>
              <w:tabs>
                <w:tab w:val="left" w:pos="3980"/>
              </w:tabs>
              <w:spacing w:line="360" w:lineRule="auto"/>
              <w:jc w:val="center"/>
              <w:rPr>
                <w:rFonts w:cs="宋体"/>
                <w:b/>
                <w:color w:val="000000" w:themeColor="text1"/>
                <w:kern w:val="0"/>
                <w14:textFill>
                  <w14:solidFill>
                    <w14:schemeClr w14:val="tx1"/>
                  </w14:solidFill>
                </w14:textFill>
              </w:rPr>
            </w:pPr>
            <w:r>
              <w:rPr>
                <w:rFonts w:cs="宋体"/>
                <w:b/>
                <w:color w:val="000000" w:themeColor="text1"/>
                <w:kern w:val="0"/>
                <w14:textFill>
                  <w14:solidFill>
                    <w14:schemeClr w14:val="tx1"/>
                  </w14:solidFill>
                </w14:textFill>
              </w:rPr>
              <w:t>表</w:t>
            </w:r>
            <w:r>
              <w:rPr>
                <w:rFonts w:hint="eastAsia" w:cs="宋体"/>
                <w:b/>
                <w:color w:val="000000" w:themeColor="text1"/>
                <w:kern w:val="0"/>
                <w14:textFill>
                  <w14:solidFill>
                    <w14:schemeClr w14:val="tx1"/>
                  </w14:solidFill>
                </w14:textFill>
              </w:rPr>
              <w:t>4-5</w:t>
            </w:r>
            <w:r>
              <w:rPr>
                <w:rFonts w:cs="宋体"/>
                <w:b/>
                <w:color w:val="000000" w:themeColor="text1"/>
                <w:kern w:val="0"/>
                <w14:textFill>
                  <w14:solidFill>
                    <w14:schemeClr w14:val="tx1"/>
                  </w14:solidFill>
                </w14:textFill>
              </w:rPr>
              <w:t xml:space="preserve">  </w:t>
            </w:r>
            <w:r>
              <w:rPr>
                <w:rFonts w:hint="eastAsia" w:cs="宋体"/>
                <w:b/>
                <w:color w:val="000000" w:themeColor="text1"/>
                <w:kern w:val="0"/>
                <w14:textFill>
                  <w14:solidFill>
                    <w14:schemeClr w14:val="tx1"/>
                  </w14:solidFill>
                </w14:textFill>
              </w:rPr>
              <w:t>DA001废气</w:t>
            </w:r>
            <w:r>
              <w:rPr>
                <w:rFonts w:cs="宋体"/>
                <w:b/>
                <w:color w:val="000000" w:themeColor="text1"/>
                <w:kern w:val="0"/>
                <w14:textFill>
                  <w14:solidFill>
                    <w14:schemeClr w14:val="tx1"/>
                  </w14:solidFill>
                </w14:textFill>
              </w:rPr>
              <w:t>物产排情况</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20"/>
              <w:gridCol w:w="655"/>
              <w:gridCol w:w="655"/>
              <w:gridCol w:w="810"/>
              <w:gridCol w:w="891"/>
              <w:gridCol w:w="919"/>
              <w:gridCol w:w="810"/>
              <w:gridCol w:w="655"/>
              <w:gridCol w:w="655"/>
              <w:gridCol w:w="656"/>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20"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w:t>
                  </w:r>
                </w:p>
              </w:tc>
              <w:tc>
                <w:tcPr>
                  <w:tcW w:w="655"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形式</w:t>
                  </w:r>
                </w:p>
              </w:tc>
              <w:tc>
                <w:tcPr>
                  <w:tcW w:w="655"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产生量t/a</w:t>
                  </w:r>
                </w:p>
              </w:tc>
              <w:tc>
                <w:tcPr>
                  <w:tcW w:w="810"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产生速率kg/h</w:t>
                  </w:r>
                </w:p>
              </w:tc>
              <w:tc>
                <w:tcPr>
                  <w:tcW w:w="891"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产生浓度mg/m</w:t>
                  </w:r>
                  <w:r>
                    <w:rPr>
                      <w:color w:val="000000" w:themeColor="text1"/>
                      <w:sz w:val="21"/>
                      <w:szCs w:val="21"/>
                      <w:vertAlign w:val="superscript"/>
                      <w14:textFill>
                        <w14:solidFill>
                          <w14:schemeClr w14:val="tx1"/>
                        </w14:solidFill>
                      </w14:textFill>
                    </w:rPr>
                    <w:t>3</w:t>
                  </w:r>
                </w:p>
              </w:tc>
              <w:tc>
                <w:tcPr>
                  <w:tcW w:w="919"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排放量</w:t>
                  </w:r>
                </w:p>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t/a</w:t>
                  </w:r>
                </w:p>
              </w:tc>
              <w:tc>
                <w:tcPr>
                  <w:tcW w:w="810"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排放速率kg/h</w:t>
                  </w:r>
                </w:p>
              </w:tc>
              <w:tc>
                <w:tcPr>
                  <w:tcW w:w="655" w:type="dxa"/>
                  <w:vMerge w:val="restar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排放浓度mg/m</w:t>
                  </w:r>
                  <w:r>
                    <w:rPr>
                      <w:color w:val="000000" w:themeColor="text1"/>
                      <w:sz w:val="21"/>
                      <w:szCs w:val="21"/>
                      <w:vertAlign w:val="superscript"/>
                      <w14:textFill>
                        <w14:solidFill>
                          <w14:schemeClr w14:val="tx1"/>
                        </w14:solidFill>
                      </w14:textFill>
                    </w:rPr>
                    <w:t>3</w:t>
                  </w:r>
                </w:p>
              </w:tc>
              <w:tc>
                <w:tcPr>
                  <w:tcW w:w="2148" w:type="dxa"/>
                  <w:gridSpan w:val="3"/>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排气筒</w:t>
                  </w:r>
                  <w:r>
                    <w:rPr>
                      <w:rFonts w:hint="eastAsia"/>
                      <w:color w:val="000000" w:themeColor="text1"/>
                      <w:kern w:val="0"/>
                      <w:sz w:val="21"/>
                      <w:szCs w:val="21"/>
                      <w:lang w:bidi="ar"/>
                      <w14:textFill>
                        <w14:solidFill>
                          <w14:schemeClr w14:val="tx1"/>
                        </w14:solidFill>
                      </w14:textFill>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2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1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91"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919"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1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restart"/>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高度m</w:t>
                  </w:r>
                </w:p>
              </w:tc>
              <w:tc>
                <w:tcPr>
                  <w:tcW w:w="656" w:type="dxa"/>
                  <w:vMerge w:val="restart"/>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直径m</w:t>
                  </w:r>
                </w:p>
              </w:tc>
              <w:tc>
                <w:tcPr>
                  <w:tcW w:w="837"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风量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2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1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91"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919"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1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6"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837"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m</w:t>
                  </w:r>
                  <w:r>
                    <w:rPr>
                      <w:color w:val="000000" w:themeColor="text1"/>
                      <w:kern w:val="0"/>
                      <w:sz w:val="21"/>
                      <w:szCs w:val="21"/>
                      <w:vertAlign w:val="superscript"/>
                      <w:lang w:bidi="ar"/>
                      <w14:textFill>
                        <w14:solidFill>
                          <w14:schemeClr w14:val="tx1"/>
                        </w14:solidFill>
                      </w14:textFill>
                    </w:rPr>
                    <w:t>3</w:t>
                  </w:r>
                  <w:r>
                    <w:rPr>
                      <w:color w:val="000000" w:themeColor="text1"/>
                      <w:kern w:val="0"/>
                      <w:sz w:val="21"/>
                      <w:szCs w:val="21"/>
                      <w:lang w:bidi="ar"/>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20" w:type="dxa"/>
                  <w:vMerge w:val="restar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655"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有组织</w:t>
                  </w:r>
                </w:p>
              </w:tc>
              <w:tc>
                <w:tcPr>
                  <w:tcW w:w="655"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1.592 </w:t>
                  </w:r>
                </w:p>
              </w:tc>
              <w:tc>
                <w:tcPr>
                  <w:tcW w:w="810"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0.663 </w:t>
                  </w:r>
                </w:p>
              </w:tc>
              <w:tc>
                <w:tcPr>
                  <w:tcW w:w="891"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9.448 </w:t>
                  </w:r>
                </w:p>
              </w:tc>
              <w:tc>
                <w:tcPr>
                  <w:tcW w:w="919"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0.1592 </w:t>
                  </w:r>
                </w:p>
              </w:tc>
              <w:tc>
                <w:tcPr>
                  <w:tcW w:w="810"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0.066 </w:t>
                  </w:r>
                </w:p>
              </w:tc>
              <w:tc>
                <w:tcPr>
                  <w:tcW w:w="655"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0.985 </w:t>
                  </w:r>
                </w:p>
              </w:tc>
              <w:tc>
                <w:tcPr>
                  <w:tcW w:w="655"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15</w:t>
                  </w:r>
                </w:p>
              </w:tc>
              <w:tc>
                <w:tcPr>
                  <w:tcW w:w="656"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0.</w:t>
                  </w:r>
                  <w:r>
                    <w:rPr>
                      <w:rFonts w:hint="eastAsia"/>
                      <w:color w:val="000000" w:themeColor="text1"/>
                      <w:kern w:val="0"/>
                      <w:sz w:val="21"/>
                      <w:szCs w:val="21"/>
                      <w:lang w:bidi="ar"/>
                      <w14:textFill>
                        <w14:solidFill>
                          <w14:schemeClr w14:val="tx1"/>
                        </w14:solidFill>
                      </w14:textFill>
                    </w:rPr>
                    <w:t>7</w:t>
                  </w:r>
                </w:p>
              </w:tc>
              <w:tc>
                <w:tcPr>
                  <w:tcW w:w="837"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670</w:t>
                  </w:r>
                  <w:r>
                    <w:rPr>
                      <w:color w:val="000000" w:themeColor="text1"/>
                      <w:kern w:val="0"/>
                      <w:sz w:val="21"/>
                      <w:szCs w:val="21"/>
                      <w:lang w:bidi="ar"/>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20" w:type="dxa"/>
                  <w:vMerge w:val="continue"/>
                  <w:vAlign w:val="center"/>
                </w:tcPr>
                <w:p>
                  <w:pPr>
                    <w:spacing w:line="240" w:lineRule="atLeast"/>
                    <w:jc w:val="center"/>
                    <w:rPr>
                      <w:color w:val="000000" w:themeColor="text1"/>
                      <w:sz w:val="21"/>
                      <w:szCs w:val="21"/>
                      <w14:textFill>
                        <w14:solidFill>
                          <w14:schemeClr w14:val="tx1"/>
                        </w14:solidFill>
                      </w14:textFill>
                    </w:rPr>
                  </w:pPr>
                </w:p>
              </w:tc>
              <w:tc>
                <w:tcPr>
                  <w:tcW w:w="655"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无组织</w:t>
                  </w:r>
                </w:p>
              </w:tc>
              <w:tc>
                <w:tcPr>
                  <w:tcW w:w="655"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0.0733 </w:t>
                  </w:r>
                </w:p>
              </w:tc>
              <w:tc>
                <w:tcPr>
                  <w:tcW w:w="810"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0.0305 </w:t>
                  </w:r>
                </w:p>
              </w:tc>
              <w:tc>
                <w:tcPr>
                  <w:tcW w:w="891"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w:t>
                  </w:r>
                </w:p>
              </w:tc>
              <w:tc>
                <w:tcPr>
                  <w:tcW w:w="919"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0.0733 </w:t>
                  </w:r>
                </w:p>
              </w:tc>
              <w:tc>
                <w:tcPr>
                  <w:tcW w:w="810"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0.0305 </w:t>
                  </w:r>
                </w:p>
              </w:tc>
              <w:tc>
                <w:tcPr>
                  <w:tcW w:w="655" w:type="dxa"/>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w:t>
                  </w:r>
                </w:p>
              </w:tc>
              <w:tc>
                <w:tcPr>
                  <w:tcW w:w="655"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w:t>
                  </w:r>
                </w:p>
              </w:tc>
              <w:tc>
                <w:tcPr>
                  <w:tcW w:w="656"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w:t>
                  </w:r>
                </w:p>
              </w:tc>
              <w:tc>
                <w:tcPr>
                  <w:tcW w:w="837" w:type="dxa"/>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w:t>
                  </w:r>
                </w:p>
              </w:tc>
            </w:tr>
          </w:tbl>
          <w:p>
            <w:pPr>
              <w:ind w:firstLine="480" w:firstLineChars="200"/>
              <w:rPr>
                <w:color w:val="000000" w:themeColor="text1"/>
                <w14:textFill>
                  <w14:solidFill>
                    <w14:schemeClr w14:val="tx1"/>
                  </w14:solidFill>
                </w14:textFill>
              </w:rPr>
            </w:pPr>
          </w:p>
          <w:p>
            <w:pPr>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）项目废气排放量汇总</w:t>
            </w:r>
          </w:p>
          <w:p>
            <w:pPr>
              <w:spacing w:line="360" w:lineRule="auto"/>
              <w:ind w:firstLine="480" w:firstLineChars="200"/>
              <w:rPr>
                <w:rFonts w:hint="default" w:eastAsia="宋体"/>
                <w:color w:val="000000" w:themeColor="text1"/>
                <w:kern w:val="0"/>
                <w:lang w:val="en-US" w:eastAsia="zh-CN"/>
                <w14:textFill>
                  <w14:solidFill>
                    <w14:schemeClr w14:val="tx1"/>
                  </w14:solidFill>
                </w14:textFill>
              </w:rPr>
            </w:pPr>
            <w:r>
              <w:rPr>
                <w:color w:val="000000" w:themeColor="text1"/>
                <w:kern w:val="0"/>
                <w14:textFill>
                  <w14:solidFill>
                    <w14:schemeClr w14:val="tx1"/>
                  </w14:solidFill>
                </w14:textFill>
              </w:rPr>
              <w:t>本项目的废气排放包括有组织和无组织排放两部分，主要排放因子包括非甲烷总烃</w:t>
            </w:r>
            <w:r>
              <w:rPr>
                <w:rFonts w:hint="eastAsia"/>
                <w:color w:val="000000" w:themeColor="text1"/>
                <w14:textFill>
                  <w14:solidFill>
                    <w14:schemeClr w14:val="tx1"/>
                  </w14:solidFill>
                </w14:textFill>
              </w:rPr>
              <w:t>，</w:t>
            </w:r>
            <w:r>
              <w:rPr>
                <w:color w:val="000000" w:themeColor="text1"/>
                <w:kern w:val="0"/>
                <w14:textFill>
                  <w14:solidFill>
                    <w14:schemeClr w14:val="tx1"/>
                  </w14:solidFill>
                </w14:textFill>
              </w:rPr>
              <w:t>具体的排放情况汇总详见下表：</w:t>
            </w:r>
            <w:r>
              <w:rPr>
                <w:rFonts w:hint="eastAsia"/>
                <w:color w:val="000000" w:themeColor="text1"/>
                <w:kern w:val="0"/>
                <w:lang w:val="en-US" w:eastAsia="zh-CN"/>
                <w14:textFill>
                  <w14:solidFill>
                    <w14:schemeClr w14:val="tx1"/>
                  </w14:solidFill>
                </w14:textFill>
              </w:rPr>
              <w:t>95</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cs="宋体"/>
                <w:b/>
                <w:color w:val="000000" w:themeColor="text1"/>
                <w:kern w:val="0"/>
                <w:lang w:val="zh-CN"/>
                <w14:textFill>
                  <w14:solidFill>
                    <w14:schemeClr w14:val="tx1"/>
                  </w14:solidFill>
                </w14:textFill>
              </w:rPr>
              <w:t>表</w:t>
            </w:r>
            <w:r>
              <w:rPr>
                <w:rFonts w:hint="eastAsia" w:cs="宋体"/>
                <w:b/>
                <w:color w:val="000000" w:themeColor="text1"/>
                <w:kern w:val="0"/>
                <w14:textFill>
                  <w14:solidFill>
                    <w14:schemeClr w14:val="tx1"/>
                  </w14:solidFill>
                </w14:textFill>
              </w:rPr>
              <w:t>4-6</w:t>
            </w:r>
            <w:r>
              <w:rPr>
                <w:rFonts w:cs="宋体"/>
                <w:b/>
                <w:color w:val="000000" w:themeColor="text1"/>
                <w:kern w:val="0"/>
                <w:lang w:val="zh-CN"/>
                <w14:textFill>
                  <w14:solidFill>
                    <w14:schemeClr w14:val="tx1"/>
                  </w14:solidFill>
                </w14:textFill>
              </w:rPr>
              <w:t xml:space="preserve"> 本项目</w:t>
            </w:r>
            <w:r>
              <w:rPr>
                <w:rFonts w:cs="宋体"/>
                <w:b/>
                <w:color w:val="000000" w:themeColor="text1"/>
                <w:kern w:val="0"/>
                <w14:textFill>
                  <w14:solidFill>
                    <w14:schemeClr w14:val="tx1"/>
                  </w14:solidFill>
                </w14:textFill>
              </w:rPr>
              <w:t>点源源强调查参数</w:t>
            </w:r>
            <w:r>
              <w:rPr>
                <w:rFonts w:hint="eastAsia" w:cs="宋体"/>
                <w:b/>
                <w:color w:val="000000" w:themeColor="text1"/>
                <w:kern w:val="0"/>
                <w14:textFill>
                  <w14:solidFill>
                    <w14:schemeClr w14:val="tx1"/>
                  </w14:solidFill>
                </w14:textFill>
              </w:rPr>
              <w:t>表</w:t>
            </w:r>
          </w:p>
          <w:tbl>
            <w:tblPr>
              <w:tblStyle w:val="29"/>
              <w:tblW w:w="847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371"/>
              <w:gridCol w:w="852"/>
              <w:gridCol w:w="1007"/>
              <w:gridCol w:w="976"/>
              <w:gridCol w:w="882"/>
              <w:gridCol w:w="684"/>
              <w:gridCol w:w="784"/>
              <w:gridCol w:w="590"/>
              <w:gridCol w:w="596"/>
              <w:gridCol w:w="895"/>
              <w:gridCol w:w="83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编号</w:t>
                  </w:r>
                </w:p>
              </w:tc>
              <w:tc>
                <w:tcPr>
                  <w:tcW w:w="852"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名称</w:t>
                  </w:r>
                </w:p>
              </w:tc>
              <w:tc>
                <w:tcPr>
                  <w:tcW w:w="1983"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排气筒底部中心坐标</w:t>
                  </w:r>
                </w:p>
              </w:tc>
              <w:tc>
                <w:tcPr>
                  <w:tcW w:w="882"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排气筒底部海拔高度（m）</w:t>
                  </w:r>
                </w:p>
              </w:tc>
              <w:tc>
                <w:tcPr>
                  <w:tcW w:w="684"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排气筒高度（m）</w:t>
                  </w:r>
                </w:p>
              </w:tc>
              <w:tc>
                <w:tcPr>
                  <w:tcW w:w="784"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排气筒出口内径（m）</w:t>
                  </w:r>
                </w:p>
              </w:tc>
              <w:tc>
                <w:tcPr>
                  <w:tcW w:w="59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烟气流</w:t>
                  </w:r>
                  <w:r>
                    <w:rPr>
                      <w:rFonts w:hint="eastAsia"/>
                      <w:color w:val="000000" w:themeColor="text1"/>
                      <w14:textFill>
                        <w14:solidFill>
                          <w14:schemeClr w14:val="tx1"/>
                        </w14:solidFill>
                      </w14:textFill>
                    </w:rPr>
                    <w:t>量</w:t>
                  </w:r>
                  <w:r>
                    <w:rPr>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w:t>
                  </w:r>
                </w:p>
              </w:tc>
              <w:tc>
                <w:tcPr>
                  <w:tcW w:w="596"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烟气温度（℃）</w:t>
                  </w:r>
                </w:p>
              </w:tc>
              <w:tc>
                <w:tcPr>
                  <w:tcW w:w="1732" w:type="dxa"/>
                  <w:gridSpan w:val="2"/>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污染物排放速率（kg/h）</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852"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1007"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X</w:t>
                  </w:r>
                </w:p>
              </w:tc>
              <w:tc>
                <w:tcPr>
                  <w:tcW w:w="976"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Y</w:t>
                  </w:r>
                </w:p>
              </w:tc>
              <w:tc>
                <w:tcPr>
                  <w:tcW w:w="882"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684"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784"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59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596"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p>
              </w:tc>
              <w:tc>
                <w:tcPr>
                  <w:tcW w:w="895"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名称</w:t>
                  </w:r>
                </w:p>
              </w:tc>
              <w:tc>
                <w:tcPr>
                  <w:tcW w:w="837"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排放速率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371"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852"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DA001</w:t>
                  </w:r>
                  <w:r>
                    <w:rPr>
                      <w:color w:val="000000" w:themeColor="text1"/>
                      <w14:textFill>
                        <w14:solidFill>
                          <w14:schemeClr w14:val="tx1"/>
                        </w14:solidFill>
                      </w14:textFill>
                    </w:rPr>
                    <w:t>排气筒</w:t>
                  </w:r>
                </w:p>
              </w:tc>
              <w:tc>
                <w:tcPr>
                  <w:tcW w:w="1007"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118.249446189</w:t>
                  </w:r>
                </w:p>
              </w:tc>
              <w:tc>
                <w:tcPr>
                  <w:tcW w:w="976"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31.459192554</w:t>
                  </w:r>
                </w:p>
              </w:tc>
              <w:tc>
                <w:tcPr>
                  <w:tcW w:w="882"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7.572</w:t>
                  </w:r>
                </w:p>
              </w:tc>
              <w:tc>
                <w:tcPr>
                  <w:tcW w:w="684"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15</w:t>
                  </w:r>
                </w:p>
              </w:tc>
              <w:tc>
                <w:tcPr>
                  <w:tcW w:w="784"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color w:val="000000" w:themeColor="text1"/>
                      <w14:textFill>
                        <w14:solidFill>
                          <w14:schemeClr w14:val="tx1"/>
                        </w14:solidFill>
                      </w14:textFill>
                    </w:rPr>
                    <w:t>0.</w:t>
                  </w:r>
                  <w:r>
                    <w:rPr>
                      <w:rFonts w:hint="eastAsia"/>
                      <w:color w:val="000000" w:themeColor="text1"/>
                      <w14:textFill>
                        <w14:solidFill>
                          <w14:schemeClr w14:val="tx1"/>
                        </w14:solidFill>
                      </w14:textFill>
                    </w:rPr>
                    <w:t>7</w:t>
                  </w:r>
                </w:p>
              </w:tc>
              <w:tc>
                <w:tcPr>
                  <w:tcW w:w="59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40" w:lineRule="atLeast"/>
                    <w:jc w:val="center"/>
                    <w:rPr>
                      <w:color w:val="000000" w:themeColor="text1"/>
                      <w14:textFill>
                        <w14:solidFill>
                          <w14:schemeClr w14:val="tx1"/>
                        </w14:solidFill>
                      </w14:textFill>
                    </w:rPr>
                  </w:pPr>
                  <w:r>
                    <w:rPr>
                      <w:rFonts w:hint="eastAsia"/>
                      <w:color w:val="000000" w:themeColor="text1"/>
                      <w:sz w:val="21"/>
                      <w14:textFill>
                        <w14:solidFill>
                          <w14:schemeClr w14:val="tx1"/>
                        </w14:solidFill>
                      </w14:textFill>
                    </w:rPr>
                    <w:t>670</w:t>
                  </w:r>
                  <w:r>
                    <w:rPr>
                      <w:color w:val="000000" w:themeColor="text1"/>
                      <w:sz w:val="21"/>
                      <w14:textFill>
                        <w14:solidFill>
                          <w14:schemeClr w14:val="tx1"/>
                        </w14:solidFill>
                      </w14:textFill>
                    </w:rPr>
                    <w:t>00</w:t>
                  </w:r>
                </w:p>
              </w:tc>
              <w:tc>
                <w:tcPr>
                  <w:tcW w:w="596"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0</w:t>
                  </w:r>
                </w:p>
              </w:tc>
              <w:tc>
                <w:tcPr>
                  <w:tcW w:w="895" w:type="dxa"/>
                  <w:tcBorders>
                    <w:top w:val="single" w:color="auto" w:sz="4" w:space="0"/>
                    <w:left w:val="single" w:color="auto" w:sz="4" w:space="0"/>
                    <w:bottom w:val="single" w:color="auto" w:sz="4" w:space="0"/>
                    <w:right w:val="single" w:color="auto" w:sz="4" w:space="0"/>
                    <w:tl2br w:val="nil"/>
                    <w:tr2bl w:val="nil"/>
                  </w:tcBorders>
                  <w:vAlign w:val="center"/>
                </w:tcPr>
                <w:p>
                  <w:pPr>
                    <w:pStyle w:val="59"/>
                    <w:rPr>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837"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40" w:lineRule="atLeast"/>
                    <w:jc w:val="center"/>
                    <w:textAlignment w:val="bottom"/>
                    <w:rPr>
                      <w:color w:val="000000" w:themeColor="text1"/>
                      <w14:textFill>
                        <w14:solidFill>
                          <w14:schemeClr w14:val="tx1"/>
                        </w14:solidFill>
                      </w14:textFill>
                    </w:rPr>
                  </w:pPr>
                  <w:r>
                    <w:rPr>
                      <w:color w:val="000000" w:themeColor="text1"/>
                      <w:kern w:val="0"/>
                      <w:sz w:val="21"/>
                      <w:szCs w:val="21"/>
                      <w:lang w:bidi="ar"/>
                      <w14:textFill>
                        <w14:solidFill>
                          <w14:schemeClr w14:val="tx1"/>
                        </w14:solidFill>
                      </w14:textFill>
                    </w:rPr>
                    <w:t>0.</w:t>
                  </w:r>
                  <w:r>
                    <w:rPr>
                      <w:rFonts w:hint="eastAsia"/>
                      <w:color w:val="000000" w:themeColor="text1"/>
                      <w:kern w:val="0"/>
                      <w:sz w:val="21"/>
                      <w:szCs w:val="21"/>
                      <w:lang w:bidi="ar"/>
                      <w14:textFill>
                        <w14:solidFill>
                          <w14:schemeClr w14:val="tx1"/>
                        </w14:solidFill>
                      </w14:textFill>
                    </w:rPr>
                    <w:t>066</w:t>
                  </w:r>
                  <w:r>
                    <w:rPr>
                      <w:color w:val="000000" w:themeColor="text1"/>
                      <w:kern w:val="0"/>
                      <w:sz w:val="21"/>
                      <w:szCs w:val="21"/>
                      <w:lang w:bidi="ar"/>
                      <w14:textFill>
                        <w14:solidFill>
                          <w14:schemeClr w14:val="tx1"/>
                        </w14:solidFill>
                      </w14:textFill>
                    </w:rPr>
                    <w:t xml:space="preserve"> </w:t>
                  </w:r>
                </w:p>
              </w:tc>
            </w:tr>
          </w:tbl>
          <w:p>
            <w:pPr>
              <w:tabs>
                <w:tab w:val="left" w:pos="3980"/>
              </w:tabs>
              <w:jc w:val="center"/>
              <w:rPr>
                <w:rFonts w:cs="宋体"/>
                <w:b/>
                <w:color w:val="000000" w:themeColor="text1"/>
                <w:kern w:val="0"/>
                <w:sz w:val="21"/>
                <w:szCs w:val="21"/>
                <w14:textFill>
                  <w14:solidFill>
                    <w14:schemeClr w14:val="tx1"/>
                  </w14:solidFill>
                </w14:textFill>
              </w:rPr>
            </w:pP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7</w:t>
            </w:r>
            <w:r>
              <w:rPr>
                <w:rFonts w:cs="宋体"/>
                <w:b/>
                <w:color w:val="000000" w:themeColor="text1"/>
                <w:kern w:val="0"/>
                <w:lang w:val="zh-CN"/>
                <w14:textFill>
                  <w14:solidFill>
                    <w14:schemeClr w14:val="tx1"/>
                  </w14:solidFill>
                </w14:textFill>
              </w:rPr>
              <w:t xml:space="preserve">  项目</w:t>
            </w:r>
            <w:r>
              <w:rPr>
                <w:rFonts w:hint="eastAsia" w:cs="宋体"/>
                <w:b/>
                <w:color w:val="000000" w:themeColor="text1"/>
                <w:kern w:val="0"/>
                <w14:textFill>
                  <w14:solidFill>
                    <w14:schemeClr w14:val="tx1"/>
                  </w14:solidFill>
                </w14:textFill>
              </w:rPr>
              <w:t>无组织</w:t>
            </w:r>
            <w:r>
              <w:rPr>
                <w:rFonts w:cs="宋体"/>
                <w:b/>
                <w:color w:val="000000" w:themeColor="text1"/>
                <w:kern w:val="0"/>
                <w:lang w:val="zh-CN"/>
                <w14:textFill>
                  <w14:solidFill>
                    <w14:schemeClr w14:val="tx1"/>
                  </w14:solidFill>
                </w14:textFill>
              </w:rPr>
              <w:t xml:space="preserve">废气排放情况汇总一览表     </w:t>
            </w:r>
          </w:p>
          <w:tbl>
            <w:tblPr>
              <w:tblStyle w:val="2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3"/>
              <w:gridCol w:w="973"/>
              <w:gridCol w:w="892"/>
              <w:gridCol w:w="948"/>
              <w:gridCol w:w="1446"/>
              <w:gridCol w:w="1928"/>
              <w:gridCol w:w="18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69" w:hRule="atLeast"/>
                <w:jc w:val="center"/>
              </w:trPr>
              <w:tc>
                <w:tcPr>
                  <w:tcW w:w="244" w:type="pct"/>
                  <w:vMerge w:val="restart"/>
                  <w:tcBorders>
                    <w:left w:val="single" w:color="auto" w:sz="0" w:space="0"/>
                    <w:tl2br w:val="nil"/>
                    <w:tr2bl w:val="nil"/>
                  </w:tcBorders>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w:t>
                  </w:r>
                </w:p>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号</w:t>
                  </w:r>
                </w:p>
              </w:tc>
              <w:tc>
                <w:tcPr>
                  <w:tcW w:w="574" w:type="pct"/>
                  <w:vMerge w:val="restart"/>
                  <w:tcBorders>
                    <w:tl2br w:val="nil"/>
                    <w:tr2bl w:val="nil"/>
                  </w:tcBorders>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w:t>
                  </w:r>
                  <w:r>
                    <w:rPr>
                      <w:rFonts w:hint="eastAsia"/>
                      <w:b/>
                      <w:bCs/>
                      <w:color w:val="000000" w:themeColor="text1"/>
                      <w:sz w:val="21"/>
                      <w:szCs w:val="21"/>
                      <w14:textFill>
                        <w14:solidFill>
                          <w14:schemeClr w14:val="tx1"/>
                        </w14:solidFill>
                      </w14:textFill>
                    </w:rPr>
                    <w:t>源</w:t>
                  </w:r>
                </w:p>
              </w:tc>
              <w:tc>
                <w:tcPr>
                  <w:tcW w:w="526" w:type="pct"/>
                  <w:vMerge w:val="restart"/>
                  <w:tcBorders>
                    <w:tl2br w:val="nil"/>
                    <w:tr2bl w:val="nil"/>
                  </w:tcBorders>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长</w:t>
                  </w:r>
                </w:p>
              </w:tc>
              <w:tc>
                <w:tcPr>
                  <w:tcW w:w="559" w:type="pct"/>
                  <w:vMerge w:val="restart"/>
                  <w:tcBorders>
                    <w:tl2br w:val="nil"/>
                    <w:tr2bl w:val="nil"/>
                  </w:tcBorders>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宽</w:t>
                  </w:r>
                </w:p>
              </w:tc>
              <w:tc>
                <w:tcPr>
                  <w:tcW w:w="852" w:type="pct"/>
                  <w:vMerge w:val="restart"/>
                  <w:tcBorders>
                    <w:tl2br w:val="nil"/>
                    <w:tr2bl w:val="nil"/>
                  </w:tcBorders>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污染物</w:t>
                  </w:r>
                </w:p>
              </w:tc>
              <w:tc>
                <w:tcPr>
                  <w:tcW w:w="2242" w:type="pct"/>
                  <w:gridSpan w:val="2"/>
                  <w:tcBorders>
                    <w:right w:val="single" w:color="auto" w:sz="4" w:space="0"/>
                    <w:tl2br w:val="nil"/>
                    <w:tr2bl w:val="nil"/>
                  </w:tcBorders>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693" w:hRule="atLeast"/>
                <w:jc w:val="center"/>
              </w:trPr>
              <w:tc>
                <w:tcPr>
                  <w:tcW w:w="244" w:type="pct"/>
                  <w:vMerge w:val="continue"/>
                  <w:tcBorders>
                    <w:left w:val="single" w:color="auto" w:sz="4" w:space="0"/>
                    <w:tl2br w:val="nil"/>
                    <w:tr2bl w:val="nil"/>
                  </w:tcBorders>
                  <w:vAlign w:val="center"/>
                </w:tcPr>
                <w:p>
                  <w:pPr>
                    <w:jc w:val="center"/>
                    <w:rPr>
                      <w:b/>
                      <w:bCs/>
                      <w:color w:val="000000" w:themeColor="text1"/>
                      <w:sz w:val="21"/>
                      <w:szCs w:val="21"/>
                      <w14:textFill>
                        <w14:solidFill>
                          <w14:schemeClr w14:val="tx1"/>
                        </w14:solidFill>
                      </w14:textFill>
                    </w:rPr>
                  </w:pPr>
                </w:p>
              </w:tc>
              <w:tc>
                <w:tcPr>
                  <w:tcW w:w="574" w:type="pct"/>
                  <w:vMerge w:val="continue"/>
                  <w:tcBorders>
                    <w:tl2br w:val="nil"/>
                    <w:tr2bl w:val="nil"/>
                  </w:tcBorders>
                  <w:vAlign w:val="center"/>
                </w:tcPr>
                <w:p>
                  <w:pPr>
                    <w:jc w:val="center"/>
                    <w:rPr>
                      <w:b/>
                      <w:bCs/>
                      <w:color w:val="000000" w:themeColor="text1"/>
                      <w:sz w:val="21"/>
                      <w:szCs w:val="21"/>
                      <w14:textFill>
                        <w14:solidFill>
                          <w14:schemeClr w14:val="tx1"/>
                        </w14:solidFill>
                      </w14:textFill>
                    </w:rPr>
                  </w:pPr>
                </w:p>
              </w:tc>
              <w:tc>
                <w:tcPr>
                  <w:tcW w:w="526" w:type="pct"/>
                  <w:vMerge w:val="continue"/>
                  <w:tcBorders>
                    <w:tl2br w:val="nil"/>
                    <w:tr2bl w:val="nil"/>
                  </w:tcBorders>
                  <w:vAlign w:val="center"/>
                </w:tcPr>
                <w:p>
                  <w:pPr>
                    <w:jc w:val="center"/>
                    <w:rPr>
                      <w:b/>
                      <w:bCs/>
                      <w:color w:val="000000" w:themeColor="text1"/>
                      <w:sz w:val="21"/>
                      <w:szCs w:val="21"/>
                      <w14:textFill>
                        <w14:solidFill>
                          <w14:schemeClr w14:val="tx1"/>
                        </w14:solidFill>
                      </w14:textFill>
                    </w:rPr>
                  </w:pPr>
                </w:p>
              </w:tc>
              <w:tc>
                <w:tcPr>
                  <w:tcW w:w="559" w:type="pct"/>
                  <w:vMerge w:val="continue"/>
                  <w:tcBorders>
                    <w:tl2br w:val="nil"/>
                    <w:tr2bl w:val="nil"/>
                  </w:tcBorders>
                  <w:vAlign w:val="center"/>
                </w:tcPr>
                <w:p>
                  <w:pPr>
                    <w:jc w:val="center"/>
                    <w:rPr>
                      <w:b/>
                      <w:bCs/>
                      <w:color w:val="000000" w:themeColor="text1"/>
                      <w:sz w:val="21"/>
                      <w:szCs w:val="21"/>
                      <w14:textFill>
                        <w14:solidFill>
                          <w14:schemeClr w14:val="tx1"/>
                        </w14:solidFill>
                      </w14:textFill>
                    </w:rPr>
                  </w:pPr>
                </w:p>
              </w:tc>
              <w:tc>
                <w:tcPr>
                  <w:tcW w:w="852" w:type="pct"/>
                  <w:vMerge w:val="continue"/>
                  <w:tcBorders>
                    <w:tl2br w:val="nil"/>
                    <w:tr2bl w:val="nil"/>
                  </w:tcBorders>
                  <w:vAlign w:val="center"/>
                </w:tcPr>
                <w:p>
                  <w:pPr>
                    <w:jc w:val="center"/>
                    <w:rPr>
                      <w:b/>
                      <w:bCs/>
                      <w:color w:val="000000" w:themeColor="text1"/>
                      <w:sz w:val="21"/>
                      <w:szCs w:val="21"/>
                      <w14:textFill>
                        <w14:solidFill>
                          <w14:schemeClr w14:val="tx1"/>
                        </w14:solidFill>
                      </w14:textFill>
                    </w:rPr>
                  </w:pPr>
                </w:p>
              </w:tc>
              <w:tc>
                <w:tcPr>
                  <w:tcW w:w="1137" w:type="pct"/>
                  <w:tcBorders>
                    <w:tl2br w:val="nil"/>
                    <w:tr2bl w:val="nil"/>
                  </w:tcBorders>
                  <w:vAlign w:val="center"/>
                </w:tcPr>
                <w:p>
                  <w:pPr>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排放量t/a</w:t>
                  </w:r>
                </w:p>
              </w:tc>
              <w:tc>
                <w:tcPr>
                  <w:tcW w:w="1102" w:type="pct"/>
                  <w:tcBorders>
                    <w:right w:val="single" w:color="auto" w:sz="4" w:space="0"/>
                    <w:tl2br w:val="nil"/>
                    <w:tr2bl w:val="nil"/>
                  </w:tcBorders>
                  <w:vAlign w:val="center"/>
                </w:tcPr>
                <w:p>
                  <w:pPr>
                    <w:ind w:firstLine="32"/>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排放速率kg/h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69" w:hRule="atLeast"/>
                <w:jc w:val="center"/>
              </w:trPr>
              <w:tc>
                <w:tcPr>
                  <w:tcW w:w="244" w:type="pct"/>
                  <w:tcBorders>
                    <w:left w:val="single" w:color="auto" w:sz="4" w:space="0"/>
                    <w:tl2br w:val="nil"/>
                    <w:tr2bl w:val="nil"/>
                  </w:tcBorders>
                  <w:vAlign w:val="center"/>
                </w:tcPr>
                <w:p>
                  <w:pPr>
                    <w:ind w:hanging="35"/>
                    <w:jc w:val="center"/>
                    <w:rPr>
                      <w:color w:val="000000" w:themeColor="text1"/>
                      <w:sz w:val="21"/>
                      <w:szCs w:val="21"/>
                      <w14:textFill>
                        <w14:solidFill>
                          <w14:schemeClr w14:val="tx1"/>
                        </w14:solidFill>
                      </w14:textFill>
                    </w:rPr>
                  </w:pPr>
                  <w:bookmarkStart w:id="5" w:name="_Hlk507145880"/>
                  <w:bookmarkStart w:id="6" w:name="OLE_LINK2" w:colFirst="3" w:colLast="4"/>
                  <w:bookmarkStart w:id="7" w:name="OLE_LINK3" w:colFirst="3" w:colLast="4"/>
                  <w:r>
                    <w:rPr>
                      <w:color w:val="000000" w:themeColor="text1"/>
                      <w:sz w:val="21"/>
                      <w:szCs w:val="21"/>
                      <w14:textFill>
                        <w14:solidFill>
                          <w14:schemeClr w14:val="tx1"/>
                        </w14:solidFill>
                      </w14:textFill>
                    </w:rPr>
                    <w:t>1</w:t>
                  </w:r>
                </w:p>
              </w:tc>
              <w:tc>
                <w:tcPr>
                  <w:tcW w:w="574" w:type="pct"/>
                  <w:tcBorders>
                    <w:tl2br w:val="nil"/>
                    <w:tr2bl w:val="nil"/>
                  </w:tcBorders>
                  <w:vAlign w:val="center"/>
                </w:tcPr>
                <w:p>
                  <w:pPr>
                    <w:ind w:firstLine="18"/>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生产区</w:t>
                  </w:r>
                </w:p>
              </w:tc>
              <w:tc>
                <w:tcPr>
                  <w:tcW w:w="526" w:type="pct"/>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104m</w:t>
                  </w:r>
                </w:p>
              </w:tc>
              <w:tc>
                <w:tcPr>
                  <w:tcW w:w="559" w:type="pct"/>
                  <w:tcBorders>
                    <w:tl2br w:val="nil"/>
                    <w:tr2bl w:val="nil"/>
                  </w:tcBorders>
                  <w:vAlign w:val="center"/>
                </w:tcPr>
                <w:p>
                  <w:pPr>
                    <w:widowControl/>
                    <w:spacing w:line="240" w:lineRule="atLeast"/>
                    <w:jc w:val="center"/>
                    <w:textAlignment w:val="bottom"/>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100m</w:t>
                  </w:r>
                </w:p>
              </w:tc>
              <w:tc>
                <w:tcPr>
                  <w:tcW w:w="852" w:type="pct"/>
                  <w:tcBorders>
                    <w:tl2br w:val="nil"/>
                    <w:tr2bl w:val="nil"/>
                  </w:tcBorders>
                  <w:vAlign w:val="center"/>
                </w:tcPr>
                <w:p>
                  <w:pPr>
                    <w:ind w:firstLine="18"/>
                    <w:jc w:val="center"/>
                    <w:rPr>
                      <w:color w:val="000000" w:themeColor="text1"/>
                      <w:kern w:val="0"/>
                      <w:sz w:val="21"/>
                      <w:szCs w:val="21"/>
                      <w:lang w:bidi="ar"/>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927" w:type="dxa"/>
                  <w:tcBorders>
                    <w:tl2br w:val="nil"/>
                    <w:tr2bl w:val="nil"/>
                  </w:tcBorders>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0.0733 </w:t>
                  </w:r>
                </w:p>
              </w:tc>
              <w:tc>
                <w:tcPr>
                  <w:tcW w:w="1869" w:type="dxa"/>
                  <w:tcBorders>
                    <w:right w:val="single" w:color="auto" w:sz="4" w:space="0"/>
                    <w:tl2br w:val="nil"/>
                    <w:tr2bl w:val="nil"/>
                  </w:tcBorders>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 xml:space="preserve">0.0305 </w:t>
                  </w:r>
                </w:p>
              </w:tc>
            </w:tr>
            <w:bookmarkEnd w:id="5"/>
            <w:bookmarkEnd w:id="6"/>
            <w:bookmarkEnd w:id="7"/>
          </w:tbl>
          <w:p>
            <w:pPr>
              <w:spacing w:line="360" w:lineRule="auto"/>
              <w:ind w:firstLine="482" w:firstLineChars="200"/>
              <w:rPr>
                <w:b/>
                <w:bCs/>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2</w:t>
            </w:r>
            <w:r>
              <w:rPr>
                <w:rFonts w:hint="eastAsia" w:ascii="宋体" w:hAnsi="宋体"/>
                <w:b/>
                <w:bCs/>
                <w:color w:val="000000" w:themeColor="text1"/>
                <w14:textFill>
                  <w14:solidFill>
                    <w14:schemeClr w14:val="tx1"/>
                  </w14:solidFill>
                </w14:textFill>
              </w:rPr>
              <w:t>、大气污染防治控制措施</w:t>
            </w:r>
          </w:p>
          <w:p>
            <w:pPr>
              <w:spacing w:line="360" w:lineRule="auto"/>
              <w:ind w:firstLine="480" w:firstLineChars="200"/>
              <w:rPr>
                <w:color w:val="000000" w:themeColor="text1"/>
                <w14:textFill>
                  <w14:solidFill>
                    <w14:schemeClr w14:val="tx1"/>
                  </w14:solidFill>
                </w14:textFill>
              </w:rPr>
            </w:pPr>
            <w:r>
              <w:rPr>
                <w:rFonts w:hint="eastAsia"/>
                <w:bCs/>
                <w:color w:val="000000" w:themeColor="text1"/>
                <w14:textFill>
                  <w14:solidFill>
                    <w14:schemeClr w14:val="tx1"/>
                  </w14:solidFill>
                </w14:textFill>
              </w:rPr>
              <w:t>项目废气主要为</w:t>
            </w:r>
            <w:r>
              <w:rPr>
                <w:rFonts w:hint="eastAsia"/>
                <w:color w:val="000000" w:themeColor="text1"/>
                <w14:textFill>
                  <w14:solidFill>
                    <w14:schemeClr w14:val="tx1"/>
                  </w14:solidFill>
                </w14:textFill>
              </w:rPr>
              <w:t>涂布、烘干产生的废气</w:t>
            </w:r>
            <w:r>
              <w:rPr>
                <w:rFonts w:hint="eastAsia"/>
                <w:bCs/>
                <w:color w:val="000000" w:themeColor="text1"/>
                <w14:textFill>
                  <w14:solidFill>
                    <w14:schemeClr w14:val="tx1"/>
                  </w14:solidFill>
                </w14:textFill>
              </w:rPr>
              <w:t>。</w:t>
            </w:r>
          </w:p>
          <w:p>
            <w:pPr>
              <w:spacing w:line="360" w:lineRule="auto"/>
              <w:ind w:firstLine="480" w:firstLineChars="200"/>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（1）有组织废气处理措施</w:t>
            </w:r>
          </w:p>
          <w:p>
            <w:pPr>
              <w:spacing w:line="360" w:lineRule="auto"/>
              <w:ind w:firstLine="480" w:firstLineChars="200"/>
              <w:rPr>
                <w:rFonts w:cs="宋体"/>
                <w:bCs/>
                <w:color w:val="000000" w:themeColor="text1"/>
                <w14:textFill>
                  <w14:solidFill>
                    <w14:schemeClr w14:val="tx1"/>
                  </w14:solidFill>
                </w14:textFill>
              </w:rPr>
            </w:pPr>
            <w:r>
              <w:rPr>
                <w:rFonts w:hint="eastAsia" w:cs="宋体"/>
                <w:bCs/>
                <w:color w:val="000000" w:themeColor="text1"/>
                <w14:textFill>
                  <w14:solidFill>
                    <w14:schemeClr w14:val="tx1"/>
                  </w14:solidFill>
                </w14:textFill>
              </w:rPr>
              <w:t>①</w:t>
            </w:r>
            <w:r>
              <w:rPr>
                <w:rFonts w:hint="eastAsia"/>
                <w:color w:val="000000" w:themeColor="text1"/>
                <w14:textFill>
                  <w14:solidFill>
                    <w14:schemeClr w14:val="tx1"/>
                  </w14:solidFill>
                </w14:textFill>
              </w:rPr>
              <w:t>涂布废气</w:t>
            </w:r>
            <w:r>
              <w:rPr>
                <w:rFonts w:hint="eastAsia" w:cs="宋体"/>
                <w:bCs/>
                <w:color w:val="000000" w:themeColor="text1"/>
                <w14:textFill>
                  <w14:solidFill>
                    <w14:schemeClr w14:val="tx1"/>
                  </w14:solidFill>
                </w14:textFill>
              </w:rPr>
              <w:t>（集气罩+</w:t>
            </w:r>
            <w:r>
              <w:rPr>
                <w:rFonts w:hint="eastAsia"/>
                <w:bCs/>
                <w:color w:val="000000" w:themeColor="text1"/>
                <w14:textFill>
                  <w14:solidFill>
                    <w14:schemeClr w14:val="tx1"/>
                  </w14:solidFill>
                </w14:textFill>
              </w:rPr>
              <w:t>二级活性炭</w:t>
            </w:r>
            <w:r>
              <w:rPr>
                <w:rFonts w:hint="eastAsia" w:cs="宋体"/>
                <w:bCs/>
                <w:color w:val="000000" w:themeColor="text1"/>
                <w14:textFill>
                  <w14:solidFill>
                    <w14:schemeClr w14:val="tx1"/>
                  </w14:solidFill>
                </w14:textFill>
              </w:rPr>
              <w:t>+15米高排气筒）</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涂布产生的非甲烷总烃经集气罩收集，再经二级活性炭装置（TA001）处理后，通过1根15m高排气筒（DA001）排放。</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②烘干废气（集气罩</w:t>
            </w:r>
            <w:r>
              <w:rPr>
                <w:rFonts w:hint="eastAsia" w:cs="宋体"/>
                <w:bCs/>
                <w:color w:val="000000" w:themeColor="text1"/>
                <w14:textFill>
                  <w14:solidFill>
                    <w14:schemeClr w14:val="tx1"/>
                  </w14:solidFill>
                </w14:textFill>
              </w:rPr>
              <w:t>+</w:t>
            </w:r>
            <w:r>
              <w:rPr>
                <w:rFonts w:hint="eastAsia"/>
                <w:bCs/>
                <w:color w:val="000000" w:themeColor="text1"/>
                <w14:textFill>
                  <w14:solidFill>
                    <w14:schemeClr w14:val="tx1"/>
                  </w14:solidFill>
                </w14:textFill>
              </w:rPr>
              <w:t>二级活性炭</w:t>
            </w:r>
            <w:r>
              <w:rPr>
                <w:rFonts w:hint="eastAsia" w:cs="宋体"/>
                <w:bCs/>
                <w:color w:val="000000" w:themeColor="text1"/>
                <w14:textFill>
                  <w14:solidFill>
                    <w14:schemeClr w14:val="tx1"/>
                  </w14:solidFill>
                </w14:textFill>
              </w:rPr>
              <w:t>+15米高排气筒</w:t>
            </w:r>
            <w:r>
              <w:rPr>
                <w:rFonts w:hint="eastAsia"/>
                <w:color w:val="000000" w:themeColor="text1"/>
                <w14:textFill>
                  <w14:solidFill>
                    <w14:schemeClr w14:val="tx1"/>
                  </w14:solidFill>
                </w14:textFill>
              </w:rPr>
              <w:t>）</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烘干产生的非甲烷总烃通过烘箱内部设置的集气管收集后，废气汇集至1套二级活性炭吸附装置处理（TA001），尾气通过1根15米高的排气筒DA001排放。</w:t>
            </w:r>
          </w:p>
          <w:p>
            <w:pPr>
              <w:spacing w:line="360" w:lineRule="auto"/>
              <w:ind w:right="113"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（2）有机废气防治措施比选</w:t>
            </w:r>
          </w:p>
          <w:p>
            <w:pPr>
              <w:spacing w:line="360" w:lineRule="auto"/>
              <w:ind w:right="113"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①治理工艺</w:t>
            </w:r>
          </w:p>
          <w:p>
            <w:pPr>
              <w:spacing w:line="360" w:lineRule="auto"/>
              <w:ind w:right="113"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挥发性有机物去除技术有传统的吸附法、吸收法、冷凝技术和生物技术，联用的吸附-水蒸气脱附、吸附-催化燃烧，新技术主要有低温等离子体技术、变压吸附技术、光催化技术等。部分常用技术的适用范围、优缺点比较见下表。</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cs="宋体"/>
                <w:b/>
                <w:color w:val="000000" w:themeColor="text1"/>
                <w:kern w:val="0"/>
                <w:lang w:val="zh-CN"/>
                <w14:textFill>
                  <w14:solidFill>
                    <w14:schemeClr w14:val="tx1"/>
                  </w14:solidFill>
                </w14:textFill>
              </w:rPr>
              <w:t>表</w:t>
            </w:r>
            <w:r>
              <w:rPr>
                <w:rFonts w:hint="eastAsia" w:cs="宋体"/>
                <w:b/>
                <w:color w:val="000000" w:themeColor="text1"/>
                <w:kern w:val="0"/>
                <w:lang w:val="zh-CN"/>
                <w14:textFill>
                  <w14:solidFill>
                    <w14:schemeClr w14:val="tx1"/>
                  </w14:solidFill>
                </w14:textFill>
              </w:rPr>
              <w:t>4-</w:t>
            </w:r>
            <w:r>
              <w:rPr>
                <w:rFonts w:hint="eastAsia" w:cs="宋体"/>
                <w:b/>
                <w:color w:val="000000" w:themeColor="text1"/>
                <w:kern w:val="0"/>
                <w14:textFill>
                  <w14:solidFill>
                    <w14:schemeClr w14:val="tx1"/>
                  </w14:solidFill>
                </w14:textFill>
              </w:rPr>
              <w:t>8</w:t>
            </w:r>
            <w:r>
              <w:rPr>
                <w:rFonts w:cs="宋体"/>
                <w:b/>
                <w:color w:val="000000" w:themeColor="text1"/>
                <w:kern w:val="0"/>
                <w:lang w:val="zh-CN"/>
                <w14:textFill>
                  <w14:solidFill>
                    <w14:schemeClr w14:val="tx1"/>
                  </w14:solidFill>
                </w14:textFill>
              </w:rPr>
              <w:t xml:space="preserve">  有机废气主要净化方法比较</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908"/>
              <w:gridCol w:w="2230"/>
              <w:gridCol w:w="2181"/>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blHeader/>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方法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原理</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优点</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缺点</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吸附法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废气的分子扩散到固体吸附剂表面，有害成分被吸附而达到净化</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可处理含有低浓度的碳氢化合物和低温废气；溶剂可回收，进行有效利用；处理程度可以控制</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vertAlign w:val="superscript"/>
                      <w14:textFill>
                        <w14:solidFill>
                          <w14:schemeClr w14:val="tx1"/>
                        </w14:solidFill>
                      </w14:textFill>
                    </w:rPr>
                  </w:pPr>
                  <w:r>
                    <w:rPr>
                      <w:rFonts w:eastAsia="宋体"/>
                      <w:color w:val="000000" w:themeColor="text1"/>
                      <w:sz w:val="21"/>
                      <w:szCs w:val="21"/>
                      <w14:textFill>
                        <w14:solidFill>
                          <w14:schemeClr w14:val="tx1"/>
                        </w14:solidFill>
                      </w14:textFill>
                    </w:rPr>
                    <w:t>活性炭的再生和补充需要花费的费用多；在处理喷漆室废气时要预先除漆雾</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适用常温、低浓度、废气量较小时的废气治理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直接</w:t>
                  </w:r>
                </w:p>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燃烧法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废气引入燃烧室与火焰直接接触，使有害物燃烧生成CO</w:t>
                  </w:r>
                  <w:r>
                    <w:rPr>
                      <w:rFonts w:eastAsia="宋体"/>
                      <w:color w:val="000000" w:themeColor="text1"/>
                      <w:sz w:val="21"/>
                      <w:szCs w:val="21"/>
                      <w:vertAlign w:val="subscript"/>
                      <w14:textFill>
                        <w14:solidFill>
                          <w14:schemeClr w14:val="tx1"/>
                        </w14:solidFill>
                      </w14:textFill>
                    </w:rPr>
                    <w:t>2</w:t>
                  </w:r>
                  <w:r>
                    <w:rPr>
                      <w:rFonts w:eastAsia="宋体"/>
                      <w:color w:val="000000" w:themeColor="text1"/>
                      <w:sz w:val="21"/>
                      <w:szCs w:val="21"/>
                      <w14:textFill>
                        <w14:solidFill>
                          <w14:schemeClr w14:val="tx1"/>
                        </w14:solidFill>
                      </w14:textFill>
                    </w:rPr>
                    <w:t>和H</w:t>
                  </w:r>
                  <w:r>
                    <w:rPr>
                      <w:rFonts w:eastAsia="宋体"/>
                      <w:color w:val="000000" w:themeColor="text1"/>
                      <w:sz w:val="21"/>
                      <w:szCs w:val="21"/>
                      <w:vertAlign w:val="subscript"/>
                      <w14:textFill>
                        <w14:solidFill>
                          <w14:schemeClr w14:val="tx1"/>
                        </w14:solidFill>
                      </w14:textFill>
                    </w:rPr>
                    <w:t>2</w:t>
                  </w:r>
                  <w:r>
                    <w:rPr>
                      <w:rFonts w:eastAsia="宋体"/>
                      <w:color w:val="000000" w:themeColor="text1"/>
                      <w:sz w:val="21"/>
                      <w:szCs w:val="21"/>
                      <w14:textFill>
                        <w14:solidFill>
                          <w14:schemeClr w14:val="tx1"/>
                        </w14:solidFill>
                      </w14:textFill>
                    </w:rPr>
                    <w:t>O，使废气净化</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燃烧效率高，管理容易；仅烧嘴需经常维护，维护简单；装置占地面积小；不稳定因素少，可靠性高</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处理温度高，需燃料费高；燃烧装置、燃烧室、热回收装置等设备造价高；处理像喷漆室浓度低、风量大的废气不经济</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适用于有机溶剂含量高、湿度高的废气治理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催化</w:t>
                  </w:r>
                </w:p>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燃烧法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在催化剂作用下，使有机物废气在引燃点温度以下燃烧生成CO</w:t>
                  </w:r>
                  <w:r>
                    <w:rPr>
                      <w:rFonts w:eastAsia="宋体"/>
                      <w:color w:val="000000" w:themeColor="text1"/>
                      <w:sz w:val="21"/>
                      <w:szCs w:val="21"/>
                      <w:vertAlign w:val="subscript"/>
                      <w14:textFill>
                        <w14:solidFill>
                          <w14:schemeClr w14:val="tx1"/>
                        </w14:solidFill>
                      </w14:textFill>
                    </w:rPr>
                    <w:t>2</w:t>
                  </w:r>
                  <w:r>
                    <w:rPr>
                      <w:rFonts w:eastAsia="宋体"/>
                      <w:color w:val="000000" w:themeColor="text1"/>
                      <w:sz w:val="21"/>
                      <w:szCs w:val="21"/>
                      <w14:textFill>
                        <w14:solidFill>
                          <w14:schemeClr w14:val="tx1"/>
                        </w14:solidFill>
                      </w14:textFill>
                    </w:rPr>
                    <w:t>和H</w:t>
                  </w:r>
                  <w:r>
                    <w:rPr>
                      <w:rFonts w:eastAsia="宋体"/>
                      <w:color w:val="000000" w:themeColor="text1"/>
                      <w:sz w:val="21"/>
                      <w:szCs w:val="21"/>
                      <w:vertAlign w:val="subscript"/>
                      <w14:textFill>
                        <w14:solidFill>
                          <w14:schemeClr w14:val="tx1"/>
                        </w14:solidFill>
                      </w14:textFill>
                    </w:rPr>
                    <w:t>2</w:t>
                  </w:r>
                  <w:r>
                    <w:rPr>
                      <w:rFonts w:eastAsia="宋体"/>
                      <w:color w:val="000000" w:themeColor="text1"/>
                      <w:sz w:val="21"/>
                      <w:szCs w:val="21"/>
                      <w14:textFill>
                        <w14:solidFill>
                          <w14:schemeClr w14:val="tx1"/>
                        </w14:solidFill>
                      </w14:textFill>
                    </w:rPr>
                    <w:t>O而被净化</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与直接燃烧法相比，能在低温下氧化分解，燃料费可省1/2；装置占地面积小；NOx生成少</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催化剂价格高，需考虑催化剂中毒和催化剂寿命；必须进行前处理除去尘埃、漆雾等；催化剂和设备价格高</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适用于废气温度高、流量小、有机溶剂浓度高、含杂质少的场合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吸收法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液体作为吸收剂，使废气中有害气体被吸收剂所吸收从而达到净化</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设备费用低，运转费用少；无爆炸、火灾等危险，安全性高；适宜处理喷漆室和挥发室排出废气</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需要对产生废水进行二次处理，对涂料品种有限制</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适用于高、低浓度有机废气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冷凝法</w:t>
                  </w:r>
                </w:p>
              </w:tc>
              <w:tc>
                <w:tcPr>
                  <w:tcW w:w="198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降低有害气体的温度，能使其某些成分冷凝成液体的原理</w:t>
                  </w:r>
                </w:p>
              </w:tc>
              <w:tc>
                <w:tcPr>
                  <w:tcW w:w="2316"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设备、操作条件简单，回收物质纯度高。</w:t>
                  </w:r>
                </w:p>
              </w:tc>
              <w:tc>
                <w:tcPr>
                  <w:tcW w:w="2265"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净化效率低，不能达到标准要求</w:t>
                  </w:r>
                </w:p>
              </w:tc>
              <w:tc>
                <w:tcPr>
                  <w:tcW w:w="1260" w:type="dxa"/>
                  <w:tcBorders>
                    <w:top w:val="single" w:color="auto" w:sz="4" w:space="0"/>
                    <w:left w:val="single" w:color="auto" w:sz="4" w:space="0"/>
                    <w:bottom w:val="single" w:color="auto" w:sz="4" w:space="0"/>
                    <w:right w:val="single" w:color="auto" w:sz="4" w:space="0"/>
                  </w:tcBorders>
                  <w:vAlign w:val="center"/>
                </w:tcPr>
                <w:p>
                  <w:pPr>
                    <w:pStyle w:val="63"/>
                    <w:autoSpaceDE/>
                    <w:autoSpaceDN/>
                    <w:snapToGrid w:val="0"/>
                    <w:spacing w:before="0" w:after="0" w:line="240" w:lineRule="atLeast"/>
                    <w:textAlignment w:val="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适用于组分单一的高浓度有机废气</w:t>
                  </w:r>
                </w:p>
              </w:tc>
            </w:tr>
          </w:tbl>
          <w:p>
            <w:pPr>
              <w:ind w:firstLine="480" w:firstLineChars="200"/>
              <w:rPr>
                <w:bCs/>
                <w:color w:val="000000" w:themeColor="text1"/>
                <w14:textFill>
                  <w14:solidFill>
                    <w14:schemeClr w14:val="tx1"/>
                  </w14:solidFill>
                </w14:textFill>
              </w:rPr>
            </w:pPr>
          </w:p>
          <w:p>
            <w:pPr>
              <w:adjustRightInd w:val="0"/>
              <w:spacing w:line="360" w:lineRule="auto"/>
              <w:ind w:firstLine="480" w:firstLineChars="200"/>
              <w:rPr>
                <w:color w:val="000000" w:themeColor="text1"/>
                <w:kern w:val="0"/>
                <w14:textFill>
                  <w14:solidFill>
                    <w14:schemeClr w14:val="tx1"/>
                  </w14:solidFill>
                </w14:textFill>
              </w:rPr>
            </w:pPr>
            <w:r>
              <w:rPr>
                <w:color w:val="000000" w:themeColor="text1"/>
                <w:kern w:val="0"/>
                <w14:textFill>
                  <w14:solidFill>
                    <w14:schemeClr w14:val="tx1"/>
                  </w14:solidFill>
                </w14:textFill>
              </w:rPr>
              <w:t>以上处理措施各有优缺点，适用于不同的情况。经分析，如采用直接燃烧法、低温等离子体处理，则成本过高；冷凝法净化效率低，不能达到标准要求；吸收法需对废水二次处理。结合工程特点，有机废气经两级活性炭吸附装置处理，产生的废活性炭较少，同时考虑到活性炭吸附技术效率高、投资成本低、容易管理控制。工程拟采用“</w:t>
            </w:r>
            <w:r>
              <w:rPr>
                <w:rFonts w:hint="eastAsia"/>
                <w:color w:val="000000" w:themeColor="text1"/>
                <w:kern w:val="0"/>
                <w14:textFill>
                  <w14:solidFill>
                    <w14:schemeClr w14:val="tx1"/>
                  </w14:solidFill>
                </w14:textFill>
              </w:rPr>
              <w:t>二</w:t>
            </w:r>
            <w:r>
              <w:rPr>
                <w:color w:val="000000" w:themeColor="text1"/>
                <w:kern w:val="0"/>
                <w14:textFill>
                  <w14:solidFill>
                    <w14:schemeClr w14:val="tx1"/>
                  </w14:solidFill>
                </w14:textFill>
              </w:rPr>
              <w:t>级活性炭吸附装置”处理有机废气（主要成分为非甲烷总烃），符合《十三五挥发性有机物污染防治工作方案》的要求。</w:t>
            </w:r>
          </w:p>
          <w:p>
            <w:pPr>
              <w:adjustRightInd w:val="0"/>
              <w:spacing w:line="360" w:lineRule="auto"/>
              <w:ind w:firstLine="482" w:firstLineChars="200"/>
              <w:rPr>
                <w:color w:val="000000" w:themeColor="text1"/>
                <w14:textFill>
                  <w14:solidFill>
                    <w14:schemeClr w14:val="tx1"/>
                  </w14:solidFill>
                </w14:textFill>
              </w:rPr>
            </w:pPr>
            <w:r>
              <w:rPr>
                <w:b/>
                <w:color w:val="000000" w:themeColor="text1"/>
                <w:kern w:val="0"/>
                <w14:textFill>
                  <w14:solidFill>
                    <w14:schemeClr w14:val="tx1"/>
                  </w14:solidFill>
                </w14:textFill>
              </w:rPr>
              <w:t>活性炭吸附原理：</w:t>
            </w:r>
            <w:r>
              <w:rPr>
                <w:color w:val="000000" w:themeColor="text1"/>
                <w:kern w:val="0"/>
                <w14:textFill>
                  <w14:solidFill>
                    <w14:schemeClr w14:val="tx1"/>
                  </w14:solidFill>
                </w14:textFill>
              </w:rPr>
              <w:t>活性炭是一种很细小的炭粒</w:t>
            </w:r>
            <w:r>
              <w:rPr>
                <w:b/>
                <w:bCs/>
                <w:color w:val="000000" w:themeColor="text1"/>
                <w:kern w:val="0"/>
                <w14:textFill>
                  <w14:solidFill>
                    <w14:schemeClr w14:val="tx1"/>
                  </w14:solidFill>
                </w14:textFill>
              </w:rPr>
              <w:t>,</w:t>
            </w:r>
            <w:r>
              <w:rPr>
                <w:color w:val="000000" w:themeColor="text1"/>
                <w:kern w:val="0"/>
                <w14:textFill>
                  <w14:solidFill>
                    <w14:schemeClr w14:val="tx1"/>
                  </w14:solidFill>
                </w14:textFill>
              </w:rPr>
              <w:t>有很大的表面积</w:t>
            </w:r>
            <w:r>
              <w:rPr>
                <w:bCs/>
                <w:color w:val="000000" w:themeColor="text1"/>
                <w:kern w:val="0"/>
                <w14:textFill>
                  <w14:solidFill>
                    <w14:schemeClr w14:val="tx1"/>
                  </w14:solidFill>
                </w14:textFill>
              </w:rPr>
              <w:t>，</w:t>
            </w:r>
            <w:r>
              <w:rPr>
                <w:color w:val="000000" w:themeColor="text1"/>
                <w:kern w:val="0"/>
                <w14:textFill>
                  <w14:solidFill>
                    <w14:schemeClr w14:val="tx1"/>
                  </w14:solidFill>
                </w14:textFill>
              </w:rPr>
              <w:t>而且炭粒中还有</w:t>
            </w:r>
            <w:r>
              <w:rPr>
                <w:color w:val="000000" w:themeColor="text1"/>
                <w14:textFill>
                  <w14:solidFill>
                    <w14:schemeClr w14:val="tx1"/>
                  </w14:solidFill>
                </w14:textFill>
              </w:rPr>
              <w:t>更细小的孔</w:t>
            </w:r>
            <w:r>
              <w:rPr>
                <w:b/>
                <w:bCs/>
                <w:color w:val="000000" w:themeColor="text1"/>
                <w14:textFill>
                  <w14:solidFill>
                    <w14:schemeClr w14:val="tx1"/>
                  </w14:solidFill>
                </w14:textFill>
              </w:rPr>
              <w:t>——</w:t>
            </w:r>
            <w:r>
              <w:rPr>
                <w:color w:val="000000" w:themeColor="text1"/>
                <w14:textFill>
                  <w14:solidFill>
                    <w14:schemeClr w14:val="tx1"/>
                  </w14:solidFill>
                </w14:textFill>
              </w:rPr>
              <w:t>毛细管。这种毛细管具有很强的吸附能力</w:t>
            </w:r>
            <w:r>
              <w:rPr>
                <w:b/>
                <w:bCs/>
                <w:color w:val="000000" w:themeColor="text1"/>
                <w14:textFill>
                  <w14:solidFill>
                    <w14:schemeClr w14:val="tx1"/>
                  </w14:solidFill>
                </w14:textFill>
              </w:rPr>
              <w:t>,</w:t>
            </w:r>
            <w:r>
              <w:rPr>
                <w:color w:val="000000" w:themeColor="text1"/>
                <w14:textFill>
                  <w14:solidFill>
                    <w14:schemeClr w14:val="tx1"/>
                  </w14:solidFill>
                </w14:textFill>
              </w:rPr>
              <w:t>由于炭粒的表面积很大</w:t>
            </w:r>
            <w:r>
              <w:rPr>
                <w:bCs/>
                <w:color w:val="000000" w:themeColor="text1"/>
                <w14:textFill>
                  <w14:solidFill>
                    <w14:schemeClr w14:val="tx1"/>
                  </w14:solidFill>
                </w14:textFill>
              </w:rPr>
              <w:t>，</w:t>
            </w:r>
            <w:r>
              <w:rPr>
                <w:color w:val="000000" w:themeColor="text1"/>
                <w14:textFill>
                  <w14:solidFill>
                    <w14:schemeClr w14:val="tx1"/>
                  </w14:solidFill>
                </w14:textFill>
              </w:rPr>
              <w:t>所以能与气体</w:t>
            </w:r>
            <w:r>
              <w:rPr>
                <w:bCs/>
                <w:color w:val="000000" w:themeColor="text1"/>
                <w14:textFill>
                  <w14:solidFill>
                    <w14:schemeClr w14:val="tx1"/>
                  </w14:solidFill>
                </w14:textFill>
              </w:rPr>
              <w:t>（</w:t>
            </w:r>
            <w:r>
              <w:rPr>
                <w:color w:val="000000" w:themeColor="text1"/>
                <w14:textFill>
                  <w14:solidFill>
                    <w14:schemeClr w14:val="tx1"/>
                  </w14:solidFill>
                </w14:textFill>
              </w:rPr>
              <w:t>有机废气</w:t>
            </w:r>
            <w:r>
              <w:rPr>
                <w:bCs/>
                <w:color w:val="000000" w:themeColor="text1"/>
                <w14:textFill>
                  <w14:solidFill>
                    <w14:schemeClr w14:val="tx1"/>
                  </w14:solidFill>
                </w14:textFill>
              </w:rPr>
              <w:t>）</w:t>
            </w:r>
            <w:r>
              <w:rPr>
                <w:color w:val="000000" w:themeColor="text1"/>
                <w14:textFill>
                  <w14:solidFill>
                    <w14:schemeClr w14:val="tx1"/>
                  </w14:solidFill>
                </w14:textFill>
              </w:rPr>
              <w:t>充分接触</w:t>
            </w:r>
            <w:r>
              <w:rPr>
                <w:b/>
                <w:bCs/>
                <w:color w:val="000000" w:themeColor="text1"/>
                <w14:textFill>
                  <w14:solidFill>
                    <w14:schemeClr w14:val="tx1"/>
                  </w14:solidFill>
                </w14:textFill>
              </w:rPr>
              <w:t>,</w:t>
            </w:r>
            <w:r>
              <w:rPr>
                <w:color w:val="000000" w:themeColor="text1"/>
                <w14:textFill>
                  <w14:solidFill>
                    <w14:schemeClr w14:val="tx1"/>
                  </w14:solidFill>
                </w14:textFill>
              </w:rPr>
              <w:t>当这些气体</w:t>
            </w:r>
            <w:r>
              <w:rPr>
                <w:bCs/>
                <w:color w:val="000000" w:themeColor="text1"/>
                <w14:textFill>
                  <w14:solidFill>
                    <w14:schemeClr w14:val="tx1"/>
                  </w14:solidFill>
                </w14:textFill>
              </w:rPr>
              <w:t>（</w:t>
            </w:r>
            <w:r>
              <w:rPr>
                <w:color w:val="000000" w:themeColor="text1"/>
                <w14:textFill>
                  <w14:solidFill>
                    <w14:schemeClr w14:val="tx1"/>
                  </w14:solidFill>
                </w14:textFill>
              </w:rPr>
              <w:t>有机废气</w:t>
            </w:r>
            <w:r>
              <w:rPr>
                <w:bCs/>
                <w:color w:val="000000" w:themeColor="text1"/>
                <w14:textFill>
                  <w14:solidFill>
                    <w14:schemeClr w14:val="tx1"/>
                  </w14:solidFill>
                </w14:textFill>
              </w:rPr>
              <w:t>）</w:t>
            </w:r>
            <w:r>
              <w:rPr>
                <w:color w:val="000000" w:themeColor="text1"/>
                <w14:textFill>
                  <w14:solidFill>
                    <w14:schemeClr w14:val="tx1"/>
                  </w14:solidFill>
                </w14:textFill>
              </w:rPr>
              <w:t>碰到毛细管就被吸附</w:t>
            </w:r>
            <w:r>
              <w:rPr>
                <w:bCs/>
                <w:color w:val="000000" w:themeColor="text1"/>
                <w14:textFill>
                  <w14:solidFill>
                    <w14:schemeClr w14:val="tx1"/>
                  </w14:solidFill>
                </w14:textFill>
              </w:rPr>
              <w:t>，</w:t>
            </w:r>
            <w:r>
              <w:rPr>
                <w:color w:val="000000" w:themeColor="text1"/>
                <w14:textFill>
                  <w14:solidFill>
                    <w14:schemeClr w14:val="tx1"/>
                  </w14:solidFill>
                </w14:textFill>
              </w:rPr>
              <w:t>起净化作用。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气体混合物分离，净化后的气体高空排放。</w:t>
            </w:r>
          </w:p>
          <w:p>
            <w:pPr>
              <w:adjustRightIn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本项目利用“</w:t>
            </w:r>
            <w:r>
              <w:rPr>
                <w:rFonts w:hint="eastAsia"/>
                <w:color w:val="000000" w:themeColor="text1"/>
                <w14:textFill>
                  <w14:solidFill>
                    <w14:schemeClr w14:val="tx1"/>
                  </w14:solidFill>
                </w14:textFill>
              </w:rPr>
              <w:t>二</w:t>
            </w:r>
            <w:r>
              <w:rPr>
                <w:color w:val="000000" w:themeColor="text1"/>
                <w14:textFill>
                  <w14:solidFill>
                    <w14:schemeClr w14:val="tx1"/>
                  </w14:solidFill>
                </w14:textFill>
              </w:rPr>
              <w:t>级活性炭吸附装置”处理有机废气，为国内较为普遍的有机废气处理方式，现有的管理经验较为丰富，企业可以节省大量管理维护培训费用，活性炭吸附装置运行稳定，维护简单</w:t>
            </w:r>
            <w:r>
              <w:rPr>
                <w:rFonts w:hint="eastAsia"/>
                <w:color w:val="000000" w:themeColor="text1"/>
                <w14:textFill>
                  <w14:solidFill>
                    <w14:schemeClr w14:val="tx1"/>
                  </w14:solidFill>
                </w14:textFill>
              </w:rPr>
              <w:t>。</w:t>
            </w:r>
          </w:p>
          <w:p>
            <w:pPr>
              <w:spacing w:line="360" w:lineRule="auto"/>
              <w:rPr>
                <w:color w:val="000000" w:themeColor="text1"/>
                <w:lang w:bidi="ar"/>
                <w14:textFill>
                  <w14:solidFill>
                    <w14:schemeClr w14:val="tx1"/>
                  </w14:solidFill>
                </w14:textFill>
              </w:rPr>
            </w:pPr>
            <w:r>
              <w:rPr>
                <w:color w:val="000000" w:themeColor="text1"/>
                <w14:textFill>
                  <w14:solidFill>
                    <w14:schemeClr w14:val="tx1"/>
                  </w14:solidFill>
                </w14:textFill>
              </w:rPr>
              <w:drawing>
                <wp:inline distT="0" distB="0" distL="114300" distR="114300">
                  <wp:extent cx="4791075" cy="2333625"/>
                  <wp:effectExtent l="0" t="0" r="9525" b="3175"/>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8"/>
                          <a:stretch>
                            <a:fillRect/>
                          </a:stretch>
                        </pic:blipFill>
                        <pic:spPr>
                          <a:xfrm>
                            <a:off x="0" y="0"/>
                            <a:ext cx="4791075" cy="2333625"/>
                          </a:xfrm>
                          <a:prstGeom prst="rect">
                            <a:avLst/>
                          </a:prstGeom>
                          <a:noFill/>
                          <a:ln>
                            <a:noFill/>
                          </a:ln>
                        </pic:spPr>
                      </pic:pic>
                    </a:graphicData>
                  </a:graphic>
                </wp:inline>
              </w:drawing>
            </w:r>
          </w:p>
          <w:p>
            <w:pPr>
              <w:spacing w:line="360" w:lineRule="auto"/>
              <w:ind w:firstLine="482" w:firstLineChars="200"/>
              <w:jc w:val="center"/>
              <w:rPr>
                <w:color w:val="000000" w:themeColor="text1"/>
                <w:lang w:bidi="ar"/>
                <w14:textFill>
                  <w14:solidFill>
                    <w14:schemeClr w14:val="tx1"/>
                  </w14:solidFill>
                </w14:textFill>
              </w:rPr>
            </w:pPr>
            <w:r>
              <w:rPr>
                <w:b/>
                <w:bCs/>
                <w:color w:val="000000" w:themeColor="text1"/>
                <w:lang w:bidi="ar"/>
                <w14:textFill>
                  <w14:solidFill>
                    <w14:schemeClr w14:val="tx1"/>
                  </w14:solidFill>
                </w14:textFill>
              </w:rPr>
              <w:t>图</w:t>
            </w:r>
            <w:r>
              <w:rPr>
                <w:rFonts w:hint="eastAsia"/>
                <w:b/>
                <w:bCs/>
                <w:color w:val="000000" w:themeColor="text1"/>
                <w:lang w:bidi="ar"/>
                <w14:textFill>
                  <w14:solidFill>
                    <w14:schemeClr w14:val="tx1"/>
                  </w14:solidFill>
                </w14:textFill>
              </w:rPr>
              <w:t>4</w:t>
            </w:r>
            <w:r>
              <w:rPr>
                <w:b/>
                <w:bCs/>
                <w:color w:val="000000" w:themeColor="text1"/>
                <w:lang w:bidi="ar"/>
                <w14:textFill>
                  <w14:solidFill>
                    <w14:schemeClr w14:val="tx1"/>
                  </w14:solidFill>
                </w14:textFill>
              </w:rPr>
              <w:t>-1  活性炭吸附箱（不进行脱附的简单工艺）</w:t>
            </w:r>
          </w:p>
          <w:p>
            <w:pPr>
              <w:adjustRightInd w:val="0"/>
              <w:spacing w:line="360" w:lineRule="auto"/>
              <w:ind w:firstLine="480" w:firstLineChars="20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②治理工艺与排污许可核发技术规范相符性分析</w:t>
            </w:r>
          </w:p>
          <w:p>
            <w:pPr>
              <w:adjustRightInd w:val="0"/>
              <w:spacing w:line="360" w:lineRule="auto"/>
              <w:ind w:firstLine="480" w:firstLineChars="200"/>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《排污许可证申请与核发技术规范 橡胶和塑料制品工业》（HJ1122-2-2020）中建议采取的末端治理措施见下表。</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9</w:t>
            </w:r>
            <w:r>
              <w:rPr>
                <w:rFonts w:hint="eastAsia" w:cs="宋体"/>
                <w:b/>
                <w:color w:val="000000" w:themeColor="text1"/>
                <w:kern w:val="0"/>
                <w:lang w:val="zh-CN"/>
                <w14:textFill>
                  <w14:solidFill>
                    <w14:schemeClr w14:val="tx1"/>
                  </w14:solidFill>
                </w14:textFill>
              </w:rPr>
              <w:t xml:space="preserve"> 废气治理可行性分析一览表</w:t>
            </w:r>
          </w:p>
          <w:tbl>
            <w:tblPr>
              <w:tblStyle w:val="29"/>
              <w:tblW w:w="8473" w:type="dxa"/>
              <w:jc w:val="center"/>
              <w:tblLayout w:type="fixed"/>
              <w:tblCellMar>
                <w:top w:w="0" w:type="dxa"/>
                <w:left w:w="108" w:type="dxa"/>
                <w:bottom w:w="0" w:type="dxa"/>
                <w:right w:w="108" w:type="dxa"/>
              </w:tblCellMar>
            </w:tblPr>
            <w:tblGrid>
              <w:gridCol w:w="2438"/>
              <w:gridCol w:w="2193"/>
              <w:gridCol w:w="960"/>
              <w:gridCol w:w="2882"/>
            </w:tblGrid>
            <w:tr>
              <w:tblPrEx>
                <w:tblCellMar>
                  <w:top w:w="0" w:type="dxa"/>
                  <w:left w:w="108" w:type="dxa"/>
                  <w:bottom w:w="0" w:type="dxa"/>
                  <w:right w:w="108" w:type="dxa"/>
                </w:tblCellMar>
              </w:tblPrEx>
              <w:trPr>
                <w:trHeight w:val="369" w:hRule="atLeast"/>
                <w:jc w:val="center"/>
              </w:trPr>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产排污环节</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污染物种类</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过程控制技术</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可行技术</w:t>
                  </w:r>
                </w:p>
              </w:tc>
            </w:tr>
            <w:tr>
              <w:tblPrEx>
                <w:tblCellMar>
                  <w:top w:w="0" w:type="dxa"/>
                  <w:left w:w="108" w:type="dxa"/>
                  <w:bottom w:w="0" w:type="dxa"/>
                  <w:right w:w="108" w:type="dxa"/>
                </w:tblCellMar>
              </w:tblPrEx>
              <w:trPr>
                <w:trHeight w:val="369" w:hRule="atLeast"/>
                <w:jc w:val="center"/>
              </w:trPr>
              <w:tc>
                <w:tcPr>
                  <w:tcW w:w="24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塑料薄膜制造,塑料板、管、型材制造,塑料丝、绳及编制品制造,泡沫塑料制造,塑料包装箱及容器制造,日用塑料制品制造,人造草坪制造,</w:t>
                  </w:r>
                  <w:r>
                    <w:rPr>
                      <w:rFonts w:hint="eastAsia" w:ascii="宋体" w:hAnsi="宋体" w:cs="宋体"/>
                      <w:color w:val="000000" w:themeColor="text1"/>
                      <w:kern w:val="0"/>
                      <w:sz w:val="21"/>
                      <w:szCs w:val="21"/>
                      <w:lang w:bidi="ar"/>
                      <w14:textFill>
                        <w14:solidFill>
                          <w14:schemeClr w14:val="tx1"/>
                        </w14:solidFill>
                      </w14:textFill>
                    </w:rPr>
                    <w:t>塑料薄膜制造</w:t>
                  </w:r>
                  <w:r>
                    <w:rPr>
                      <w:rFonts w:ascii="宋体" w:hAnsi="宋体" w:cs="宋体"/>
                      <w:color w:val="000000" w:themeColor="text1"/>
                      <w:kern w:val="0"/>
                      <w:sz w:val="21"/>
                      <w:szCs w:val="21"/>
                      <w:lang w:bidi="ar"/>
                      <w14:textFill>
                        <w14:solidFill>
                          <w14:schemeClr w14:val="tx1"/>
                        </w14:solidFill>
                      </w14:textFill>
                    </w:rPr>
                    <w:t>废气</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非甲烷总烃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溶剂替代密闭过程密闭场所局部收集</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tLeast"/>
                    <w:jc w:val="center"/>
                    <w:textAlignment w:val="center"/>
                    <w:rPr>
                      <w:rFonts w:ascii="宋体" w:hAnsi="宋体" w:cs="宋体"/>
                      <w:color w:val="000000" w:themeColor="text1"/>
                      <w:sz w:val="21"/>
                      <w:szCs w:val="21"/>
                      <w14:textFill>
                        <w14:solidFill>
                          <w14:schemeClr w14:val="tx1"/>
                        </w14:solidFill>
                      </w14:textFill>
                    </w:rPr>
                  </w:pPr>
                  <w:r>
                    <w:rPr>
                      <w:rFonts w:ascii="宋体" w:hAnsi="宋体" w:cs="宋体"/>
                      <w:color w:val="000000" w:themeColor="text1"/>
                      <w:kern w:val="0"/>
                      <w:sz w:val="21"/>
                      <w:szCs w:val="21"/>
                      <w:lang w:bidi="ar"/>
                      <w14:textFill>
                        <w14:solidFill>
                          <w14:schemeClr w14:val="tx1"/>
                        </w14:solidFill>
                      </w14:textFill>
                    </w:rPr>
                    <w:t>喷淋</w:t>
                  </w:r>
                  <w:r>
                    <w:rPr>
                      <w:rFonts w:hint="eastAsia" w:ascii="宋体" w:hAnsi="宋体" w:cs="宋体"/>
                      <w:color w:val="000000" w:themeColor="text1"/>
                      <w:kern w:val="0"/>
                      <w:sz w:val="21"/>
                      <w:szCs w:val="21"/>
                      <w:lang w:bidi="ar"/>
                      <w14:textFill>
                        <w14:solidFill>
                          <w14:schemeClr w14:val="tx1"/>
                        </w14:solidFill>
                      </w14:textFill>
                    </w:rPr>
                    <w:t>；</w:t>
                  </w:r>
                  <w:r>
                    <w:rPr>
                      <w:rFonts w:ascii="宋体" w:hAnsi="宋体" w:cs="宋体"/>
                      <w:color w:val="000000" w:themeColor="text1"/>
                      <w:kern w:val="0"/>
                      <w:sz w:val="21"/>
                      <w:szCs w:val="21"/>
                      <w:lang w:bidi="ar"/>
                      <w14:textFill>
                        <w14:solidFill>
                          <w14:schemeClr w14:val="tx1"/>
                        </w14:solidFill>
                      </w14:textFill>
                    </w:rPr>
                    <w:t>吸附</w:t>
                  </w:r>
                  <w:r>
                    <w:rPr>
                      <w:rFonts w:hint="eastAsia" w:ascii="宋体" w:hAnsi="宋体" w:cs="宋体"/>
                      <w:color w:val="000000" w:themeColor="text1"/>
                      <w:kern w:val="0"/>
                      <w:sz w:val="21"/>
                      <w:szCs w:val="21"/>
                      <w:lang w:bidi="ar"/>
                      <w14:textFill>
                        <w14:solidFill>
                          <w14:schemeClr w14:val="tx1"/>
                        </w14:solidFill>
                      </w14:textFill>
                    </w:rPr>
                    <w:t>；</w:t>
                  </w:r>
                  <w:r>
                    <w:rPr>
                      <w:rFonts w:ascii="宋体" w:hAnsi="宋体" w:cs="宋体"/>
                      <w:color w:val="000000" w:themeColor="text1"/>
                      <w:kern w:val="0"/>
                      <w:sz w:val="21"/>
                      <w:szCs w:val="21"/>
                      <w:lang w:bidi="ar"/>
                      <w14:textFill>
                        <w14:solidFill>
                          <w14:schemeClr w14:val="tx1"/>
                        </w14:solidFill>
                      </w14:textFill>
                    </w:rPr>
                    <w:t>吸附浓缩+热力燃烧/催化燃烧</w:t>
                  </w:r>
                </w:p>
              </w:tc>
            </w:tr>
          </w:tbl>
          <w:p>
            <w:pPr>
              <w:rPr>
                <w:color w:val="000000" w:themeColor="text1"/>
                <w14:textFill>
                  <w14:solidFill>
                    <w14:schemeClr w14:val="tx1"/>
                  </w14:solidFill>
                </w14:textFill>
              </w:rPr>
            </w:pPr>
          </w:p>
          <w:p>
            <w:pPr>
              <w:widowControl/>
              <w:spacing w:line="480" w:lineRule="exact"/>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③拟选用设备参数</w:t>
            </w:r>
          </w:p>
          <w:p>
            <w:pPr>
              <w:widowControl/>
              <w:spacing w:line="480" w:lineRule="exact"/>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根据建设单位提供资料，本项目采取的二级活性炭装置的技术参数如下：</w:t>
            </w:r>
          </w:p>
          <w:p>
            <w:pPr>
              <w:tabs>
                <w:tab w:val="left" w:pos="3980"/>
              </w:tabs>
              <w:spacing w:line="360" w:lineRule="auto"/>
              <w:jc w:val="center"/>
              <w:rPr>
                <w:rFonts w:cs="宋体"/>
                <w:b/>
                <w:color w:val="000000" w:themeColor="text1"/>
                <w:kern w:val="0"/>
                <w:lang w:val="zh-CN"/>
                <w14:textFill>
                  <w14:solidFill>
                    <w14:schemeClr w14:val="tx1"/>
                  </w14:solidFill>
                </w14:textFill>
              </w:rPr>
            </w:pPr>
          </w:p>
          <w:p>
            <w:pPr>
              <w:tabs>
                <w:tab w:val="left" w:pos="3980"/>
              </w:tabs>
              <w:spacing w:line="360" w:lineRule="auto"/>
              <w:jc w:val="center"/>
              <w:rPr>
                <w:rFonts w:cs="宋体"/>
                <w:b/>
                <w:color w:val="000000" w:themeColor="text1"/>
                <w:kern w:val="0"/>
                <w:lang w:val="zh-CN"/>
                <w14:textFill>
                  <w14:solidFill>
                    <w14:schemeClr w14:val="tx1"/>
                  </w14:solidFill>
                </w14:textFill>
              </w:rPr>
            </w:pPr>
          </w:p>
          <w:p>
            <w:pPr>
              <w:tabs>
                <w:tab w:val="left" w:pos="3980"/>
              </w:tabs>
              <w:spacing w:line="360" w:lineRule="auto"/>
              <w:jc w:val="center"/>
              <w:rPr>
                <w:rFonts w:cs="宋体"/>
                <w:b/>
                <w:color w:val="000000" w:themeColor="text1"/>
                <w:kern w:val="0"/>
                <w:lang w:val="zh-CN"/>
                <w14:textFill>
                  <w14:solidFill>
                    <w14:schemeClr w14:val="tx1"/>
                  </w14:solidFill>
                </w14:textFill>
              </w:rPr>
            </w:pPr>
          </w:p>
          <w:p>
            <w:pPr>
              <w:tabs>
                <w:tab w:val="left" w:pos="3980"/>
              </w:tabs>
              <w:spacing w:line="360" w:lineRule="auto"/>
              <w:jc w:val="center"/>
              <w:rPr>
                <w:rFonts w:cs="宋体"/>
                <w:b/>
                <w:color w:val="000000" w:themeColor="text1"/>
                <w:kern w:val="0"/>
                <w:lang w:val="zh-CN"/>
                <w14:textFill>
                  <w14:solidFill>
                    <w14:schemeClr w14:val="tx1"/>
                  </w14:solidFill>
                </w14:textFill>
              </w:rPr>
            </w:pPr>
          </w:p>
          <w:p>
            <w:pPr>
              <w:tabs>
                <w:tab w:val="left" w:pos="3980"/>
              </w:tabs>
              <w:spacing w:line="360" w:lineRule="auto"/>
              <w:jc w:val="center"/>
              <w:rPr>
                <w:rFonts w:cs="宋体"/>
                <w:b/>
                <w:color w:val="000000" w:themeColor="text1"/>
                <w:kern w:val="0"/>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10 本项目二级活性炭装置技术参数一览表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2124"/>
              <w:gridCol w:w="1425"/>
              <w:gridCol w:w="1438"/>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活性炭形态</w:t>
                  </w:r>
                </w:p>
              </w:tc>
              <w:tc>
                <w:tcPr>
                  <w:tcW w:w="6553" w:type="dxa"/>
                  <w:gridSpan w:val="4"/>
                  <w:vAlign w:val="center"/>
                </w:tcPr>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两级活性炭：</w:t>
                  </w:r>
                </w:p>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一级，过滤介质为板式活性炭，尺寸为515mm×570mm×46mm；吸附碘值为820mg/g；</w:t>
                  </w:r>
                </w:p>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二级，过滤介质为板式活性炭，尺寸为515mm×570mm×46mm吸附碘值为820mg/g；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停留时间</w:t>
                  </w:r>
                </w:p>
              </w:tc>
              <w:tc>
                <w:tcPr>
                  <w:tcW w:w="20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过滤风速</w:t>
                  </w:r>
                </w:p>
              </w:tc>
              <w:tc>
                <w:tcPr>
                  <w:tcW w:w="134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活性炭更换周期</w:t>
                  </w:r>
                </w:p>
              </w:tc>
              <w:tc>
                <w:tcPr>
                  <w:tcW w:w="1359" w:type="dxa"/>
                  <w:vAlign w:val="center"/>
                </w:tcPr>
                <w:p>
                  <w:pPr>
                    <w:jc w:val="center"/>
                    <w:rPr>
                      <w:color w:val="000000" w:themeColor="text1"/>
                      <w:sz w:val="18"/>
                      <w:szCs w:val="18"/>
                      <w14:textFill>
                        <w14:solidFill>
                          <w14:schemeClr w14:val="tx1"/>
                        </w14:solidFill>
                      </w14:textFill>
                    </w:rPr>
                  </w:pPr>
                  <w:r>
                    <w:rPr>
                      <w:rFonts w:hint="eastAsia"/>
                      <w:color w:val="000000" w:themeColor="text1"/>
                      <w:sz w:val="21"/>
                      <w:szCs w:val="21"/>
                      <w14:textFill>
                        <w14:solidFill>
                          <w14:schemeClr w14:val="tx1"/>
                        </w14:solidFill>
                      </w14:textFill>
                    </w:rPr>
                    <w:t>活性炭一次填充量</w:t>
                  </w:r>
                </w:p>
              </w:tc>
              <w:tc>
                <w:tcPr>
                  <w:tcW w:w="1839" w:type="dxa"/>
                  <w:vAlign w:val="center"/>
                </w:tcPr>
                <w:p>
                  <w:pPr>
                    <w:jc w:val="center"/>
                    <w:rPr>
                      <w:color w:val="000000" w:themeColor="text1"/>
                      <w:sz w:val="18"/>
                      <w:szCs w:val="18"/>
                      <w14:textFill>
                        <w14:solidFill>
                          <w14:schemeClr w14:val="tx1"/>
                        </w14:solidFill>
                      </w14:textFill>
                    </w:rPr>
                  </w:pPr>
                  <w:r>
                    <w:rPr>
                      <w:rFonts w:hint="eastAsia"/>
                      <w:color w:val="000000" w:themeColor="text1"/>
                      <w:sz w:val="21"/>
                      <w:szCs w:val="21"/>
                      <w14:textFill>
                        <w14:solidFill>
                          <w14:schemeClr w14:val="tx1"/>
                        </w14:solidFill>
                      </w14:textFill>
                    </w:rPr>
                    <w:t>设计处理效率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0.2-2s</w:t>
                  </w:r>
                </w:p>
              </w:tc>
              <w:tc>
                <w:tcPr>
                  <w:tcW w:w="2008" w:type="dxa"/>
                  <w:vAlign w:val="center"/>
                </w:tcPr>
                <w:p>
                  <w:pPr>
                    <w:jc w:val="center"/>
                    <w:rPr>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0.6m/s</w:t>
                  </w:r>
                </w:p>
              </w:tc>
              <w:tc>
                <w:tcPr>
                  <w:tcW w:w="134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25天/次</w:t>
                  </w:r>
                </w:p>
              </w:tc>
              <w:tc>
                <w:tcPr>
                  <w:tcW w:w="13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约660kg/次</w:t>
                  </w:r>
                </w:p>
              </w:tc>
              <w:tc>
                <w:tcPr>
                  <w:tcW w:w="183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活性炭密度</w:t>
                  </w:r>
                </w:p>
              </w:tc>
              <w:tc>
                <w:tcPr>
                  <w:tcW w:w="20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介质温度</w:t>
                  </w:r>
                </w:p>
              </w:tc>
              <w:tc>
                <w:tcPr>
                  <w:tcW w:w="134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工作阻力</w:t>
                  </w:r>
                </w:p>
              </w:tc>
              <w:tc>
                <w:tcPr>
                  <w:tcW w:w="13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孔隙度</w:t>
                  </w:r>
                </w:p>
              </w:tc>
              <w:tc>
                <w:tcPr>
                  <w:tcW w:w="183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活性炭吸附有机废气比例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46"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520kg/m</w:t>
                  </w:r>
                  <w:r>
                    <w:rPr>
                      <w:rFonts w:hint="eastAsia"/>
                      <w:color w:val="000000" w:themeColor="text1"/>
                      <w:sz w:val="21"/>
                      <w:szCs w:val="21"/>
                      <w:vertAlign w:val="superscript"/>
                      <w14:textFill>
                        <w14:solidFill>
                          <w14:schemeClr w14:val="tx1"/>
                        </w14:solidFill>
                      </w14:textFill>
                    </w:rPr>
                    <w:t>3</w:t>
                  </w:r>
                </w:p>
              </w:tc>
              <w:tc>
                <w:tcPr>
                  <w:tcW w:w="200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常温</w:t>
                  </w:r>
                </w:p>
              </w:tc>
              <w:tc>
                <w:tcPr>
                  <w:tcW w:w="134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1000-1400Pa</w:t>
                  </w:r>
                </w:p>
              </w:tc>
              <w:tc>
                <w:tcPr>
                  <w:tcW w:w="135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1.5mm</w:t>
                  </w:r>
                </w:p>
              </w:tc>
              <w:tc>
                <w:tcPr>
                  <w:tcW w:w="1839"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100kg/25kg</w:t>
                  </w:r>
                </w:p>
              </w:tc>
            </w:tr>
          </w:tbl>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对照《吸附法工业有机废气治理工程技术规范》（HJ2026-2013）要求：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进入吸附装置的废气温度宜低于40℃，</w:t>
            </w:r>
            <w:r>
              <w:rPr>
                <w:rFonts w:hint="eastAsia"/>
                <w:color w:val="000000" w:themeColor="text1"/>
                <w14:textFill>
                  <w14:solidFill>
                    <w14:schemeClr w14:val="tx1"/>
                  </w14:solidFill>
                </w14:textFill>
              </w:rPr>
              <w:t>吸附剂</w:t>
            </w:r>
            <w:r>
              <w:rPr>
                <w:color w:val="000000" w:themeColor="text1"/>
                <w14:textFill>
                  <w14:solidFill>
                    <w14:schemeClr w14:val="tx1"/>
                  </w14:solidFill>
                </w14:textFill>
              </w:rPr>
              <w:t>气体流速宜低于</w:t>
            </w:r>
            <w:r>
              <w:rPr>
                <w:rFonts w:hint="eastAsia"/>
                <w:color w:val="000000" w:themeColor="text1"/>
                <w14:textFill>
                  <w14:solidFill>
                    <w14:schemeClr w14:val="tx1"/>
                  </w14:solidFill>
                </w14:textFill>
              </w:rPr>
              <w:t>1.2</w:t>
            </w:r>
            <w:r>
              <w:rPr>
                <w:color w:val="000000" w:themeColor="text1"/>
                <w14:textFill>
                  <w14:solidFill>
                    <w14:schemeClr w14:val="tx1"/>
                  </w14:solidFill>
                </w14:textFill>
              </w:rPr>
              <w:t>m/s</w:t>
            </w:r>
            <w:r>
              <w:rPr>
                <w:rFonts w:hint="eastAsia"/>
                <w:color w:val="000000" w:themeColor="text1"/>
                <w14:textFill>
                  <w14:solidFill>
                    <w14:schemeClr w14:val="tx1"/>
                  </w14:solidFill>
                </w14:textFill>
              </w:rPr>
              <w:t>，吸附碘值≧800mg/g。”根据建设单位提供的活性炭设计资料，本项目活性炭装置的吸附碘值为800mg/g</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冷凝器处理后有机废气进入两级活性炭前的</w:t>
            </w:r>
            <w:r>
              <w:rPr>
                <w:color w:val="000000" w:themeColor="text1"/>
                <w14:textFill>
                  <w14:solidFill>
                    <w14:schemeClr w14:val="tx1"/>
                  </w14:solidFill>
                </w14:textFill>
              </w:rPr>
              <w:t>温度＜40℃，气体流速宜＜</w:t>
            </w:r>
            <w:r>
              <w:rPr>
                <w:rFonts w:hint="eastAsia"/>
                <w:color w:val="000000" w:themeColor="text1"/>
                <w14:textFill>
                  <w14:solidFill>
                    <w14:schemeClr w14:val="tx1"/>
                  </w14:solidFill>
                </w14:textFill>
              </w:rPr>
              <w:t>0.6</w:t>
            </w:r>
            <w:r>
              <w:rPr>
                <w:color w:val="000000" w:themeColor="text1"/>
                <w14:textFill>
                  <w14:solidFill>
                    <w14:schemeClr w14:val="tx1"/>
                  </w14:solidFill>
                </w14:textFill>
              </w:rPr>
              <w:t>m/s，</w:t>
            </w:r>
            <w:r>
              <w:rPr>
                <w:rFonts w:hint="eastAsia"/>
                <w:color w:val="000000" w:themeColor="text1"/>
                <w14:textFill>
                  <w14:solidFill>
                    <w14:schemeClr w14:val="tx1"/>
                  </w14:solidFill>
                </w14:textFill>
              </w:rPr>
              <w:t>均</w:t>
            </w:r>
            <w:r>
              <w:rPr>
                <w:color w:val="000000" w:themeColor="text1"/>
                <w14:textFill>
                  <w14:solidFill>
                    <w14:schemeClr w14:val="tx1"/>
                  </w14:solidFill>
                </w14:textFill>
              </w:rPr>
              <w:t>满足技术规范要求。</w:t>
            </w:r>
          </w:p>
          <w:p>
            <w:pPr>
              <w:spacing w:line="360" w:lineRule="auto"/>
              <w:ind w:firstLine="48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r>
              <w:rPr>
                <w:color w:val="000000" w:themeColor="text1"/>
                <w:szCs w:val="21"/>
                <w14:textFill>
                  <w14:solidFill>
                    <w14:schemeClr w14:val="tx1"/>
                  </w14:solidFill>
                </w14:textFill>
              </w:rPr>
              <w:t>活性炭吸附装置</w:t>
            </w:r>
            <w:r>
              <w:rPr>
                <w:rFonts w:hint="eastAsia"/>
                <w:color w:val="000000" w:themeColor="text1"/>
                <w:szCs w:val="21"/>
                <w14:textFill>
                  <w14:solidFill>
                    <w14:schemeClr w14:val="tx1"/>
                  </w14:solidFill>
                </w14:textFill>
              </w:rPr>
              <w:t>对非甲烷总烃净化</w:t>
            </w:r>
            <w:r>
              <w:rPr>
                <w:color w:val="000000" w:themeColor="text1"/>
                <w:szCs w:val="21"/>
                <w14:textFill>
                  <w14:solidFill>
                    <w14:schemeClr w14:val="tx1"/>
                  </w14:solidFill>
                </w14:textFill>
              </w:rPr>
              <w:t>效率为90%。</w:t>
            </w:r>
            <w:r>
              <w:rPr>
                <w:rFonts w:hint="eastAsia"/>
                <w:color w:val="000000" w:themeColor="text1"/>
                <w14:textFill>
                  <w14:solidFill>
                    <w14:schemeClr w14:val="tx1"/>
                  </w14:solidFill>
                </w14:textFill>
              </w:rPr>
              <w:t>有机废气经处理后非甲烷总烃的排放速率和排放浓度均可满</w:t>
            </w:r>
            <w:r>
              <w:rPr>
                <w:rFonts w:hint="eastAsia"/>
                <w:color w:val="000000" w:themeColor="text1"/>
                <w:szCs w:val="21"/>
                <w14:textFill>
                  <w14:solidFill>
                    <w14:schemeClr w14:val="tx1"/>
                  </w14:solidFill>
                </w14:textFill>
              </w:rPr>
              <w:t>足满足《合成树脂工业污染物排放标准》（GB31732-2015）表5大气污染物特别排放限值。</w:t>
            </w:r>
          </w:p>
          <w:p>
            <w:pPr>
              <w:spacing w:line="360" w:lineRule="auto"/>
              <w:ind w:firstLine="48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本项目属于塑料薄膜制造行业，根据上表可知本项目有机废气采取的集气罩+</w:t>
            </w:r>
            <w:r>
              <w:rPr>
                <w:rFonts w:hint="eastAsia"/>
                <w:bCs/>
                <w:color w:val="000000" w:themeColor="text1"/>
                <w14:textFill>
                  <w14:solidFill>
                    <w14:schemeClr w14:val="tx1"/>
                  </w14:solidFill>
                </w14:textFill>
              </w:rPr>
              <w:t>二级活性炭</w:t>
            </w:r>
            <w:r>
              <w:rPr>
                <w:rFonts w:hint="eastAsia" w:ascii="宋体" w:hAnsi="宋体" w:cs="宋体"/>
                <w:color w:val="000000" w:themeColor="text1"/>
                <w14:textFill>
                  <w14:solidFill>
                    <w14:schemeClr w14:val="tx1"/>
                  </w14:solidFill>
                </w14:textFill>
              </w:rPr>
              <w:t>治理措施为可行技术。</w:t>
            </w: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（3）无组织废气防治措施</w:t>
            </w: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1）严格按照原料配比进行生产，涂布、烘干时保证生产线线按照规范操作，减少生产过程中的易挥发物质的无组织排放；</w:t>
            </w: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2）合理布置车间，通过采取加强车间强排风等措施，以减少无组织废气对厂界周围环境的影响；</w:t>
            </w: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3）建设单位应配备环保方面专业人员，并定期检查各环保设施，针对有机废气的活性炭应定期检查并更换，确保不发生非正常工况下的废气排放。同时项目废气处理应加强管理，防止因处理设施故障造成废气非正常排放。</w:t>
            </w: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4）加强对操作工的培训和管理，以减少人为造成的废气无组织排放。</w:t>
            </w:r>
          </w:p>
          <w:p>
            <w:pPr>
              <w:pStyle w:val="7"/>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③其他</w:t>
            </w:r>
            <w:r>
              <w:rPr>
                <w:color w:val="000000" w:themeColor="text1"/>
                <w14:textFill>
                  <w14:solidFill>
                    <w14:schemeClr w14:val="tx1"/>
                  </w14:solidFill>
                </w14:textFill>
              </w:rPr>
              <w:t>无组织废气防治措施</w:t>
            </w: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参照《挥发性有机物无组织排放控制标准》（GB37822-2019）中对无组织排放控制规定，检查本项目无组织废气控制要求。 </w:t>
            </w: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有机废气</w:t>
            </w:r>
            <w:r>
              <w:rPr>
                <w:color w:val="000000" w:themeColor="text1"/>
                <w14:textFill>
                  <w14:solidFill>
                    <w14:schemeClr w14:val="tx1"/>
                  </w14:solidFill>
                </w14:textFill>
              </w:rPr>
              <w:t>物料储存无组织排放控制要求</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表4-1</w:t>
            </w:r>
            <w:r>
              <w:rPr>
                <w:rFonts w:hint="eastAsia" w:cs="宋体"/>
                <w:b/>
                <w:color w:val="000000" w:themeColor="text1"/>
                <w:kern w:val="0"/>
                <w14:textFill>
                  <w14:solidFill>
                    <w14:schemeClr w14:val="tx1"/>
                  </w14:solidFill>
                </w14:textFill>
              </w:rPr>
              <w:t>1</w:t>
            </w:r>
            <w:r>
              <w:rPr>
                <w:rFonts w:hint="eastAsia" w:cs="宋体"/>
                <w:b/>
                <w:color w:val="000000" w:themeColor="text1"/>
                <w:kern w:val="0"/>
                <w:lang w:val="zh-CN"/>
                <w14:textFill>
                  <w14:solidFill>
                    <w14:schemeClr w14:val="tx1"/>
                  </w14:solidFill>
                </w14:textFill>
              </w:rPr>
              <w:t xml:space="preserve">  基本要求</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3"/>
              <w:gridCol w:w="3591"/>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应采取的控制措施</w:t>
                  </w:r>
                </w:p>
              </w:tc>
              <w:tc>
                <w:tcPr>
                  <w:tcW w:w="2122"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本项目采取的控制措施</w:t>
                  </w:r>
                </w:p>
              </w:tc>
              <w:tc>
                <w:tcPr>
                  <w:tcW w:w="512"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 物料应储存于密闭的容器、包装袋、储罐、储库、料仓中。</w:t>
                  </w:r>
                </w:p>
              </w:tc>
              <w:tc>
                <w:tcPr>
                  <w:tcW w:w="212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w:t>
                  </w:r>
                  <w:r>
                    <w:rPr>
                      <w:rFonts w:hint="eastAsia"/>
                      <w:color w:val="000000" w:themeColor="text1"/>
                      <w:sz w:val="21"/>
                      <w14:textFill>
                        <w14:solidFill>
                          <w14:schemeClr w14:val="tx1"/>
                        </w14:solidFill>
                      </w14:textFill>
                    </w:rPr>
                    <w:t>浆料</w:t>
                  </w:r>
                  <w:r>
                    <w:rPr>
                      <w:color w:val="000000" w:themeColor="text1"/>
                      <w:sz w:val="21"/>
                      <w14:textFill>
                        <w14:solidFill>
                          <w14:schemeClr w14:val="tx1"/>
                        </w14:solidFill>
                      </w14:textFill>
                    </w:rPr>
                    <w:t>采用桶装，对物料储存桶每个月进行一次检查，发现有破损及时更换。</w:t>
                  </w:r>
                </w:p>
              </w:tc>
              <w:tc>
                <w:tcPr>
                  <w:tcW w:w="51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盛装VOCs物料的容器或包装袋应存放于室内，或存放于设置有雨棚、遮阳和防渗设施的专用场地。盛装VOCs物料的容器或包装袋在非取用状态时应加盖、封口，保持密闭。</w:t>
                  </w:r>
                </w:p>
              </w:tc>
              <w:tc>
                <w:tcPr>
                  <w:tcW w:w="212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物料均存放在化学品仓库内。盛装</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物料的桶在非取用状态时加盖密闭。</w:t>
                  </w:r>
                </w:p>
              </w:tc>
              <w:tc>
                <w:tcPr>
                  <w:tcW w:w="51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VOCs物料储罐应密封良好，其中挥发性有机液体储罐应符合5.2条规定。</w:t>
                  </w:r>
                </w:p>
              </w:tc>
              <w:tc>
                <w:tcPr>
                  <w:tcW w:w="212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本项目物料采用桶装，不设储罐</w:t>
                  </w:r>
                </w:p>
              </w:tc>
              <w:tc>
                <w:tcPr>
                  <w:tcW w:w="51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VOCs物料储库、料仓应满足3.6条对密闭空间的要求。</w:t>
                  </w:r>
                </w:p>
              </w:tc>
              <w:tc>
                <w:tcPr>
                  <w:tcW w:w="2122" w:type="pct"/>
                  <w:vAlign w:val="center"/>
                </w:tcPr>
                <w:p>
                  <w:pPr>
                    <w:spacing w:line="320" w:lineRule="exact"/>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物料储库满足3.6条对密闭空间的要求。</w:t>
                  </w:r>
                </w:p>
              </w:tc>
              <w:tc>
                <w:tcPr>
                  <w:tcW w:w="51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bl>
          <w:p>
            <w:pPr>
              <w:pStyle w:val="7"/>
              <w:spacing w:line="360" w:lineRule="auto"/>
              <w:rPr>
                <w:color w:val="000000" w:themeColor="text1"/>
                <w14:textFill>
                  <w14:solidFill>
                    <w14:schemeClr w14:val="tx1"/>
                  </w14:solidFill>
                </w14:textFill>
              </w:rPr>
            </w:pP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2）工艺过程</w:t>
            </w:r>
            <w:r>
              <w:rPr>
                <w:rFonts w:hint="eastAsia"/>
                <w:color w:val="000000" w:themeColor="text1"/>
                <w14:textFill>
                  <w14:solidFill>
                    <w14:schemeClr w14:val="tx1"/>
                  </w14:solidFill>
                </w14:textFill>
              </w:rPr>
              <w:t>有机废气</w:t>
            </w:r>
            <w:r>
              <w:rPr>
                <w:color w:val="000000" w:themeColor="text1"/>
                <w14:textFill>
                  <w14:solidFill>
                    <w14:schemeClr w14:val="tx1"/>
                  </w14:solidFill>
                </w14:textFill>
              </w:rPr>
              <w:t>无组织排放控制要求</w:t>
            </w:r>
          </w:p>
          <w:p>
            <w:pPr>
              <w:tabs>
                <w:tab w:val="left" w:pos="3980"/>
              </w:tabs>
              <w:spacing w:line="360" w:lineRule="auto"/>
              <w:jc w:val="center"/>
              <w:rPr>
                <w:rFonts w:cs="宋体"/>
                <w:b/>
                <w:color w:val="000000" w:themeColor="text1"/>
                <w:kern w:val="0"/>
                <w:lang w:val="zh-CN"/>
                <w14:textFill>
                  <w14:solidFill>
                    <w14:schemeClr w14:val="tx1"/>
                  </w14:solidFill>
                </w14:textFill>
              </w:rPr>
            </w:pPr>
            <w:bookmarkStart w:id="8" w:name="_Hlk33726578"/>
            <w:r>
              <w:rPr>
                <w:rFonts w:hint="eastAsia" w:cs="宋体"/>
                <w:b/>
                <w:color w:val="000000" w:themeColor="text1"/>
                <w:kern w:val="0"/>
                <w:lang w:val="zh-CN"/>
                <w14:textFill>
                  <w14:solidFill>
                    <w14:schemeClr w14:val="tx1"/>
                  </w14:solidFill>
                </w14:textFill>
              </w:rPr>
              <w:t>表4-1</w:t>
            </w:r>
            <w:r>
              <w:rPr>
                <w:rFonts w:hint="eastAsia" w:cs="宋体"/>
                <w:b/>
                <w:color w:val="000000" w:themeColor="text1"/>
                <w:kern w:val="0"/>
                <w14:textFill>
                  <w14:solidFill>
                    <w14:schemeClr w14:val="tx1"/>
                  </w14:solidFill>
                </w14:textFill>
              </w:rPr>
              <w:t>2</w:t>
            </w:r>
            <w:r>
              <w:rPr>
                <w:rFonts w:hint="eastAsia" w:cs="宋体"/>
                <w:b/>
                <w:color w:val="000000" w:themeColor="text1"/>
                <w:kern w:val="0"/>
                <w:lang w:val="zh-CN"/>
                <w14:textFill>
                  <w14:solidFill>
                    <w14:schemeClr w14:val="tx1"/>
                  </w14:solidFill>
                </w14:textFill>
              </w:rPr>
              <w:t xml:space="preserve"> 基本要求</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31"/>
              <w:gridCol w:w="3859"/>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05"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应采取的控制措施</w:t>
                  </w:r>
                </w:p>
              </w:tc>
              <w:tc>
                <w:tcPr>
                  <w:tcW w:w="2281"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本项目采取的控制措施</w:t>
                  </w:r>
                </w:p>
              </w:tc>
              <w:tc>
                <w:tcPr>
                  <w:tcW w:w="512"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5"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 质量占比大于等于10%的含VOCs 产品，其实用过程应采取密闭设备或在密闭空间内操作，废气应排至VOCs 废气收集处理系统；无法封闭的，应采取局部气体收集措施，废气应排至VOCs废气收集处理系统。</w:t>
                  </w:r>
                </w:p>
              </w:tc>
              <w:tc>
                <w:tcPr>
                  <w:tcW w:w="2281"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废气排至</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废气收集处理系统。采取“</w:t>
                  </w:r>
                  <w:r>
                    <w:rPr>
                      <w:rFonts w:hint="eastAsia"/>
                      <w:color w:val="000000" w:themeColor="text1"/>
                      <w:sz w:val="21"/>
                      <w14:textFill>
                        <w14:solidFill>
                          <w14:schemeClr w14:val="tx1"/>
                        </w14:solidFill>
                      </w14:textFill>
                    </w:rPr>
                    <w:t>二级活性炭</w:t>
                  </w:r>
                  <w:r>
                    <w:rPr>
                      <w:color w:val="000000" w:themeColor="text1"/>
                      <w:sz w:val="21"/>
                      <w14:textFill>
                        <w14:solidFill>
                          <w14:schemeClr w14:val="tx1"/>
                        </w14:solidFill>
                      </w14:textFill>
                    </w:rPr>
                    <w:t>”</w:t>
                  </w:r>
                  <w:r>
                    <w:rPr>
                      <w:rFonts w:hint="eastAsia"/>
                      <w:color w:val="000000" w:themeColor="text1"/>
                      <w:sz w:val="21"/>
                      <w14:textFill>
                        <w14:solidFill>
                          <w14:schemeClr w14:val="tx1"/>
                        </w14:solidFill>
                      </w14:textFill>
                    </w:rPr>
                    <w:t>处理，</w:t>
                  </w:r>
                  <w:r>
                    <w:rPr>
                      <w:color w:val="000000" w:themeColor="text1"/>
                      <w:sz w:val="21"/>
                      <w14:textFill>
                        <w14:solidFill>
                          <w14:schemeClr w14:val="tx1"/>
                        </w14:solidFill>
                      </w14:textFill>
                    </w:rPr>
                    <w:t>各工段采取相应措施后通过排气筒高空排放</w:t>
                  </w:r>
                </w:p>
              </w:tc>
              <w:tc>
                <w:tcPr>
                  <w:tcW w:w="512"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bookmarkEnd w:id="8"/>
          </w:tbl>
          <w:p>
            <w:pPr>
              <w:pStyle w:val="7"/>
              <w:spacing w:line="360" w:lineRule="auto"/>
              <w:rPr>
                <w:color w:val="000000" w:themeColor="text1"/>
                <w14:textFill>
                  <w14:solidFill>
                    <w14:schemeClr w14:val="tx1"/>
                  </w14:solidFill>
                </w14:textFill>
              </w:rPr>
            </w:pP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有机废气</w:t>
            </w:r>
            <w:r>
              <w:rPr>
                <w:color w:val="000000" w:themeColor="text1"/>
                <w14:textFill>
                  <w14:solidFill>
                    <w14:schemeClr w14:val="tx1"/>
                  </w14:solidFill>
                </w14:textFill>
              </w:rPr>
              <w:t>无组织排放废气收集处理系统要求</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表4-1</w:t>
            </w:r>
            <w:r>
              <w:rPr>
                <w:rFonts w:hint="eastAsia" w:cs="宋体"/>
                <w:b/>
                <w:color w:val="000000" w:themeColor="text1"/>
                <w:kern w:val="0"/>
                <w14:textFill>
                  <w14:solidFill>
                    <w14:schemeClr w14:val="tx1"/>
                  </w14:solidFill>
                </w14:textFill>
              </w:rPr>
              <w:t>3</w:t>
            </w:r>
            <w:r>
              <w:rPr>
                <w:rFonts w:hint="eastAsia" w:cs="宋体"/>
                <w:b/>
                <w:color w:val="000000" w:themeColor="text1"/>
                <w:kern w:val="0"/>
                <w:lang w:val="zh-CN"/>
                <w14:textFill>
                  <w14:solidFill>
                    <w14:schemeClr w14:val="tx1"/>
                  </w14:solidFill>
                </w14:textFill>
              </w:rPr>
              <w:t xml:space="preserve">  基本要求</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1"/>
              <w:gridCol w:w="2831"/>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14"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应采取的控制措施</w:t>
                  </w:r>
                </w:p>
              </w:tc>
              <w:tc>
                <w:tcPr>
                  <w:tcW w:w="1673"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本项目采取的控制措施</w:t>
                  </w:r>
                </w:p>
              </w:tc>
              <w:tc>
                <w:tcPr>
                  <w:tcW w:w="511"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4"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废气收集处理系统应与生产工艺设备同步进行。VOCs废气收集处理系统发生故障或检修时，对应的生产工艺设备停止运行，待检修完毕后同步投入使用；生产工艺设备不能停止运行或不能及时停止运行的，应设置废气应急处理设施或采取其他替代措施</w:t>
                  </w:r>
                </w:p>
              </w:tc>
              <w:tc>
                <w:tcPr>
                  <w:tcW w:w="1673"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企业按相关要求进行建设、运行</w:t>
                  </w:r>
                </w:p>
              </w:tc>
              <w:tc>
                <w:tcPr>
                  <w:tcW w:w="511"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4"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收集的废气中NMHC初始排放速率≥3kg/h时，应配置VOCs处理设施，处理效率不应低于80%；对于重点区域，收集的废气中NMHC初始排放速率≥2kg/h 时，应配置VOCs处理设施，处理效率不应低于80%；采用的原辅材料符合国家有关低VOCs含量产品规定的除外。</w:t>
                  </w:r>
                </w:p>
              </w:tc>
              <w:tc>
                <w:tcPr>
                  <w:tcW w:w="1673"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项目属于重点区域，收集的废气中NMHC初始排放速率≥2kg/h时，</w:t>
                  </w:r>
                  <w:r>
                    <w:rPr>
                      <w:rFonts w:hint="eastAsia"/>
                      <w:color w:val="000000" w:themeColor="text1"/>
                      <w:sz w:val="21"/>
                      <w14:textFill>
                        <w14:solidFill>
                          <w14:schemeClr w14:val="tx1"/>
                        </w14:solidFill>
                      </w14:textFill>
                    </w:rPr>
                    <w:t>烘干、涂布</w:t>
                  </w:r>
                  <w:r>
                    <w:rPr>
                      <w:color w:val="000000" w:themeColor="text1"/>
                      <w:sz w:val="21"/>
                      <w14:textFill>
                        <w14:solidFill>
                          <w14:schemeClr w14:val="tx1"/>
                        </w14:solidFill>
                      </w14:textFill>
                    </w:rPr>
                    <w:t>过程</w:t>
                  </w:r>
                  <w:r>
                    <w:rPr>
                      <w:rFonts w:hint="eastAsia"/>
                      <w:color w:val="000000" w:themeColor="text1"/>
                      <w:sz w:val="21"/>
                      <w14:textFill>
                        <w14:solidFill>
                          <w14:schemeClr w14:val="tx1"/>
                        </w14:solidFill>
                      </w14:textFill>
                    </w:rPr>
                    <w:t>产生的有机废气</w:t>
                  </w:r>
                  <w:r>
                    <w:rPr>
                      <w:color w:val="000000" w:themeColor="text1"/>
                      <w:sz w:val="21"/>
                      <w14:textFill>
                        <w14:solidFill>
                          <w14:schemeClr w14:val="tx1"/>
                        </w14:solidFill>
                      </w14:textFill>
                    </w:rPr>
                    <w:t>分别采取</w:t>
                  </w:r>
                  <w:r>
                    <w:rPr>
                      <w:rFonts w:hint="eastAsia"/>
                      <w:color w:val="000000" w:themeColor="text1"/>
                      <w:sz w:val="21"/>
                      <w14:textFill>
                        <w14:solidFill>
                          <w14:schemeClr w14:val="tx1"/>
                        </w14:solidFill>
                      </w14:textFill>
                    </w:rPr>
                    <w:t>治理措施处理后排放，</w:t>
                  </w:r>
                  <w:r>
                    <w:rPr>
                      <w:color w:val="000000" w:themeColor="text1"/>
                      <w:sz w:val="21"/>
                      <w14:textFill>
                        <w14:solidFill>
                          <w14:schemeClr w14:val="tx1"/>
                        </w14:solidFill>
                      </w14:textFill>
                    </w:rPr>
                    <w:t>处理效率</w:t>
                  </w:r>
                  <w:r>
                    <w:rPr>
                      <w:rFonts w:hint="eastAsia"/>
                      <w:color w:val="000000" w:themeColor="text1"/>
                      <w:sz w:val="21"/>
                      <w14:textFill>
                        <w14:solidFill>
                          <w14:schemeClr w14:val="tx1"/>
                        </w14:solidFill>
                      </w14:textFill>
                    </w:rPr>
                    <w:t>不低于80%</w:t>
                  </w:r>
                </w:p>
              </w:tc>
              <w:tc>
                <w:tcPr>
                  <w:tcW w:w="511"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14"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1673"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企业按要求建立台账，记录相关内容。台账保存3年</w:t>
                  </w:r>
                </w:p>
              </w:tc>
              <w:tc>
                <w:tcPr>
                  <w:tcW w:w="511"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bl>
          <w:p>
            <w:pPr>
              <w:pStyle w:val="7"/>
              <w:spacing w:line="360" w:lineRule="auto"/>
              <w:rPr>
                <w:color w:val="000000" w:themeColor="text1"/>
                <w14:textFill>
                  <w14:solidFill>
                    <w14:schemeClr w14:val="tx1"/>
                  </w14:solidFill>
                </w14:textFill>
              </w:rPr>
            </w:pP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4）其他要求</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表4-1</w:t>
            </w:r>
            <w:r>
              <w:rPr>
                <w:rFonts w:hint="eastAsia" w:cs="宋体"/>
                <w:b/>
                <w:color w:val="000000" w:themeColor="text1"/>
                <w:kern w:val="0"/>
                <w14:textFill>
                  <w14:solidFill>
                    <w14:schemeClr w14:val="tx1"/>
                  </w14:solidFill>
                </w14:textFill>
              </w:rPr>
              <w:t>4</w:t>
            </w:r>
            <w:r>
              <w:rPr>
                <w:rFonts w:hint="eastAsia" w:cs="宋体"/>
                <w:b/>
                <w:color w:val="000000" w:themeColor="text1"/>
                <w:kern w:val="0"/>
                <w:lang w:val="zh-CN"/>
                <w14:textFill>
                  <w14:solidFill>
                    <w14:schemeClr w14:val="tx1"/>
                  </w14:solidFill>
                </w14:textFill>
              </w:rPr>
              <w:t xml:space="preserve">  其他要求</w:t>
            </w:r>
          </w:p>
          <w:tbl>
            <w:tblPr>
              <w:tblStyle w:val="2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9"/>
              <w:gridCol w:w="3416"/>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0"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应采取的控制措施</w:t>
                  </w:r>
                </w:p>
              </w:tc>
              <w:tc>
                <w:tcPr>
                  <w:tcW w:w="2019"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本项目采取的控制措施</w:t>
                  </w:r>
                </w:p>
              </w:tc>
              <w:tc>
                <w:tcPr>
                  <w:tcW w:w="509" w:type="pct"/>
                  <w:vAlign w:val="center"/>
                </w:tcPr>
                <w:p>
                  <w:pPr>
                    <w:spacing w:line="320" w:lineRule="exact"/>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是否满足要求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0"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企业应建立台账，记录含VOCs原辅材料和含VOCs产品的名称、使用量、回收量、废弃量、去向以及VOCs含量等信息。台账保存期限不少于3年</w:t>
                  </w:r>
                </w:p>
              </w:tc>
              <w:tc>
                <w:tcPr>
                  <w:tcW w:w="2019"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企业按要求建立台账，记录相关内容。台账保存3年。</w:t>
                  </w:r>
                </w:p>
              </w:tc>
              <w:tc>
                <w:tcPr>
                  <w:tcW w:w="509"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0"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工艺过程产生的含VOCs废料（渣、液）应按照第5章、第6章的要求进行储存、转移和输送。盛装过VOCs物料的废包装容器应加盖密闭</w:t>
                  </w:r>
                </w:p>
              </w:tc>
              <w:tc>
                <w:tcPr>
                  <w:tcW w:w="2019"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本项目</w:t>
                  </w:r>
                  <w:r>
                    <w:rPr>
                      <w:rFonts w:hint="eastAsia"/>
                      <w:color w:val="000000" w:themeColor="text1"/>
                      <w:sz w:val="21"/>
                      <w14:textFill>
                        <w14:solidFill>
                          <w14:schemeClr w14:val="tx1"/>
                        </w14:solidFill>
                      </w14:textFill>
                    </w:rPr>
                    <w:t>物料</w:t>
                  </w:r>
                  <w:r>
                    <w:rPr>
                      <w:color w:val="000000" w:themeColor="text1"/>
                      <w:sz w:val="21"/>
                      <w14:textFill>
                        <w14:solidFill>
                          <w14:schemeClr w14:val="tx1"/>
                        </w14:solidFill>
                      </w14:textFill>
                    </w:rPr>
                    <w:t>采用桶装，不设储罐。对物料储存桶每个月进行一次检查，发现有破损及时更换。</w:t>
                  </w:r>
                </w:p>
              </w:tc>
              <w:tc>
                <w:tcPr>
                  <w:tcW w:w="509" w:type="pct"/>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满足</w:t>
                  </w:r>
                </w:p>
              </w:tc>
            </w:tr>
          </w:tbl>
          <w:p>
            <w:pPr>
              <w:spacing w:line="360" w:lineRule="auto"/>
              <w:ind w:firstLine="480" w:firstLineChars="200"/>
              <w:rPr>
                <w:rFonts w:hAnsi="宋体" w:cs="宋体"/>
                <w:bCs/>
                <w:color w:val="000000" w:themeColor="text1"/>
                <w:lang w:bidi="ar"/>
                <w14:textFill>
                  <w14:solidFill>
                    <w14:schemeClr w14:val="tx1"/>
                  </w14:solidFill>
                </w14:textFill>
              </w:rPr>
            </w:pPr>
          </w:p>
          <w:p>
            <w:pPr>
              <w:spacing w:line="360" w:lineRule="auto"/>
              <w:ind w:firstLine="480" w:firstLineChars="200"/>
              <w:rPr>
                <w:rFonts w:hAnsi="宋体" w:cs="宋体"/>
                <w:bCs/>
                <w:color w:val="000000" w:themeColor="text1"/>
                <w:lang w:bidi="ar"/>
                <w14:textFill>
                  <w14:solidFill>
                    <w14:schemeClr w14:val="tx1"/>
                  </w14:solidFill>
                </w14:textFill>
              </w:rPr>
            </w:pPr>
            <w:r>
              <w:rPr>
                <w:rFonts w:hint="eastAsia" w:hAnsi="宋体" w:cs="宋体"/>
                <w:bCs/>
                <w:color w:val="000000" w:themeColor="text1"/>
                <w:lang w:bidi="ar"/>
                <w14:textFill>
                  <w14:solidFill>
                    <w14:schemeClr w14:val="tx1"/>
                  </w14:solidFill>
                </w14:textFill>
              </w:rPr>
              <w:t>综上，本项目的废气采取上述措施处理后均可达标排放，其治理措施是可行的。</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3、环境防护距离的设置</w:t>
            </w:r>
          </w:p>
          <w:p>
            <w:pPr>
              <w:pStyle w:val="64"/>
              <w:adjustRightInd w:val="0"/>
              <w:spacing w:line="360" w:lineRule="auto"/>
              <w:ind w:firstLine="480"/>
              <w:jc w:val="left"/>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）大气环境防护距离</w:t>
            </w:r>
          </w:p>
          <w:p>
            <w:pPr>
              <w:pStyle w:val="64"/>
              <w:adjustRightInd w:val="0"/>
              <w:spacing w:line="360" w:lineRule="auto"/>
              <w:ind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技术导则-大气环境》，大气环境防护距离是为了保护人群健康，减少正常排放条件下大气污染物对居住区的环境影响，在污染源与居住区之间设置的环境防护区域。在大气环境防护距离内不应有长期居住的人群。大气环境防护距离取值方法为：以污染源中心为起点，达到环境质量标准的最小距离。并结合厂区平面布置图，确定控制距离范围，超出厂界以外的范围，即为项目大气环境防护距离。本评价采用推荐模式中的大气环境防护距离模式计算各无组织源的大气环境防护距离，结果表明，本项目生产过程中产生的无组织废气在厂界外没有出现浓度超标点。</w:t>
            </w:r>
          </w:p>
          <w:p>
            <w:pPr>
              <w:pStyle w:val="64"/>
              <w:adjustRightInd w:val="0"/>
              <w:spacing w:line="360" w:lineRule="auto"/>
              <w:ind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因此，本项目全厂不需要设置大气环境防护距离。</w:t>
            </w:r>
          </w:p>
          <w:p>
            <w:pPr>
              <w:pStyle w:val="64"/>
              <w:adjustRightInd w:val="0"/>
              <w:spacing w:line="360" w:lineRule="auto"/>
              <w:ind w:firstLine="480"/>
              <w:jc w:val="left"/>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）卫生防护距离</w:t>
            </w:r>
          </w:p>
          <w:p>
            <w:pPr>
              <w:pStyle w:val="64"/>
              <w:adjustRightInd w:val="0"/>
              <w:spacing w:line="360" w:lineRule="auto"/>
              <w:ind w:firstLine="480"/>
              <w:jc w:val="left"/>
              <w:rPr>
                <w:color w:val="000000" w:themeColor="text1"/>
                <w14:textFill>
                  <w14:solidFill>
                    <w14:schemeClr w14:val="tx1"/>
                  </w14:solidFill>
                </w14:textFill>
              </w:rPr>
            </w:pPr>
            <w:r>
              <w:rPr>
                <w:color w:val="000000" w:themeColor="text1"/>
                <w14:textFill>
                  <w14:solidFill>
                    <w14:schemeClr w14:val="tx1"/>
                  </w14:solidFill>
                </w14:textFill>
              </w:rPr>
              <w:t>根据《制定地方大气污染物排放标准的技术方法》（GB/T13201－91）规定，无组织排放有害气体的生产单元（生产区、车间或工段）与居住区之间应设置卫生防护距离，因此，本次评价针对</w:t>
            </w:r>
            <w:r>
              <w:rPr>
                <w:rFonts w:hint="eastAsia"/>
                <w:color w:val="000000" w:themeColor="text1"/>
                <w14:textFill>
                  <w14:solidFill>
                    <w14:schemeClr w14:val="tx1"/>
                  </w14:solidFill>
                </w14:textFill>
              </w:rPr>
              <w:t>生产</w:t>
            </w:r>
            <w:r>
              <w:rPr>
                <w:color w:val="000000" w:themeColor="text1"/>
                <w14:textFill>
                  <w14:solidFill>
                    <w14:schemeClr w14:val="tx1"/>
                  </w14:solidFill>
                </w14:textFill>
              </w:rPr>
              <w:t>厂房无组织排放</w:t>
            </w:r>
            <w:r>
              <w:rPr>
                <w:rFonts w:hint="eastAsia"/>
                <w:color w:val="000000" w:themeColor="text1"/>
                <w14:textFill>
                  <w14:solidFill>
                    <w14:schemeClr w14:val="tx1"/>
                  </w14:solidFill>
                </w14:textFill>
              </w:rPr>
              <w:t>的废气</w:t>
            </w:r>
            <w:r>
              <w:rPr>
                <w:color w:val="000000" w:themeColor="text1"/>
                <w14:textFill>
                  <w14:solidFill>
                    <w14:schemeClr w14:val="tx1"/>
                  </w14:solidFill>
                </w14:textFill>
              </w:rPr>
              <w:t>卫生防护距离进行计算，可由下式计算：</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2152015" cy="561340"/>
                  <wp:effectExtent l="0" t="0" r="6985" b="1016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9"/>
                          <a:stretch>
                            <a:fillRect/>
                          </a:stretch>
                        </pic:blipFill>
                        <pic:spPr>
                          <a:xfrm>
                            <a:off x="0" y="0"/>
                            <a:ext cx="2152015" cy="561340"/>
                          </a:xfrm>
                          <a:prstGeom prst="rect">
                            <a:avLst/>
                          </a:prstGeom>
                          <a:noFill/>
                          <a:ln>
                            <a:noFill/>
                          </a:ln>
                        </pic:spPr>
                      </pic:pic>
                    </a:graphicData>
                  </a:graphic>
                </wp:inline>
              </w:drawing>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式中：C</w:t>
            </w:r>
            <w:r>
              <w:rPr>
                <w:color w:val="000000" w:themeColor="text1"/>
                <w:vertAlign w:val="subscript"/>
                <w14:textFill>
                  <w14:solidFill>
                    <w14:schemeClr w14:val="tx1"/>
                  </w14:solidFill>
                </w14:textFill>
              </w:rPr>
              <w:t>m</w:t>
            </w:r>
            <w:r>
              <w:rPr>
                <w:color w:val="000000" w:themeColor="text1"/>
                <w14:textFill>
                  <w14:solidFill>
                    <w14:schemeClr w14:val="tx1"/>
                  </w14:solidFill>
                </w14:textFill>
              </w:rPr>
              <w:t>——标准浓度限值，mg/m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Qc——有害</w:t>
            </w:r>
            <w:r>
              <w:rPr>
                <w:color w:val="000000" w:themeColor="text1"/>
                <w:kern w:val="0"/>
                <w14:textFill>
                  <w14:solidFill>
                    <w14:schemeClr w14:val="tx1"/>
                  </w14:solidFill>
                </w14:textFill>
              </w:rPr>
              <w:t>气体无组织排放量，</w:t>
            </w:r>
            <w:r>
              <w:rPr>
                <w:rFonts w:eastAsia="TimesNewRoman"/>
                <w:color w:val="000000" w:themeColor="text1"/>
                <w:kern w:val="0"/>
                <w14:textFill>
                  <w14:solidFill>
                    <w14:schemeClr w14:val="tx1"/>
                  </w14:solidFill>
                </w14:textFill>
              </w:rPr>
              <w:t>kg/h</w:t>
            </w:r>
            <w:r>
              <w:rPr>
                <w:color w:val="000000" w:themeColor="text1"/>
                <w:kern w:val="0"/>
                <w14:textFill>
                  <w14:solidFill>
                    <w14:schemeClr w14:val="tx1"/>
                  </w14:solidFill>
                </w14:textFill>
              </w:rPr>
              <w:t>；</w:t>
            </w:r>
          </w:p>
          <w:p>
            <w:pPr>
              <w:spacing w:line="360" w:lineRule="auto"/>
              <w:ind w:firstLine="480" w:firstLineChars="200"/>
              <w:rPr>
                <w:color w:val="000000" w:themeColor="text1"/>
                <w:kern w:val="0"/>
                <w14:textFill>
                  <w14:solidFill>
                    <w14:schemeClr w14:val="tx1"/>
                  </w14:solidFill>
                </w14:textFill>
              </w:rPr>
            </w:pPr>
            <w:r>
              <w:rPr>
                <w:color w:val="000000" w:themeColor="text1"/>
                <w14:textFill>
                  <w14:solidFill>
                    <w14:schemeClr w14:val="tx1"/>
                  </w14:solidFill>
                </w14:textFill>
              </w:rPr>
              <w:t>L——</w:t>
            </w:r>
            <w:r>
              <w:rPr>
                <w:color w:val="000000" w:themeColor="text1"/>
                <w:kern w:val="0"/>
                <w14:textFill>
                  <w14:solidFill>
                    <w14:schemeClr w14:val="tx1"/>
                  </w14:solidFill>
                </w14:textFill>
              </w:rPr>
              <w:t>工业企业所需卫生防护距离，</w:t>
            </w:r>
            <w:r>
              <w:rPr>
                <w:rFonts w:eastAsia="TimesNewRoman"/>
                <w:color w:val="000000" w:themeColor="text1"/>
                <w:kern w:val="0"/>
                <w14:textFill>
                  <w14:solidFill>
                    <w14:schemeClr w14:val="tx1"/>
                  </w14:solidFill>
                </w14:textFill>
              </w:rPr>
              <w:t>m</w:t>
            </w:r>
            <w:r>
              <w:rPr>
                <w:color w:val="000000" w:themeColor="text1"/>
                <w:kern w:val="0"/>
                <w14:textFill>
                  <w14:solidFill>
                    <w14:schemeClr w14:val="tx1"/>
                  </w14:solidFill>
                </w14:textFill>
              </w:rPr>
              <w:t>；</w:t>
            </w:r>
          </w:p>
          <w:p>
            <w:pPr>
              <w:spacing w:line="360" w:lineRule="auto"/>
              <w:ind w:firstLine="480" w:firstLineChars="200"/>
              <w:rPr>
                <w:color w:val="000000" w:themeColor="text1"/>
                <w:kern w:val="0"/>
                <w14:textFill>
                  <w14:solidFill>
                    <w14:schemeClr w14:val="tx1"/>
                  </w14:solidFill>
                </w14:textFill>
              </w:rPr>
            </w:pPr>
            <w:r>
              <w:rPr>
                <w:rFonts w:eastAsia="TimesNewRoman"/>
                <w:color w:val="000000" w:themeColor="text1"/>
                <w:kern w:val="0"/>
                <w14:textFill>
                  <w14:solidFill>
                    <w14:schemeClr w14:val="tx1"/>
                  </w14:solidFill>
                </w14:textFill>
              </w:rPr>
              <w:t>r</w:t>
            </w:r>
            <w:r>
              <w:rPr>
                <w:color w:val="000000" w:themeColor="text1"/>
                <w14:textFill>
                  <w14:solidFill>
                    <w14:schemeClr w14:val="tx1"/>
                  </w14:solidFill>
                </w14:textFill>
              </w:rPr>
              <w:t>——</w:t>
            </w:r>
            <w:r>
              <w:rPr>
                <w:color w:val="000000" w:themeColor="text1"/>
                <w:kern w:val="0"/>
                <w14:textFill>
                  <w14:solidFill>
                    <w14:schemeClr w14:val="tx1"/>
                  </w14:solidFill>
                </w14:textFill>
              </w:rPr>
              <w:t>有害气体无组织排放源所在生产单元等效半径，</w:t>
            </w:r>
            <w:r>
              <w:rPr>
                <w:rFonts w:eastAsia="TimesNewRoman"/>
                <w:color w:val="000000" w:themeColor="text1"/>
                <w:kern w:val="0"/>
                <w14:textFill>
                  <w14:solidFill>
                    <w14:schemeClr w14:val="tx1"/>
                  </w14:solidFill>
                </w14:textFill>
              </w:rPr>
              <w:t>m</w:t>
            </w:r>
            <w:r>
              <w:rPr>
                <w:color w:val="000000" w:themeColor="text1"/>
                <w:kern w:val="0"/>
                <w14:textFill>
                  <w14:solidFill>
                    <w14:schemeClr w14:val="tx1"/>
                  </w14:solidFill>
                </w14:textFill>
              </w:rPr>
              <w:t>；</w:t>
            </w:r>
          </w:p>
          <w:p>
            <w:pPr>
              <w:pStyle w:val="12"/>
              <w:numPr>
                <w:ilvl w:val="0"/>
                <w:numId w:val="7"/>
              </w:num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B、C、D——卫生防护距离计算系数，见下表</w:t>
            </w:r>
            <w:r>
              <w:rPr>
                <w:rFonts w:eastAsia="TimesNewRoman"/>
                <w:color w:val="000000" w:themeColor="text1"/>
                <w14:textFill>
                  <w14:solidFill>
                    <w14:schemeClr w14:val="tx1"/>
                  </w14:solidFill>
                </w14:textFill>
              </w:rPr>
              <w:t>。</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表4-1</w:t>
            </w:r>
            <w:r>
              <w:rPr>
                <w:rFonts w:hint="eastAsia" w:cs="宋体"/>
                <w:b/>
                <w:color w:val="000000" w:themeColor="text1"/>
                <w:kern w:val="0"/>
                <w14:textFill>
                  <w14:solidFill>
                    <w14:schemeClr w14:val="tx1"/>
                  </w14:solidFill>
                </w14:textFill>
              </w:rPr>
              <w:t>5</w:t>
            </w:r>
            <w:r>
              <w:rPr>
                <w:rFonts w:hint="eastAsia" w:cs="宋体"/>
                <w:b/>
                <w:color w:val="000000" w:themeColor="text1"/>
                <w:kern w:val="0"/>
                <w:lang w:val="zh-CN"/>
                <w14:textFill>
                  <w14:solidFill>
                    <w14:schemeClr w14:val="tx1"/>
                  </w14:solidFill>
                </w14:textFill>
              </w:rPr>
              <w:t xml:space="preserve">  本项目卫生防护距离计算系数表</w:t>
            </w:r>
          </w:p>
          <w:tbl>
            <w:tblPr>
              <w:tblStyle w:val="29"/>
              <w:tblW w:w="5000" w:type="pct"/>
              <w:jc w:val="center"/>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Layout w:type="fixed"/>
              <w:tblCellMar>
                <w:top w:w="0" w:type="dxa"/>
                <w:left w:w="108" w:type="dxa"/>
                <w:bottom w:w="0" w:type="dxa"/>
                <w:right w:w="108" w:type="dxa"/>
              </w:tblCellMar>
            </w:tblPr>
            <w:tblGrid>
              <w:gridCol w:w="523"/>
              <w:gridCol w:w="890"/>
              <w:gridCol w:w="782"/>
              <w:gridCol w:w="784"/>
              <w:gridCol w:w="783"/>
              <w:gridCol w:w="783"/>
              <w:gridCol w:w="783"/>
              <w:gridCol w:w="784"/>
              <w:gridCol w:w="783"/>
              <w:gridCol w:w="783"/>
              <w:gridCol w:w="785"/>
            </w:tblGrid>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restart"/>
                  <w:tcBorders>
                    <w:top w:val="single" w:color="auto" w:sz="4" w:space="0"/>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计</w:t>
                  </w:r>
                </w:p>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算</w:t>
                  </w:r>
                </w:p>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系</w:t>
                  </w:r>
                </w:p>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数</w:t>
                  </w:r>
                </w:p>
              </w:tc>
              <w:tc>
                <w:tcPr>
                  <w:tcW w:w="981" w:type="dxa"/>
                  <w:vMerge w:val="restart"/>
                  <w:tcBorders>
                    <w:top w:val="single" w:color="auto" w:sz="4" w:space="0"/>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5年平均风速</w:t>
                  </w:r>
                </w:p>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m/s</w:t>
                  </w:r>
                </w:p>
              </w:tc>
              <w:tc>
                <w:tcPr>
                  <w:tcW w:w="7743" w:type="dxa"/>
                  <w:gridSpan w:val="9"/>
                  <w:tcBorders>
                    <w:top w:val="single" w:color="auto" w:sz="4" w:space="0"/>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卫生防护距离L，m</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981"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2580"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L≤1000</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1000＜L≤2000</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L＞2000</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981"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7743" w:type="dxa"/>
                  <w:gridSpan w:val="9"/>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工业大气污染源构成类别*</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981"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859"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Ⅰ</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Ⅱ</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Ⅲ</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Ⅰ</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Ⅱ</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Ⅲ</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Ⅰ</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Ⅱ</w:t>
                  </w:r>
                </w:p>
              </w:tc>
              <w:tc>
                <w:tcPr>
                  <w:tcW w:w="862"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Ⅲ</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restart"/>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A</w:t>
                  </w:r>
                </w:p>
              </w:tc>
              <w:tc>
                <w:tcPr>
                  <w:tcW w:w="98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859"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400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80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80</w:t>
                  </w:r>
                </w:p>
              </w:tc>
              <w:tc>
                <w:tcPr>
                  <w:tcW w:w="862"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80</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p>
              </w:tc>
              <w:tc>
                <w:tcPr>
                  <w:tcW w:w="981" w:type="dxa"/>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2～4</w:t>
                  </w:r>
                </w:p>
              </w:tc>
              <w:tc>
                <w:tcPr>
                  <w:tcW w:w="859" w:type="dxa"/>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700</w:t>
                  </w:r>
                </w:p>
              </w:tc>
              <w:tc>
                <w:tcPr>
                  <w:tcW w:w="861" w:type="dxa"/>
                  <w:tcBorders>
                    <w:tl2br w:val="nil"/>
                    <w:tr2bl w:val="nil"/>
                  </w:tcBorders>
                  <w:shd w:val="clear" w:color="auto" w:fill="A6A6A6"/>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470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350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700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470</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350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380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250</w:t>
                  </w:r>
                </w:p>
              </w:tc>
              <w:tc>
                <w:tcPr>
                  <w:tcW w:w="862"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190</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vAlign w:val="center"/>
                </w:tcPr>
                <w:p>
                  <w:pPr>
                    <w:spacing w:line="320" w:lineRule="exact"/>
                    <w:jc w:val="center"/>
                    <w:rPr>
                      <w:color w:val="000000" w:themeColor="text1"/>
                      <w:sz w:val="21"/>
                      <w14:textFill>
                        <w14:solidFill>
                          <w14:schemeClr w14:val="tx1"/>
                        </w14:solidFill>
                      </w14:textFill>
                    </w:rPr>
                  </w:pPr>
                </w:p>
              </w:tc>
              <w:tc>
                <w:tcPr>
                  <w:tcW w:w="98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w:t>
                  </w:r>
                </w:p>
              </w:tc>
              <w:tc>
                <w:tcPr>
                  <w:tcW w:w="859"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530</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350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260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530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350</w:t>
                  </w:r>
                </w:p>
              </w:tc>
              <w:tc>
                <w:tcPr>
                  <w:tcW w:w="86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260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290</w:t>
                  </w:r>
                </w:p>
              </w:tc>
              <w:tc>
                <w:tcPr>
                  <w:tcW w:w="860"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190</w:t>
                  </w:r>
                </w:p>
              </w:tc>
              <w:tc>
                <w:tcPr>
                  <w:tcW w:w="862"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140</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restart"/>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B</w:t>
                  </w:r>
                </w:p>
              </w:tc>
              <w:tc>
                <w:tcPr>
                  <w:tcW w:w="98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0.01</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0.015</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0.015</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p>
              </w:tc>
              <w:tc>
                <w:tcPr>
                  <w:tcW w:w="981" w:type="dxa"/>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tl2br w:val="nil"/>
                    <w:tr2bl w:val="nil"/>
                  </w:tcBorders>
                  <w:shd w:val="clear" w:color="auto" w:fill="A6A6A6"/>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0.021</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0.036</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0.036</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restart"/>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C</w:t>
                  </w:r>
                </w:p>
              </w:tc>
              <w:tc>
                <w:tcPr>
                  <w:tcW w:w="98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1.85</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1.79</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1.79</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p>
              </w:tc>
              <w:tc>
                <w:tcPr>
                  <w:tcW w:w="981" w:type="dxa"/>
                  <w:tcBorders>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tl2br w:val="nil"/>
                    <w:tr2bl w:val="nil"/>
                  </w:tcBorders>
                  <w:shd w:val="clear" w:color="auto" w:fill="A6A6A6"/>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1.85</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1.77</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1.77</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restart"/>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D</w:t>
                  </w:r>
                </w:p>
              </w:tc>
              <w:tc>
                <w:tcPr>
                  <w:tcW w:w="981" w:type="dxa"/>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0.78</w:t>
                  </w:r>
                </w:p>
              </w:tc>
              <w:tc>
                <w:tcPr>
                  <w:tcW w:w="2581"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0.78</w:t>
                  </w:r>
                </w:p>
              </w:tc>
              <w:tc>
                <w:tcPr>
                  <w:tcW w:w="2582" w:type="dxa"/>
                  <w:gridSpan w:val="3"/>
                  <w:tcBorders>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0.57</w:t>
                  </w:r>
                </w:p>
              </w:tc>
            </w:tr>
            <w:tr>
              <w:tblPrEx>
                <w:tblBorders>
                  <w:top w:val="single" w:color="auto" w:sz="12" w:space="0"/>
                  <w:left w:val="single" w:color="auto" w:sz="4" w:space="0"/>
                  <w:bottom w:val="single" w:color="auto" w:sz="12"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34" w:hRule="atLeast"/>
                <w:jc w:val="center"/>
              </w:trPr>
              <w:tc>
                <w:tcPr>
                  <w:tcW w:w="562" w:type="dxa"/>
                  <w:vMerge w:val="continue"/>
                  <w:tcBorders>
                    <w:bottom w:val="single" w:color="auto" w:sz="4" w:space="0"/>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p>
              </w:tc>
              <w:tc>
                <w:tcPr>
                  <w:tcW w:w="981" w:type="dxa"/>
                  <w:tcBorders>
                    <w:bottom w:val="single" w:color="auto" w:sz="4" w:space="0"/>
                    <w:tl2br w:val="nil"/>
                    <w:tr2bl w:val="nil"/>
                  </w:tcBorders>
                  <w:shd w:val="clear" w:color="auto" w:fill="auto"/>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＞2</w:t>
                  </w:r>
                </w:p>
              </w:tc>
              <w:tc>
                <w:tcPr>
                  <w:tcW w:w="2580" w:type="dxa"/>
                  <w:gridSpan w:val="3"/>
                  <w:tcBorders>
                    <w:bottom w:val="single" w:color="auto" w:sz="4" w:space="0"/>
                    <w:tl2br w:val="nil"/>
                    <w:tr2bl w:val="nil"/>
                  </w:tcBorders>
                  <w:shd w:val="clear" w:color="auto" w:fill="A6A6A6"/>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0.84</w:t>
                  </w:r>
                </w:p>
              </w:tc>
              <w:tc>
                <w:tcPr>
                  <w:tcW w:w="2581" w:type="dxa"/>
                  <w:gridSpan w:val="3"/>
                  <w:tcBorders>
                    <w:bottom w:val="single" w:color="auto" w:sz="4" w:space="0"/>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0.84</w:t>
                  </w:r>
                </w:p>
              </w:tc>
              <w:tc>
                <w:tcPr>
                  <w:tcW w:w="2582" w:type="dxa"/>
                  <w:gridSpan w:val="3"/>
                  <w:tcBorders>
                    <w:bottom w:val="single" w:color="auto" w:sz="4" w:space="0"/>
                    <w:tl2br w:val="nil"/>
                    <w:tr2bl w:val="nil"/>
                  </w:tcBorders>
                  <w:vAlign w:val="center"/>
                </w:tcPr>
                <w:p>
                  <w:pPr>
                    <w:spacing w:line="320" w:lineRule="exact"/>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0.76</w:t>
                  </w:r>
                </w:p>
              </w:tc>
            </w:tr>
          </w:tbl>
          <w:p>
            <w:pPr>
              <w:tabs>
                <w:tab w:val="left" w:pos="720"/>
              </w:tabs>
              <w:adjustRightInd w:val="0"/>
              <w:spacing w:line="360" w:lineRule="auto"/>
              <w:ind w:firstLine="361" w:firstLineChars="150"/>
              <w:rPr>
                <w:color w:val="000000" w:themeColor="text1"/>
                <w14:textFill>
                  <w14:solidFill>
                    <w14:schemeClr w14:val="tx1"/>
                  </w14:solidFill>
                </w14:textFill>
              </w:rPr>
            </w:pPr>
            <w:r>
              <w:rPr>
                <w:b/>
                <w:color w:val="000000" w:themeColor="text1"/>
                <w14:textFill>
                  <w14:solidFill>
                    <w14:schemeClr w14:val="tx1"/>
                  </w14:solidFill>
                </w14:textFill>
              </w:rPr>
              <w:t>*说明：</w:t>
            </w:r>
            <w:r>
              <w:rPr>
                <w:color w:val="000000" w:themeColor="text1"/>
                <w14:textFill>
                  <w14:solidFill>
                    <w14:schemeClr w14:val="tx1"/>
                  </w14:solidFill>
                </w14:textFill>
              </w:rPr>
              <w:t>Ⅰ类：与无组织排放源共存的排放同种有害气体的排气筒的排放量，大于标准规定的允许排放量的三分之一者。</w:t>
            </w:r>
          </w:p>
          <w:p>
            <w:pPr>
              <w:tabs>
                <w:tab w:val="left" w:pos="720"/>
              </w:tabs>
              <w:adjustRightInd w:val="0"/>
              <w:spacing w:line="360" w:lineRule="auto"/>
              <w:ind w:firstLine="360" w:firstLineChars="150"/>
              <w:rPr>
                <w:color w:val="000000" w:themeColor="text1"/>
                <w14:textFill>
                  <w14:solidFill>
                    <w14:schemeClr w14:val="tx1"/>
                  </w14:solidFill>
                </w14:textFill>
              </w:rPr>
            </w:pPr>
            <w:r>
              <w:rPr>
                <w:color w:val="000000" w:themeColor="text1"/>
                <w14:textFill>
                  <w14:solidFill>
                    <w14:schemeClr w14:val="tx1"/>
                  </w14:solidFill>
                </w14:textFill>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tabs>
                <w:tab w:val="left" w:pos="720"/>
              </w:tabs>
              <w:adjustRightInd w:val="0"/>
              <w:spacing w:line="360" w:lineRule="auto"/>
              <w:ind w:firstLine="360" w:firstLineChars="150"/>
              <w:rPr>
                <w:color w:val="000000" w:themeColor="text1"/>
                <w14:textFill>
                  <w14:solidFill>
                    <w14:schemeClr w14:val="tx1"/>
                  </w14:solidFill>
                </w14:textFill>
              </w:rPr>
            </w:pPr>
            <w:r>
              <w:rPr>
                <w:color w:val="000000" w:themeColor="text1"/>
                <w14:textFill>
                  <w14:solidFill>
                    <w14:schemeClr w14:val="tx1"/>
                  </w14:solidFill>
                </w14:textFill>
              </w:rPr>
              <w:t>Ⅲ类：无排放同种有害物质的排气筒与无组织排放源共存，且无组织排放的有害物质的容许浓度是按慢性反应指标确定者。</w:t>
            </w:r>
          </w:p>
          <w:p>
            <w:pPr>
              <w:spacing w:line="360" w:lineRule="auto"/>
              <w:ind w:firstLine="482"/>
              <w:rPr>
                <w:color w:val="000000" w:themeColor="text1"/>
                <w14:textFill>
                  <w14:solidFill>
                    <w14:schemeClr w14:val="tx1"/>
                  </w14:solidFill>
                </w14:textFill>
              </w:rPr>
            </w:pPr>
            <w:r>
              <w:rPr>
                <w:color w:val="000000" w:themeColor="text1"/>
                <w14:textFill>
                  <w14:solidFill>
                    <w14:schemeClr w14:val="tx1"/>
                  </w14:solidFill>
                </w14:textFill>
              </w:rPr>
              <w:t>经计算，各污染物的卫生防护距离见</w:t>
            </w:r>
            <w:r>
              <w:rPr>
                <w:rFonts w:hint="eastAsia"/>
                <w:color w:val="000000" w:themeColor="text1"/>
                <w14:textFill>
                  <w14:solidFill>
                    <w14:schemeClr w14:val="tx1"/>
                  </w14:solidFill>
                </w14:textFill>
              </w:rPr>
              <w:t>下</w:t>
            </w:r>
            <w:r>
              <w:rPr>
                <w:color w:val="000000" w:themeColor="text1"/>
                <w14:textFill>
                  <w14:solidFill>
                    <w14:schemeClr w14:val="tx1"/>
                  </w14:solidFill>
                </w14:textFill>
              </w:rPr>
              <w:t>表。</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16</w:t>
            </w:r>
            <w:r>
              <w:rPr>
                <w:rFonts w:hint="eastAsia" w:cs="宋体"/>
                <w:b/>
                <w:color w:val="000000" w:themeColor="text1"/>
                <w:kern w:val="0"/>
                <w:lang w:val="zh-CN"/>
                <w14:textFill>
                  <w14:solidFill>
                    <w14:schemeClr w14:val="tx1"/>
                  </w14:solidFill>
                </w14:textFill>
              </w:rPr>
              <w:t xml:space="preserve">  本项目卫生防护距离计算结果</w:t>
            </w:r>
          </w:p>
          <w:tbl>
            <w:tblPr>
              <w:tblStyle w:val="29"/>
              <w:tblW w:w="499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1"/>
              <w:gridCol w:w="739"/>
              <w:gridCol w:w="1020"/>
              <w:gridCol w:w="555"/>
              <w:gridCol w:w="923"/>
              <w:gridCol w:w="592"/>
              <w:gridCol w:w="817"/>
              <w:gridCol w:w="612"/>
              <w:gridCol w:w="610"/>
              <w:gridCol w:w="729"/>
              <w:gridCol w:w="559"/>
              <w:gridCol w:w="8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69" w:hRule="atLeast"/>
                <w:jc w:val="center"/>
              </w:trPr>
              <w:tc>
                <w:tcPr>
                  <w:tcW w:w="1242" w:type="dxa"/>
                  <w:gridSpan w:val="2"/>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污染物</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名称</w:t>
                  </w:r>
                </w:p>
              </w:tc>
              <w:tc>
                <w:tcPr>
                  <w:tcW w:w="1020"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Qc</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（kg/h）</w:t>
                  </w:r>
                </w:p>
              </w:tc>
              <w:tc>
                <w:tcPr>
                  <w:tcW w:w="555"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r</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(m)</w:t>
                  </w:r>
                </w:p>
              </w:tc>
              <w:tc>
                <w:tcPr>
                  <w:tcW w:w="923"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Cm</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(mg/m</w:t>
                  </w:r>
                  <w:r>
                    <w:rPr>
                      <w:rFonts w:hint="eastAsia" w:cs="Calibri"/>
                      <w:color w:val="000000" w:themeColor="text1"/>
                      <w:kern w:val="0"/>
                      <w:sz w:val="21"/>
                      <w:vertAlign w:val="superscript"/>
                      <w14:textFill>
                        <w14:solidFill>
                          <w14:schemeClr w14:val="tx1"/>
                        </w14:solidFill>
                      </w14:textFill>
                    </w:rPr>
                    <w:t>3</w:t>
                  </w:r>
                  <w:r>
                    <w:rPr>
                      <w:rFonts w:hint="eastAsia" w:cs="Calibri"/>
                      <w:color w:val="000000" w:themeColor="text1"/>
                      <w:kern w:val="0"/>
                      <w:sz w:val="21"/>
                      <w14:textFill>
                        <w14:solidFill>
                          <w14:schemeClr w14:val="tx1"/>
                        </w14:solidFill>
                      </w14:textFill>
                    </w:rPr>
                    <w:t>)</w:t>
                  </w:r>
                </w:p>
              </w:tc>
              <w:tc>
                <w:tcPr>
                  <w:tcW w:w="592"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A</w:t>
                  </w:r>
                </w:p>
              </w:tc>
              <w:tc>
                <w:tcPr>
                  <w:tcW w:w="817"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B</w:t>
                  </w:r>
                </w:p>
              </w:tc>
              <w:tc>
                <w:tcPr>
                  <w:tcW w:w="612"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C</w:t>
                  </w:r>
                </w:p>
              </w:tc>
              <w:tc>
                <w:tcPr>
                  <w:tcW w:w="610"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D</w:t>
                  </w:r>
                </w:p>
              </w:tc>
              <w:tc>
                <w:tcPr>
                  <w:tcW w:w="729"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计算</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结果</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(m)</w:t>
                  </w:r>
                </w:p>
              </w:tc>
              <w:tc>
                <w:tcPr>
                  <w:tcW w:w="559"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提级</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后</w:t>
                  </w:r>
                </w:p>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(m)</w:t>
                  </w:r>
                </w:p>
              </w:tc>
              <w:tc>
                <w:tcPr>
                  <w:tcW w:w="808" w:type="dxa"/>
                  <w:tcBorders>
                    <w:tl2br w:val="nil"/>
                    <w:tr2bl w:val="nil"/>
                  </w:tcBorders>
                  <w:vAlign w:val="center"/>
                </w:tcPr>
                <w:p>
                  <w:pPr>
                    <w:spacing w:line="320" w:lineRule="exac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取整</w:t>
                  </w:r>
                </w:p>
                <w:p>
                  <w:pPr>
                    <w:spacing w:line="320" w:lineRule="exac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提级后</w:t>
                  </w:r>
                </w:p>
                <w:p>
                  <w:pPr>
                    <w:spacing w:line="320" w:lineRule="exac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713" w:hRule="atLeast"/>
                <w:jc w:val="center"/>
              </w:trPr>
              <w:tc>
                <w:tcPr>
                  <w:tcW w:w="502" w:type="dxa"/>
                  <w:tcBorders>
                    <w:top w:val="single" w:color="000000" w:sz="4" w:space="0"/>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车间</w:t>
                  </w:r>
                </w:p>
              </w:tc>
              <w:tc>
                <w:tcPr>
                  <w:tcW w:w="740"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非甲烷总烃</w:t>
                  </w:r>
                </w:p>
              </w:tc>
              <w:tc>
                <w:tcPr>
                  <w:tcW w:w="1020"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0.066</w:t>
                  </w:r>
                </w:p>
              </w:tc>
              <w:tc>
                <w:tcPr>
                  <w:tcW w:w="555"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40</w:t>
                  </w:r>
                </w:p>
              </w:tc>
              <w:tc>
                <w:tcPr>
                  <w:tcW w:w="923"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2.0</w:t>
                  </w:r>
                </w:p>
              </w:tc>
              <w:tc>
                <w:tcPr>
                  <w:tcW w:w="592"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470</w:t>
                  </w:r>
                </w:p>
              </w:tc>
              <w:tc>
                <w:tcPr>
                  <w:tcW w:w="817"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0.0021</w:t>
                  </w:r>
                </w:p>
              </w:tc>
              <w:tc>
                <w:tcPr>
                  <w:tcW w:w="612"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1.85</w:t>
                  </w:r>
                </w:p>
              </w:tc>
              <w:tc>
                <w:tcPr>
                  <w:tcW w:w="610"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0.84</w:t>
                  </w:r>
                </w:p>
              </w:tc>
              <w:tc>
                <w:tcPr>
                  <w:tcW w:w="729"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8.61</w:t>
                  </w:r>
                </w:p>
              </w:tc>
              <w:tc>
                <w:tcPr>
                  <w:tcW w:w="559" w:type="dxa"/>
                  <w:tcBorders>
                    <w:tl2br w:val="nil"/>
                    <w:tr2bl w:val="nil"/>
                  </w:tcBorders>
                  <w:vAlign w:val="center"/>
                </w:tcPr>
                <w:p>
                  <w:pPr>
                    <w:spacing w:line="240" w:lineRule="atLeas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50</w:t>
                  </w:r>
                </w:p>
              </w:tc>
              <w:tc>
                <w:tcPr>
                  <w:tcW w:w="808" w:type="dxa"/>
                  <w:tcBorders>
                    <w:top w:val="single" w:color="000000" w:sz="4" w:space="0"/>
                    <w:tl2br w:val="nil"/>
                    <w:tr2bl w:val="nil"/>
                  </w:tcBorders>
                  <w:vAlign w:val="center"/>
                </w:tcPr>
                <w:p>
                  <w:pPr>
                    <w:spacing w:line="320" w:lineRule="exact"/>
                    <w:jc w:val="center"/>
                    <w:rPr>
                      <w:rFonts w:cs="Calibri"/>
                      <w:color w:val="000000" w:themeColor="text1"/>
                      <w:kern w:val="0"/>
                      <w:sz w:val="21"/>
                      <w14:textFill>
                        <w14:solidFill>
                          <w14:schemeClr w14:val="tx1"/>
                        </w14:solidFill>
                      </w14:textFill>
                    </w:rPr>
                  </w:pPr>
                  <w:r>
                    <w:rPr>
                      <w:rFonts w:hint="eastAsia" w:cs="Calibri"/>
                      <w:color w:val="000000" w:themeColor="text1"/>
                      <w:kern w:val="0"/>
                      <w:sz w:val="21"/>
                      <w14:textFill>
                        <w14:solidFill>
                          <w14:schemeClr w14:val="tx1"/>
                        </w14:solidFill>
                      </w14:textFill>
                    </w:rPr>
                    <w:t>50</w:t>
                  </w:r>
                </w:p>
              </w:tc>
            </w:tr>
          </w:tbl>
          <w:p>
            <w:pPr>
              <w:pStyle w:val="14"/>
              <w:spacing w:line="360" w:lineRule="auto"/>
              <w:ind w:firstLine="480" w:firstLineChars="200"/>
              <w:rPr>
                <w:rFonts w:ascii="Times New Roman" w:hAnsi="Times New Roman"/>
                <w:color w:val="000000" w:themeColor="text1"/>
                <w:szCs w:val="21"/>
                <w14:textFill>
                  <w14:solidFill>
                    <w14:schemeClr w14:val="tx1"/>
                  </w14:solidFill>
                </w14:textFill>
              </w:rPr>
            </w:pPr>
          </w:p>
          <w:p>
            <w:pPr>
              <w:pStyle w:val="14"/>
              <w:spacing w:line="360" w:lineRule="auto"/>
              <w:ind w:firstLine="48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大气卫生防护距离是指敏感点——居民的居住区边界与无组织排放源之间的距离，目的是给废气提供一段稀释距离，使污染物到达居住区时符合环境质量标准。大气卫生防护距离L值在100m以内时，级差为50m；超过100m，小于或等于1000m时，级差为100m；超过1000m以上，级差为200m。采用趋近法计算L值，按最大值计，且当有两个或以上污染物同时排放时，提升一级。因此，由上表，可知本项目的卫生防护距离L值为</w:t>
            </w: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0m。</w:t>
            </w:r>
            <w:r>
              <w:rPr>
                <w:rFonts w:ascii="Times New Roman" w:hAnsi="Times New Roman"/>
                <w:color w:val="000000" w:themeColor="text1"/>
                <w14:textFill>
                  <w14:solidFill>
                    <w14:schemeClr w14:val="tx1"/>
                  </w14:solidFill>
                </w14:textFill>
              </w:rPr>
              <w:t>综上，以项目厂区为边界设置</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t>0m的卫生防护距离。</w:t>
            </w:r>
          </w:p>
          <w:p>
            <w:pPr>
              <w:pStyle w:val="64"/>
              <w:adjustRightInd w:val="0"/>
              <w:spacing w:line="360" w:lineRule="auto"/>
              <w:ind w:firstLine="480"/>
              <w:jc w:val="left"/>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）环境防护距离</w:t>
            </w:r>
          </w:p>
          <w:p>
            <w:pPr>
              <w:pStyle w:val="14"/>
              <w:spacing w:line="360" w:lineRule="auto"/>
              <w:ind w:firstLine="48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根据上述的大气环境防护距离和卫生环境防护距离计算结果可知，本项目厂区不必设大气环境防护距离，项目以厂区为边界设置</w:t>
            </w: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0m的卫生防护距离。综上，项目以厂区边界外延设置</w:t>
            </w: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0m的环境防护距离。</w:t>
            </w:r>
          </w:p>
          <w:p>
            <w:pPr>
              <w:spacing w:line="360" w:lineRule="auto"/>
              <w:ind w:firstLine="48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现场踏堪，并结合项目环境防护距离包络线图可知，项目环境防护距离包络线范围内，无敏感点存在，符合环境防护距离要求。针对本项目环境防护距离，建议当地政府及规划部门在规划时不得将食品厂、医院、学校、集中居民区等对大气环境质量要求较高的企业和单位，规划在项目环境防护距离之内，以满足环境防护距离的要求。</w:t>
            </w:r>
          </w:p>
          <w:p>
            <w:pPr>
              <w:adjustRightInd w:val="0"/>
              <w:spacing w:line="360" w:lineRule="auto"/>
              <w:ind w:firstLine="480" w:firstLineChars="200"/>
              <w:rPr>
                <w:rFonts w:cs="宋体"/>
                <w:b/>
                <w:bCs/>
                <w:color w:val="000000" w:themeColor="text1"/>
                <w14:textFill>
                  <w14:solidFill>
                    <w14:schemeClr w14:val="tx1"/>
                  </w14:solidFill>
                </w14:textFill>
              </w:rPr>
            </w:pPr>
            <w:r>
              <w:rPr>
                <w:color w:val="000000" w:themeColor="text1"/>
                <w:szCs w:val="21"/>
                <w14:textFill>
                  <w14:solidFill>
                    <w14:schemeClr w14:val="tx1"/>
                  </w14:solidFill>
                </w14:textFill>
              </w:rPr>
              <w:t>综上，本项目排放的大气污染物排放对周围大气环境造成的影响较小，对区域环境空气质量影响不大，不会改变大气环境质量功能。</w:t>
            </w:r>
          </w:p>
          <w:p>
            <w:pPr>
              <w:adjustRightInd w:val="0"/>
              <w:spacing w:line="360" w:lineRule="auto"/>
              <w:ind w:firstLine="482" w:firstLineChars="200"/>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4、废气污染源监测计划</w:t>
            </w:r>
          </w:p>
          <w:p>
            <w:pPr>
              <w:adjustRightInd w:val="0"/>
              <w:spacing w:line="360" w:lineRule="auto"/>
              <w:ind w:firstLine="480" w:firstLineChars="20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参照《排污许可证申请与核发技术规范总则》（HJ942-2018）、</w:t>
            </w:r>
            <w:r>
              <w:rPr>
                <w:rFonts w:hint="eastAsia"/>
                <w:color w:val="000000" w:themeColor="text1"/>
                <w14:textFill>
                  <w14:solidFill>
                    <w14:schemeClr w14:val="tx1"/>
                  </w14:solidFill>
                </w14:textFill>
              </w:rPr>
              <w:t>《排污许可证申请与核发技术规范 橡胶和塑料制品工业》（HJ1122-2020）</w:t>
            </w:r>
            <w:r>
              <w:rPr>
                <w:rFonts w:hint="eastAsia" w:cs="宋体"/>
                <w:color w:val="000000" w:themeColor="text1"/>
                <w14:textFill>
                  <w14:solidFill>
                    <w14:schemeClr w14:val="tx1"/>
                  </w14:solidFill>
                </w14:textFill>
              </w:rPr>
              <w:t>，本项目废气污染源监测计划如下：</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17</w:t>
            </w:r>
            <w:r>
              <w:rPr>
                <w:rFonts w:hint="eastAsia" w:cs="宋体"/>
                <w:b/>
                <w:color w:val="000000" w:themeColor="text1"/>
                <w:kern w:val="0"/>
                <w:lang w:val="zh-CN"/>
                <w14:textFill>
                  <w14:solidFill>
                    <w14:schemeClr w14:val="tx1"/>
                  </w14:solidFill>
                </w14:textFill>
              </w:rPr>
              <w:t xml:space="preserve">  运营期废气自行监测方案</w:t>
            </w:r>
          </w:p>
          <w:tbl>
            <w:tblPr>
              <w:tblStyle w:val="29"/>
              <w:tblW w:w="4953"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474"/>
              <w:gridCol w:w="470"/>
              <w:gridCol w:w="1132"/>
              <w:gridCol w:w="947"/>
              <w:gridCol w:w="914"/>
              <w:gridCol w:w="830"/>
              <w:gridCol w:w="3626"/>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547" w:hRule="atLeast"/>
                <w:jc w:val="center"/>
              </w:trPr>
              <w:tc>
                <w:tcPr>
                  <w:tcW w:w="282" w:type="pct"/>
                  <w:tcBorders>
                    <w:top w:val="single" w:color="auto" w:sz="4" w:space="0"/>
                    <w:left w:val="single" w:color="auto" w:sz="0"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954" w:type="pct"/>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监测点位</w:t>
                  </w:r>
                </w:p>
              </w:tc>
              <w:tc>
                <w:tcPr>
                  <w:tcW w:w="564"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监测项目</w:t>
                  </w:r>
                </w:p>
              </w:tc>
              <w:tc>
                <w:tcPr>
                  <w:tcW w:w="544"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频率</w:t>
                  </w:r>
                </w:p>
              </w:tc>
              <w:tc>
                <w:tcPr>
                  <w:tcW w:w="495"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实施单位</w:t>
                  </w:r>
                </w:p>
              </w:tc>
              <w:tc>
                <w:tcPr>
                  <w:tcW w:w="2159"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执行标准（mg/m</w:t>
                  </w:r>
                  <w:r>
                    <w:rPr>
                      <w:b/>
                      <w:color w:val="000000" w:themeColor="text1"/>
                      <w:sz w:val="21"/>
                      <w:szCs w:val="21"/>
                      <w:vertAlign w:val="superscript"/>
                      <w14:textFill>
                        <w14:solidFill>
                          <w14:schemeClr w14:val="tx1"/>
                        </w14:solidFill>
                      </w14:textFill>
                    </w:rPr>
                    <w:t>3</w:t>
                  </w:r>
                  <w:r>
                    <w:rPr>
                      <w:b/>
                      <w:color w:val="000000" w:themeColor="text1"/>
                      <w:sz w:val="21"/>
                      <w:szCs w:val="21"/>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PrEx>
              <w:trPr>
                <w:cantSplit/>
                <w:trHeight w:val="1280" w:hRule="atLeast"/>
                <w:jc w:val="center"/>
              </w:trPr>
              <w:tc>
                <w:tcPr>
                  <w:tcW w:w="282"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w:t>
                  </w:r>
                </w:p>
              </w:tc>
              <w:tc>
                <w:tcPr>
                  <w:tcW w:w="280"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rStyle w:val="65"/>
                      <w:color w:val="000000" w:themeColor="text1"/>
                      <w:sz w:val="21"/>
                      <w:szCs w:val="21"/>
                      <w14:textFill>
                        <w14:solidFill>
                          <w14:schemeClr w14:val="tx1"/>
                        </w14:solidFill>
                      </w14:textFill>
                    </w:rPr>
                  </w:pPr>
                  <w:r>
                    <w:rPr>
                      <w:rStyle w:val="65"/>
                      <w:color w:val="000000" w:themeColor="text1"/>
                      <w:sz w:val="21"/>
                      <w:szCs w:val="21"/>
                      <w14:textFill>
                        <w14:solidFill>
                          <w14:schemeClr w14:val="tx1"/>
                        </w14:solidFill>
                      </w14:textFill>
                    </w:rPr>
                    <w:t>废气</w:t>
                  </w:r>
                </w:p>
              </w:tc>
              <w:tc>
                <w:tcPr>
                  <w:tcW w:w="674" w:type="pct"/>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tLeast"/>
                    <w:jc w:val="center"/>
                    <w:rPr>
                      <w:rStyle w:val="35"/>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废气排气筒、无组织排放监控点</w:t>
                  </w:r>
                </w:p>
              </w:tc>
              <w:tc>
                <w:tcPr>
                  <w:tcW w:w="564"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544"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每年1次</w:t>
                  </w:r>
                </w:p>
              </w:tc>
              <w:tc>
                <w:tcPr>
                  <w:tcW w:w="495" w:type="pc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line="240" w:lineRule="atLeast"/>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有资质的监测单位</w:t>
                  </w:r>
                </w:p>
              </w:tc>
              <w:tc>
                <w:tcPr>
                  <w:tcW w:w="2159" w:type="pct"/>
                  <w:tcBorders>
                    <w:top w:val="single" w:color="auto" w:sz="4" w:space="0"/>
                    <w:left w:val="single" w:color="auto" w:sz="4" w:space="0"/>
                    <w:bottom w:val="single" w:color="auto" w:sz="4" w:space="0"/>
                    <w:right w:val="single" w:color="auto" w:sz="4" w:space="0"/>
                    <w:tl2br w:val="nil"/>
                    <w:tr2bl w:val="nil"/>
                  </w:tcBorders>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执行</w:t>
                  </w:r>
                  <w:r>
                    <w:rPr>
                      <w:rFonts w:hint="eastAsia" w:hAnsi="宋体"/>
                      <w:color w:val="000000" w:themeColor="text1"/>
                      <w:sz w:val="21"/>
                      <w:szCs w:val="21"/>
                      <w14:textFill>
                        <w14:solidFill>
                          <w14:schemeClr w14:val="tx1"/>
                        </w14:solidFill>
                      </w14:textFill>
                    </w:rPr>
                    <w:t>《合成树脂工业污染物排放标准》（GB31732-2015）表5大气污染物特别排放限值以及表9企业边界大气污染物浓度限值</w:t>
                  </w:r>
                </w:p>
              </w:tc>
            </w:tr>
          </w:tbl>
          <w:p>
            <w:pPr>
              <w:adjustRightInd w:val="0"/>
              <w:spacing w:line="360" w:lineRule="auto"/>
              <w:ind w:firstLine="482" w:firstLineChars="200"/>
              <w:rPr>
                <w:rFonts w:cs="宋体"/>
                <w:b/>
                <w:bCs/>
                <w:color w:val="000000" w:themeColor="text1"/>
                <w14:textFill>
                  <w14:solidFill>
                    <w14:schemeClr w14:val="tx1"/>
                  </w14:solidFill>
                </w14:textFill>
              </w:rPr>
            </w:pPr>
          </w:p>
          <w:p>
            <w:pPr>
              <w:adjustRightInd w:val="0"/>
              <w:snapToGrid w:val="0"/>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6、</w:t>
            </w:r>
            <w:r>
              <w:rPr>
                <w:b/>
                <w:bCs/>
                <w:color w:val="000000" w:themeColor="text1"/>
                <w14:textFill>
                  <w14:solidFill>
                    <w14:schemeClr w14:val="tx1"/>
                  </w14:solidFill>
                </w14:textFill>
              </w:rPr>
              <w:t>非正常工况</w:t>
            </w:r>
          </w:p>
          <w:p>
            <w:pPr>
              <w:adjustRightInd w:val="0"/>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本项目的非正常工况主要是污染物排放控制措施达不到应有效率，即</w:t>
            </w:r>
            <w:r>
              <w:rPr>
                <w:rFonts w:hint="eastAsia"/>
                <w:color w:val="000000" w:themeColor="text1"/>
                <w14:textFill>
                  <w14:solidFill>
                    <w14:schemeClr w14:val="tx1"/>
                  </w14:solidFill>
                </w14:textFill>
              </w:rPr>
              <w:t>二级活性炭</w:t>
            </w:r>
            <w:r>
              <w:rPr>
                <w:color w:val="000000" w:themeColor="text1"/>
                <w14:textFill>
                  <w14:solidFill>
                    <w14:schemeClr w14:val="tx1"/>
                  </w14:solidFill>
                </w14:textFill>
              </w:rPr>
              <w:t>装置失效，造成排气筒中废气污染物未经净化直接排放，其排放情况如</w:t>
            </w:r>
            <w:r>
              <w:rPr>
                <w:rFonts w:hint="eastAsia"/>
                <w:color w:val="000000" w:themeColor="text1"/>
                <w14:textFill>
                  <w14:solidFill>
                    <w14:schemeClr w14:val="tx1"/>
                  </w14:solidFill>
                </w14:textFill>
              </w:rPr>
              <w:t>下</w:t>
            </w:r>
            <w:r>
              <w:rPr>
                <w:color w:val="000000" w:themeColor="text1"/>
                <w14:textFill>
                  <w14:solidFill>
                    <w14:schemeClr w14:val="tx1"/>
                  </w14:solidFill>
                </w14:textFill>
              </w:rPr>
              <w:t>表所示。</w:t>
            </w: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19</w:t>
            </w:r>
            <w:r>
              <w:rPr>
                <w:rFonts w:hint="eastAsia" w:cs="宋体"/>
                <w:b/>
                <w:color w:val="000000" w:themeColor="text1"/>
                <w:kern w:val="0"/>
                <w:lang w:val="zh-CN"/>
                <w14:textFill>
                  <w14:solidFill>
                    <w14:schemeClr w14:val="tx1"/>
                  </w14:solidFill>
                </w14:textFill>
              </w:rPr>
              <w:t xml:space="preserve">  非正常工况排气筒排放情况</w:t>
            </w:r>
          </w:p>
          <w:tbl>
            <w:tblPr>
              <w:tblStyle w:val="2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65"/>
              <w:gridCol w:w="1382"/>
              <w:gridCol w:w="871"/>
              <w:gridCol w:w="916"/>
              <w:gridCol w:w="883"/>
              <w:gridCol w:w="985"/>
              <w:gridCol w:w="1014"/>
              <w:gridCol w:w="7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12" w:hRule="atLeast"/>
                <w:jc w:val="center"/>
              </w:trPr>
              <w:tc>
                <w:tcPr>
                  <w:tcW w:w="530" w:type="pct"/>
                  <w:vMerge w:val="restart"/>
                  <w:tcBorders>
                    <w:left w:val="single" w:color="auto" w:sz="0" w:space="0"/>
                  </w:tcBorders>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污染源</w:t>
                  </w:r>
                </w:p>
              </w:tc>
              <w:tc>
                <w:tcPr>
                  <w:tcW w:w="451" w:type="pct"/>
                  <w:vMerge w:val="restart"/>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物</w:t>
                  </w:r>
                </w:p>
              </w:tc>
              <w:tc>
                <w:tcPr>
                  <w:tcW w:w="815" w:type="pct"/>
                  <w:vMerge w:val="restart"/>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非正常</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排放原因</w:t>
                  </w:r>
                </w:p>
              </w:tc>
              <w:tc>
                <w:tcPr>
                  <w:tcW w:w="1574" w:type="pct"/>
                  <w:gridSpan w:val="3"/>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非正常排放状况</w:t>
                  </w:r>
                </w:p>
              </w:tc>
              <w:tc>
                <w:tcPr>
                  <w:tcW w:w="1179" w:type="pct"/>
                  <w:gridSpan w:val="2"/>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执行标准</w:t>
                  </w:r>
                </w:p>
              </w:tc>
              <w:tc>
                <w:tcPr>
                  <w:tcW w:w="447" w:type="pct"/>
                  <w:vMerge w:val="restart"/>
                  <w:tcBorders>
                    <w:right w:val="single" w:color="auto" w:sz="4" w:space="0"/>
                  </w:tcBorders>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达标</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分析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30" w:type="pct"/>
                  <w:vMerge w:val="continue"/>
                  <w:tcBorders>
                    <w:left w:val="single" w:color="auto" w:sz="4" w:space="0"/>
                  </w:tcBorders>
                  <w:vAlign w:val="center"/>
                </w:tcPr>
                <w:p>
                  <w:pPr>
                    <w:widowControl/>
                    <w:ind w:left="-120" w:leftChars="-50" w:right="-120" w:rightChars="-50"/>
                    <w:jc w:val="left"/>
                    <w:rPr>
                      <w:b/>
                      <w:bCs/>
                      <w:color w:val="000000" w:themeColor="text1"/>
                      <w:sz w:val="21"/>
                      <w:szCs w:val="21"/>
                      <w14:textFill>
                        <w14:solidFill>
                          <w14:schemeClr w14:val="tx1"/>
                        </w14:solidFill>
                      </w14:textFill>
                    </w:rPr>
                  </w:pPr>
                </w:p>
              </w:tc>
              <w:tc>
                <w:tcPr>
                  <w:tcW w:w="451" w:type="pct"/>
                  <w:vMerge w:val="continue"/>
                  <w:vAlign w:val="center"/>
                </w:tcPr>
                <w:p>
                  <w:pPr>
                    <w:widowControl/>
                    <w:ind w:left="-120" w:leftChars="-50" w:right="-120" w:rightChars="-50"/>
                    <w:jc w:val="left"/>
                    <w:rPr>
                      <w:b/>
                      <w:bCs/>
                      <w:color w:val="000000" w:themeColor="text1"/>
                      <w:sz w:val="21"/>
                      <w:szCs w:val="21"/>
                      <w14:textFill>
                        <w14:solidFill>
                          <w14:schemeClr w14:val="tx1"/>
                        </w14:solidFill>
                      </w14:textFill>
                    </w:rPr>
                  </w:pPr>
                </w:p>
              </w:tc>
              <w:tc>
                <w:tcPr>
                  <w:tcW w:w="815" w:type="pct"/>
                  <w:vMerge w:val="continue"/>
                  <w:vAlign w:val="center"/>
                </w:tcPr>
                <w:p>
                  <w:pPr>
                    <w:widowControl/>
                    <w:ind w:left="-120" w:leftChars="-50" w:right="-120" w:rightChars="-50"/>
                    <w:jc w:val="left"/>
                    <w:rPr>
                      <w:b/>
                      <w:bCs/>
                      <w:color w:val="000000" w:themeColor="text1"/>
                      <w:sz w:val="21"/>
                      <w:szCs w:val="21"/>
                      <w14:textFill>
                        <w14:solidFill>
                          <w14:schemeClr w14:val="tx1"/>
                        </w14:solidFill>
                      </w14:textFill>
                    </w:rPr>
                  </w:pPr>
                </w:p>
              </w:tc>
              <w:tc>
                <w:tcPr>
                  <w:tcW w:w="513" w:type="pct"/>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速率</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kg/h</w:t>
                  </w:r>
                </w:p>
              </w:tc>
              <w:tc>
                <w:tcPr>
                  <w:tcW w:w="540" w:type="pct"/>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浓度</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mg/m</w:t>
                  </w:r>
                  <w:r>
                    <w:rPr>
                      <w:b/>
                      <w:bCs/>
                      <w:color w:val="000000" w:themeColor="text1"/>
                      <w:sz w:val="21"/>
                      <w:szCs w:val="21"/>
                      <w:vertAlign w:val="superscript"/>
                      <w14:textFill>
                        <w14:solidFill>
                          <w14:schemeClr w14:val="tx1"/>
                        </w14:solidFill>
                      </w14:textFill>
                    </w:rPr>
                    <w:t>3</w:t>
                  </w:r>
                </w:p>
              </w:tc>
              <w:tc>
                <w:tcPr>
                  <w:tcW w:w="520" w:type="pct"/>
                  <w:vAlign w:val="center"/>
                </w:tcPr>
                <w:p>
                  <w:pPr>
                    <w:widowControl/>
                    <w:ind w:left="-120" w:leftChars="-50" w:right="-120" w:rightChars="-5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频次及持续时间</w:t>
                  </w:r>
                </w:p>
              </w:tc>
              <w:tc>
                <w:tcPr>
                  <w:tcW w:w="581" w:type="pct"/>
                  <w:vAlign w:val="center"/>
                </w:tcPr>
                <w:p>
                  <w:pPr>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排放速率</w:t>
                  </w:r>
                </w:p>
                <w:p>
                  <w:pPr>
                    <w:adjustRightInd w:val="0"/>
                    <w:snapToGrid w:val="0"/>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kg/h</w:t>
                  </w:r>
                </w:p>
              </w:tc>
              <w:tc>
                <w:tcPr>
                  <w:tcW w:w="598" w:type="pct"/>
                  <w:vAlign w:val="center"/>
                </w:tcPr>
                <w:p>
                  <w:pPr>
                    <w:ind w:left="-120" w:leftChars="-50" w:right="-120" w:rightChar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排放浓度mg/m</w:t>
                  </w:r>
                  <w:r>
                    <w:rPr>
                      <w:b/>
                      <w:bCs/>
                      <w:color w:val="000000" w:themeColor="text1"/>
                      <w:sz w:val="21"/>
                      <w:szCs w:val="21"/>
                      <w:vertAlign w:val="superscript"/>
                      <w14:textFill>
                        <w14:solidFill>
                          <w14:schemeClr w14:val="tx1"/>
                        </w14:solidFill>
                      </w14:textFill>
                    </w:rPr>
                    <w:t>3</w:t>
                  </w:r>
                </w:p>
              </w:tc>
              <w:tc>
                <w:tcPr>
                  <w:tcW w:w="448" w:type="pct"/>
                  <w:vMerge w:val="continue"/>
                  <w:tcBorders>
                    <w:right w:val="single" w:color="auto" w:sz="4" w:space="0"/>
                  </w:tcBorders>
                  <w:vAlign w:val="center"/>
                </w:tcPr>
                <w:p>
                  <w:pPr>
                    <w:adjustRightInd w:val="0"/>
                    <w:snapToGrid w:val="0"/>
                    <w:ind w:left="-120" w:leftChars="-50" w:right="-120" w:rightChars="-50"/>
                    <w:jc w:val="center"/>
                    <w:rPr>
                      <w:b/>
                      <w:bCs/>
                      <w:color w:val="000000" w:themeColor="text1"/>
                      <w:sz w:val="21"/>
                      <w:szCs w:val="21"/>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731" w:hRule="atLeast"/>
                <w:jc w:val="center"/>
              </w:trPr>
              <w:tc>
                <w:tcPr>
                  <w:tcW w:w="530" w:type="pct"/>
                  <w:tcBorders>
                    <w:left w:val="single" w:color="auto" w:sz="4" w:space="0"/>
                  </w:tcBorders>
                  <w:vAlign w:val="center"/>
                </w:tcPr>
                <w:p>
                  <w:pPr>
                    <w:widowControl/>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DA001</w:t>
                  </w:r>
                  <w:r>
                    <w:rPr>
                      <w:color w:val="000000" w:themeColor="text1"/>
                      <w:sz w:val="21"/>
                      <w:szCs w:val="21"/>
                      <w14:textFill>
                        <w14:solidFill>
                          <w14:schemeClr w14:val="tx1"/>
                        </w14:solidFill>
                      </w14:textFill>
                    </w:rPr>
                    <w:t>排气筒</w:t>
                  </w:r>
                </w:p>
              </w:tc>
              <w:tc>
                <w:tcPr>
                  <w:tcW w:w="451" w:type="pct"/>
                  <w:vAlign w:val="center"/>
                </w:tcPr>
                <w:p>
                  <w:pPr>
                    <w:widowControl/>
                    <w:ind w:left="-120" w:leftChars="-50" w:right="-120" w:rightChars="-50"/>
                    <w:jc w:val="center"/>
                    <w:rPr>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815" w:type="pct"/>
                  <w:vAlign w:val="center"/>
                </w:tcPr>
                <w:p>
                  <w:pPr>
                    <w:widowControl/>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14:textFill>
                        <w14:solidFill>
                          <w14:schemeClr w14:val="tx1"/>
                        </w14:solidFill>
                      </w14:textFill>
                    </w:rPr>
                    <w:t>二级活性炭</w:t>
                  </w:r>
                  <w:r>
                    <w:rPr>
                      <w:rFonts w:hint="eastAsia"/>
                      <w:color w:val="000000" w:themeColor="text1"/>
                      <w:sz w:val="21"/>
                      <w:szCs w:val="21"/>
                      <w14:textFill>
                        <w14:solidFill>
                          <w14:schemeClr w14:val="tx1"/>
                        </w14:solidFill>
                      </w14:textFill>
                    </w:rPr>
                    <w:t>故障，处理效率为0</w:t>
                  </w:r>
                </w:p>
              </w:tc>
              <w:tc>
                <w:tcPr>
                  <w:tcW w:w="513" w:type="pct"/>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0.633</w:t>
                  </w:r>
                </w:p>
              </w:tc>
              <w:tc>
                <w:tcPr>
                  <w:tcW w:w="540" w:type="pct"/>
                  <w:vAlign w:val="center"/>
                </w:tcPr>
                <w:p>
                  <w:pPr>
                    <w:widowControl/>
                    <w:spacing w:line="240" w:lineRule="atLeast"/>
                    <w:jc w:val="center"/>
                    <w:textAlignment w:val="bottom"/>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9.448</w:t>
                  </w:r>
                </w:p>
              </w:tc>
              <w:tc>
                <w:tcPr>
                  <w:tcW w:w="520" w:type="pct"/>
                  <w:vAlign w:val="center"/>
                </w:tcPr>
                <w:p>
                  <w:pPr>
                    <w:widowControl/>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1次/a，1h/次</w:t>
                  </w:r>
                </w:p>
              </w:tc>
              <w:tc>
                <w:tcPr>
                  <w:tcW w:w="581" w:type="pct"/>
                  <w:vAlign w:val="center"/>
                </w:tcPr>
                <w:p>
                  <w:pPr>
                    <w:adjustRightInd w:val="0"/>
                    <w:snapToGrid w:val="0"/>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598" w:type="pct"/>
                  <w:vAlign w:val="center"/>
                </w:tcPr>
                <w:p>
                  <w:pPr>
                    <w:adjustRightInd w:val="0"/>
                    <w:snapToGrid w:val="0"/>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60</w:t>
                  </w:r>
                </w:p>
              </w:tc>
              <w:tc>
                <w:tcPr>
                  <w:tcW w:w="448" w:type="pct"/>
                  <w:tcBorders>
                    <w:right w:val="single" w:color="auto" w:sz="4" w:space="0"/>
                  </w:tcBorders>
                  <w:vAlign w:val="center"/>
                </w:tcPr>
                <w:p>
                  <w:pPr>
                    <w:adjustRightInd w:val="0"/>
                    <w:snapToGrid w:val="0"/>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达标</w:t>
                  </w:r>
                </w:p>
              </w:tc>
            </w:tr>
          </w:tbl>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由上表可知，非正常工况下，</w:t>
            </w:r>
            <w:r>
              <w:rPr>
                <w:rFonts w:hint="eastAsia"/>
                <w:color w:val="000000" w:themeColor="text1"/>
                <w14:textFill>
                  <w14:solidFill>
                    <w14:schemeClr w14:val="tx1"/>
                  </w14:solidFill>
                </w14:textFill>
              </w:rPr>
              <w:t>DA001废气排放的非甲烷总烃可以达标排放</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但</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减少</w:t>
            </w:r>
            <w:r>
              <w:rPr>
                <w:color w:val="000000" w:themeColor="text1"/>
                <w14:textFill>
                  <w14:solidFill>
                    <w14:schemeClr w14:val="tx1"/>
                  </w14:solidFill>
                </w14:textFill>
              </w:rPr>
              <w:t>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①安排专人负责环保设备的日常维护和管理，每个固定时间检查、汇报情况，及时发现废气处理设备的隐患，确保废气处理系统正常运行；</w:t>
            </w: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②定期更换</w:t>
            </w:r>
            <w:r>
              <w:rPr>
                <w:rFonts w:hint="eastAsia"/>
                <w:color w:val="000000" w:themeColor="text1"/>
                <w14:textFill>
                  <w14:solidFill>
                    <w14:schemeClr w14:val="tx1"/>
                  </w14:solidFill>
                </w14:textFill>
              </w:rPr>
              <w:t>活性炭</w:t>
            </w:r>
            <w:r>
              <w:rPr>
                <w:color w:val="000000" w:themeColor="text1"/>
                <w14:textFill>
                  <w14:solidFill>
                    <w14:schemeClr w14:val="tx1"/>
                  </w14:solidFill>
                </w14:textFill>
              </w:rPr>
              <w:t>；</w:t>
            </w: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③建立健全的环保管理机构，对环保管理人员和技术人员进行岗位培训，委托具有专业资质的环境检测单位对项目排放的各类污染物进行定期检测；</w:t>
            </w: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④应定期维护、检修废气净化装置，以保持废气处理装置的净化能力和净化容量。</w:t>
            </w:r>
          </w:p>
          <w:p>
            <w:pPr>
              <w:pStyle w:val="7"/>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7、大气环境影响分析</w:t>
            </w:r>
          </w:p>
          <w:p>
            <w:pPr>
              <w:pStyle w:val="7"/>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芜湖市2021</w:t>
            </w:r>
            <w:r>
              <w:rPr>
                <w:color w:val="000000" w:themeColor="text1"/>
                <w14:textFill>
                  <w14:solidFill>
                    <w14:schemeClr w14:val="tx1"/>
                  </w14:solidFill>
                </w14:textFill>
              </w:rPr>
              <w:t>年生态环境状况公报》，</w:t>
            </w:r>
            <w:r>
              <w:rPr>
                <w:rFonts w:hint="eastAsia"/>
                <w:color w:val="000000" w:themeColor="text1"/>
                <w14:textFill>
                  <w14:solidFill>
                    <w14:schemeClr w14:val="tx1"/>
                  </w14:solidFill>
                </w14:textFill>
              </w:rPr>
              <w:t>项目所在区</w:t>
            </w:r>
            <w:r>
              <w:rPr>
                <w:color w:val="000000" w:themeColor="text1"/>
                <w14:textFill>
                  <w14:solidFill>
                    <w14:schemeClr w14:val="tx1"/>
                  </w14:solidFill>
                </w14:textFill>
              </w:rPr>
              <w:t>为环境空气“达标区”，本项目位于</w:t>
            </w:r>
            <w:r>
              <w:rPr>
                <w:rFonts w:hint="eastAsia"/>
                <w:color w:val="000000" w:themeColor="text1"/>
                <w14:textFill>
                  <w14:solidFill>
                    <w14:schemeClr w14:val="tx1"/>
                  </w14:solidFill>
                </w14:textFill>
              </w:rPr>
              <w:t>安徽省芜湖市鸠江区沈巷镇江北产业集中区中小企业园新能源新材料产业聚集区4#厂房</w:t>
            </w:r>
            <w:r>
              <w:rPr>
                <w:color w:val="000000" w:themeColor="text1"/>
                <w14:textFill>
                  <w14:solidFill>
                    <w14:schemeClr w14:val="tx1"/>
                  </w14:solidFill>
                </w14:textFill>
              </w:rPr>
              <w:t>，本项目产生的</w:t>
            </w:r>
            <w:r>
              <w:rPr>
                <w:rFonts w:hint="eastAsia"/>
                <w:color w:val="000000" w:themeColor="text1"/>
                <w14:textFill>
                  <w14:solidFill>
                    <w14:schemeClr w14:val="tx1"/>
                  </w14:solidFill>
                </w14:textFill>
              </w:rPr>
              <w:t>非甲烷总烃</w:t>
            </w:r>
            <w:r>
              <w:rPr>
                <w:color w:val="000000" w:themeColor="text1"/>
                <w14:textFill>
                  <w14:solidFill>
                    <w14:schemeClr w14:val="tx1"/>
                  </w14:solidFill>
                </w14:textFill>
              </w:rPr>
              <w:t>废气采取有效的废气收集、治理措施处理后，</w:t>
            </w:r>
            <w:r>
              <w:rPr>
                <w:rFonts w:hint="eastAsia"/>
                <w:color w:val="000000" w:themeColor="text1"/>
                <w14:textFill>
                  <w14:solidFill>
                    <w14:schemeClr w14:val="tx1"/>
                  </w14:solidFill>
                </w14:textFill>
              </w:rPr>
              <w:t>非甲烷总烃</w:t>
            </w:r>
            <w:r>
              <w:rPr>
                <w:color w:val="000000" w:themeColor="text1"/>
                <w14:textFill>
                  <w14:solidFill>
                    <w14:schemeClr w14:val="tx1"/>
                  </w14:solidFill>
                </w14:textFill>
              </w:rPr>
              <w:t>排放可满足</w:t>
            </w:r>
            <w:r>
              <w:rPr>
                <w:rFonts w:hint="eastAsia" w:hAnsi="宋体"/>
                <w:color w:val="000000" w:themeColor="text1"/>
                <w14:textFill>
                  <w14:solidFill>
                    <w14:schemeClr w14:val="tx1"/>
                  </w14:solidFill>
                </w14:textFill>
              </w:rPr>
              <w:t>《合成树脂工业污染物排放标准》（GB31732-2015）表5大气污染物特别排放限值</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有组织废气通过15m高排气筒排放。综上所述，经采取可行的废气治理措施后，本项目废气可达标排放，对区域大气环境的影响较小</w:t>
            </w:r>
            <w:r>
              <w:rPr>
                <w:rFonts w:hint="eastAsia"/>
                <w:color w:val="000000" w:themeColor="text1"/>
                <w14:textFill>
                  <w14:solidFill>
                    <w14:schemeClr w14:val="tx1"/>
                  </w14:solidFill>
                </w14:textFill>
              </w:rPr>
              <w:t>。</w:t>
            </w: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pStyle w:val="7"/>
              <w:spacing w:line="360" w:lineRule="auto"/>
              <w:ind w:firstLine="480" w:firstLineChars="200"/>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8"/>
              <w:ind w:left="480" w:firstLine="560"/>
              <w:rPr>
                <w:color w:val="000000" w:themeColor="text1"/>
                <w14:textFill>
                  <w14:solidFill>
                    <w14:schemeClr w14:val="tx1"/>
                  </w14:solidFill>
                </w14:textFill>
              </w:rPr>
            </w:pPr>
          </w:p>
          <w:p>
            <w:pPr>
              <w:pStyle w:val="7"/>
              <w:spacing w:line="360" w:lineRule="auto"/>
              <w:ind w:firstLine="440" w:firstLineChars="200"/>
              <w:rPr>
                <w:color w:val="000000" w:themeColor="text1"/>
                <w:spacing w:val="-10"/>
                <w:szCs w:val="21"/>
                <w:highlight w:val="yellow"/>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2" w:type="dxa"/>
            <w:tcMar>
              <w:left w:w="28" w:type="dxa"/>
              <w:right w:w="28" w:type="dxa"/>
            </w:tcMar>
            <w:vAlign w:val="center"/>
          </w:tcPr>
          <w:p>
            <w:pPr>
              <w:adjustRightInd w:val="0"/>
              <w:snapToGrid w:val="0"/>
              <w:spacing w:line="360" w:lineRule="auto"/>
              <w:jc w:val="center"/>
              <w:rPr>
                <w:rFonts w:ascii="宋体" w:hAnsi="宋体" w:cs="宋体"/>
                <w:bCs/>
                <w:color w:val="000000" w:themeColor="text1"/>
                <w:szCs w:val="21"/>
                <w14:textFill>
                  <w14:solidFill>
                    <w14:schemeClr w14:val="tx1"/>
                  </w14:solidFill>
                </w14:textFill>
              </w:rPr>
            </w:pPr>
          </w:p>
        </w:tc>
        <w:tc>
          <w:tcPr>
            <w:tcW w:w="8406" w:type="dxa"/>
          </w:tcPr>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（三）</w:t>
            </w:r>
            <w:r>
              <w:rPr>
                <w:b/>
                <w:bCs/>
                <w:color w:val="000000" w:themeColor="text1"/>
                <w14:textFill>
                  <w14:solidFill>
                    <w14:schemeClr w14:val="tx1"/>
                  </w14:solidFill>
                </w14:textFill>
              </w:rPr>
              <w:t>噪声</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噪声影响分析</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本项目主要噪声源为生产过程中各种机械设备运行时产生的噪声，噪声源强在75~90dB (A)之间。设备噪声可分为机械噪声，根据其产生的机理不同分别采取隔声和减振措施。建成后主要设备噪声源强见下表。</w:t>
            </w: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p>
          <w:p>
            <w:pPr>
              <w:pStyle w:val="7"/>
              <w:spacing w:line="360" w:lineRule="auto"/>
              <w:ind w:firstLine="440" w:firstLineChars="200"/>
              <w:rPr>
                <w:color w:val="000000" w:themeColor="text1"/>
                <w:spacing w:val="-10"/>
                <w:szCs w:val="21"/>
                <w:highlight w:val="yellow"/>
                <w14:textFill>
                  <w14:solidFill>
                    <w14:schemeClr w14:val="tx1"/>
                  </w14:solidFill>
                </w14:textFill>
              </w:rPr>
            </w:pPr>
          </w:p>
        </w:tc>
      </w:tr>
    </w:tbl>
    <w:p>
      <w:pPr>
        <w:pStyle w:val="21"/>
        <w:jc w:val="center"/>
        <w:rPr>
          <w:rFonts w:ascii="黑体" w:hAnsi="黑体" w:eastAsia="黑体"/>
          <w:snapToGrid w:val="0"/>
          <w:color w:val="000000" w:themeColor="text1"/>
          <w:sz w:val="30"/>
          <w:szCs w:val="30"/>
          <w:highlight w:val="yellow"/>
          <w14:textFill>
            <w14:solidFill>
              <w14:schemeClr w14:val="tx1"/>
            </w14:solidFill>
          </w14:textFill>
        </w:rPr>
        <w:sectPr>
          <w:pgSz w:w="11906" w:h="16838"/>
          <w:pgMar w:top="1440" w:right="1417" w:bottom="1440" w:left="1417" w:header="851" w:footer="992" w:gutter="0"/>
          <w:cols w:space="425" w:num="1"/>
          <w:docGrid w:type="lines" w:linePitch="312" w:charSpace="0"/>
        </w:sectPr>
      </w:pPr>
    </w:p>
    <w:p>
      <w:pPr>
        <w:tabs>
          <w:tab w:val="left" w:pos="3980"/>
        </w:tabs>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w:t>
      </w:r>
      <w:r>
        <w:rPr>
          <w:rFonts w:hint="eastAsia" w:cs="宋体"/>
          <w:b/>
          <w:color w:val="000000" w:themeColor="text1"/>
          <w:kern w:val="0"/>
          <w14:textFill>
            <w14:solidFill>
              <w14:schemeClr w14:val="tx1"/>
            </w14:solidFill>
          </w14:textFill>
        </w:rPr>
        <w:t>20</w:t>
      </w:r>
      <w:r>
        <w:rPr>
          <w:rFonts w:hint="eastAsia" w:cs="宋体"/>
          <w:b/>
          <w:color w:val="000000" w:themeColor="text1"/>
          <w:kern w:val="0"/>
          <w:lang w:val="zh-CN"/>
          <w14:textFill>
            <w14:solidFill>
              <w14:schemeClr w14:val="tx1"/>
            </w14:solidFill>
          </w14:textFill>
        </w:rPr>
        <w:t xml:space="preserve">  噪声污染源源强核算结果及相关参数一览表</w:t>
      </w:r>
    </w:p>
    <w:tbl>
      <w:tblPr>
        <w:tblStyle w:val="29"/>
        <w:tblW w:w="5000" w:type="pct"/>
        <w:jc w:val="center"/>
        <w:tblLayout w:type="fixed"/>
        <w:tblCellMar>
          <w:top w:w="0" w:type="dxa"/>
          <w:left w:w="108" w:type="dxa"/>
          <w:bottom w:w="0" w:type="dxa"/>
          <w:right w:w="108" w:type="dxa"/>
        </w:tblCellMar>
      </w:tblPr>
      <w:tblGrid>
        <w:gridCol w:w="681"/>
        <w:gridCol w:w="681"/>
        <w:gridCol w:w="1308"/>
        <w:gridCol w:w="1150"/>
        <w:gridCol w:w="1192"/>
        <w:gridCol w:w="1272"/>
        <w:gridCol w:w="757"/>
        <w:gridCol w:w="665"/>
        <w:gridCol w:w="669"/>
        <w:gridCol w:w="702"/>
        <w:gridCol w:w="1279"/>
        <w:gridCol w:w="684"/>
        <w:gridCol w:w="1279"/>
        <w:gridCol w:w="960"/>
        <w:gridCol w:w="895"/>
      </w:tblGrid>
      <w:tr>
        <w:tblPrEx>
          <w:tblCellMar>
            <w:top w:w="0" w:type="dxa"/>
            <w:left w:w="108" w:type="dxa"/>
            <w:bottom w:w="0" w:type="dxa"/>
            <w:right w:w="108" w:type="dxa"/>
          </w:tblCellMar>
        </w:tblPrEx>
        <w:trPr>
          <w:trHeight w:val="369" w:hRule="atLeast"/>
          <w:jc w:val="center"/>
        </w:trPr>
        <w:tc>
          <w:tcPr>
            <w:tcW w:w="6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序号</w:t>
            </w:r>
          </w:p>
        </w:tc>
        <w:tc>
          <w:tcPr>
            <w:tcW w:w="6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建筑物名称</w:t>
            </w:r>
          </w:p>
        </w:tc>
        <w:tc>
          <w:tcPr>
            <w:tcW w:w="130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声源名称</w:t>
            </w:r>
          </w:p>
        </w:tc>
        <w:tc>
          <w:tcPr>
            <w:tcW w:w="11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型号</w:t>
            </w:r>
          </w:p>
        </w:tc>
        <w:tc>
          <w:tcPr>
            <w:tcW w:w="11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声功率级/(dB)</w:t>
            </w:r>
          </w:p>
        </w:tc>
        <w:tc>
          <w:tcPr>
            <w:tcW w:w="12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声源控制措施</w:t>
            </w:r>
          </w:p>
        </w:tc>
        <w:tc>
          <w:tcPr>
            <w:tcW w:w="2091"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50"/>
                <w:rFonts w:hint="default" w:ascii="Times New Roman" w:hAnsi="Times New Roman" w:cs="Times New Roman"/>
                <w:color w:val="000000" w:themeColor="text1"/>
                <w:lang w:bidi="ar"/>
                <w14:textFill>
                  <w14:solidFill>
                    <w14:schemeClr w14:val="tx1"/>
                  </w14:solidFill>
                </w14:textFill>
              </w:rPr>
              <w:t>空间相对位置/mXYX</w:t>
            </w:r>
          </w:p>
        </w:tc>
        <w:tc>
          <w:tcPr>
            <w:tcW w:w="70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距室内边界距离/m</w:t>
            </w:r>
          </w:p>
        </w:tc>
        <w:tc>
          <w:tcPr>
            <w:tcW w:w="12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室内边界声级/dB(A)</w:t>
            </w:r>
          </w:p>
        </w:tc>
        <w:tc>
          <w:tcPr>
            <w:tcW w:w="6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运行时段</w:t>
            </w:r>
          </w:p>
        </w:tc>
        <w:tc>
          <w:tcPr>
            <w:tcW w:w="12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建筑物插入损失/dB(A</w:t>
            </w:r>
          </w:p>
        </w:tc>
        <w:tc>
          <w:tcPr>
            <w:tcW w:w="185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建筑物外噪声</w:t>
            </w:r>
          </w:p>
        </w:tc>
      </w:tr>
      <w:tr>
        <w:tblPrEx>
          <w:tblCellMar>
            <w:top w:w="0" w:type="dxa"/>
            <w:left w:w="108" w:type="dxa"/>
            <w:bottom w:w="0" w:type="dxa"/>
            <w:right w:w="108" w:type="dxa"/>
          </w:tblCellMar>
        </w:tblPrEx>
        <w:trPr>
          <w:trHeight w:val="369" w:hRule="atLeast"/>
          <w:jc w:val="center"/>
        </w:trPr>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1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1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2091"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6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声压级/dBA</w:t>
            </w:r>
          </w:p>
        </w:tc>
        <w:tc>
          <w:tcPr>
            <w:tcW w:w="8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rStyle w:val="70"/>
                <w:rFonts w:ascii="Times New Roman" w:hAnsi="Times New Roman" w:cs="Times New Roman"/>
                <w:color w:val="000000" w:themeColor="text1"/>
                <w:sz w:val="21"/>
                <w:szCs w:val="21"/>
                <w:lang w:bidi="ar"/>
                <w14:textFill>
                  <w14:solidFill>
                    <w14:schemeClr w14:val="tx1"/>
                  </w14:solidFill>
                </w14:textFill>
              </w:rPr>
              <w:t>建筑物外距离</w:t>
            </w:r>
          </w:p>
        </w:tc>
      </w:tr>
      <w:tr>
        <w:tblPrEx>
          <w:tblCellMar>
            <w:top w:w="0" w:type="dxa"/>
            <w:left w:w="108" w:type="dxa"/>
            <w:bottom w:w="0" w:type="dxa"/>
            <w:right w:w="108" w:type="dxa"/>
          </w:tblCellMar>
        </w:tblPrEx>
        <w:trPr>
          <w:trHeight w:val="369" w:hRule="atLeast"/>
          <w:jc w:val="center"/>
        </w:trPr>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1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1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X</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Y</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Z</w:t>
            </w:r>
          </w:p>
        </w:tc>
        <w:tc>
          <w:tcPr>
            <w:tcW w:w="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6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2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89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6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w:t>
            </w:r>
          </w:p>
        </w:tc>
        <w:tc>
          <w:tcPr>
            <w:tcW w:w="13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w:t>
            </w:r>
            <w:r>
              <w:rPr>
                <w:color w:val="000000" w:themeColor="text1"/>
                <w:sz w:val="21"/>
                <w:szCs w:val="21"/>
                <w14:textFill>
                  <w14:solidFill>
                    <w14:schemeClr w14:val="tx1"/>
                  </w14:solidFill>
                </w14:textFill>
              </w:rPr>
              <w:t>机</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YZ-750</w:t>
            </w:r>
          </w:p>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JT-1300</w:t>
            </w:r>
          </w:p>
        </w:tc>
        <w:tc>
          <w:tcPr>
            <w:tcW w:w="1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75</w:t>
            </w:r>
          </w:p>
        </w:tc>
        <w:tc>
          <w:tcPr>
            <w:tcW w:w="12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20" w:leftChars="-50" w:right="-120"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配置基础减振，厂房隔声</w:t>
            </w: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145~172</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54~66</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80</w:t>
            </w:r>
          </w:p>
        </w:tc>
        <w:tc>
          <w:tcPr>
            <w:tcW w:w="6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p>
        </w:tc>
        <w:tc>
          <w:tcPr>
            <w:tcW w:w="89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29</w:t>
            </w:r>
          </w:p>
        </w:tc>
      </w:tr>
      <w:tr>
        <w:tblPrEx>
          <w:tblCellMar>
            <w:top w:w="0" w:type="dxa"/>
            <w:left w:w="108" w:type="dxa"/>
            <w:bottom w:w="0" w:type="dxa"/>
            <w:right w:w="108" w:type="dxa"/>
          </w:tblCellMar>
        </w:tblPrEx>
        <w:trPr>
          <w:trHeight w:val="369"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分切机</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1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80</w:t>
            </w: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168</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54</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75</w:t>
            </w:r>
          </w:p>
        </w:tc>
        <w:tc>
          <w:tcPr>
            <w:tcW w:w="6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895" w:type="dxa"/>
            <w:vMerge w:val="continue"/>
            <w:tcBorders>
              <w:top w:val="single" w:color="auto" w:sz="4" w:space="0"/>
              <w:left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空压</w:t>
            </w:r>
            <w:r>
              <w:rPr>
                <w:color w:val="000000" w:themeColor="text1"/>
                <w:sz w:val="21"/>
                <w:szCs w:val="21"/>
                <w14:textFill>
                  <w14:solidFill>
                    <w14:schemeClr w14:val="tx1"/>
                  </w14:solidFill>
                </w14:textFill>
              </w:rPr>
              <w:t>机</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1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w:t>
            </w: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170</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88</w:t>
            </w:r>
          </w:p>
        </w:tc>
        <w:tc>
          <w:tcPr>
            <w:tcW w:w="6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65</w:t>
            </w:r>
          </w:p>
        </w:tc>
        <w:tc>
          <w:tcPr>
            <w:tcW w:w="895" w:type="dxa"/>
            <w:vMerge w:val="continue"/>
            <w:tcBorders>
              <w:left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二级活性炭净化装置</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p>
        </w:tc>
        <w:tc>
          <w:tcPr>
            <w:tcW w:w="1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80</w:t>
            </w: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180</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40</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17</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75</w:t>
            </w:r>
          </w:p>
        </w:tc>
        <w:tc>
          <w:tcPr>
            <w:tcW w:w="6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895" w:type="dxa"/>
            <w:vMerge w:val="continue"/>
            <w:tcBorders>
              <w:left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369" w:hRule="atLeast"/>
          <w:jc w:val="center"/>
        </w:trPr>
        <w:tc>
          <w:tcPr>
            <w:tcW w:w="6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6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130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风机</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1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85</w:t>
            </w:r>
          </w:p>
        </w:tc>
        <w:tc>
          <w:tcPr>
            <w:tcW w:w="127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c>
          <w:tcPr>
            <w:tcW w:w="7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166</w:t>
            </w:r>
          </w:p>
        </w:tc>
        <w:tc>
          <w:tcPr>
            <w:tcW w:w="6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w:t>
            </w: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70</w:t>
            </w:r>
          </w:p>
        </w:tc>
        <w:tc>
          <w:tcPr>
            <w:tcW w:w="6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昼间</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60</w:t>
            </w:r>
          </w:p>
        </w:tc>
        <w:tc>
          <w:tcPr>
            <w:tcW w:w="895" w:type="dxa"/>
            <w:vMerge w:val="continue"/>
            <w:tcBorders>
              <w:left w:val="single" w:color="auto" w:sz="4" w:space="0"/>
              <w:right w:val="single" w:color="auto" w:sz="4" w:space="0"/>
            </w:tcBorders>
            <w:shd w:val="clear" w:color="auto" w:fill="auto"/>
            <w:vAlign w:val="center"/>
          </w:tcPr>
          <w:p>
            <w:pPr>
              <w:widowControl/>
              <w:spacing w:line="240" w:lineRule="atLeast"/>
              <w:jc w:val="center"/>
              <w:rPr>
                <w:color w:val="000000" w:themeColor="text1"/>
                <w:sz w:val="21"/>
                <w:szCs w:val="21"/>
                <w14:textFill>
                  <w14:solidFill>
                    <w14:schemeClr w14:val="tx1"/>
                  </w14:solidFill>
                </w14:textFill>
              </w:rPr>
            </w:pPr>
          </w:p>
        </w:tc>
      </w:tr>
    </w:tbl>
    <w:p>
      <w:pPr>
        <w:rPr>
          <w:color w:val="000000" w:themeColor="text1"/>
          <w14:textFill>
            <w14:solidFill>
              <w14:schemeClr w14:val="tx1"/>
            </w14:solidFill>
          </w14:textFill>
        </w:rPr>
      </w:pPr>
    </w:p>
    <w:p>
      <w:pPr>
        <w:spacing w:line="360" w:lineRule="auto"/>
        <w:jc w:val="center"/>
        <w:rPr>
          <w:rFonts w:ascii="宋体" w:hAnsi="宋体" w:cs="宋体"/>
          <w:color w:val="000000" w:themeColor="text1"/>
          <w14:textFill>
            <w14:solidFill>
              <w14:schemeClr w14:val="tx1"/>
            </w14:solidFill>
          </w14:textFill>
        </w:rPr>
        <w:sectPr>
          <w:type w:val="continuous"/>
          <w:pgSz w:w="16838" w:h="11906" w:orient="landscape"/>
          <w:pgMar w:top="1417" w:right="1440" w:bottom="1417" w:left="1440" w:header="851" w:footer="992" w:gutter="0"/>
          <w:cols w:space="425" w:num="1"/>
          <w:docGrid w:type="lines" w:linePitch="312" w:charSpace="0"/>
        </w:sectPr>
      </w:pPr>
    </w:p>
    <w:p>
      <w:pPr>
        <w:pStyle w:val="28"/>
        <w:ind w:left="480" w:firstLine="560"/>
        <w:rPr>
          <w:color w:val="000000" w:themeColor="text1"/>
          <w14:textFill>
            <w14:solidFill>
              <w14:schemeClr w14:val="tx1"/>
            </w14:solidFill>
          </w14:textFill>
        </w:rPr>
        <w:sectPr>
          <w:type w:val="continuous"/>
          <w:pgSz w:w="16838" w:h="11906" w:orient="landscape"/>
          <w:pgMar w:top="1417" w:right="1440" w:bottom="1417" w:left="1440" w:header="851" w:footer="992" w:gutter="0"/>
          <w:cols w:space="425" w:num="1"/>
          <w:docGrid w:type="lines" w:linePitch="312" w:charSpace="0"/>
        </w:sectPr>
      </w:pPr>
    </w:p>
    <w:tbl>
      <w:tblPr>
        <w:tblStyle w:val="29"/>
        <w:tblW w:w="504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8"/>
        <w:gridCol w:w="88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57" w:hRule="atLeast"/>
          <w:jc w:val="center"/>
        </w:trPr>
        <w:tc>
          <w:tcPr>
            <w:tcW w:w="434" w:type="dxa"/>
            <w:tcMar>
              <w:left w:w="28" w:type="dxa"/>
              <w:right w:w="28" w:type="dxa"/>
            </w:tcMar>
            <w:vAlign w:val="center"/>
          </w:tcPr>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运营</w:t>
            </w:r>
          </w:p>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期环</w:t>
            </w:r>
          </w:p>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境影</w:t>
            </w:r>
          </w:p>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响和</w:t>
            </w:r>
          </w:p>
          <w:p>
            <w:pPr>
              <w:spacing w:line="360" w:lineRule="auto"/>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保护</w:t>
            </w:r>
          </w:p>
          <w:p>
            <w:pPr>
              <w:spacing w:line="360" w:lineRule="auto"/>
              <w:jc w:val="center"/>
              <w:rPr>
                <w:rFonts w:ascii="宋体" w:hAnsi="宋体" w:cs="宋体"/>
                <w:b/>
                <w:bCs/>
                <w:color w:val="000000" w:themeColor="text1"/>
                <w:highlight w:val="yellow"/>
                <w14:textFill>
                  <w14:solidFill>
                    <w14:schemeClr w14:val="tx1"/>
                  </w14:solidFill>
                </w14:textFill>
              </w:rPr>
            </w:pPr>
            <w:r>
              <w:rPr>
                <w:rFonts w:hint="eastAsia" w:ascii="宋体" w:hAnsi="宋体" w:cs="宋体"/>
                <w:color w:val="000000" w:themeColor="text1"/>
                <w14:textFill>
                  <w14:solidFill>
                    <w14:schemeClr w14:val="tx1"/>
                  </w14:solidFill>
                </w14:textFill>
              </w:rPr>
              <w:t>措施</w:t>
            </w:r>
          </w:p>
        </w:tc>
        <w:tc>
          <w:tcPr>
            <w:tcW w:w="8785" w:type="dxa"/>
            <w:vAlign w:val="center"/>
          </w:tcPr>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噪声治理措施</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①设备布置</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从设备布置的角度出发，让高噪声设备尽量布置在车间中央位置或地下，以增大噪声的传播距离。利用墙壁的作用，使噪声受到不同程度的隔绝和吸收，做到尽可能屏蔽声源，减少对环境的影响。</w:t>
            </w:r>
          </w:p>
          <w:p>
            <w:pPr>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②加强管理</w:t>
            </w:r>
          </w:p>
          <w:p>
            <w:pPr>
              <w:widowControl/>
              <w:spacing w:line="360" w:lineRule="auto"/>
              <w:ind w:firstLine="470" w:firstLineChars="196"/>
              <w:rPr>
                <w:color w:val="000000" w:themeColor="text1"/>
                <w14:textFill>
                  <w14:solidFill>
                    <w14:schemeClr w14:val="tx1"/>
                  </w14:solidFill>
                </w14:textFill>
              </w:rPr>
            </w:pPr>
            <w:r>
              <w:rPr>
                <w:color w:val="000000" w:themeColor="text1"/>
                <w14:textFill>
                  <w14:solidFill>
                    <w14:schemeClr w14:val="tx1"/>
                  </w14:solidFill>
                </w14:textFill>
              </w:rPr>
              <w:t>加强内部管理，完善合理各项操作规程、规范，尽可能减少由于设备维护不善、工人操作不规范带来噪声提高的情况；合理安排生产时间，在午休等时间尽量不安排生产作业。</w:t>
            </w:r>
          </w:p>
          <w:p>
            <w:pPr>
              <w:pStyle w:val="10"/>
              <w:ind w:firstLine="482"/>
              <w:rPr>
                <w:rFonts w:cs="Times New Roman"/>
                <w:b/>
                <w:bCs/>
                <w:color w:val="000000" w:themeColor="text1"/>
                <w:lang w:eastAsia="zh-CN"/>
                <w14:textFill>
                  <w14:solidFill>
                    <w14:schemeClr w14:val="tx1"/>
                  </w14:solidFill>
                </w14:textFill>
              </w:rPr>
            </w:pPr>
            <w:r>
              <w:rPr>
                <w:rFonts w:hint="eastAsia" w:cs="Times New Roman"/>
                <w:b/>
                <w:bCs/>
                <w:color w:val="000000" w:themeColor="text1"/>
                <w:lang w:eastAsia="zh-CN"/>
                <w14:textFill>
                  <w14:solidFill>
                    <w14:schemeClr w14:val="tx1"/>
                  </w14:solidFill>
                </w14:textFill>
              </w:rPr>
              <w:t>3、噪声预测</w:t>
            </w:r>
          </w:p>
          <w:p>
            <w:pPr>
              <w:pStyle w:val="7"/>
              <w:spacing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根据拟建项目设备声源的特征和周围声学环境的特点、视设备</w:t>
            </w:r>
            <w:r>
              <w:rPr>
                <w:rFonts w:hint="eastAsia"/>
                <w:color w:val="000000" w:themeColor="text1"/>
                <w14:textFill>
                  <w14:solidFill>
                    <w14:schemeClr w14:val="tx1"/>
                  </w14:solidFill>
                </w14:textFill>
              </w:rPr>
              <w:t>所在生产车间</w:t>
            </w:r>
            <w:r>
              <w:rPr>
                <w:color w:val="000000" w:themeColor="text1"/>
                <w14:textFill>
                  <w14:solidFill>
                    <w14:schemeClr w14:val="tx1"/>
                  </w14:solidFill>
                </w14:textFill>
              </w:rPr>
              <w:t>声源为</w:t>
            </w:r>
            <w:r>
              <w:rPr>
                <w:rFonts w:hint="eastAsia"/>
                <w:color w:val="000000" w:themeColor="text1"/>
                <w14:textFill>
                  <w14:solidFill>
                    <w14:schemeClr w14:val="tx1"/>
                  </w14:solidFill>
                </w14:textFill>
              </w:rPr>
              <w:t>面</w:t>
            </w:r>
            <w:r>
              <w:rPr>
                <w:color w:val="000000" w:themeColor="text1"/>
                <w14:textFill>
                  <w14:solidFill>
                    <w14:schemeClr w14:val="tx1"/>
                  </w14:solidFill>
                </w14:textFill>
              </w:rPr>
              <w:t>声源，《环境影响评价技术导则 声环境》（HJ2.4-20</w:t>
            </w:r>
            <w:r>
              <w:rPr>
                <w:rFonts w:hint="eastAsia"/>
                <w:color w:val="000000" w:themeColor="text1"/>
                <w14:textFill>
                  <w14:solidFill>
                    <w14:schemeClr w14:val="tx1"/>
                  </w14:solidFill>
                </w14:textFill>
              </w:rPr>
              <w:t>21</w:t>
            </w:r>
            <w:r>
              <w:rPr>
                <w:color w:val="000000" w:themeColor="text1"/>
                <w14:textFill>
                  <w14:solidFill>
                    <w14:schemeClr w14:val="tx1"/>
                  </w14:solidFill>
                </w14:textFill>
              </w:rPr>
              <w:t>）的技术要求，本次评价采取导则上推荐模式。</w:t>
            </w:r>
          </w:p>
          <w:p>
            <w:pPr>
              <w:pStyle w:val="7"/>
              <w:spacing w:line="360" w:lineRule="auto"/>
              <w:ind w:firstLine="600" w:firstLineChars="250"/>
              <w:rPr>
                <w:color w:val="000000" w:themeColor="text1"/>
                <w14:textFill>
                  <w14:solidFill>
                    <w14:schemeClr w14:val="tx1"/>
                  </w14:solidFill>
                </w14:textFill>
              </w:rPr>
            </w:pPr>
            <w:r>
              <w:rPr>
                <w:rFonts w:hint="eastAsia"/>
                <w:color w:val="000000" w:themeColor="text1"/>
                <w14:textFill>
                  <w14:solidFill>
                    <w14:schemeClr w14:val="tx1"/>
                  </w14:solidFill>
                </w14:textFill>
              </w:rPr>
              <w:t>①声级计算</w:t>
            </w:r>
          </w:p>
          <w:p>
            <w:pPr>
              <w:pStyle w:val="7"/>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建设项目声源在预测点产生的等效声级贡献值</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L</w:t>
            </w:r>
            <w:r>
              <w:rPr>
                <w:color w:val="000000" w:themeColor="text1"/>
                <w14:textFill>
                  <w14:solidFill>
                    <w14:schemeClr w14:val="tx1"/>
                  </w14:solidFill>
                </w14:textFill>
              </w:rPr>
              <w:t>eqg)</w:t>
            </w:r>
            <w:r>
              <w:rPr>
                <w:rFonts w:hint="eastAsia"/>
                <w:color w:val="000000" w:themeColor="text1"/>
                <w14:textFill>
                  <w14:solidFill>
                    <w14:schemeClr w14:val="tx1"/>
                  </w14:solidFill>
                </w14:textFill>
              </w:rPr>
              <w:t>计算公式：</w:t>
            </w:r>
          </w:p>
          <w:p>
            <w:pPr>
              <w:pStyle w:val="7"/>
              <w:spacing w:line="360" w:lineRule="auto"/>
              <w:ind w:firstLine="240" w:firstLineChars="100"/>
              <w:jc w:val="center"/>
              <w:rPr>
                <w:color w:val="000000" w:themeColor="text1"/>
                <w14:textFill>
                  <w14:solidFill>
                    <w14:schemeClr w14:val="tx1"/>
                  </w14:solidFill>
                </w14:textFill>
              </w:rPr>
            </w:pPr>
            <w:r>
              <w:rPr>
                <w:color w:val="000000" w:themeColor="text1"/>
                <w14:textFill>
                  <w14:solidFill>
                    <w14:schemeClr w14:val="tx1"/>
                  </w14:solidFill>
                </w14:textFill>
              </w:rPr>
              <w:object>
                <v:shape id="_x0000_i1025" o:spt="75" type="#_x0000_t75" style="height:33.5pt;width:176.65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p>
          <w:p>
            <w:pPr>
              <w:pStyle w:val="7"/>
              <w:spacing w:line="360" w:lineRule="auto"/>
              <w:ind w:firstLine="720" w:firstLineChars="300"/>
              <w:rPr>
                <w:color w:val="000000" w:themeColor="text1"/>
                <w14:textFill>
                  <w14:solidFill>
                    <w14:schemeClr w14:val="tx1"/>
                  </w14:solidFill>
                </w14:textFill>
              </w:rPr>
            </w:pPr>
            <w:r>
              <w:rPr>
                <w:color w:val="000000" w:themeColor="text1"/>
                <w14:textFill>
                  <w14:solidFill>
                    <w14:schemeClr w14:val="tx1"/>
                  </w14:solidFill>
                </w14:textFill>
              </w:rPr>
              <w:t>式中：Leqg—建设项目声源在预测点的等效声级贡献值，dB(A)；</w:t>
            </w:r>
          </w:p>
          <w:p>
            <w:pPr>
              <w:pStyle w:val="7"/>
              <w:spacing w:line="360" w:lineRule="auto"/>
              <w:ind w:firstLine="1440" w:firstLineChars="6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Ai</w:t>
            </w:r>
            <w:r>
              <w:rPr>
                <w:color w:val="000000" w:themeColor="text1"/>
                <w14:textFill>
                  <w14:solidFill>
                    <w14:schemeClr w14:val="tx1"/>
                  </w14:solidFill>
                </w14:textFill>
              </w:rPr>
              <w:t xml:space="preserve"> — i声源在预测点产生的A 声级，dB(A)；</w:t>
            </w:r>
          </w:p>
          <w:p>
            <w:pPr>
              <w:pStyle w:val="7"/>
              <w:spacing w:line="360" w:lineRule="auto"/>
              <w:ind w:firstLine="1440" w:firstLineChars="600"/>
              <w:rPr>
                <w:color w:val="000000" w:themeColor="text1"/>
                <w14:textFill>
                  <w14:solidFill>
                    <w14:schemeClr w14:val="tx1"/>
                  </w14:solidFill>
                </w14:textFill>
              </w:rPr>
            </w:pPr>
            <w:r>
              <w:rPr>
                <w:color w:val="000000" w:themeColor="text1"/>
                <w14:textFill>
                  <w14:solidFill>
                    <w14:schemeClr w14:val="tx1"/>
                  </w14:solidFill>
                </w14:textFill>
              </w:rPr>
              <w:t>T— 预测计算的时间段，s；</w:t>
            </w:r>
          </w:p>
          <w:p>
            <w:pPr>
              <w:pStyle w:val="7"/>
              <w:spacing w:line="360" w:lineRule="auto"/>
              <w:ind w:firstLine="1440" w:firstLineChars="600"/>
              <w:rPr>
                <w:color w:val="000000" w:themeColor="text1"/>
                <w14:textFill>
                  <w14:solidFill>
                    <w14:schemeClr w14:val="tx1"/>
                  </w14:solidFill>
                </w14:textFill>
              </w:rPr>
            </w:pPr>
            <w:r>
              <w:rPr>
                <w:color w:val="000000" w:themeColor="text1"/>
                <w14:textFill>
                  <w14:solidFill>
                    <w14:schemeClr w14:val="tx1"/>
                  </w14:solidFill>
                </w14:textFill>
              </w:rPr>
              <w:t>t</w:t>
            </w:r>
            <w:r>
              <w:rPr>
                <w:color w:val="000000" w:themeColor="text1"/>
                <w:vertAlign w:val="subscript"/>
                <w14:textFill>
                  <w14:solidFill>
                    <w14:schemeClr w14:val="tx1"/>
                  </w14:solidFill>
                </w14:textFill>
              </w:rPr>
              <w:t>i</w:t>
            </w:r>
            <w:r>
              <w:rPr>
                <w:color w:val="000000" w:themeColor="text1"/>
                <w14:textFill>
                  <w14:solidFill>
                    <w14:schemeClr w14:val="tx1"/>
                  </w14:solidFill>
                </w14:textFill>
              </w:rPr>
              <w:t>— i 声源在T 时段内的运行时间，s。</w:t>
            </w:r>
          </w:p>
          <w:p>
            <w:pPr>
              <w:pStyle w:val="7"/>
              <w:spacing w:line="360" w:lineRule="auto"/>
              <w:rPr>
                <w:color w:val="000000" w:themeColor="text1"/>
                <w14:textFill>
                  <w14:solidFill>
                    <w14:schemeClr w14:val="tx1"/>
                  </w14:solidFill>
                </w14:textFill>
              </w:rPr>
            </w:pPr>
            <w:r>
              <w:rPr>
                <w:color w:val="000000" w:themeColor="text1"/>
                <w14:textFill>
                  <w14:solidFill>
                    <w14:schemeClr w14:val="tx1"/>
                  </w14:solidFill>
                </w14:textFill>
              </w:rPr>
              <w:t>②预测模式选用《环境影响评价技术导则——声环境》（</w:t>
            </w:r>
            <w:r>
              <w:rPr>
                <w:color w:val="000000" w:themeColor="text1"/>
                <w:lang w:eastAsia="zh-Hans"/>
                <w14:textFill>
                  <w14:solidFill>
                    <w14:schemeClr w14:val="tx1"/>
                  </w14:solidFill>
                </w14:textFill>
              </w:rPr>
              <w:t>HJ2.4-2009</w:t>
            </w:r>
            <w:r>
              <w:rPr>
                <w:color w:val="000000" w:themeColor="text1"/>
                <w14:textFill>
                  <w14:solidFill>
                    <w14:schemeClr w14:val="tx1"/>
                  </w14:solidFill>
                </w14:textFill>
              </w:rPr>
              <w:t>）推荐的模式，单个噪声源预测公式如下：</w:t>
            </w:r>
          </w:p>
          <w:p>
            <w:pPr>
              <w:tabs>
                <w:tab w:val="left" w:pos="720"/>
              </w:tabs>
              <w:spacing w:line="360" w:lineRule="auto"/>
              <w:ind w:firstLine="2040" w:firstLineChars="850"/>
              <w:rPr>
                <w:color w:val="000000" w:themeColor="text1"/>
                <w14:textFill>
                  <w14:solidFill>
                    <w14:schemeClr w14:val="tx1"/>
                  </w14:solidFill>
                </w14:textFill>
              </w:rPr>
            </w:pPr>
            <w:r>
              <w:rPr>
                <w:color w:val="000000" w:themeColor="text1"/>
                <w:position w:val="-14"/>
                <w14:textFill>
                  <w14:solidFill>
                    <w14:schemeClr w14:val="tx1"/>
                  </w14:solidFill>
                </w14:textFill>
              </w:rPr>
              <w:object>
                <v:shape id="_x0000_i1026" o:spt="75" type="#_x0000_t75" style="height:19.25pt;width:235.25pt;" o:ole="t" fillcolor="#6D6D6D"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p>
          <w:p>
            <w:pPr>
              <w:pStyle w:val="7"/>
              <w:spacing w:line="360" w:lineRule="auto"/>
              <w:ind w:firstLine="720" w:firstLineChars="300"/>
              <w:rPr>
                <w:color w:val="000000" w:themeColor="text1"/>
                <w14:textFill>
                  <w14:solidFill>
                    <w14:schemeClr w14:val="tx1"/>
                  </w14:solidFill>
                </w14:textFill>
              </w:rPr>
            </w:pPr>
            <w:r>
              <w:rPr>
                <w:color w:val="000000" w:themeColor="text1"/>
                <w14:textFill>
                  <w14:solidFill>
                    <w14:schemeClr w14:val="tx1"/>
                  </w14:solidFill>
                </w14:textFill>
              </w:rPr>
              <w:t>式中：  r — 预测点到声源的距离，m；</w:t>
            </w:r>
          </w:p>
          <w:p>
            <w:pPr>
              <w:pStyle w:val="7"/>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Adiv — 距离衰减，dB；</w:t>
            </w:r>
          </w:p>
          <w:p>
            <w:pPr>
              <w:pStyle w:val="7"/>
              <w:spacing w:line="360" w:lineRule="auto"/>
              <w:ind w:firstLine="1440" w:firstLineChars="600"/>
              <w:rPr>
                <w:color w:val="000000" w:themeColor="text1"/>
                <w14:textFill>
                  <w14:solidFill>
                    <w14:schemeClr w14:val="tx1"/>
                  </w14:solidFill>
                </w14:textFill>
              </w:rPr>
            </w:pPr>
            <w:r>
              <w:rPr>
                <w:color w:val="000000" w:themeColor="text1"/>
                <w14:textFill>
                  <w14:solidFill>
                    <w14:schemeClr w14:val="tx1"/>
                  </w14:solidFill>
                </w14:textFill>
              </w:rPr>
              <w:t xml:space="preserve">  Aatm — 空气吸收衰减，dB；</w:t>
            </w:r>
          </w:p>
          <w:p>
            <w:pPr>
              <w:pStyle w:val="7"/>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Abar — 遮档物衰减，dB；</w:t>
            </w:r>
          </w:p>
          <w:p>
            <w:pPr>
              <w:pStyle w:val="7"/>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Agr — 地面效应衰减，dB；</w:t>
            </w:r>
          </w:p>
          <w:p>
            <w:pPr>
              <w:pStyle w:val="7"/>
              <w:spacing w:line="360" w:lineRule="auto"/>
              <w:ind w:firstLine="1440" w:firstLineChars="600"/>
              <w:rPr>
                <w:color w:val="000000" w:themeColor="text1"/>
                <w14:textFill>
                  <w14:solidFill>
                    <w14:schemeClr w14:val="tx1"/>
                  </w14:solidFill>
                </w14:textFill>
              </w:rPr>
            </w:pPr>
            <w:r>
              <w:rPr>
                <w:color w:val="000000" w:themeColor="text1"/>
                <w14:textFill>
                  <w14:solidFill>
                    <w14:schemeClr w14:val="tx1"/>
                  </w14:solidFill>
                </w14:textFill>
              </w:rPr>
              <w:t xml:space="preserve">  Amisc— 其他多方面效应引起的衰减，dB。</w:t>
            </w:r>
          </w:p>
          <w:p>
            <w:pPr>
              <w:snapToGrid w:val="0"/>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距离衰减A</w:t>
            </w:r>
            <w:r>
              <w:rPr>
                <w:color w:val="000000" w:themeColor="text1"/>
                <w:vertAlign w:val="subscript"/>
                <w14:textFill>
                  <w14:solidFill>
                    <w14:schemeClr w14:val="tx1"/>
                  </w14:solidFill>
                </w14:textFill>
              </w:rPr>
              <w:t>div</w:t>
            </w:r>
            <w:r>
              <w:rPr>
                <w:color w:val="000000" w:themeColor="text1"/>
                <w14:textFill>
                  <w14:solidFill>
                    <w14:schemeClr w14:val="tx1"/>
                  </w14:solidFill>
                </w14:textFill>
              </w:rPr>
              <w:t>、遮档物衰减A</w:t>
            </w:r>
            <w:r>
              <w:rPr>
                <w:color w:val="000000" w:themeColor="text1"/>
                <w:vertAlign w:val="subscript"/>
                <w14:textFill>
                  <w14:solidFill>
                    <w14:schemeClr w14:val="tx1"/>
                  </w14:solidFill>
                </w14:textFill>
              </w:rPr>
              <w:t>bar</w:t>
            </w:r>
            <w:r>
              <w:rPr>
                <w:color w:val="000000" w:themeColor="text1"/>
                <w14:textFill>
                  <w14:solidFill>
                    <w14:schemeClr w14:val="tx1"/>
                  </w14:solidFill>
                </w14:textFill>
              </w:rPr>
              <w:t>、空气吸收衰减A</w:t>
            </w:r>
            <w:r>
              <w:rPr>
                <w:color w:val="000000" w:themeColor="text1"/>
                <w:vertAlign w:val="subscript"/>
                <w14:textFill>
                  <w14:solidFill>
                    <w14:schemeClr w14:val="tx1"/>
                  </w14:solidFill>
                </w14:textFill>
              </w:rPr>
              <w:t>atm</w:t>
            </w:r>
            <w:r>
              <w:rPr>
                <w:color w:val="000000" w:themeColor="text1"/>
                <w14:textFill>
                  <w14:solidFill>
                    <w14:schemeClr w14:val="tx1"/>
                  </w14:solidFill>
                </w14:textFill>
              </w:rPr>
              <w:t>、地面效应衰减A</w:t>
            </w:r>
            <w:r>
              <w:rPr>
                <w:color w:val="000000" w:themeColor="text1"/>
                <w:vertAlign w:val="subscript"/>
                <w14:textFill>
                  <w14:solidFill>
                    <w14:schemeClr w14:val="tx1"/>
                  </w14:solidFill>
                </w14:textFill>
              </w:rPr>
              <w:t>gr</w:t>
            </w:r>
            <w:r>
              <w:rPr>
                <w:color w:val="000000" w:themeColor="text1"/>
                <w14:textFill>
                  <w14:solidFill>
                    <w14:schemeClr w14:val="tx1"/>
                  </w14:solidFill>
                </w14:textFill>
              </w:rPr>
              <w:t>、其他多方面效应衰减A</w:t>
            </w:r>
            <w:r>
              <w:rPr>
                <w:color w:val="000000" w:themeColor="text1"/>
                <w:vertAlign w:val="subscript"/>
                <w14:textFill>
                  <w14:solidFill>
                    <w14:schemeClr w14:val="tx1"/>
                  </w14:solidFill>
                </w14:textFill>
              </w:rPr>
              <w:t>misc</w:t>
            </w:r>
            <w:r>
              <w:rPr>
                <w:color w:val="000000" w:themeColor="text1"/>
                <w14:textFill>
                  <w14:solidFill>
                    <w14:schemeClr w14:val="tx1"/>
                  </w14:solidFill>
                </w14:textFill>
              </w:rPr>
              <w:t>均按《环境影响评价技术导则——声环境》（</w:t>
            </w:r>
            <w:r>
              <w:rPr>
                <w:color w:val="000000" w:themeColor="text1"/>
                <w:lang w:eastAsia="zh-Hans"/>
                <w14:textFill>
                  <w14:solidFill>
                    <w14:schemeClr w14:val="tx1"/>
                  </w14:solidFill>
                </w14:textFill>
              </w:rPr>
              <w:t>HJ2.4-2009</w:t>
            </w:r>
            <w:r>
              <w:rPr>
                <w:color w:val="000000" w:themeColor="text1"/>
                <w14:textFill>
                  <w14:solidFill>
                    <w14:schemeClr w14:val="tx1"/>
                  </w14:solidFill>
                </w14:textFill>
              </w:rPr>
              <w:t>）推荐的公式计算。</w:t>
            </w:r>
          </w:p>
          <w:p>
            <w:pPr>
              <w:spacing w:line="360" w:lineRule="auto"/>
              <w:ind w:firstLine="720" w:firstLineChars="300"/>
              <w:rPr>
                <w:color w:val="000000" w:themeColor="text1"/>
                <w14:textFill>
                  <w14:solidFill>
                    <w14:schemeClr w14:val="tx1"/>
                  </w14:solidFill>
                </w14:textFill>
              </w:rPr>
            </w:pPr>
            <w:r>
              <w:rPr>
                <w:color w:val="000000" w:themeColor="text1"/>
                <w14:textFill>
                  <w14:solidFill>
                    <w14:schemeClr w14:val="tx1"/>
                  </w14:solidFill>
                </w14:textFill>
              </w:rPr>
              <w:t>③项目只考虑几何发散衰减，且处于半自由场，则声传播衰减计算公式：</w:t>
            </w:r>
          </w:p>
          <w:p>
            <w:pPr>
              <w:spacing w:line="360" w:lineRule="auto"/>
              <w:ind w:firstLine="3600" w:firstLineChars="15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A</w:t>
            </w:r>
            <w:r>
              <w:rPr>
                <w:color w:val="000000" w:themeColor="text1"/>
                <w14:textFill>
                  <w14:solidFill>
                    <w14:schemeClr w14:val="tx1"/>
                  </w14:solidFill>
                </w14:textFill>
              </w:rPr>
              <w:t>(r)=L</w:t>
            </w:r>
            <w:r>
              <w:rPr>
                <w:color w:val="000000" w:themeColor="text1"/>
                <w:vertAlign w:val="subscript"/>
                <w14:textFill>
                  <w14:solidFill>
                    <w14:schemeClr w14:val="tx1"/>
                  </w14:solidFill>
                </w14:textFill>
              </w:rPr>
              <w:t>WA</w:t>
            </w:r>
            <w:r>
              <w:rPr>
                <w:color w:val="000000" w:themeColor="text1"/>
                <w14:textFill>
                  <w14:solidFill>
                    <w14:schemeClr w14:val="tx1"/>
                  </w14:solidFill>
                </w14:textFill>
              </w:rPr>
              <w:t>-20lg(r)-8</w:t>
            </w:r>
          </w:p>
          <w:p>
            <w:pPr>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A</w:t>
            </w:r>
            <w:r>
              <w:rPr>
                <w:color w:val="000000" w:themeColor="text1"/>
                <w14:textFill>
                  <w14:solidFill>
                    <w14:schemeClr w14:val="tx1"/>
                  </w14:solidFill>
                </w14:textFill>
              </w:rPr>
              <w:t>(r)——距噪声源r米预测点的A声级，dB(A)；</w:t>
            </w:r>
          </w:p>
          <w:p>
            <w:pPr>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WA</w:t>
            </w:r>
            <w:r>
              <w:rPr>
                <w:color w:val="000000" w:themeColor="text1"/>
                <w14:textFill>
                  <w14:solidFill>
                    <w14:schemeClr w14:val="tx1"/>
                  </w14:solidFill>
                </w14:textFill>
              </w:rPr>
              <w:t>——点声源的A声级，dB(A)；</w:t>
            </w:r>
          </w:p>
          <w:p>
            <w:pPr>
              <w:spacing w:line="360" w:lineRule="auto"/>
              <w:ind w:firstLine="1680" w:firstLineChars="700"/>
              <w:rPr>
                <w:color w:val="000000" w:themeColor="text1"/>
                <w14:textFill>
                  <w14:solidFill>
                    <w14:schemeClr w14:val="tx1"/>
                  </w14:solidFill>
                </w14:textFill>
              </w:rPr>
            </w:pPr>
            <w:r>
              <w:rPr>
                <w:color w:val="000000" w:themeColor="text1"/>
                <w14:textFill>
                  <w14:solidFill>
                    <w14:schemeClr w14:val="tx1"/>
                  </w14:solidFill>
                </w14:textFill>
              </w:rPr>
              <w:t>r——点声源至预测点的距离，m。</w:t>
            </w:r>
          </w:p>
          <w:p>
            <w:pPr>
              <w:spacing w:line="360" w:lineRule="auto"/>
              <w:ind w:firstLine="482"/>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昼间</w:t>
            </w:r>
            <w:r>
              <w:rPr>
                <w:color w:val="000000" w:themeColor="text1"/>
                <w14:textFill>
                  <w14:solidFill>
                    <w14:schemeClr w14:val="tx1"/>
                  </w14:solidFill>
                </w14:textFill>
              </w:rPr>
              <w:t>生产</w:t>
            </w:r>
            <w:r>
              <w:rPr>
                <w:rFonts w:hint="eastAsia"/>
                <w:color w:val="000000" w:themeColor="text1"/>
                <w14:textFill>
                  <w14:solidFill>
                    <w14:schemeClr w14:val="tx1"/>
                  </w14:solidFill>
                </w14:textFill>
              </w:rPr>
              <w:t>，根据厂房设备布置图以及</w:t>
            </w:r>
            <w:r>
              <w:rPr>
                <w:color w:val="000000" w:themeColor="text1"/>
                <w14:textFill>
                  <w14:solidFill>
                    <w14:schemeClr w14:val="tx1"/>
                  </w14:solidFill>
                </w14:textFill>
              </w:rPr>
              <w:t>预测模式计算，建设项目厂界噪声预测结果见下表：</w:t>
            </w:r>
          </w:p>
          <w:p>
            <w:pPr>
              <w:spacing w:line="360" w:lineRule="auto"/>
              <w:jc w:val="center"/>
              <w:rPr>
                <w:b/>
                <w:bCs/>
                <w:color w:val="000000" w:themeColor="text1"/>
                <w:sz w:val="21"/>
                <w:szCs w:val="21"/>
                <w14:textFill>
                  <w14:solidFill>
                    <w14:schemeClr w14:val="tx1"/>
                  </w14:solidFill>
                </w14:textFill>
              </w:rPr>
            </w:pPr>
            <w:r>
              <w:rPr>
                <w:rFonts w:hint="eastAsia" w:cs="宋体"/>
                <w:b/>
                <w:color w:val="000000" w:themeColor="text1"/>
                <w:kern w:val="0"/>
                <w:lang w:val="zh-CN"/>
                <w14:textFill>
                  <w14:solidFill>
                    <w14:schemeClr w14:val="tx1"/>
                  </w14:solidFill>
                </w14:textFill>
              </w:rPr>
              <w:t>表4-2</w:t>
            </w:r>
            <w:r>
              <w:rPr>
                <w:rFonts w:hint="eastAsia" w:cs="宋体"/>
                <w:b/>
                <w:color w:val="000000" w:themeColor="text1"/>
                <w:kern w:val="0"/>
                <w14:textFill>
                  <w14:solidFill>
                    <w14:schemeClr w14:val="tx1"/>
                  </w14:solidFill>
                </w14:textFill>
              </w:rPr>
              <w:t>1</w:t>
            </w:r>
            <w:r>
              <w:rPr>
                <w:rFonts w:hint="eastAsia" w:cs="宋体"/>
                <w:b/>
                <w:color w:val="000000" w:themeColor="text1"/>
                <w:kern w:val="0"/>
                <w:lang w:val="zh-CN"/>
                <w14:textFill>
                  <w14:solidFill>
                    <w14:schemeClr w14:val="tx1"/>
                  </w14:solidFill>
                </w14:textFill>
              </w:rPr>
              <w:t xml:space="preserve"> 厂界昼间噪声预测结果     单位：dB(A)    </w:t>
            </w:r>
            <w:r>
              <w:rPr>
                <w:rFonts w:hint="eastAsia"/>
                <w:b/>
                <w:bCs/>
                <w:color w:val="000000" w:themeColor="text1"/>
                <w:sz w:val="21"/>
                <w:szCs w:val="21"/>
                <w14:textFill>
                  <w14:solidFill>
                    <w14:schemeClr w14:val="tx1"/>
                  </w14:solidFill>
                </w14:textFill>
              </w:rPr>
              <w:t xml:space="preserve">  </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Layout w:type="fixed"/>
              <w:tblCellMar>
                <w:top w:w="0" w:type="dxa"/>
                <w:left w:w="0" w:type="dxa"/>
                <w:bottom w:w="0" w:type="dxa"/>
                <w:right w:w="0" w:type="dxa"/>
              </w:tblCellMar>
            </w:tblPr>
            <w:tblGrid>
              <w:gridCol w:w="1831"/>
              <w:gridCol w:w="2823"/>
              <w:gridCol w:w="2051"/>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0" w:type="dxa"/>
                  <w:bottom w:w="0" w:type="dxa"/>
                  <w:right w:w="0" w:type="dxa"/>
                </w:tblCellMar>
              </w:tblPrEx>
              <w:trPr>
                <w:trHeight w:val="369" w:hRule="atLeast"/>
                <w:jc w:val="center"/>
              </w:trPr>
              <w:tc>
                <w:tcPr>
                  <w:tcW w:w="1060" w:type="pct"/>
                  <w:tcBorders>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监测点</w:t>
                  </w:r>
                </w:p>
              </w:tc>
              <w:tc>
                <w:tcPr>
                  <w:tcW w:w="1633"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面源距离厂界最近距离（m）</w:t>
                  </w:r>
                </w:p>
              </w:tc>
              <w:tc>
                <w:tcPr>
                  <w:tcW w:w="1188"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贡献值</w:t>
                  </w:r>
                  <w:r>
                    <w:rPr>
                      <w:rFonts w:hint="eastAsia"/>
                      <w:color w:val="000000" w:themeColor="text1"/>
                      <w:sz w:val="21"/>
                      <w:szCs w:val="21"/>
                      <w14:textFill>
                        <w14:solidFill>
                          <w14:schemeClr w14:val="tx1"/>
                        </w14:solidFill>
                      </w14:textFill>
                    </w:rPr>
                    <w:t>（产噪设备降噪后）</w:t>
                  </w:r>
                </w:p>
              </w:tc>
              <w:tc>
                <w:tcPr>
                  <w:tcW w:w="1117" w:type="pct"/>
                  <w:tcBorders>
                    <w:lef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0" w:type="dxa"/>
                  <w:bottom w:w="0" w:type="dxa"/>
                  <w:right w:w="0" w:type="dxa"/>
                </w:tblCellMar>
              </w:tblPrEx>
              <w:trPr>
                <w:trHeight w:val="369" w:hRule="atLeast"/>
                <w:jc w:val="center"/>
              </w:trPr>
              <w:tc>
                <w:tcPr>
                  <w:tcW w:w="1060" w:type="pct"/>
                  <w:tcBorders>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厂界东</w:t>
                  </w:r>
                </w:p>
              </w:tc>
              <w:tc>
                <w:tcPr>
                  <w:tcW w:w="1633"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052" w:type="dxa"/>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55.1</w:t>
                  </w:r>
                </w:p>
              </w:tc>
              <w:tc>
                <w:tcPr>
                  <w:tcW w:w="1117" w:type="pct"/>
                  <w:tcBorders>
                    <w:lef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0" w:type="dxa"/>
                  <w:bottom w:w="0" w:type="dxa"/>
                  <w:right w:w="0" w:type="dxa"/>
                </w:tblCellMar>
              </w:tblPrEx>
              <w:trPr>
                <w:trHeight w:val="369" w:hRule="atLeast"/>
                <w:jc w:val="center"/>
              </w:trPr>
              <w:tc>
                <w:tcPr>
                  <w:tcW w:w="1060" w:type="pct"/>
                  <w:tcBorders>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厂界南</w:t>
                  </w:r>
                </w:p>
              </w:tc>
              <w:tc>
                <w:tcPr>
                  <w:tcW w:w="1633"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29</w:t>
                  </w:r>
                </w:p>
              </w:tc>
              <w:tc>
                <w:tcPr>
                  <w:tcW w:w="2052" w:type="dxa"/>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5</w:t>
                  </w:r>
                </w:p>
              </w:tc>
              <w:tc>
                <w:tcPr>
                  <w:tcW w:w="1117" w:type="pct"/>
                  <w:tcBorders>
                    <w:lef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0" w:type="dxa"/>
                  <w:bottom w:w="0" w:type="dxa"/>
                  <w:right w:w="0" w:type="dxa"/>
                </w:tblCellMar>
              </w:tblPrEx>
              <w:trPr>
                <w:trHeight w:val="369" w:hRule="atLeast"/>
                <w:jc w:val="center"/>
              </w:trPr>
              <w:tc>
                <w:tcPr>
                  <w:tcW w:w="1060" w:type="pct"/>
                  <w:tcBorders>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厂界西</w:t>
                  </w:r>
                </w:p>
              </w:tc>
              <w:tc>
                <w:tcPr>
                  <w:tcW w:w="1633"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2052" w:type="dxa"/>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3</w:t>
                  </w:r>
                </w:p>
              </w:tc>
              <w:tc>
                <w:tcPr>
                  <w:tcW w:w="1117" w:type="pct"/>
                  <w:tcBorders>
                    <w:lef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0" w:type="dxa"/>
                  <w:bottom w:w="0" w:type="dxa"/>
                  <w:right w:w="0" w:type="dxa"/>
                </w:tblCellMar>
              </w:tblPrEx>
              <w:trPr>
                <w:trHeight w:val="369" w:hRule="atLeast"/>
                <w:jc w:val="center"/>
              </w:trPr>
              <w:tc>
                <w:tcPr>
                  <w:tcW w:w="1060" w:type="pct"/>
                  <w:tcBorders>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厂界北</w:t>
                  </w:r>
                </w:p>
              </w:tc>
              <w:tc>
                <w:tcPr>
                  <w:tcW w:w="1633" w:type="pct"/>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2052" w:type="dxa"/>
                  <w:tcBorders>
                    <w:left w:val="single" w:color="auto" w:sz="4" w:space="0"/>
                    <w:righ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56.1</w:t>
                  </w:r>
                </w:p>
              </w:tc>
              <w:tc>
                <w:tcPr>
                  <w:tcW w:w="1117" w:type="pct"/>
                  <w:tcBorders>
                    <w:left w:val="single" w:color="auto" w:sz="4" w:space="0"/>
                  </w:tcBorders>
                  <w:vAlign w:val="center"/>
                </w:tcPr>
                <w:p>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bl>
          <w:p>
            <w:pPr>
              <w:spacing w:line="360" w:lineRule="auto"/>
              <w:ind w:firstLine="482"/>
              <w:rPr>
                <w:color w:val="000000" w:themeColor="text1"/>
                <w14:textFill>
                  <w14:solidFill>
                    <w14:schemeClr w14:val="tx1"/>
                  </w14:solidFill>
                </w14:textFill>
              </w:rPr>
            </w:pPr>
          </w:p>
          <w:p>
            <w:pPr>
              <w:spacing w:line="360" w:lineRule="auto"/>
              <w:ind w:firstLine="482"/>
              <w:rPr>
                <w:color w:val="000000" w:themeColor="text1"/>
                <w14:textFill>
                  <w14:solidFill>
                    <w14:schemeClr w14:val="tx1"/>
                  </w14:solidFill>
                </w14:textFill>
              </w:rPr>
            </w:pPr>
            <w:r>
              <w:rPr>
                <w:color w:val="000000" w:themeColor="text1"/>
                <w14:textFill>
                  <w14:solidFill>
                    <w14:schemeClr w14:val="tx1"/>
                  </w14:solidFill>
                </w14:textFill>
              </w:rPr>
              <w:t>由预测结果可知，项目厂界噪声</w:t>
            </w:r>
            <w:r>
              <w:rPr>
                <w:rFonts w:hint="eastAsia"/>
                <w:color w:val="000000" w:themeColor="text1"/>
                <w14:textFill>
                  <w14:solidFill>
                    <w14:schemeClr w14:val="tx1"/>
                  </w14:solidFill>
                </w14:textFill>
              </w:rPr>
              <w:t>预测</w:t>
            </w:r>
            <w:r>
              <w:rPr>
                <w:color w:val="000000" w:themeColor="text1"/>
                <w14:textFill>
                  <w14:solidFill>
                    <w14:schemeClr w14:val="tx1"/>
                  </w14:solidFill>
                </w14:textFill>
              </w:rPr>
              <w:t>《工业企业厂界环境噪声排放标准》（GB12348-2008）</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类标准要求（昼间≤</w:t>
            </w:r>
            <w:r>
              <w:rPr>
                <w:rFonts w:hint="eastAsia"/>
                <w:color w:val="000000" w:themeColor="text1"/>
                <w14:textFill>
                  <w14:solidFill>
                    <w14:schemeClr w14:val="tx1"/>
                  </w14:solidFill>
                </w14:textFill>
              </w:rPr>
              <w:t>65</w:t>
            </w:r>
            <w:r>
              <w:rPr>
                <w:color w:val="000000" w:themeColor="text1"/>
                <w14:textFill>
                  <w14:solidFill>
                    <w14:schemeClr w14:val="tx1"/>
                  </w14:solidFill>
                </w14:textFill>
              </w:rPr>
              <w:t>dB（A）），项目对周边环境影响较小。</w:t>
            </w:r>
          </w:p>
          <w:p>
            <w:pPr>
              <w:spacing w:line="360" w:lineRule="auto"/>
              <w:ind w:firstLine="482"/>
              <w:rPr>
                <w:color w:val="000000" w:themeColor="text1"/>
                <w14:textFill>
                  <w14:solidFill>
                    <w14:schemeClr w14:val="tx1"/>
                  </w14:solidFill>
                </w14:textFill>
              </w:rPr>
            </w:pPr>
            <w:r>
              <w:rPr>
                <w:color w:val="000000" w:themeColor="text1"/>
                <w14:textFill>
                  <w14:solidFill>
                    <w14:schemeClr w14:val="tx1"/>
                  </w14:solidFill>
                </w14:textFill>
              </w:rPr>
              <w:t>由此可见，本项目建成后噪声源对厂界声</w:t>
            </w:r>
            <w:r>
              <w:rPr>
                <w:rFonts w:hint="eastAsia"/>
                <w:color w:val="000000" w:themeColor="text1"/>
                <w14:textFill>
                  <w14:solidFill>
                    <w14:schemeClr w14:val="tx1"/>
                  </w14:solidFill>
                </w14:textFill>
              </w:rPr>
              <w:t>及</w:t>
            </w:r>
            <w:r>
              <w:rPr>
                <w:color w:val="000000" w:themeColor="text1"/>
                <w14:textFill>
                  <w14:solidFill>
                    <w14:schemeClr w14:val="tx1"/>
                  </w14:solidFill>
                </w14:textFill>
              </w:rPr>
              <w:t>周边环境影响较小，不会改变其声环境质量。</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4、噪声监测计划</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评价项目</w:t>
            </w:r>
            <w:r>
              <w:rPr>
                <w:rFonts w:hint="eastAsia"/>
                <w:color w:val="000000" w:themeColor="text1"/>
                <w14:textFill>
                  <w14:solidFill>
                    <w14:schemeClr w14:val="tx1"/>
                  </w14:solidFill>
                </w14:textFill>
              </w:rPr>
              <w:t>可参照</w:t>
            </w:r>
            <w:r>
              <w:rPr>
                <w:color w:val="000000" w:themeColor="text1"/>
                <w14:textFill>
                  <w14:solidFill>
                    <w14:schemeClr w14:val="tx1"/>
                  </w14:solidFill>
                </w14:textFill>
              </w:rPr>
              <w:t>《排污单位自行监测技术指南 总则》（HJ 819-2017）</w:t>
            </w:r>
            <w:r>
              <w:rPr>
                <w:rFonts w:hint="eastAsia"/>
                <w:color w:val="000000" w:themeColor="text1"/>
                <w14:textFill>
                  <w14:solidFill>
                    <w14:schemeClr w14:val="tx1"/>
                  </w14:solidFill>
                </w14:textFill>
              </w:rPr>
              <w:t>要求，提出并简化环境监测计划</w:t>
            </w:r>
            <w:r>
              <w:rPr>
                <w:color w:val="000000" w:themeColor="text1"/>
                <w14:textFill>
                  <w14:solidFill>
                    <w14:schemeClr w14:val="tx1"/>
                  </w14:solidFill>
                </w14:textFill>
              </w:rPr>
              <w:t>。若企业不具备监测条件，可委托有资质的监测单位进行监测，监测结果以报表形式上报当地环保主管部门。</w:t>
            </w:r>
          </w:p>
          <w:p>
            <w:pPr>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表4-2</w:t>
            </w:r>
            <w:r>
              <w:rPr>
                <w:rFonts w:hint="eastAsia" w:cs="宋体"/>
                <w:b/>
                <w:color w:val="000000" w:themeColor="text1"/>
                <w:kern w:val="0"/>
                <w14:textFill>
                  <w14:solidFill>
                    <w14:schemeClr w14:val="tx1"/>
                  </w14:solidFill>
                </w14:textFill>
              </w:rPr>
              <w:t>2</w:t>
            </w:r>
            <w:r>
              <w:rPr>
                <w:rFonts w:hint="eastAsia" w:cs="宋体"/>
                <w:b/>
                <w:color w:val="000000" w:themeColor="text1"/>
                <w:kern w:val="0"/>
                <w:lang w:val="zh-CN"/>
                <w14:textFill>
                  <w14:solidFill>
                    <w14:schemeClr w14:val="tx1"/>
                  </w14:solidFill>
                </w14:textFill>
              </w:rPr>
              <w:t xml:space="preserve">  项目监测计划</w:t>
            </w:r>
          </w:p>
          <w:tbl>
            <w:tblPr>
              <w:tblStyle w:val="2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8"/>
              <w:gridCol w:w="721"/>
              <w:gridCol w:w="1750"/>
              <w:gridCol w:w="1151"/>
              <w:gridCol w:w="1120"/>
              <w:gridCol w:w="28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1034"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类别</w:t>
                  </w:r>
                </w:p>
              </w:tc>
              <w:tc>
                <w:tcPr>
                  <w:tcW w:w="705"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w:t>
                  </w:r>
                </w:p>
              </w:tc>
              <w:tc>
                <w:tcPr>
                  <w:tcW w:w="1710"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监测因子</w:t>
                  </w:r>
                </w:p>
              </w:tc>
              <w:tc>
                <w:tcPr>
                  <w:tcW w:w="1125"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监测点位</w:t>
                  </w:r>
                </w:p>
              </w:tc>
              <w:tc>
                <w:tcPr>
                  <w:tcW w:w="1095"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监测频次</w:t>
                  </w:r>
                </w:p>
              </w:tc>
              <w:tc>
                <w:tcPr>
                  <w:tcW w:w="2770"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1034"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污染源监测计划</w:t>
                  </w:r>
                </w:p>
              </w:tc>
              <w:tc>
                <w:tcPr>
                  <w:tcW w:w="705" w:type="dxa"/>
                  <w:tcBorders>
                    <w:tl2br w:val="nil"/>
                    <w:tr2bl w:val="nil"/>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厂界噪声</w:t>
                  </w:r>
                </w:p>
              </w:tc>
              <w:tc>
                <w:tcPr>
                  <w:tcW w:w="1710" w:type="dxa"/>
                  <w:tcBorders>
                    <w:tl2br w:val="nil"/>
                    <w:tr2bl w:val="nil"/>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w:t>
                  </w:r>
                  <w:r>
                    <w:rPr>
                      <w:rFonts w:hint="eastAsia"/>
                      <w:color w:val="000000" w:themeColor="text1"/>
                      <w:sz w:val="21"/>
                      <w:szCs w:val="21"/>
                      <w14:textFill>
                        <w14:solidFill>
                          <w14:schemeClr w14:val="tx1"/>
                        </w14:solidFill>
                      </w14:textFill>
                    </w:rPr>
                    <w:t>间</w:t>
                  </w:r>
                  <w:r>
                    <w:rPr>
                      <w:color w:val="000000" w:themeColor="text1"/>
                      <w:sz w:val="21"/>
                      <w:szCs w:val="21"/>
                      <w14:textFill>
                        <w14:solidFill>
                          <w14:schemeClr w14:val="tx1"/>
                        </w14:solidFill>
                      </w14:textFill>
                    </w:rPr>
                    <w:t>等效声级最大值和平均值</w:t>
                  </w:r>
                </w:p>
              </w:tc>
              <w:tc>
                <w:tcPr>
                  <w:tcW w:w="1125" w:type="dxa"/>
                  <w:tcBorders>
                    <w:tl2br w:val="nil"/>
                    <w:tr2bl w:val="nil"/>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厂界外1m</w:t>
                  </w:r>
                </w:p>
              </w:tc>
              <w:tc>
                <w:tcPr>
                  <w:tcW w:w="1095" w:type="dxa"/>
                  <w:tcBorders>
                    <w:tl2br w:val="nil"/>
                    <w:tr2bl w:val="nil"/>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一次/季度</w:t>
                  </w:r>
                </w:p>
              </w:tc>
              <w:tc>
                <w:tcPr>
                  <w:tcW w:w="2770" w:type="dxa"/>
                  <w:tcBorders>
                    <w:tl2br w:val="nil"/>
                    <w:tr2bl w:val="nil"/>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《排污单位自行监测技术指南 总则》（HJ 819-2017）</w:t>
                  </w:r>
                </w:p>
              </w:tc>
            </w:tr>
          </w:tbl>
          <w:p>
            <w:pPr>
              <w:pStyle w:val="14"/>
              <w:spacing w:line="360" w:lineRule="auto"/>
              <w:ind w:firstLine="482" w:firstLineChars="200"/>
              <w:rPr>
                <w:rFonts w:hAnsi="宋体"/>
                <w:b/>
                <w:color w:val="000000" w:themeColor="text1"/>
                <w14:textFill>
                  <w14:solidFill>
                    <w14:schemeClr w14:val="tx1"/>
                  </w14:solidFill>
                </w14:textFill>
              </w:rPr>
            </w:pPr>
          </w:p>
          <w:p>
            <w:pPr>
              <w:pStyle w:val="14"/>
              <w:spacing w:line="360" w:lineRule="auto"/>
              <w:ind w:firstLine="482" w:firstLineChars="200"/>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（四）固体废物</w:t>
            </w:r>
          </w:p>
          <w:p>
            <w:pPr>
              <w:autoSpaceDE w:val="0"/>
              <w:autoSpaceDN w:val="0"/>
              <w:spacing w:line="360" w:lineRule="auto"/>
              <w:ind w:firstLine="480" w:firstLineChars="200"/>
              <w:jc w:val="left"/>
              <w:rPr>
                <w:color w:val="000000" w:themeColor="text1"/>
                <w:szCs w:val="32"/>
                <w14:textFill>
                  <w14:solidFill>
                    <w14:schemeClr w14:val="tx1"/>
                  </w14:solidFill>
                </w14:textFill>
              </w:rPr>
            </w:pPr>
            <w:r>
              <w:rPr>
                <w:color w:val="000000" w:themeColor="text1"/>
                <w:szCs w:val="32"/>
                <w14:textFill>
                  <w14:solidFill>
                    <w14:schemeClr w14:val="tx1"/>
                  </w14:solidFill>
                </w14:textFill>
              </w:rPr>
              <w:t>本项目固体废物主要包括废</w:t>
            </w:r>
            <w:r>
              <w:rPr>
                <w:rFonts w:hint="eastAsia"/>
                <w:color w:val="000000" w:themeColor="text1"/>
                <w:szCs w:val="32"/>
                <w14:textFill>
                  <w14:solidFill>
                    <w14:schemeClr w14:val="tx1"/>
                  </w14:solidFill>
                </w14:textFill>
              </w:rPr>
              <w:t>活性炭、</w:t>
            </w:r>
            <w:r>
              <w:rPr>
                <w:color w:val="000000" w:themeColor="text1"/>
                <w:szCs w:val="32"/>
                <w14:textFill>
                  <w14:solidFill>
                    <w14:schemeClr w14:val="tx1"/>
                  </w14:solidFill>
                </w14:textFill>
              </w:rPr>
              <w:t>废</w:t>
            </w:r>
            <w:r>
              <w:rPr>
                <w:rFonts w:hint="eastAsia"/>
                <w:color w:val="000000" w:themeColor="text1"/>
                <w:szCs w:val="32"/>
                <w14:textFill>
                  <w14:solidFill>
                    <w14:schemeClr w14:val="tx1"/>
                  </w14:solidFill>
                </w14:textFill>
              </w:rPr>
              <w:t>包装</w:t>
            </w:r>
            <w:r>
              <w:rPr>
                <w:color w:val="000000" w:themeColor="text1"/>
                <w:szCs w:val="32"/>
                <w14:textFill>
                  <w14:solidFill>
                    <w14:schemeClr w14:val="tx1"/>
                  </w14:solidFill>
                </w14:textFill>
              </w:rPr>
              <w:t>桶</w:t>
            </w:r>
            <w:r>
              <w:rPr>
                <w:rFonts w:hint="eastAsia"/>
                <w:color w:val="000000" w:themeColor="text1"/>
                <w:szCs w:val="32"/>
                <w14:textFill>
                  <w14:solidFill>
                    <w14:schemeClr w14:val="tx1"/>
                  </w14:solidFill>
                </w14:textFill>
              </w:rPr>
              <w:t>、废清洗液、废包装材料、不合格产品、废离子交换树脂、废拖洗抹布、</w:t>
            </w:r>
            <w:r>
              <w:rPr>
                <w:color w:val="000000" w:themeColor="text1"/>
                <w:szCs w:val="32"/>
                <w14:textFill>
                  <w14:solidFill>
                    <w14:schemeClr w14:val="tx1"/>
                  </w14:solidFill>
                </w14:textFill>
              </w:rPr>
              <w:t>废机油</w:t>
            </w:r>
            <w:r>
              <w:rPr>
                <w:rFonts w:hint="eastAsia"/>
                <w:color w:val="000000" w:themeColor="text1"/>
                <w:szCs w:val="32"/>
                <w14:textFill>
                  <w14:solidFill>
                    <w14:schemeClr w14:val="tx1"/>
                  </w14:solidFill>
                </w14:textFill>
              </w:rPr>
              <w:t>、</w:t>
            </w:r>
            <w:r>
              <w:rPr>
                <w:color w:val="000000" w:themeColor="text1"/>
                <w:szCs w:val="32"/>
                <w14:textFill>
                  <w14:solidFill>
                    <w14:schemeClr w14:val="tx1"/>
                  </w14:solidFill>
                </w14:textFill>
              </w:rPr>
              <w:t>生活垃圾等。</w:t>
            </w:r>
          </w:p>
          <w:p>
            <w:pPr>
              <w:autoSpaceDE w:val="0"/>
              <w:autoSpaceDN w:val="0"/>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w:t>
            </w:r>
            <w:r>
              <w:rPr>
                <w:color w:val="000000" w:themeColor="text1"/>
                <w:szCs w:val="32"/>
                <w14:textFill>
                  <w14:solidFill>
                    <w14:schemeClr w14:val="tx1"/>
                  </w14:solidFill>
                </w14:textFill>
              </w:rPr>
              <w:t>生活垃圾</w:t>
            </w:r>
          </w:p>
          <w:p>
            <w:pPr>
              <w:autoSpaceDE w:val="0"/>
              <w:autoSpaceDN w:val="0"/>
              <w:spacing w:line="360" w:lineRule="auto"/>
              <w:ind w:firstLine="480" w:firstLineChars="200"/>
              <w:jc w:val="left"/>
              <w:rPr>
                <w:color w:val="000000" w:themeColor="text1"/>
                <w:szCs w:val="32"/>
                <w14:textFill>
                  <w14:solidFill>
                    <w14:schemeClr w14:val="tx1"/>
                  </w14:solidFill>
                </w14:textFill>
              </w:rPr>
            </w:pPr>
            <w:r>
              <w:rPr>
                <w:color w:val="000000" w:themeColor="text1"/>
                <w:szCs w:val="32"/>
                <w14:textFill>
                  <w14:solidFill>
                    <w14:schemeClr w14:val="tx1"/>
                  </w14:solidFill>
                </w14:textFill>
              </w:rPr>
              <w:t>本项目员工生活垃圾产生量按0.5kg计，项目人数共</w:t>
            </w:r>
            <w:r>
              <w:rPr>
                <w:rFonts w:hint="eastAsia"/>
                <w:color w:val="000000" w:themeColor="text1"/>
                <w:szCs w:val="32"/>
                <w14:textFill>
                  <w14:solidFill>
                    <w14:schemeClr w14:val="tx1"/>
                  </w14:solidFill>
                </w14:textFill>
              </w:rPr>
              <w:t>12</w:t>
            </w:r>
            <w:r>
              <w:rPr>
                <w:color w:val="000000" w:themeColor="text1"/>
                <w:szCs w:val="32"/>
                <w14:textFill>
                  <w14:solidFill>
                    <w14:schemeClr w14:val="tx1"/>
                  </w14:solidFill>
                </w14:textFill>
              </w:rPr>
              <w:t>0人，年运行300天，生活垃圾产生量</w:t>
            </w:r>
            <w:r>
              <w:rPr>
                <w:rFonts w:hint="eastAsia"/>
                <w:color w:val="000000" w:themeColor="text1"/>
                <w:szCs w:val="32"/>
                <w14:textFill>
                  <w14:solidFill>
                    <w14:schemeClr w14:val="tx1"/>
                  </w14:solidFill>
                </w14:textFill>
              </w:rPr>
              <w:t>18</w:t>
            </w:r>
            <w:r>
              <w:rPr>
                <w:color w:val="000000" w:themeColor="text1"/>
                <w:szCs w:val="32"/>
                <w14:textFill>
                  <w14:solidFill>
                    <w14:schemeClr w14:val="tx1"/>
                  </w14:solidFill>
                </w14:textFill>
              </w:rPr>
              <w:t>t/a，</w:t>
            </w:r>
            <w:r>
              <w:rPr>
                <w:rFonts w:hint="eastAsia"/>
                <w:color w:val="000000" w:themeColor="text1"/>
                <w14:textFill>
                  <w14:solidFill>
                    <w14:schemeClr w14:val="tx1"/>
                  </w14:solidFill>
                </w14:textFill>
              </w:rPr>
              <w:t>生活垃圾设置生活垃圾分类收集站，后交由环卫部门处置</w:t>
            </w:r>
            <w:r>
              <w:rPr>
                <w:color w:val="000000" w:themeColor="text1"/>
                <w14:textFill>
                  <w14:solidFill>
                    <w14:schemeClr w14:val="tx1"/>
                  </w14:solidFill>
                </w14:textFill>
              </w:rPr>
              <w:t>。</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2、一般工业固体废物</w:t>
            </w:r>
          </w:p>
          <w:p>
            <w:pPr>
              <w:spacing w:line="360" w:lineRule="auto"/>
              <w:ind w:firstLine="48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（1）废包装材料</w:t>
            </w:r>
          </w:p>
          <w:p>
            <w:pPr>
              <w:spacing w:line="360" w:lineRule="auto"/>
              <w:ind w:firstLine="480" w:firstLineChars="200"/>
              <w:rPr>
                <w:bCs/>
                <w:color w:val="000000" w:themeColor="text1"/>
                <w14:textFill>
                  <w14:solidFill>
                    <w14:schemeClr w14:val="tx1"/>
                  </w14:solidFill>
                </w14:textFill>
              </w:rPr>
            </w:pPr>
            <w:r>
              <w:rPr>
                <w:rFonts w:hint="eastAsia"/>
                <w:color w:val="000000" w:themeColor="text1"/>
                <w:szCs w:val="32"/>
                <w14:textFill>
                  <w14:solidFill>
                    <w14:schemeClr w14:val="tx1"/>
                  </w14:solidFill>
                </w14:textFill>
              </w:rPr>
              <w:t>根据建设单位提供资料，废包装材料产生量为2t/a。外售给物资回收公司处置。</w:t>
            </w:r>
            <w:r>
              <w:rPr>
                <w:rFonts w:hint="eastAsia"/>
                <w:bCs/>
                <w:color w:val="000000" w:themeColor="text1"/>
                <w14:textFill>
                  <w14:solidFill>
                    <w14:schemeClr w14:val="tx1"/>
                  </w14:solidFill>
                </w14:textFill>
              </w:rPr>
              <w:t>依据《一般固体废物分类与代码》（GB/T39198—2020），其属于非特定行业生产过程中产生的一般固体废物中Ⅵ 99 中900-999-99。</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color w:val="000000" w:themeColor="text1"/>
                <w:szCs w:val="32"/>
                <w14:textFill>
                  <w14:solidFill>
                    <w14:schemeClr w14:val="tx1"/>
                  </w14:solidFill>
                </w14:textFill>
              </w:rPr>
              <w:t>废离子交换树脂</w:t>
            </w:r>
          </w:p>
          <w:p>
            <w:pPr>
              <w:spacing w:line="360" w:lineRule="auto"/>
              <w:ind w:firstLine="480" w:firstLineChars="20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纯水制备设备需定期更换</w:t>
            </w:r>
            <w:r>
              <w:rPr>
                <w:rFonts w:hint="eastAsia"/>
                <w:color w:val="000000" w:themeColor="text1"/>
                <w:szCs w:val="32"/>
                <w14:textFill>
                  <w14:solidFill>
                    <w14:schemeClr w14:val="tx1"/>
                  </w14:solidFill>
                </w14:textFill>
              </w:rPr>
              <w:t>废离子交换树脂</w:t>
            </w:r>
            <w:r>
              <w:rPr>
                <w:rFonts w:hint="eastAsia"/>
                <w:bCs/>
                <w:color w:val="000000" w:themeColor="text1"/>
                <w14:textFill>
                  <w14:solidFill>
                    <w14:schemeClr w14:val="tx1"/>
                  </w14:solidFill>
                </w14:textFill>
              </w:rPr>
              <w:t>，根据企业提供资料，其产生量约为0.01t/a，此部分固废由厂家回收处置。</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（3）不合格产品</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包装产生的不合格产品外售给物资回收单位，年产生量为2.8t/a。</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3、危险固废</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（1）废活性炭</w:t>
            </w:r>
          </w:p>
          <w:p>
            <w:pPr>
              <w:spacing w:line="360" w:lineRule="auto"/>
              <w:ind w:firstLine="480" w:firstLineChars="200"/>
              <w:rPr>
                <w:bCs/>
                <w:color w:val="000000" w:themeColor="text1"/>
                <w14:textFill>
                  <w14:solidFill>
                    <w14:schemeClr w14:val="tx1"/>
                  </w14:solidFill>
                </w14:textFill>
              </w:rPr>
            </w:pPr>
            <w:r>
              <w:rPr>
                <w:rFonts w:hint="eastAsia"/>
                <w:color w:val="000000" w:themeColor="text1"/>
                <w:szCs w:val="32"/>
                <w14:textFill>
                  <w14:solidFill>
                    <w14:schemeClr w14:val="tx1"/>
                  </w14:solidFill>
                </w14:textFill>
              </w:rPr>
              <w:t xml:space="preserve"> </w:t>
            </w:r>
            <w:r>
              <w:rPr>
                <w:bCs/>
                <w:color w:val="000000" w:themeColor="text1"/>
                <w14:textFill>
                  <w14:solidFill>
                    <w14:schemeClr w14:val="tx1"/>
                  </w14:solidFill>
                </w14:textFill>
              </w:rPr>
              <w:t>综上分析可知，</w:t>
            </w:r>
            <w:r>
              <w:rPr>
                <w:rFonts w:hint="eastAsia"/>
                <w:bCs/>
                <w:color w:val="000000" w:themeColor="text1"/>
                <w14:textFill>
                  <w14:solidFill>
                    <w14:schemeClr w14:val="tx1"/>
                  </w14:solidFill>
                </w14:textFill>
              </w:rPr>
              <w:t>本项目涂胶产生的非甲烷总烃经二级</w:t>
            </w:r>
            <w:r>
              <w:rPr>
                <w:bCs/>
                <w:color w:val="000000" w:themeColor="text1"/>
                <w14:textFill>
                  <w14:solidFill>
                    <w14:schemeClr w14:val="tx1"/>
                  </w14:solidFill>
                </w14:textFill>
              </w:rPr>
              <w:t>活性炭吸附之后</w:t>
            </w:r>
            <w:r>
              <w:rPr>
                <w:rFonts w:hint="eastAsia"/>
                <w:bCs/>
                <w:color w:val="000000" w:themeColor="text1"/>
                <w14:textFill>
                  <w14:solidFill>
                    <w14:schemeClr w14:val="tx1"/>
                  </w14:solidFill>
                </w14:textFill>
              </w:rPr>
              <w:t>由</w:t>
            </w:r>
            <w:r>
              <w:rPr>
                <w:bCs/>
                <w:color w:val="000000" w:themeColor="text1"/>
                <w14:textFill>
                  <w14:solidFill>
                    <w14:schemeClr w14:val="tx1"/>
                  </w14:solidFill>
                </w14:textFill>
              </w:rPr>
              <w:t>排气筒</w:t>
            </w:r>
            <w:r>
              <w:rPr>
                <w:rFonts w:hint="eastAsia"/>
                <w:bCs/>
                <w:color w:val="000000" w:themeColor="text1"/>
                <w14:textFill>
                  <w14:solidFill>
                    <w14:schemeClr w14:val="tx1"/>
                  </w14:solidFill>
                </w14:textFill>
              </w:rPr>
              <w:t>DA001</w:t>
            </w:r>
            <w:r>
              <w:rPr>
                <w:bCs/>
                <w:color w:val="000000" w:themeColor="text1"/>
                <w14:textFill>
                  <w14:solidFill>
                    <w14:schemeClr w14:val="tx1"/>
                  </w14:solidFill>
                </w14:textFill>
              </w:rPr>
              <w:t>外排</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活性炭的有机废气吸附量为</w:t>
            </w:r>
            <w:r>
              <w:rPr>
                <w:rFonts w:hint="eastAsia"/>
                <w:bCs/>
                <w:color w:val="000000" w:themeColor="text1"/>
                <w14:textFill>
                  <w14:solidFill>
                    <w14:schemeClr w14:val="tx1"/>
                  </w14:solidFill>
                </w14:textFill>
              </w:rPr>
              <w:t>1.433</w:t>
            </w:r>
            <w:r>
              <w:rPr>
                <w:bCs/>
                <w:color w:val="000000" w:themeColor="text1"/>
                <w14:textFill>
                  <w14:solidFill>
                    <w14:schemeClr w14:val="tx1"/>
                  </w14:solidFill>
                </w14:textFill>
              </w:rPr>
              <w:t>t/a，吸附比（污染物量/活性炭量）按0.</w:t>
            </w:r>
            <w:r>
              <w:rPr>
                <w:rFonts w:hint="eastAsia"/>
                <w:bCs/>
                <w:color w:val="000000" w:themeColor="text1"/>
                <w14:textFill>
                  <w14:solidFill>
                    <w14:schemeClr w14:val="tx1"/>
                  </w14:solidFill>
                </w14:textFill>
              </w:rPr>
              <w:t>25</w:t>
            </w:r>
            <w:r>
              <w:rPr>
                <w:bCs/>
                <w:color w:val="000000" w:themeColor="text1"/>
                <w14:textFill>
                  <w14:solidFill>
                    <w14:schemeClr w14:val="tx1"/>
                  </w14:solidFill>
                </w14:textFill>
              </w:rPr>
              <w:t>计算，活性炭吸附饱和率按90%，故本项目约需活性炭为</w:t>
            </w:r>
            <w:r>
              <w:rPr>
                <w:rFonts w:hint="eastAsia"/>
                <w:bCs/>
                <w:color w:val="000000" w:themeColor="text1"/>
                <w14:textFill>
                  <w14:solidFill>
                    <w14:schemeClr w14:val="tx1"/>
                  </w14:solidFill>
                </w14:textFill>
              </w:rPr>
              <w:t>6.369</w:t>
            </w:r>
            <w:r>
              <w:rPr>
                <w:bCs/>
                <w:color w:val="000000" w:themeColor="text1"/>
                <w14:textFill>
                  <w14:solidFill>
                    <w14:schemeClr w14:val="tx1"/>
                  </w14:solidFill>
                </w14:textFill>
              </w:rPr>
              <w:t>t/a，废活性炭产生量为</w:t>
            </w:r>
            <w:r>
              <w:rPr>
                <w:rFonts w:hint="eastAsia"/>
                <w:bCs/>
                <w:color w:val="000000" w:themeColor="text1"/>
                <w14:textFill>
                  <w14:solidFill>
                    <w14:schemeClr w14:val="tx1"/>
                  </w14:solidFill>
                </w14:textFill>
              </w:rPr>
              <w:t>7.802</w:t>
            </w:r>
            <w:r>
              <w:rPr>
                <w:bCs/>
                <w:color w:val="000000" w:themeColor="text1"/>
                <w14:textFill>
                  <w14:solidFill>
                    <w14:schemeClr w14:val="tx1"/>
                  </w14:solidFill>
                </w14:textFill>
              </w:rPr>
              <w:t>t/a。</w:t>
            </w:r>
          </w:p>
          <w:p>
            <w:pPr>
              <w:spacing w:line="360" w:lineRule="auto"/>
              <w:ind w:firstLine="480" w:firstLineChars="200"/>
              <w:rPr>
                <w:bCs/>
                <w:color w:val="000000" w:themeColor="text1"/>
                <w14:textFill>
                  <w14:solidFill>
                    <w14:schemeClr w14:val="tx1"/>
                  </w14:solidFill>
                </w14:textFill>
              </w:rPr>
            </w:pPr>
            <w:r>
              <w:rPr>
                <w:bCs/>
                <w:color w:val="000000" w:themeColor="text1"/>
                <w14:textFill>
                  <w14:solidFill>
                    <w14:schemeClr w14:val="tx1"/>
                  </w14:solidFill>
                </w14:textFill>
              </w:rPr>
              <w:t>本项目采用的是颗粒状活性炭，密度</w:t>
            </w:r>
            <w:r>
              <w:rPr>
                <w:rFonts w:hint="eastAsia"/>
                <w:bCs/>
                <w:color w:val="000000" w:themeColor="text1"/>
                <w14:textFill>
                  <w14:solidFill>
                    <w14:schemeClr w14:val="tx1"/>
                  </w14:solidFill>
                </w14:textFill>
              </w:rPr>
              <w:t>0.52</w:t>
            </w:r>
            <w:r>
              <w:rPr>
                <w:bCs/>
                <w:color w:val="000000" w:themeColor="text1"/>
                <w14:textFill>
                  <w14:solidFill>
                    <w14:schemeClr w14:val="tx1"/>
                  </w14:solidFill>
                </w14:textFill>
              </w:rPr>
              <w:t>kg/L，一次装填</w:t>
            </w:r>
            <w:r>
              <w:rPr>
                <w:rFonts w:hint="eastAsia"/>
                <w:bCs/>
                <w:color w:val="000000" w:themeColor="text1"/>
                <w14:textFill>
                  <w14:solidFill>
                    <w14:schemeClr w14:val="tx1"/>
                  </w14:solidFill>
                </w14:textFill>
              </w:rPr>
              <w:t>66</w:t>
            </w:r>
            <w:r>
              <w:rPr>
                <w:bCs/>
                <w:color w:val="000000" w:themeColor="text1"/>
                <w14:textFill>
                  <w14:solidFill>
                    <w14:schemeClr w14:val="tx1"/>
                  </w14:solidFill>
                </w14:textFill>
              </w:rPr>
              <w:t>0kg，则每年更换</w:t>
            </w:r>
            <w:r>
              <w:rPr>
                <w:rFonts w:hint="eastAsia"/>
                <w:bCs/>
                <w:color w:val="000000" w:themeColor="text1"/>
                <w14:textFill>
                  <w14:solidFill>
                    <w14:schemeClr w14:val="tx1"/>
                  </w14:solidFill>
                </w14:textFill>
              </w:rPr>
              <w:t>12</w:t>
            </w:r>
            <w:r>
              <w:rPr>
                <w:bCs/>
                <w:color w:val="000000" w:themeColor="text1"/>
                <w14:textFill>
                  <w14:solidFill>
                    <w14:schemeClr w14:val="tx1"/>
                  </w14:solidFill>
                </w14:textFill>
              </w:rPr>
              <w:t>次（</w:t>
            </w:r>
            <w:r>
              <w:rPr>
                <w:rFonts w:hint="eastAsia"/>
                <w:bCs/>
                <w:color w:val="000000" w:themeColor="text1"/>
                <w14:textFill>
                  <w14:solidFill>
                    <w14:schemeClr w14:val="tx1"/>
                  </w14:solidFill>
                </w14:textFill>
              </w:rPr>
              <w:t>约25天</w:t>
            </w:r>
            <w:r>
              <w:rPr>
                <w:bCs/>
                <w:color w:val="000000" w:themeColor="text1"/>
                <w14:textFill>
                  <w14:solidFill>
                    <w14:schemeClr w14:val="tx1"/>
                  </w14:solidFill>
                </w14:textFill>
              </w:rPr>
              <w:t>更换一次）。</w:t>
            </w:r>
            <w:r>
              <w:rPr>
                <w:rFonts w:hint="eastAsia"/>
                <w:bCs/>
                <w:color w:val="000000" w:themeColor="text1"/>
                <w14:textFill>
                  <w14:solidFill>
                    <w14:schemeClr w14:val="tx1"/>
                  </w14:solidFill>
                </w14:textFill>
              </w:rPr>
              <w:t>根据</w:t>
            </w:r>
            <w:r>
              <w:rPr>
                <w:bCs/>
                <w:color w:val="000000" w:themeColor="text1"/>
                <w14:textFill>
                  <w14:solidFill>
                    <w14:schemeClr w14:val="tx1"/>
                  </w14:solidFill>
                </w14:textFill>
              </w:rPr>
              <w:t>《国家危险废物名录》（20</w:t>
            </w:r>
            <w:r>
              <w:rPr>
                <w:rFonts w:hint="eastAsia"/>
                <w:bCs/>
                <w:color w:val="000000" w:themeColor="text1"/>
                <w14:textFill>
                  <w14:solidFill>
                    <w14:schemeClr w14:val="tx1"/>
                  </w14:solidFill>
                </w14:textFill>
              </w:rPr>
              <w:t>21</w:t>
            </w:r>
            <w:r>
              <w:rPr>
                <w:bCs/>
                <w:color w:val="000000" w:themeColor="text1"/>
                <w14:textFill>
                  <w14:solidFill>
                    <w14:schemeClr w14:val="tx1"/>
                  </w14:solidFill>
                </w14:textFill>
              </w:rPr>
              <w:t>年</w:t>
            </w:r>
            <w:r>
              <w:rPr>
                <w:rFonts w:hint="eastAsia"/>
                <w:bCs/>
                <w:color w:val="000000" w:themeColor="text1"/>
                <w14:textFill>
                  <w14:solidFill>
                    <w14:schemeClr w14:val="tx1"/>
                  </w14:solidFill>
                </w14:textFill>
              </w:rPr>
              <w:t>版</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，废活性炭属于危险废物，废物类别HW49，废物代码：900-043-49。</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（2）废机油</w:t>
            </w:r>
          </w:p>
          <w:p>
            <w:pPr>
              <w:widowControl/>
              <w:spacing w:line="360" w:lineRule="auto"/>
              <w:ind w:firstLine="480" w:firstLineChars="200"/>
              <w:rPr>
                <w:rFonts w:cs="宋体"/>
                <w:color w:val="000000" w:themeColor="text1"/>
                <w:szCs w:val="22"/>
                <w:lang w:bidi="ar"/>
                <w14:textFill>
                  <w14:solidFill>
                    <w14:schemeClr w14:val="tx1"/>
                  </w14:solidFill>
                </w14:textFill>
              </w:rPr>
            </w:pPr>
            <w:r>
              <w:rPr>
                <w:rFonts w:hint="eastAsia"/>
                <w:color w:val="000000" w:themeColor="text1"/>
                <w14:textFill>
                  <w14:solidFill>
                    <w14:schemeClr w14:val="tx1"/>
                  </w14:solidFill>
                </w14:textFill>
              </w:rPr>
              <w:t>根据建设单位提供资料，废机油产生量约为0.3t/a。</w:t>
            </w:r>
            <w:r>
              <w:rPr>
                <w:color w:val="000000" w:themeColor="text1"/>
                <w14:textFill>
                  <w14:solidFill>
                    <w14:schemeClr w14:val="tx1"/>
                  </w14:solidFill>
                </w14:textFill>
              </w:rPr>
              <w:t>根据《国家危险废物名录》（2021年版），</w:t>
            </w:r>
            <w:r>
              <w:rPr>
                <w:rFonts w:hint="eastAsia"/>
                <w:color w:val="000000" w:themeColor="text1"/>
                <w14:textFill>
                  <w14:solidFill>
                    <w14:schemeClr w14:val="tx1"/>
                  </w14:solidFill>
                </w14:textFill>
              </w:rPr>
              <w:t>均</w:t>
            </w:r>
            <w:r>
              <w:rPr>
                <w:color w:val="000000" w:themeColor="text1"/>
                <w14:textFill>
                  <w14:solidFill>
                    <w14:schemeClr w14:val="tx1"/>
                  </w14:solidFill>
                </w14:textFill>
              </w:rPr>
              <w:t>属于HW08，危废代码900-249-08。</w:t>
            </w:r>
            <w:r>
              <w:rPr>
                <w:color w:val="000000" w:themeColor="text1"/>
                <w:szCs w:val="22"/>
                <w14:textFill>
                  <w14:solidFill>
                    <w14:schemeClr w14:val="tx1"/>
                  </w14:solidFill>
                </w14:textFill>
              </w:rPr>
              <w:t>收集后临时贮存于危</w:t>
            </w:r>
            <w:r>
              <w:rPr>
                <w:rFonts w:hint="eastAsia"/>
                <w:color w:val="000000" w:themeColor="text1"/>
                <w:szCs w:val="22"/>
                <w14:textFill>
                  <w14:solidFill>
                    <w14:schemeClr w14:val="tx1"/>
                  </w14:solidFill>
                </w14:textFill>
              </w:rPr>
              <w:t>废</w:t>
            </w:r>
            <w:r>
              <w:rPr>
                <w:color w:val="000000" w:themeColor="text1"/>
                <w:szCs w:val="22"/>
                <w14:textFill>
                  <w14:solidFill>
                    <w14:schemeClr w14:val="tx1"/>
                  </w14:solidFill>
                </w14:textFill>
              </w:rPr>
              <w:t>库，</w:t>
            </w:r>
            <w:r>
              <w:rPr>
                <w:rFonts w:hint="eastAsia"/>
                <w:color w:val="000000" w:themeColor="text1"/>
                <w14:textFill>
                  <w14:solidFill>
                    <w14:schemeClr w14:val="tx1"/>
                  </w14:solidFill>
                </w14:textFill>
              </w:rPr>
              <w:t>委托</w:t>
            </w:r>
            <w:r>
              <w:rPr>
                <w:color w:val="000000" w:themeColor="text1"/>
                <w14:textFill>
                  <w14:solidFill>
                    <w14:schemeClr w14:val="tx1"/>
                  </w14:solidFill>
                </w14:textFill>
              </w:rPr>
              <w:t>有危废处置资质的单位代</w:t>
            </w:r>
            <w:r>
              <w:rPr>
                <w:rFonts w:hint="eastAsia"/>
                <w:color w:val="000000" w:themeColor="text1"/>
                <w14:textFill>
                  <w14:solidFill>
                    <w14:schemeClr w14:val="tx1"/>
                  </w14:solidFill>
                </w14:textFill>
              </w:rPr>
              <w:t>为处理。</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（3）废桶</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本项目浆料产生的废化学品包装桶年产生量约为0.8t。</w:t>
            </w:r>
            <w:r>
              <w:rPr>
                <w:color w:val="000000" w:themeColor="text1"/>
                <w14:textFill>
                  <w14:solidFill>
                    <w14:schemeClr w14:val="tx1"/>
                  </w14:solidFill>
                </w14:textFill>
              </w:rPr>
              <w:t>根据《国家危险废物名录》（2021年版），废桶废物类别HW49，废物代码：</w:t>
            </w:r>
            <w:r>
              <w:rPr>
                <w:rFonts w:hint="eastAsia"/>
                <w:color w:val="000000" w:themeColor="text1"/>
                <w14:textFill>
                  <w14:solidFill>
                    <w14:schemeClr w14:val="tx1"/>
                  </w14:solidFill>
                </w14:textFill>
              </w:rPr>
              <w:t>900-041-49</w:t>
            </w:r>
            <w:r>
              <w:rPr>
                <w:color w:val="000000" w:themeColor="text1"/>
                <w14:textFill>
                  <w14:solidFill>
                    <w14:schemeClr w14:val="tx1"/>
                  </w14:solidFill>
                </w14:textFill>
              </w:rPr>
              <w:t>。</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（4）废拖洗布</w:t>
            </w:r>
          </w:p>
          <w:p>
            <w:pPr>
              <w:spacing w:line="360" w:lineRule="auto"/>
              <w:ind w:firstLine="480" w:firstLineChars="200"/>
              <w:jc w:val="lef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本项目废拖洗布产生量约为0.2t/a，根据《国家危险废物名录（2021年版）》，废拖洗布属危险废物，危废代码900-042-49，危险废物名称为废弃的含油抹布、劳保用品，在危险废物豁免名单内，混入生活垃圾的该固废分类收集后可全部环节豁免，全过程不按危险废物管理，可委托环卫部门定期清运；分类收集的应该按照危废暂存处置，定期交由有资质的企业处置。</w:t>
            </w:r>
          </w:p>
          <w:p>
            <w:pPr>
              <w:spacing w:line="360" w:lineRule="auto"/>
              <w:ind w:left="480" w:left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（5）废清洗液</w:t>
            </w:r>
          </w:p>
          <w:p>
            <w:pPr>
              <w:spacing w:line="360" w:lineRule="auto"/>
              <w:ind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设备在日常使用清洗中会有废清洗液产生，根据水平衡图可知，废清洗液产生量为36t/a, 属于危险废物，危废类别HW09（900-007-09）,交由有资质的单位处理。</w:t>
            </w:r>
          </w:p>
          <w:p>
            <w:pPr>
              <w:spacing w:line="360" w:lineRule="auto"/>
              <w:ind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本项目固体产生情况汇总表如</w:t>
            </w:r>
            <w:r>
              <w:rPr>
                <w:rFonts w:hint="eastAsia"/>
                <w:color w:val="000000" w:themeColor="text1"/>
                <w14:textFill>
                  <w14:solidFill>
                    <w14:schemeClr w14:val="tx1"/>
                  </w14:solidFill>
                </w14:textFill>
              </w:rPr>
              <w:t>下表</w:t>
            </w:r>
            <w:r>
              <w:rPr>
                <w:color w:val="000000" w:themeColor="text1"/>
                <w14:textFill>
                  <w14:solidFill>
                    <w14:schemeClr w14:val="tx1"/>
                  </w14:solidFill>
                </w14:textFill>
              </w:rPr>
              <w:t>所示。</w:t>
            </w:r>
          </w:p>
          <w:p>
            <w:pPr>
              <w:spacing w:line="360" w:lineRule="auto"/>
              <w:jc w:val="center"/>
              <w:rPr>
                <w:rFonts w:cs="宋体"/>
                <w:b/>
                <w:color w:val="000000" w:themeColor="text1"/>
                <w:kern w:val="0"/>
                <w:lang w:val="zh-CN"/>
                <w14:textFill>
                  <w14:solidFill>
                    <w14:schemeClr w14:val="tx1"/>
                  </w14:solidFill>
                </w14:textFill>
              </w:rPr>
            </w:pPr>
            <w:r>
              <w:rPr>
                <w:rFonts w:hint="eastAsia" w:cs="宋体"/>
                <w:b/>
                <w:color w:val="000000" w:themeColor="text1"/>
                <w:kern w:val="0"/>
                <w:lang w:val="zh-CN"/>
                <w14:textFill>
                  <w14:solidFill>
                    <w14:schemeClr w14:val="tx1"/>
                  </w14:solidFill>
                </w14:textFill>
              </w:rPr>
              <w:t>表4-2</w:t>
            </w:r>
            <w:r>
              <w:rPr>
                <w:rFonts w:hint="eastAsia" w:cs="宋体"/>
                <w:b/>
                <w:color w:val="000000" w:themeColor="text1"/>
                <w:kern w:val="0"/>
                <w14:textFill>
                  <w14:solidFill>
                    <w14:schemeClr w14:val="tx1"/>
                  </w14:solidFill>
                </w14:textFill>
              </w:rPr>
              <w:t>3</w:t>
            </w:r>
            <w:r>
              <w:rPr>
                <w:rFonts w:hint="eastAsia" w:cs="宋体"/>
                <w:b/>
                <w:color w:val="000000" w:themeColor="text1"/>
                <w:kern w:val="0"/>
                <w:lang w:val="zh-CN"/>
                <w14:textFill>
                  <w14:solidFill>
                    <w14:schemeClr w14:val="tx1"/>
                  </w14:solidFill>
                </w14:textFill>
              </w:rPr>
              <w:t xml:space="preserve">  建设项目固体废物分析结果汇总表</w:t>
            </w:r>
          </w:p>
          <w:tbl>
            <w:tblPr>
              <w:tblStyle w:val="2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3"/>
              <w:gridCol w:w="1607"/>
              <w:gridCol w:w="650"/>
              <w:gridCol w:w="465"/>
              <w:gridCol w:w="1358"/>
              <w:gridCol w:w="676"/>
              <w:gridCol w:w="1178"/>
              <w:gridCol w:w="872"/>
              <w:gridCol w:w="14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序号</w:t>
                  </w:r>
                </w:p>
              </w:tc>
              <w:tc>
                <w:tcPr>
                  <w:tcW w:w="1607"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固体废物名称</w:t>
                  </w:r>
                </w:p>
              </w:tc>
              <w:tc>
                <w:tcPr>
                  <w:tcW w:w="65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产生工序</w:t>
                  </w:r>
                </w:p>
              </w:tc>
              <w:tc>
                <w:tcPr>
                  <w:tcW w:w="465"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形态</w:t>
                  </w:r>
                </w:p>
              </w:tc>
              <w:tc>
                <w:tcPr>
                  <w:tcW w:w="1358"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主要成分</w:t>
                  </w:r>
                </w:p>
              </w:tc>
              <w:tc>
                <w:tcPr>
                  <w:tcW w:w="67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属性</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固废代码</w:t>
                  </w:r>
                </w:p>
              </w:tc>
              <w:tc>
                <w:tcPr>
                  <w:tcW w:w="872"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产生量(t/a)</w:t>
                  </w:r>
                </w:p>
              </w:tc>
              <w:tc>
                <w:tcPr>
                  <w:tcW w:w="14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处理措施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423"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607"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生活垃圾</w:t>
                  </w:r>
                </w:p>
              </w:tc>
              <w:tc>
                <w:tcPr>
                  <w:tcW w:w="650"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办公生活</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果皮、纸张</w:t>
                  </w:r>
                </w:p>
              </w:tc>
              <w:tc>
                <w:tcPr>
                  <w:tcW w:w="67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w:t>
                  </w:r>
                  <w:r>
                    <w:rPr>
                      <w:rFonts w:hint="eastAsia"/>
                      <w:color w:val="000000" w:themeColor="text1"/>
                      <w:sz w:val="21"/>
                      <w:szCs w:val="21"/>
                      <w14:textFill>
                        <w14:solidFill>
                          <w14:schemeClr w14:val="tx1"/>
                        </w14:solidFill>
                      </w14:textFill>
                    </w:rPr>
                    <w:t>固废</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w:t>
                  </w:r>
                </w:p>
              </w:tc>
              <w:tc>
                <w:tcPr>
                  <w:tcW w:w="1405" w:type="dxa"/>
                  <w:tcBorders>
                    <w:bottom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分类收集，</w:t>
                  </w:r>
                  <w:r>
                    <w:rPr>
                      <w:color w:val="000000" w:themeColor="text1"/>
                      <w:sz w:val="21"/>
                      <w:szCs w:val="21"/>
                      <w14:textFill>
                        <w14:solidFill>
                          <w14:schemeClr w14:val="tx1"/>
                        </w14:solidFill>
                      </w14:textFill>
                    </w:rPr>
                    <w:t>环卫部门统一清运处理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废包装材料</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生产过程</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塑料废布等</w:t>
                  </w:r>
                </w:p>
              </w:tc>
              <w:tc>
                <w:tcPr>
                  <w:tcW w:w="67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w:t>
                  </w:r>
                  <w:r>
                    <w:rPr>
                      <w:rFonts w:hint="eastAsia"/>
                      <w:color w:val="000000" w:themeColor="text1"/>
                      <w:sz w:val="21"/>
                      <w:szCs w:val="21"/>
                      <w14:textFill>
                        <w14:solidFill>
                          <w14:schemeClr w14:val="tx1"/>
                        </w14:solidFill>
                      </w14:textFill>
                    </w:rPr>
                    <w:t>固废</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900-999-99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405" w:type="dxa"/>
                  <w:vMerge w:val="restart"/>
                  <w:tcBorders>
                    <w:top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一般固废暂存间暂存，定期外售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不合格产品</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包装</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废涂布膜</w:t>
                  </w:r>
                </w:p>
              </w:tc>
              <w:tc>
                <w:tcPr>
                  <w:tcW w:w="67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w:t>
                  </w:r>
                  <w:r>
                    <w:rPr>
                      <w:rFonts w:hint="eastAsia"/>
                      <w:color w:val="000000" w:themeColor="text1"/>
                      <w:sz w:val="21"/>
                      <w:szCs w:val="21"/>
                      <w14:textFill>
                        <w14:solidFill>
                          <w14:schemeClr w14:val="tx1"/>
                        </w14:solidFill>
                      </w14:textFill>
                    </w:rPr>
                    <w:t>固废</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900-999-99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w:t>
                  </w:r>
                </w:p>
              </w:tc>
              <w:tc>
                <w:tcPr>
                  <w:tcW w:w="1405"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废离子交换树脂</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纯水净化</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废树脂</w:t>
                  </w:r>
                </w:p>
              </w:tc>
              <w:tc>
                <w:tcPr>
                  <w:tcW w:w="676"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w:t>
                  </w:r>
                  <w:r>
                    <w:rPr>
                      <w:rFonts w:hint="eastAsia"/>
                      <w:color w:val="000000" w:themeColor="text1"/>
                      <w:sz w:val="21"/>
                      <w:szCs w:val="21"/>
                      <w14:textFill>
                        <w14:solidFill>
                          <w14:schemeClr w14:val="tx1"/>
                        </w14:solidFill>
                      </w14:textFill>
                    </w:rPr>
                    <w:t>固废</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900-999-99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0.01</w:t>
                  </w:r>
                </w:p>
              </w:tc>
              <w:tc>
                <w:tcPr>
                  <w:tcW w:w="1405" w:type="dxa"/>
                  <w:tcBorders>
                    <w:top w:val="single" w:color="auto" w:sz="4" w:space="0"/>
                  </w:tcBorders>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厂家回收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废活性炭</w:t>
                  </w:r>
                </w:p>
              </w:tc>
              <w:tc>
                <w:tcPr>
                  <w:tcW w:w="650"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有机废气吸附</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废活性炭</w:t>
                  </w:r>
                </w:p>
              </w:tc>
              <w:tc>
                <w:tcPr>
                  <w:tcW w:w="676"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危险废物</w:t>
                  </w: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900-039-49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7.802</w:t>
                  </w:r>
                </w:p>
              </w:tc>
              <w:tc>
                <w:tcPr>
                  <w:tcW w:w="1405"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交由有危废处置资质的单位处置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废清洗液</w:t>
                  </w:r>
                </w:p>
              </w:tc>
              <w:tc>
                <w:tcPr>
                  <w:tcW w:w="650" w:type="dxa"/>
                  <w:vMerge w:val="continue"/>
                  <w:vAlign w:val="center"/>
                </w:tcPr>
                <w:p>
                  <w:pPr>
                    <w:jc w:val="center"/>
                    <w:rPr>
                      <w:color w:val="000000" w:themeColor="text1"/>
                      <w:sz w:val="21"/>
                      <w:szCs w:val="21"/>
                      <w14:textFill>
                        <w14:solidFill>
                          <w14:schemeClr w14:val="tx1"/>
                        </w14:solidFill>
                      </w14:textFill>
                    </w:rPr>
                  </w:pP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浆料</w:t>
                  </w:r>
                </w:p>
              </w:tc>
              <w:tc>
                <w:tcPr>
                  <w:tcW w:w="676" w:type="dxa"/>
                  <w:vMerge w:val="continue"/>
                  <w:vAlign w:val="center"/>
                </w:tcPr>
                <w:p>
                  <w:pPr>
                    <w:jc w:val="center"/>
                    <w:rPr>
                      <w:color w:val="000000" w:themeColor="text1"/>
                      <w:sz w:val="21"/>
                      <w:szCs w:val="21"/>
                      <w14:textFill>
                        <w14:solidFill>
                          <w14:schemeClr w14:val="tx1"/>
                        </w14:solidFill>
                      </w14:textFill>
                    </w:rPr>
                  </w:pP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900-007-09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36</w:t>
                  </w:r>
                </w:p>
              </w:tc>
              <w:tc>
                <w:tcPr>
                  <w:tcW w:w="1405"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废拖洗布</w:t>
                  </w:r>
                </w:p>
              </w:tc>
              <w:tc>
                <w:tcPr>
                  <w:tcW w:w="65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拖洗</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拖洗抹布</w:t>
                  </w:r>
                </w:p>
              </w:tc>
              <w:tc>
                <w:tcPr>
                  <w:tcW w:w="676" w:type="dxa"/>
                  <w:vMerge w:val="continue"/>
                  <w:vAlign w:val="center"/>
                </w:tcPr>
                <w:p>
                  <w:pPr>
                    <w:jc w:val="center"/>
                    <w:rPr>
                      <w:color w:val="000000" w:themeColor="text1"/>
                      <w:sz w:val="21"/>
                      <w:szCs w:val="21"/>
                      <w14:textFill>
                        <w14:solidFill>
                          <w14:schemeClr w14:val="tx1"/>
                        </w14:solidFill>
                      </w14:textFill>
                    </w:rPr>
                  </w:pPr>
                </w:p>
              </w:tc>
              <w:tc>
                <w:tcPr>
                  <w:tcW w:w="1178" w:type="dxa"/>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900-04</w:t>
                  </w: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-49</w:t>
                  </w:r>
                </w:p>
              </w:tc>
              <w:tc>
                <w:tcPr>
                  <w:tcW w:w="872" w:type="dxa"/>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w:t>
                  </w:r>
                </w:p>
              </w:tc>
              <w:tc>
                <w:tcPr>
                  <w:tcW w:w="1405"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废机油</w:t>
                  </w:r>
                </w:p>
              </w:tc>
              <w:tc>
                <w:tcPr>
                  <w:tcW w:w="650" w:type="dxa"/>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生产过程</w:t>
                  </w: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液态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机油</w:t>
                  </w:r>
                </w:p>
              </w:tc>
              <w:tc>
                <w:tcPr>
                  <w:tcW w:w="676" w:type="dxa"/>
                  <w:vMerge w:val="continue"/>
                  <w:vAlign w:val="center"/>
                </w:tcPr>
                <w:p>
                  <w:pPr>
                    <w:jc w:val="center"/>
                    <w:rPr>
                      <w:color w:val="000000" w:themeColor="text1"/>
                      <w:sz w:val="21"/>
                      <w:szCs w:val="21"/>
                      <w14:textFill>
                        <w14:solidFill>
                          <w14:schemeClr w14:val="tx1"/>
                        </w14:solidFill>
                      </w14:textFill>
                    </w:rPr>
                  </w:pP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900-249-08</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p>
              </w:tc>
              <w:tc>
                <w:tcPr>
                  <w:tcW w:w="1405" w:type="dxa"/>
                  <w:vMerge w:val="continue"/>
                  <w:vAlign w:val="center"/>
                </w:tcPr>
                <w:p>
                  <w:pPr>
                    <w:jc w:val="center"/>
                    <w:rPr>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60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废化学品包装桶</w:t>
                  </w:r>
                </w:p>
              </w:tc>
              <w:tc>
                <w:tcPr>
                  <w:tcW w:w="650" w:type="dxa"/>
                  <w:vMerge w:val="continue"/>
                  <w:vAlign w:val="center"/>
                </w:tcPr>
                <w:p>
                  <w:pPr>
                    <w:jc w:val="center"/>
                    <w:rPr>
                      <w:color w:val="000000" w:themeColor="text1"/>
                      <w:sz w:val="21"/>
                      <w:szCs w:val="21"/>
                      <w14:textFill>
                        <w14:solidFill>
                          <w14:schemeClr w14:val="tx1"/>
                        </w14:solidFill>
                      </w14:textFill>
                    </w:rPr>
                  </w:pPr>
                </w:p>
              </w:tc>
              <w:tc>
                <w:tcPr>
                  <w:tcW w:w="465" w:type="dxa"/>
                  <w:vAlign w:val="center"/>
                </w:tcPr>
                <w:p>
                  <w:pPr>
                    <w:autoSpaceDE w:val="0"/>
                    <w:autoSpaceDN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固态</w:t>
                  </w:r>
                </w:p>
              </w:tc>
              <w:tc>
                <w:tcPr>
                  <w:tcW w:w="135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铁桶</w:t>
                  </w:r>
                </w:p>
              </w:tc>
              <w:tc>
                <w:tcPr>
                  <w:tcW w:w="676" w:type="dxa"/>
                  <w:vMerge w:val="continue"/>
                  <w:vAlign w:val="center"/>
                </w:tcPr>
                <w:p>
                  <w:pPr>
                    <w:jc w:val="center"/>
                    <w:rPr>
                      <w:color w:val="000000" w:themeColor="text1"/>
                      <w:sz w:val="21"/>
                      <w:szCs w:val="21"/>
                      <w14:textFill>
                        <w14:solidFill>
                          <w14:schemeClr w14:val="tx1"/>
                        </w14:solidFill>
                      </w14:textFill>
                    </w:rPr>
                  </w:pPr>
                </w:p>
              </w:tc>
              <w:tc>
                <w:tcPr>
                  <w:tcW w:w="1178"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900-041-49</w:t>
                  </w:r>
                </w:p>
              </w:tc>
              <w:tc>
                <w:tcPr>
                  <w:tcW w:w="872"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0.8</w:t>
                  </w:r>
                </w:p>
              </w:tc>
              <w:tc>
                <w:tcPr>
                  <w:tcW w:w="1405" w:type="dxa"/>
                  <w:vMerge w:val="continue"/>
                  <w:vAlign w:val="center"/>
                </w:tcPr>
                <w:p>
                  <w:pPr>
                    <w:jc w:val="center"/>
                    <w:rPr>
                      <w:color w:val="000000" w:themeColor="text1"/>
                      <w:sz w:val="21"/>
                      <w:szCs w:val="21"/>
                      <w14:textFill>
                        <w14:solidFill>
                          <w14:schemeClr w14:val="tx1"/>
                        </w14:solidFill>
                      </w14:textFill>
                    </w:rPr>
                  </w:pPr>
                </w:p>
              </w:tc>
            </w:tr>
          </w:tbl>
          <w:p>
            <w:pPr>
              <w:pStyle w:val="12"/>
              <w:spacing w:line="360" w:lineRule="auto"/>
              <w:ind w:firstLine="482" w:firstLineChars="200"/>
              <w:rPr>
                <w:b/>
                <w:bCs/>
                <w:color w:val="000000" w:themeColor="text1"/>
                <w14:textFill>
                  <w14:solidFill>
                    <w14:schemeClr w14:val="tx1"/>
                  </w14:solidFill>
                </w14:textFill>
              </w:rPr>
            </w:pPr>
          </w:p>
          <w:p>
            <w:pPr>
              <w:pStyle w:val="12"/>
              <w:spacing w:line="360" w:lineRule="auto"/>
              <w:ind w:firstLine="48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环评</w:t>
            </w:r>
            <w:r>
              <w:rPr>
                <w:b/>
                <w:bCs/>
                <w:color w:val="000000" w:themeColor="text1"/>
                <w14:textFill>
                  <w14:solidFill>
                    <w14:schemeClr w14:val="tx1"/>
                  </w14:solidFill>
                </w14:textFill>
              </w:rPr>
              <w:t>要求企业按如下要求进一步规范建设</w:t>
            </w:r>
            <w:r>
              <w:rPr>
                <w:rFonts w:hint="eastAsia"/>
                <w:b/>
                <w:bCs/>
                <w:color w:val="000000" w:themeColor="text1"/>
                <w14:textFill>
                  <w14:solidFill>
                    <w14:schemeClr w14:val="tx1"/>
                  </w14:solidFill>
                </w14:textFill>
              </w:rPr>
              <w:t>一般固废暂存间</w:t>
            </w:r>
            <w:r>
              <w:rPr>
                <w:b/>
                <w:bCs/>
                <w:color w:val="000000" w:themeColor="text1"/>
                <w14:textFill>
                  <w14:solidFill>
                    <w14:schemeClr w14:val="tx1"/>
                  </w14:solidFill>
                </w14:textFill>
              </w:rPr>
              <w:t>：</w:t>
            </w:r>
          </w:p>
          <w:p>
            <w:pPr>
              <w:pStyle w:val="12"/>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一般固废暂存间位于2层厂房西北侧区域，建筑面积50m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，一般固废暂存间</w:t>
            </w:r>
            <w:r>
              <w:rPr>
                <w:color w:val="000000" w:themeColor="text1"/>
                <w14:textFill>
                  <w14:solidFill>
                    <w14:schemeClr w14:val="tx1"/>
                  </w14:solidFill>
                </w14:textFill>
              </w:rPr>
              <w:t>的设置应符合《中华人民共和国固体废物污染环境防治法》（2020.9.1施行）</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《一般工业固体废物贮存和填埋污染控制标准》（GB 18599-2020）</w:t>
            </w:r>
            <w:r>
              <w:rPr>
                <w:rFonts w:hint="eastAsia"/>
                <w:color w:val="000000" w:themeColor="text1"/>
                <w14:textFill>
                  <w14:solidFill>
                    <w14:schemeClr w14:val="tx1"/>
                  </w14:solidFill>
                </w14:textFill>
              </w:rPr>
              <w:t>中相关要求</w:t>
            </w:r>
            <w:r>
              <w:rPr>
                <w:color w:val="000000" w:themeColor="text1"/>
                <w14:textFill>
                  <w14:solidFill>
                    <w14:schemeClr w14:val="tx1"/>
                  </w14:solidFill>
                </w14:textFill>
              </w:rPr>
              <w:t>：</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a、设分区暂存，确保各类一般固废得到合理处置；</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b、防扬散、防流失、防渗漏，分区暂存各固废；</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c、一般固废在运输过程中要防止散落地面，以免产生二次污染；</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d、一般固废均按其资源化、无害化的方式进行处置；</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e、场所地面与裙角要用竖固、防渗的建筑材料建造，基础必须防渗，应设计建造径流疏导系统，保证能防止暴雨不会流到临时堆放的场所；</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f、</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防风、防雨、防晒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，禁止危险废物及生活垃混入。</w:t>
            </w:r>
          </w:p>
          <w:p>
            <w:pPr>
              <w:pStyle w:val="12"/>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危废暂存间污染防治措施： </w:t>
            </w:r>
          </w:p>
          <w:p>
            <w:pPr>
              <w:pStyle w:val="12"/>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项目设置一间50m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的危废暂存场所，位于2层厂房西北侧区域。危废储存必须使用《危险废物贮存污染控制标准》（</w:t>
            </w:r>
            <w:r>
              <w:rPr>
                <w:color w:val="000000" w:themeColor="text1"/>
                <w14:textFill>
                  <w14:solidFill>
                    <w14:schemeClr w14:val="tx1"/>
                  </w14:solidFill>
                </w14:textFill>
              </w:rPr>
              <w:t>GB18597-2001</w:t>
            </w:r>
            <w:r>
              <w:rPr>
                <w:rFonts w:hint="eastAsia"/>
                <w:color w:val="000000" w:themeColor="text1"/>
                <w14:textFill>
                  <w14:solidFill>
                    <w14:schemeClr w14:val="tx1"/>
                  </w14:solidFill>
                </w14:textFill>
              </w:rPr>
              <w:t>）的专用标志。危险废物必须使用专用的容器贮存，除非在常温常压下不水解、不挥发的固体危险废物可在贮存设施内分别堆放。贮存容器应有明显标志，并且标明废物的特性，是否具有耐腐蚀、与所贮存的废物发生反应等特性。贮存场所严格按照</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四防</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（防风、防雨、防晒、防渗漏） 要求进行设置，有集排水设施且贮存场所符合消防要求，贮存场所内采用安全照 明设施，并设置观察窗口。  </w:t>
            </w:r>
          </w:p>
          <w:p>
            <w:pPr>
              <w:pStyle w:val="12"/>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项目所处理的危险废物采用专门的车辆，密闭运输，严格禁止抛洒滴漏，杜绝在运输过程中造成环境的二次污染。在危险废物的运输中执行《危险废物转移联单管理办法》中有关的规定和要求。 </w:t>
            </w:r>
          </w:p>
          <w:p>
            <w:pPr>
              <w:pStyle w:val="12"/>
              <w:spacing w:line="360" w:lineRule="auto"/>
              <w:ind w:firstLine="48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危废暂存库设置要求：</w:t>
            </w:r>
            <w:r>
              <w:rPr>
                <w:rFonts w:hint="eastAsia" w:ascii="宋体" w:hAnsi="宋体" w:cs="宋体"/>
                <w:color w:val="000000" w:themeColor="text1"/>
                <w:kern w:val="0"/>
                <w:lang w:bidi="ar"/>
                <w14:textFill>
                  <w14:solidFill>
                    <w14:schemeClr w14:val="tx1"/>
                  </w14:solidFill>
                </w14:textFill>
              </w:rPr>
              <w:t xml:space="preserve"> </w:t>
            </w:r>
          </w:p>
          <w:p>
            <w:pPr>
              <w:pStyle w:val="12"/>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危废暂存库应按照《危险废物贮存污染控制标准》要求规范建设：危废暂存库地面及裙角应做好防腐防渗措施、所有危废分区存放、并贴标牌；本项目含有液态危废，危废库需设置导流沟和应急收集池，以便液态危废泄漏能够有效收集而不泄露出危废库；危废暂存库废活性炭暂存时可能有极少量的有机废气挥发，故加强危废库的通风换气；危废暂存库需设置双人双锁等措施。</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a</w:t>
            </w:r>
            <w:r>
              <w:rPr>
                <w:rFonts w:hint="eastAsia"/>
                <w:color w:val="000000" w:themeColor="text1"/>
                <w14:textFill>
                  <w14:solidFill>
                    <w14:schemeClr w14:val="tx1"/>
                  </w14:solidFill>
                </w14:textFill>
              </w:rPr>
              <w:t xml:space="preserve">、必须与生活垃圾存放地分开，有防雨淋的装置，地基高度应确保设施内不受 雨洪冲击或浸泡； </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b</w:t>
            </w:r>
            <w:r>
              <w:rPr>
                <w:rFonts w:hint="eastAsia"/>
                <w:color w:val="000000" w:themeColor="text1"/>
                <w14:textFill>
                  <w14:solidFill>
                    <w14:schemeClr w14:val="tx1"/>
                  </w14:solidFill>
                </w14:textFill>
              </w:rPr>
              <w:t xml:space="preserve">、应有严密的封闭措施，设专人管理，避免非工作人员进出，以及防鼠、防蚊蝇、防蟑螂、防盗等安全措施； </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c</w:t>
            </w:r>
            <w:r>
              <w:rPr>
                <w:rFonts w:hint="eastAsia"/>
                <w:color w:val="000000" w:themeColor="text1"/>
                <w14:textFill>
                  <w14:solidFill>
                    <w14:schemeClr w14:val="tx1"/>
                  </w14:solidFill>
                </w14:textFill>
              </w:rPr>
              <w:t xml:space="preserve">、地面和 </w:t>
            </w:r>
            <w:r>
              <w:rPr>
                <w:color w:val="000000" w:themeColor="text1"/>
                <w14:textFill>
                  <w14:solidFill>
                    <w14:schemeClr w14:val="tx1"/>
                  </w14:solidFill>
                </w14:textFill>
              </w:rPr>
              <w:t xml:space="preserve">1.0 </w:t>
            </w:r>
            <w:r>
              <w:rPr>
                <w:rFonts w:hint="eastAsia"/>
                <w:color w:val="000000" w:themeColor="text1"/>
                <w14:textFill>
                  <w14:solidFill>
                    <w14:schemeClr w14:val="tx1"/>
                  </w14:solidFill>
                </w14:textFill>
              </w:rPr>
              <w:t xml:space="preserve">米高的墙裙须进行防渗处理，地面有良好的排水性能，禁止将产生的废水直接排入外环境； </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d</w:t>
            </w:r>
            <w:r>
              <w:rPr>
                <w:rFonts w:hint="eastAsia"/>
                <w:color w:val="000000" w:themeColor="text1"/>
                <w14:textFill>
                  <w14:solidFill>
                    <w14:schemeClr w14:val="tx1"/>
                  </w14:solidFill>
                </w14:textFill>
              </w:rPr>
              <w:t xml:space="preserve">、避免阳光直射库内，应有良好的照明设备和通风条件； </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e</w:t>
            </w:r>
            <w:r>
              <w:rPr>
                <w:rFonts w:hint="eastAsia"/>
                <w:color w:val="000000" w:themeColor="text1"/>
                <w14:textFill>
                  <w14:solidFill>
                    <w14:schemeClr w14:val="tx1"/>
                  </w14:solidFill>
                </w14:textFill>
              </w:rPr>
              <w:t>、库房内应张贴</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禁止吸烟、饮食</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的警示标识； </w:t>
            </w:r>
          </w:p>
          <w:p>
            <w:pPr>
              <w:pStyle w:val="12"/>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f</w:t>
            </w:r>
            <w:r>
              <w:rPr>
                <w:rFonts w:hint="eastAsia"/>
                <w:color w:val="000000" w:themeColor="text1"/>
                <w14:textFill>
                  <w14:solidFill>
                    <w14:schemeClr w14:val="tx1"/>
                  </w14:solidFill>
                </w14:textFill>
              </w:rPr>
              <w:t xml:space="preserve">、应按 </w:t>
            </w:r>
            <w:r>
              <w:rPr>
                <w:color w:val="000000" w:themeColor="text1"/>
                <w14:textFill>
                  <w14:solidFill>
                    <w14:schemeClr w14:val="tx1"/>
                  </w14:solidFill>
                </w14:textFill>
              </w:rPr>
              <w:t xml:space="preserve">GB15562.2 </w:t>
            </w:r>
            <w:r>
              <w:rPr>
                <w:rFonts w:hint="eastAsia"/>
                <w:color w:val="000000" w:themeColor="text1"/>
                <w14:textFill>
                  <w14:solidFill>
                    <w14:schemeClr w14:val="tx1"/>
                  </w14:solidFill>
                </w14:textFill>
              </w:rPr>
              <w:t xml:space="preserve">制定废物警示标识要求，在库房外的明显处同时设置危险废物的警示标识。 </w:t>
            </w:r>
          </w:p>
          <w:p>
            <w:pPr>
              <w:pStyle w:val="12"/>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综上所述，本项目产生的固废经分类收集、分类妥善处理、处置后，可以实现零排放，对周围环境及人体不会造成影响，亦不会对环境产生二次污染，所采取的处置措施是可行的。</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（五）</w:t>
            </w:r>
            <w:r>
              <w:rPr>
                <w:b/>
                <w:bCs/>
                <w:color w:val="000000" w:themeColor="text1"/>
                <w14:textFill>
                  <w14:solidFill>
                    <w14:schemeClr w14:val="tx1"/>
                  </w14:solidFill>
                </w14:textFill>
              </w:rPr>
              <w:t>地下水影响分析</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对照《环境影响评价技术导则地下水环境》（HJ610-2016）附录 A“地下水环境影响评价行业分类表”，本项目属于“N-轻工”中“116、塑料制品制造”，为Ⅳ类项目。根据导则要求，Ⅳ类项目可不开展地下水环境影响评价工作。不对地下水环境进行跟踪监测。</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本项目生活污水经厂区化粪池预处理。为避免对地下水体、土壤造成影响，建设单位采取主动控制（源头控制措施）及被动控制（末端控制措施）相结合的措施。</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color w:val="000000" w:themeColor="text1"/>
                <w14:textFill>
                  <w14:solidFill>
                    <w14:schemeClr w14:val="tx1"/>
                  </w14:solidFill>
                </w14:textFill>
              </w:rPr>
              <w:t>主动控制（源头控制措施）</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主要包括在工艺、设备、物料输送管道、污水输送管线采取相应措施，防止和降低污染物跑、冒、滴、漏，将污染物泄漏的风险事故降到最低；</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建设单位</w:t>
            </w:r>
            <w:r>
              <w:rPr>
                <w:rFonts w:hint="eastAsia"/>
                <w:color w:val="000000" w:themeColor="text1"/>
                <w14:textFill>
                  <w14:solidFill>
                    <w14:schemeClr w14:val="tx1"/>
                  </w14:solidFill>
                </w14:textFill>
              </w:rPr>
              <w:t>需</w:t>
            </w:r>
            <w:r>
              <w:rPr>
                <w:color w:val="000000" w:themeColor="text1"/>
                <w14:textFill>
                  <w14:solidFill>
                    <w14:schemeClr w14:val="tx1"/>
                  </w14:solidFill>
                </w14:textFill>
              </w:rPr>
              <w:t>制定严格的管理措施，设专人定时对厂区内管道进行巡检，要求巡检人员对发现的跑冒滴漏现象要及时上报，对出现的问题要求及时妥善处置。同时也要加强对管道、阀门采购的质量管理，如发现问题，应及时更换。</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2 \* GB3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color w:val="000000" w:themeColor="text1"/>
                <w14:textFill>
                  <w14:solidFill>
                    <w14:schemeClr w14:val="tx1"/>
                  </w14:solidFill>
                </w14:textFill>
              </w:rPr>
              <w:t>被动控制（末端控制措施）</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主要包括厂内污染区地面的防渗措施和泄漏、渗漏污染物的收集措施，即在污染区地面进行防渗处理，防止撒落在地面上的污染物渗入地下，并把滞留在地面上的污染物收集起来，集中处理。</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防渗区分为一般防渗区、重点防渗区</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A、一般防渗区：对土壤和地下水环境有污染的物料或污染物泄漏后可及时发现和处理的区域和部位。—般为装置区内除重点</w:t>
            </w:r>
            <w:r>
              <w:rPr>
                <w:rFonts w:hint="eastAsia"/>
                <w:color w:val="000000" w:themeColor="text1"/>
                <w14:textFill>
                  <w14:solidFill>
                    <w14:schemeClr w14:val="tx1"/>
                  </w14:solidFill>
                </w14:textFill>
              </w:rPr>
              <w:t>防渗区</w:t>
            </w:r>
            <w:r>
              <w:rPr>
                <w:color w:val="000000" w:themeColor="text1"/>
                <w14:textFill>
                  <w14:solidFill>
                    <w14:schemeClr w14:val="tx1"/>
                  </w14:solidFill>
                </w14:textFill>
              </w:rPr>
              <w:t>外的部分及装置区外管廊区；污染物防治区参照《一般工业固体废物贮存和填埋污染控制标准》（GB18599-2020）中相关要求。一般污染防治区防渗层的性能应不低于1.5m厚渗透系数≤1.0×10</w:t>
            </w:r>
            <w:r>
              <w:rPr>
                <w:color w:val="000000" w:themeColor="text1"/>
                <w:vertAlign w:val="superscript"/>
                <w14:textFill>
                  <w14:solidFill>
                    <w14:schemeClr w14:val="tx1"/>
                  </w14:solidFill>
                </w14:textFill>
              </w:rPr>
              <w:t>-7</w:t>
            </w:r>
            <w:r>
              <w:rPr>
                <w:color w:val="000000" w:themeColor="text1"/>
                <w14:textFill>
                  <w14:solidFill>
                    <w14:schemeClr w14:val="tx1"/>
                  </w14:solidFill>
                </w14:textFill>
              </w:rPr>
              <w:t>cm/s的天然材料防渗结构或厚度不低于1.5mm厚的土工膜。</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B、重点防渗区：对土壤和地下水环境有污染的物料或污染物泄漏后不易及时发现和处理的区域和部位。</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重点防渗区参照《危险废物安全填埋处置工程建设技术要求》和《危险废物填埋污染控制标准》（GB18598-2001）。重点防治区防渗层的性能应不低于2m厚渗透系数≤1.0×10</w:t>
            </w:r>
            <w:r>
              <w:rPr>
                <w:color w:val="000000" w:themeColor="text1"/>
                <w:vertAlign w:val="superscript"/>
                <w14:textFill>
                  <w14:solidFill>
                    <w14:schemeClr w14:val="tx1"/>
                  </w14:solidFill>
                </w14:textFill>
              </w:rPr>
              <w:t>-10</w:t>
            </w:r>
            <w:r>
              <w:rPr>
                <w:color w:val="000000" w:themeColor="text1"/>
                <w14:textFill>
                  <w14:solidFill>
                    <w14:schemeClr w14:val="tx1"/>
                  </w14:solidFill>
                </w14:textFill>
              </w:rPr>
              <w:t>cm/s的天然材料防渗结构或厚度不低于1.5mm的土工膜+厚度不低于100mm的抗渗混凝土（渗透系数≤1.0×10</w:t>
            </w:r>
            <w:r>
              <w:rPr>
                <w:color w:val="000000" w:themeColor="text1"/>
                <w:vertAlign w:val="superscript"/>
                <w14:textFill>
                  <w14:solidFill>
                    <w14:schemeClr w14:val="tx1"/>
                  </w14:solidFill>
                </w14:textFill>
              </w:rPr>
              <w:t>-6</w:t>
            </w:r>
            <w:r>
              <w:rPr>
                <w:color w:val="000000" w:themeColor="text1"/>
                <w14:textFill>
                  <w14:solidFill>
                    <w14:schemeClr w14:val="tx1"/>
                  </w14:solidFill>
                </w14:textFill>
              </w:rPr>
              <w:t>cm/s）。</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经采取以上措施后，可以有效避免对土壤、地下水造成污染。根据工程分析提供的厂内可能泄漏物质种类，依据《国家危险废物名录》（</w:t>
            </w:r>
            <w:r>
              <w:rPr>
                <w:rFonts w:hint="eastAsia"/>
                <w:color w:val="000000" w:themeColor="text1"/>
                <w14:textFill>
                  <w14:solidFill>
                    <w14:schemeClr w14:val="tx1"/>
                  </w14:solidFill>
                </w14:textFill>
              </w:rPr>
              <w:t>2021年版</w:t>
            </w:r>
            <w:r>
              <w:rPr>
                <w:color w:val="000000" w:themeColor="text1"/>
                <w14:textFill>
                  <w14:solidFill>
                    <w14:schemeClr w14:val="tx1"/>
                  </w14:solidFill>
                </w14:textFill>
              </w:rPr>
              <w:t>）、《危险废物鉴别标准》（GB5085.1～7–2007）和《石油化工企业防渗设计通则》的规定，确定项目完成后污染防治分区情况详见下表：</w:t>
            </w:r>
          </w:p>
          <w:p>
            <w:pPr>
              <w:spacing w:line="360" w:lineRule="auto"/>
              <w:jc w:val="center"/>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表</w:t>
            </w:r>
            <w:r>
              <w:rPr>
                <w:rFonts w:hint="eastAsia"/>
                <w:b/>
                <w:bCs/>
                <w:color w:val="000000" w:themeColor="text1"/>
                <w14:textFill>
                  <w14:solidFill>
                    <w14:schemeClr w14:val="tx1"/>
                  </w14:solidFill>
                </w14:textFill>
              </w:rPr>
              <w:t xml:space="preserve">4-24  </w:t>
            </w:r>
            <w:r>
              <w:rPr>
                <w:b/>
                <w:bCs/>
                <w:color w:val="000000" w:themeColor="text1"/>
                <w:lang w:val="zh-CN"/>
                <w14:textFill>
                  <w14:solidFill>
                    <w14:schemeClr w14:val="tx1"/>
                  </w14:solidFill>
                </w14:textFill>
              </w:rPr>
              <w:t>地下水污染防治分区情况表</w:t>
            </w:r>
          </w:p>
          <w:tbl>
            <w:tblPr>
              <w:tblStyle w:val="29"/>
              <w:tblW w:w="5000" w:type="pct"/>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2473"/>
              <w:gridCol w:w="5035"/>
            </w:tblGrid>
            <w:tr>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6" w:type="dxa"/>
                  <w:tcBorders>
                    <w:lef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名称</w:t>
                  </w:r>
                </w:p>
              </w:tc>
              <w:tc>
                <w:tcPr>
                  <w:tcW w:w="2473" w:type="dxa"/>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范围</w:t>
                  </w:r>
                </w:p>
              </w:tc>
              <w:tc>
                <w:tcPr>
                  <w:tcW w:w="5035" w:type="dxa"/>
                  <w:tcBorders>
                    <w:righ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防渗结构要求</w:t>
                  </w:r>
                </w:p>
              </w:tc>
            </w:tr>
            <w:tr>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6" w:type="dxa"/>
                  <w:tcBorders>
                    <w:lef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重点防渗区</w:t>
                  </w:r>
                </w:p>
              </w:tc>
              <w:tc>
                <w:tcPr>
                  <w:tcW w:w="247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化学品仓库、危废间</w:t>
                  </w:r>
                </w:p>
              </w:tc>
              <w:tc>
                <w:tcPr>
                  <w:tcW w:w="5035" w:type="dxa"/>
                  <w:tcBorders>
                    <w:righ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使用K11防水涂料罩面，全池涂环氧树脂防腐防渗，防渗材料采用环氧树脂渗透系数≤1.0×10</w:t>
                  </w:r>
                  <w:r>
                    <w:rPr>
                      <w:color w:val="000000" w:themeColor="text1"/>
                      <w:sz w:val="21"/>
                      <w:szCs w:val="21"/>
                      <w:vertAlign w:val="superscript"/>
                      <w14:textFill>
                        <w14:solidFill>
                          <w14:schemeClr w14:val="tx1"/>
                        </w14:solidFill>
                      </w14:textFill>
                    </w:rPr>
                    <w:t>-10</w:t>
                  </w:r>
                  <w:r>
                    <w:rPr>
                      <w:color w:val="000000" w:themeColor="text1"/>
                      <w:sz w:val="21"/>
                      <w:szCs w:val="21"/>
                      <w14:textFill>
                        <w14:solidFill>
                          <w14:schemeClr w14:val="tx1"/>
                        </w14:solidFill>
                      </w14:textFill>
                    </w:rPr>
                    <w:t>cm/s</w:t>
                  </w:r>
                </w:p>
              </w:tc>
            </w:tr>
            <w:tr>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6" w:type="dxa"/>
                  <w:tcBorders>
                    <w:lef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一般防渗区</w:t>
                  </w:r>
                </w:p>
              </w:tc>
              <w:tc>
                <w:tcPr>
                  <w:tcW w:w="2473"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一般固废暂存间</w:t>
                  </w:r>
                </w:p>
              </w:tc>
              <w:tc>
                <w:tcPr>
                  <w:tcW w:w="5035" w:type="dxa"/>
                  <w:tcBorders>
                    <w:right w:val="single" w:color="auto" w:sz="4" w:space="0"/>
                  </w:tcBorders>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地面采取粘土铺底，再在上层铺10~15cm的水泥进行硬化，渗透系数≤1.0×10</w:t>
                  </w:r>
                  <w:r>
                    <w:rPr>
                      <w:color w:val="000000" w:themeColor="text1"/>
                      <w:sz w:val="21"/>
                      <w:szCs w:val="21"/>
                      <w:vertAlign w:val="superscript"/>
                      <w14:textFill>
                        <w14:solidFill>
                          <w14:schemeClr w14:val="tx1"/>
                        </w14:solidFill>
                      </w14:textFill>
                    </w:rPr>
                    <w:t>-7</w:t>
                  </w:r>
                  <w:r>
                    <w:rPr>
                      <w:color w:val="000000" w:themeColor="text1"/>
                      <w:sz w:val="21"/>
                      <w:szCs w:val="21"/>
                      <w14:textFill>
                        <w14:solidFill>
                          <w14:schemeClr w14:val="tx1"/>
                        </w14:solidFill>
                      </w14:textFill>
                    </w:rPr>
                    <w:t>cm/s</w:t>
                  </w:r>
                </w:p>
              </w:tc>
            </w:tr>
          </w:tbl>
          <w:p>
            <w:pPr>
              <w:spacing w:line="360" w:lineRule="auto"/>
              <w:ind w:firstLine="480" w:firstLineChars="200"/>
              <w:rPr>
                <w:color w:val="000000" w:themeColor="text1"/>
                <w14:textFill>
                  <w14:solidFill>
                    <w14:schemeClr w14:val="tx1"/>
                  </w14:solidFill>
                </w14:textFill>
              </w:rPr>
            </w:pP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除此之外，建议项目运营后还应采取以下污染防治措施：</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color w:val="000000" w:themeColor="text1"/>
                <w14:textFill>
                  <w14:solidFill>
                    <w14:schemeClr w14:val="tx1"/>
                  </w14:solidFill>
                </w14:textFill>
              </w:rPr>
              <w:t>定期对地下水和土壤进行监测，以便及时发现问题，采取有效措施控制和消除污染危害。</w:t>
            </w:r>
          </w:p>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2 \* GB3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color w:val="000000" w:themeColor="text1"/>
                <w14:textFill>
                  <w14:solidFill>
                    <w14:schemeClr w14:val="tx1"/>
                  </w14:solidFill>
                </w14:textFill>
              </w:rPr>
              <w:t>加强现场巡查，特别是在卫生清理、下雨地面水量较大时，重点检查有无渗漏情况。若发现问题，及时分析原因，找到泄漏点制定整改措施，尽快修补，确保防腐防渗层的完整性。</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（六）土壤影响分析</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本项目位于安徽省芜湖市鸠江区沈巷镇江北产业集中区中小企业园新能源新材料产业聚集区4#厂房，根据《环境影响评价技术导则土壤环境（试行）》（HJ 964-2018）表A.1土壤环境影响评价项目类别，本项目属于“制造业”中的“其他”，为Ⅲ类项目，本项目占地面积约5473平方米，占地规模为小型（＜5hm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），所在地周边的土壤环境敏感程度为不敏感，根据污染影响型评价工作等级划分表，本项目可不开展土壤环境影响评价工作。不对土壤环境环境进行跟踪监测。</w:t>
            </w: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（七）环境风险评价</w:t>
            </w:r>
          </w:p>
          <w:p>
            <w:pPr>
              <w:adjustRightInd w:val="0"/>
              <w:snapToGrid w:val="0"/>
              <w:spacing w:line="360" w:lineRule="auto"/>
              <w:ind w:left="42"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环境</w:t>
            </w:r>
            <w:r>
              <w:rPr>
                <w:rFonts w:hint="eastAsia"/>
                <w:color w:val="000000" w:themeColor="text1"/>
                <w14:textFill>
                  <w14:solidFill>
                    <w14:schemeClr w14:val="tx1"/>
                  </w14:solidFill>
                </w14:textFill>
              </w:rPr>
              <w:t>风险评价分析主要是考虑项目突发事故，通过分析易燃易爆、有毒有害物质发生意外情况对环境及周边人群带来的影响和危害，提高对风险程度的认识，制定环境风险防范措施和应急预案，以促进企业加强环境风险管理，最大程度降低风险事故的发生机率，实现有效处置、控制和应急，降低突发事件对环境的不良影响。</w:t>
            </w:r>
          </w:p>
          <w:p>
            <w:pPr>
              <w:adjustRightInd w:val="0"/>
              <w:snapToGrid w:val="0"/>
              <w:spacing w:line="360" w:lineRule="auto"/>
              <w:ind w:left="42"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项目建成后涉及的主要化学品为粘合剂中的丙烯腈、机油，对照《建设项目环境风险评价技术导则》（HJ 169-2018）中附录B，本项目危险物质数量与临界量比值（Q）见下表。</w:t>
            </w:r>
          </w:p>
          <w:p>
            <w:pPr>
              <w:spacing w:line="360" w:lineRule="auto"/>
              <w:jc w:val="center"/>
              <w:rPr>
                <w:b/>
                <w:bCs/>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表4-</w:t>
            </w:r>
            <w:r>
              <w:rPr>
                <w:rFonts w:hint="eastAsia"/>
                <w:b/>
                <w:bCs/>
                <w:color w:val="000000" w:themeColor="text1"/>
                <w14:textFill>
                  <w14:solidFill>
                    <w14:schemeClr w14:val="tx1"/>
                  </w14:solidFill>
                </w14:textFill>
              </w:rPr>
              <w:t>25</w:t>
            </w:r>
            <w:r>
              <w:rPr>
                <w:rFonts w:hint="eastAsia"/>
                <w:b/>
                <w:bCs/>
                <w:color w:val="000000" w:themeColor="text1"/>
                <w:lang w:val="zh-CN"/>
                <w14:textFill>
                  <w14:solidFill>
                    <w14:schemeClr w14:val="tx1"/>
                  </w14:solidFill>
                </w14:textFill>
              </w:rPr>
              <w:t xml:space="preserve">  建设项目Q值确定表</w:t>
            </w:r>
          </w:p>
          <w:tbl>
            <w:tblPr>
              <w:tblStyle w:val="29"/>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
            <w:tblGrid>
              <w:gridCol w:w="634"/>
              <w:gridCol w:w="2034"/>
              <w:gridCol w:w="1221"/>
              <w:gridCol w:w="1596"/>
              <w:gridCol w:w="1221"/>
              <w:gridCol w:w="192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7" w:hRule="atLeast"/>
                <w:jc w:val="center"/>
              </w:trPr>
              <w:tc>
                <w:tcPr>
                  <w:tcW w:w="635"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2034"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危险物质名称</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CAS号</w:t>
                  </w:r>
                </w:p>
              </w:tc>
              <w:tc>
                <w:tcPr>
                  <w:tcW w:w="1596"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最大存在总量t</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临界量t</w:t>
                  </w:r>
                </w:p>
              </w:tc>
              <w:tc>
                <w:tcPr>
                  <w:tcW w:w="1929"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该种危险物质Q值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7" w:hRule="atLeast"/>
                <w:jc w:val="center"/>
              </w:trPr>
              <w:tc>
                <w:tcPr>
                  <w:tcW w:w="635"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2034"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丙烯腈</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107-13-1</w:t>
                  </w:r>
                </w:p>
              </w:tc>
              <w:tc>
                <w:tcPr>
                  <w:tcW w:w="1596"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0.555</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1929"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7" w:hRule="atLeast"/>
                <w:jc w:val="center"/>
              </w:trPr>
              <w:tc>
                <w:tcPr>
                  <w:tcW w:w="635"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2034" w:type="dxa"/>
                  <w:tcBorders>
                    <w:top w:val="single" w:color="000000" w:sz="2" w:space="0"/>
                    <w:left w:val="single" w:color="000000" w:sz="2" w:space="0"/>
                    <w:bottom w:val="single" w:color="000000" w:sz="2" w:space="0"/>
                    <w:right w:val="single" w:color="000000" w:sz="2"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机油</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96"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w:t>
                  </w:r>
                </w:p>
              </w:tc>
              <w:tc>
                <w:tcPr>
                  <w:tcW w:w="1221"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2500</w:t>
                  </w:r>
                </w:p>
              </w:tc>
              <w:tc>
                <w:tcPr>
                  <w:tcW w:w="1929"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97" w:hRule="atLeast"/>
                <w:jc w:val="center"/>
              </w:trPr>
              <w:tc>
                <w:tcPr>
                  <w:tcW w:w="6707" w:type="dxa"/>
                  <w:gridSpan w:val="5"/>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项目Q值</w:t>
                  </w:r>
                </w:p>
              </w:tc>
              <w:tc>
                <w:tcPr>
                  <w:tcW w:w="1929" w:type="dxa"/>
                  <w:tcBorders>
                    <w:top w:val="single" w:color="000000" w:sz="2" w:space="0"/>
                    <w:left w:val="single" w:color="000000" w:sz="2" w:space="0"/>
                    <w:bottom w:val="single" w:color="000000" w:sz="2" w:space="0"/>
                    <w:right w:val="single" w:color="000000" w:sz="2" w:space="0"/>
                  </w:tcBorders>
                  <w:vAlign w:val="center"/>
                </w:tcPr>
                <w:p>
                  <w:pPr>
                    <w:pStyle w:val="66"/>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0.05632</w:t>
                  </w:r>
                </w:p>
              </w:tc>
            </w:tr>
          </w:tbl>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上表可知，本项目Q值为0.05632。根据《建设项目环境风险评价技术导则》（HJ 169-2018）中附录C，本项目Q&lt;1，环境风险潜势为Ⅰ，仅作简单分析。</w:t>
            </w:r>
          </w:p>
          <w:p>
            <w:pPr>
              <w:adjustRightInd w:val="0"/>
              <w:snapToGrid w:val="0"/>
              <w:spacing w:before="31" w:beforeLines="10" w:line="360" w:lineRule="auto"/>
              <w:ind w:left="48" w:leftChars="20" w:firstLine="48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参照《建设项目环境风险评价技术导则》（HJ 169-2018）附录 A，本项目环境风险影响分析见表。</w:t>
            </w: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p>
          <w:p>
            <w:pPr>
              <w:spacing w:line="360" w:lineRule="auto"/>
              <w:jc w:val="center"/>
              <w:rPr>
                <w:b/>
                <w:bCs/>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表4-</w:t>
            </w:r>
            <w:r>
              <w:rPr>
                <w:rFonts w:hint="eastAsia"/>
                <w:b/>
                <w:bCs/>
                <w:color w:val="000000" w:themeColor="text1"/>
                <w14:textFill>
                  <w14:solidFill>
                    <w14:schemeClr w14:val="tx1"/>
                  </w14:solidFill>
                </w14:textFill>
              </w:rPr>
              <w:t>26</w:t>
            </w:r>
            <w:r>
              <w:rPr>
                <w:rFonts w:hint="eastAsia"/>
                <w:b/>
                <w:bCs/>
                <w:color w:val="000000" w:themeColor="text1"/>
                <w:lang w:val="zh-CN"/>
                <w14:textFill>
                  <w14:solidFill>
                    <w14:schemeClr w14:val="tx1"/>
                  </w14:solidFill>
                </w14:textFill>
              </w:rPr>
              <w:t xml:space="preserve">  本项目环境风险简单分析表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732"/>
              <w:gridCol w:w="2202"/>
              <w:gridCol w:w="1563"/>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建设项目名称</w:t>
                  </w:r>
                </w:p>
              </w:tc>
              <w:tc>
                <w:tcPr>
                  <w:tcW w:w="7394" w:type="dxa"/>
                  <w:gridSpan w:val="4"/>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年产4亿平方米隔膜涂布项目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建设地点</w:t>
                  </w:r>
                </w:p>
              </w:tc>
              <w:tc>
                <w:tcPr>
                  <w:tcW w:w="7394" w:type="dxa"/>
                  <w:gridSpan w:val="4"/>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芜湖永拓新材料有限公司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地理坐标</w:t>
                  </w:r>
                </w:p>
              </w:tc>
              <w:tc>
                <w:tcPr>
                  <w:tcW w:w="173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经度</w:t>
                  </w:r>
                </w:p>
              </w:tc>
              <w:tc>
                <w:tcPr>
                  <w:tcW w:w="220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118°14′54.765″</w:t>
                  </w:r>
                </w:p>
              </w:tc>
              <w:tc>
                <w:tcPr>
                  <w:tcW w:w="1563"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纬度</w:t>
                  </w:r>
                </w:p>
              </w:tc>
              <w:tc>
                <w:tcPr>
                  <w:tcW w:w="1897" w:type="dxa"/>
                  <w:tcBorders>
                    <w:top w:val="single" w:color="auto" w:sz="4" w:space="0"/>
                    <w:left w:val="single" w:color="auto" w:sz="4" w:space="0"/>
                    <w:bottom w:val="single" w:color="auto" w:sz="4" w:space="0"/>
                    <w:right w:val="single" w:color="auto" w:sz="4" w:space="0"/>
                  </w:tcBorders>
                  <w:vAlign w:val="center"/>
                </w:tcPr>
                <w:p>
                  <w:pPr>
                    <w:pStyle w:val="66"/>
                    <w:jc w:val="both"/>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31°27′31.393″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0" w:type="dxa"/>
                  <w:vMerge w:val="restart"/>
                  <w:tcBorders>
                    <w:top w:val="single" w:color="auto" w:sz="4" w:space="0"/>
                    <w:left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主要危险物质及分布</w:t>
                  </w:r>
                </w:p>
              </w:tc>
              <w:tc>
                <w:tcPr>
                  <w:tcW w:w="173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物质名称</w:t>
                  </w:r>
                </w:p>
              </w:tc>
              <w:tc>
                <w:tcPr>
                  <w:tcW w:w="220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贮存位置</w:t>
                  </w:r>
                </w:p>
              </w:tc>
              <w:tc>
                <w:tcPr>
                  <w:tcW w:w="1563"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贮存方式</w:t>
                  </w:r>
                </w:p>
              </w:tc>
              <w:tc>
                <w:tcPr>
                  <w:tcW w:w="1897"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最大贮存量(t)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0" w:type="dxa"/>
                  <w:vMerge w:val="continue"/>
                  <w:tcBorders>
                    <w:left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p>
              </w:tc>
              <w:tc>
                <w:tcPr>
                  <w:tcW w:w="173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丙烯腈</w:t>
                  </w:r>
                </w:p>
              </w:tc>
              <w:tc>
                <w:tcPr>
                  <w:tcW w:w="2202" w:type="dxa"/>
                  <w:vMerge w:val="restart"/>
                  <w:tcBorders>
                    <w:top w:val="single" w:color="auto" w:sz="4" w:space="0"/>
                    <w:left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仓库</w:t>
                  </w:r>
                </w:p>
              </w:tc>
              <w:tc>
                <w:tcPr>
                  <w:tcW w:w="1563"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w:t>
                  </w:r>
                  <w:r>
                    <w:rPr>
                      <w:rFonts w:hint="eastAsia" w:eastAsia="宋体"/>
                      <w:color w:val="000000" w:themeColor="text1"/>
                      <w:szCs w:val="21"/>
                      <w14:textFill>
                        <w14:solidFill>
                          <w14:schemeClr w14:val="tx1"/>
                        </w14:solidFill>
                      </w14:textFill>
                    </w:rPr>
                    <w:t>0</w:t>
                  </w:r>
                  <w:r>
                    <w:rPr>
                      <w:rFonts w:eastAsia="宋体"/>
                      <w:color w:val="000000" w:themeColor="text1"/>
                      <w:szCs w:val="21"/>
                      <w14:textFill>
                        <w14:solidFill>
                          <w14:schemeClr w14:val="tx1"/>
                        </w14:solidFill>
                      </w14:textFill>
                    </w:rPr>
                    <w:t>0kg/桶</w:t>
                  </w:r>
                </w:p>
              </w:tc>
              <w:tc>
                <w:tcPr>
                  <w:tcW w:w="1897"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240" w:type="dxa"/>
                  <w:vMerge w:val="continue"/>
                  <w:tcBorders>
                    <w:left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p>
              </w:tc>
              <w:tc>
                <w:tcPr>
                  <w:tcW w:w="1732"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机油</w:t>
                  </w:r>
                </w:p>
              </w:tc>
              <w:tc>
                <w:tcPr>
                  <w:tcW w:w="2202" w:type="dxa"/>
                  <w:vMerge w:val="continue"/>
                  <w:tcBorders>
                    <w:left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p>
              </w:tc>
              <w:tc>
                <w:tcPr>
                  <w:tcW w:w="15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color w:val="000000" w:themeColor="text1"/>
                      <w:szCs w:val="21"/>
                      <w14:textFill>
                        <w14:solidFill>
                          <w14:schemeClr w14:val="tx1"/>
                        </w14:solidFill>
                      </w14:textFill>
                    </w:rPr>
                  </w:pPr>
                  <w:r>
                    <w:rPr>
                      <w:rFonts w:hint="eastAsia"/>
                      <w:color w:val="000000" w:themeColor="text1"/>
                      <w:sz w:val="21"/>
                      <w:szCs w:val="21"/>
                      <w14:textFill>
                        <w14:solidFill>
                          <w14:schemeClr w14:val="tx1"/>
                        </w14:solidFill>
                      </w14:textFill>
                    </w:rPr>
                    <w:t>3.5kg/塑料桶</w:t>
                  </w:r>
                </w:p>
              </w:tc>
              <w:tc>
                <w:tcPr>
                  <w:tcW w:w="1897"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环境影响途径及危害后果</w:t>
                  </w:r>
                </w:p>
              </w:tc>
              <w:tc>
                <w:tcPr>
                  <w:tcW w:w="7394" w:type="dxa"/>
                  <w:gridSpan w:val="4"/>
                  <w:tcBorders>
                    <w:top w:val="single" w:color="auto" w:sz="4" w:space="0"/>
                    <w:left w:val="single" w:color="auto" w:sz="4" w:space="0"/>
                    <w:bottom w:val="single" w:color="auto" w:sz="4" w:space="0"/>
                    <w:right w:val="single" w:color="auto" w:sz="4" w:space="0"/>
                  </w:tcBorders>
                </w:tcPr>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（1） 在化学物质储存、搬运和使用操作过程中可能发生破裂、破损，造成泄漏污染地下水，情况严重时化学物质泄漏会引发火灾。化学物质泄漏会挥发到大气环境中形成污染。</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（2）发生火灾时，事故废水中将会含有泄漏化学物质，事故废水可能通过净下水（雨水）系统排放至周边地表水。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66"/>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风险防范措施要求</w:t>
                  </w:r>
                </w:p>
              </w:tc>
              <w:tc>
                <w:tcPr>
                  <w:tcW w:w="7394" w:type="dxa"/>
                  <w:gridSpan w:val="4"/>
                  <w:tcBorders>
                    <w:top w:val="single" w:color="auto" w:sz="4" w:space="0"/>
                    <w:left w:val="single" w:color="auto" w:sz="4" w:space="0"/>
                    <w:bottom w:val="single" w:color="auto" w:sz="4" w:space="0"/>
                    <w:right w:val="single" w:color="auto" w:sz="4" w:space="0"/>
                  </w:tcBorders>
                </w:tcPr>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1、 化学物质事故风险防范措施</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（1）严格按照相关设计规范和要求落实防护设施，制定安全操作规章制度，加强安全意识教育，加强监督管理，消除事故隐患。</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（2）尽量减少化学试剂的储存量，加强流通，减少事故排放源强。</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（3）各类液体危险化学品应包装完好无损，不同化学品之间应隔开存放。</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（4）涉及到化学试剂储存的地面采用防滑防渗硬化处理。防止液体泄漏后造成对土壤和地下水的污染影响。</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（5）配备大容量的桶槽或置换桶，以防液体化学品发生泄漏时可以安全转移。</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（6）加强作业时巡视检查。建立系统规范的评估、审批、作业、监护、救援、应急程序、事故报告等管理制度。</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2、操作风险防范措施</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为防范风险事故的发生以及减缓风险事故造成的环境影响，企业已建立管理制度和操作规程。工作人员必须严格执行各自的具体工艺的操作规程及安全规程，并通过定期培训和宣传，掌握危险化学品的自我防范措施、危险品泄漏的应急措施以及正确的处置方法。</w:t>
                  </w:r>
                </w:p>
                <w:p>
                  <w:pPr>
                    <w:pStyle w:val="66"/>
                    <w:jc w:val="both"/>
                    <w:rPr>
                      <w:rFonts w:eastAsia="宋体"/>
                      <w:color w:val="000000" w:themeColor="text1"/>
                      <w:szCs w:val="21"/>
                      <w14:textFill>
                        <w14:solidFill>
                          <w14:schemeClr w14:val="tx1"/>
                        </w14:solidFill>
                      </w14:textFill>
                    </w:rPr>
                  </w:pPr>
                  <w:r>
                    <w:rPr>
                      <w:rFonts w:hint="eastAsia" w:eastAsia="宋体"/>
                      <w:color w:val="000000" w:themeColor="text1"/>
                      <w:szCs w:val="21"/>
                      <w14:textFill>
                        <w14:solidFill>
                          <w14:schemeClr w14:val="tx1"/>
                        </w14:solidFill>
                      </w14:textFill>
                    </w:rPr>
                    <w:t>3</w:t>
                  </w:r>
                  <w:r>
                    <w:rPr>
                      <w:rFonts w:eastAsia="宋体"/>
                      <w:color w:val="000000" w:themeColor="text1"/>
                      <w:szCs w:val="21"/>
                      <w14:textFill>
                        <w14:solidFill>
                          <w14:schemeClr w14:val="tx1"/>
                        </w14:solidFill>
                      </w14:textFill>
                    </w:rPr>
                    <w:t>、加强危险废物收集储运系统管理</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（1）加强员工的环保安全意识，确保危险废物安全集中收集，严禁出现将危险废物混入生活垃圾或随意丢弃现象发生。</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（2）确保危险废物集中存放于危险废物专用密封袋或专用收集桶，再集中存放于危废暂存间，并交由有资质的废物处置单位集中收运并安全处置。</w:t>
                  </w:r>
                </w:p>
                <w:p>
                  <w:pPr>
                    <w:pStyle w:val="66"/>
                    <w:jc w:val="both"/>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本项目单独建立危险废物收集系统，并设立危险废物暂存间，设计和建设符合《危险废物贮存污染控制标准》（ GB18597-2001）的要求，采取防泄漏、防渗和防火措施，并可防淋和防风，防止危险废物泄漏造成污染物扩散对环境产生污染。危险废物严格控制和管理。装运危险废物的容器应不易破损、变形、老化，能有效地防止渗漏、扩散。装有危险废物的容器必须贴有标签，在标签上详细标明危险废物的名称、重量、成分、特性以及发生泄漏、扩散污染事故时的应急措施和补救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634" w:type="dxa"/>
                  <w:gridSpan w:val="5"/>
                  <w:tcBorders>
                    <w:top w:val="single" w:color="auto" w:sz="4" w:space="0"/>
                    <w:left w:val="single" w:color="auto" w:sz="4" w:space="0"/>
                    <w:bottom w:val="single" w:color="auto" w:sz="4" w:space="0"/>
                    <w:right w:val="single" w:color="auto" w:sz="4" w:space="0"/>
                  </w:tcBorders>
                  <w:vAlign w:val="center"/>
                </w:tcPr>
                <w:p>
                  <w:pPr>
                    <w:pStyle w:val="66"/>
                    <w:jc w:val="left"/>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填表说明（列出项目相关信息及评价说明）：</w:t>
                  </w:r>
                </w:p>
                <w:p>
                  <w:pPr>
                    <w:pStyle w:val="66"/>
                    <w:jc w:val="left"/>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（1）项目概况</w:t>
                  </w:r>
                  <w:r>
                    <w:rPr>
                      <w:rFonts w:hint="eastAsia" w:eastAsia="宋体"/>
                      <w:color w:val="000000" w:themeColor="text1"/>
                      <w:szCs w:val="21"/>
                      <w14:textFill>
                        <w14:solidFill>
                          <w14:schemeClr w14:val="tx1"/>
                        </w14:solidFill>
                      </w14:textFill>
                    </w:rPr>
                    <w:t>：</w:t>
                  </w:r>
                  <w:r>
                    <w:rPr>
                      <w:rFonts w:eastAsia="宋体"/>
                      <w:color w:val="000000" w:themeColor="text1"/>
                      <w:szCs w:val="21"/>
                      <w14:textFill>
                        <w14:solidFill>
                          <w14:schemeClr w14:val="tx1"/>
                        </w14:solidFill>
                      </w14:textFill>
                    </w:rPr>
                    <w:t>项目占地面积约</w:t>
                  </w:r>
                  <w:r>
                    <w:rPr>
                      <w:rFonts w:hint="eastAsia" w:eastAsia="宋体"/>
                      <w:color w:val="000000" w:themeColor="text1"/>
                      <w:szCs w:val="21"/>
                      <w14:textFill>
                        <w14:solidFill>
                          <w14:schemeClr w14:val="tx1"/>
                        </w14:solidFill>
                      </w14:textFill>
                    </w:rPr>
                    <w:t>5473</w:t>
                  </w:r>
                  <w:r>
                    <w:rPr>
                      <w:rFonts w:eastAsia="宋体"/>
                      <w:color w:val="000000" w:themeColor="text1"/>
                      <w:szCs w:val="21"/>
                      <w14:textFill>
                        <w14:solidFill>
                          <w14:schemeClr w14:val="tx1"/>
                        </w14:solidFill>
                      </w14:textFill>
                    </w:rPr>
                    <w:t>m</w:t>
                  </w:r>
                  <w:r>
                    <w:rPr>
                      <w:rFonts w:eastAsia="宋体"/>
                      <w:color w:val="000000" w:themeColor="text1"/>
                      <w:szCs w:val="21"/>
                      <w:vertAlign w:val="superscript"/>
                      <w14:textFill>
                        <w14:solidFill>
                          <w14:schemeClr w14:val="tx1"/>
                        </w14:solidFill>
                      </w14:textFill>
                    </w:rPr>
                    <w:t>2</w:t>
                  </w:r>
                  <w:r>
                    <w:rPr>
                      <w:rFonts w:eastAsia="宋体"/>
                      <w:color w:val="000000" w:themeColor="text1"/>
                      <w:szCs w:val="21"/>
                      <w14:textFill>
                        <w14:solidFill>
                          <w14:schemeClr w14:val="tx1"/>
                        </w14:solidFill>
                      </w14:textFill>
                    </w:rPr>
                    <w:t>，</w:t>
                  </w:r>
                  <w:r>
                    <w:rPr>
                      <w:rFonts w:hint="eastAsia" w:eastAsia="宋体"/>
                      <w:color w:val="000000" w:themeColor="text1"/>
                      <w:szCs w:val="21"/>
                      <w14:textFill>
                        <w14:solidFill>
                          <w14:schemeClr w14:val="tx1"/>
                        </w14:solidFill>
                      </w14:textFill>
                    </w:rPr>
                    <w:t>建设完成后达到年产4亿平方米隔膜涂布的生产能力</w:t>
                  </w:r>
                  <w:r>
                    <w:rPr>
                      <w:rFonts w:eastAsia="宋体"/>
                      <w:color w:val="000000" w:themeColor="text1"/>
                      <w:szCs w:val="21"/>
                      <w14:textFill>
                        <w14:solidFill>
                          <w14:schemeClr w14:val="tx1"/>
                        </w14:solidFill>
                      </w14:textFill>
                    </w:rPr>
                    <w:t>。</w:t>
                  </w:r>
                </w:p>
                <w:p>
                  <w:pPr>
                    <w:pStyle w:val="66"/>
                    <w:jc w:val="left"/>
                    <w:rPr>
                      <w:rFonts w:eastAsia="宋体"/>
                      <w:color w:val="000000" w:themeColor="text1"/>
                      <w:szCs w:val="21"/>
                      <w14:textFill>
                        <w14:solidFill>
                          <w14:schemeClr w14:val="tx1"/>
                        </w14:solidFill>
                      </w14:textFill>
                    </w:rPr>
                  </w:pPr>
                  <w:r>
                    <w:rPr>
                      <w:rFonts w:eastAsia="宋体"/>
                      <w:color w:val="000000" w:themeColor="text1"/>
                      <w:szCs w:val="21"/>
                      <w14:textFill>
                        <w14:solidFill>
                          <w14:schemeClr w14:val="tx1"/>
                        </w14:solidFill>
                      </w14:textFill>
                    </w:rPr>
                    <w:t>（2）项目环境风险潜势为Ⅰ级，项目风险评价工作等级为简单分析。</w:t>
                  </w:r>
                </w:p>
              </w:tc>
            </w:tr>
          </w:tbl>
          <w:p>
            <w:pPr>
              <w:adjustRightInd w:val="0"/>
              <w:snapToGrid w:val="0"/>
              <w:spacing w:line="360" w:lineRule="auto"/>
              <w:ind w:firstLine="480" w:firstLineChars="200"/>
              <w:rPr>
                <w:color w:val="000000" w:themeColor="text1"/>
                <w14:textFill>
                  <w14:solidFill>
                    <w14:schemeClr w14:val="tx1"/>
                  </w14:solidFill>
                </w14:textFill>
              </w:rPr>
            </w:pPr>
          </w:p>
          <w:p>
            <w:pPr>
              <w:spacing w:line="360" w:lineRule="auto"/>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（八）电磁辐射</w:t>
            </w:r>
          </w:p>
          <w:p>
            <w:pPr>
              <w:spacing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本项目不涉及电磁辐射源。</w:t>
            </w:r>
          </w:p>
          <w:p>
            <w:pPr>
              <w:spacing w:line="360" w:lineRule="auto"/>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（九）</w:t>
            </w:r>
            <w:r>
              <w:rPr>
                <w:b/>
                <w:color w:val="000000" w:themeColor="text1"/>
                <w14:textFill>
                  <w14:solidFill>
                    <w14:schemeClr w14:val="tx1"/>
                  </w14:solidFill>
                </w14:textFill>
              </w:rPr>
              <w:t>环保投资</w:t>
            </w:r>
          </w:p>
          <w:p>
            <w:pPr>
              <w:spacing w:line="360" w:lineRule="auto"/>
              <w:ind w:firstLine="480"/>
              <w:rPr>
                <w:b/>
                <w:color w:val="000000" w:themeColor="text1"/>
                <w:kern w:val="0"/>
                <w14:textFill>
                  <w14:solidFill>
                    <w14:schemeClr w14:val="tx1"/>
                  </w14:solidFill>
                </w14:textFill>
              </w:rPr>
            </w:pPr>
            <w:r>
              <w:rPr>
                <w:color w:val="000000" w:themeColor="text1"/>
                <w14:textFill>
                  <w14:solidFill>
                    <w14:schemeClr w14:val="tx1"/>
                  </w14:solidFill>
                </w14:textFill>
              </w:rPr>
              <w:t>该项目总</w:t>
            </w:r>
            <w:r>
              <w:rPr>
                <w:bCs/>
                <w:color w:val="000000" w:themeColor="text1"/>
                <w14:textFill>
                  <w14:solidFill>
                    <w14:schemeClr w14:val="tx1"/>
                  </w14:solidFill>
                </w14:textFill>
              </w:rPr>
              <w:t>投资</w:t>
            </w:r>
            <w:r>
              <w:rPr>
                <w:rFonts w:hint="eastAsia"/>
                <w:bCs/>
                <w:color w:val="000000" w:themeColor="text1"/>
                <w14:textFill>
                  <w14:solidFill>
                    <w14:schemeClr w14:val="tx1"/>
                  </w14:solidFill>
                </w14:textFill>
              </w:rPr>
              <w:t>15000</w:t>
            </w:r>
            <w:r>
              <w:rPr>
                <w:color w:val="000000" w:themeColor="text1"/>
                <w14:textFill>
                  <w14:solidFill>
                    <w14:schemeClr w14:val="tx1"/>
                  </w14:solidFill>
                </w14:textFill>
              </w:rPr>
              <w:t>万元</w:t>
            </w:r>
            <w:r>
              <w:rPr>
                <w:bCs/>
                <w:color w:val="000000" w:themeColor="text1"/>
                <w14:textFill>
                  <w14:solidFill>
                    <w14:schemeClr w14:val="tx1"/>
                  </w14:solidFill>
                </w14:textFill>
              </w:rPr>
              <w:t>，其中环保投资</w:t>
            </w:r>
            <w:r>
              <w:rPr>
                <w:rFonts w:hint="eastAsia"/>
                <w:bCs/>
                <w:color w:val="000000" w:themeColor="text1"/>
                <w14:textFill>
                  <w14:solidFill>
                    <w14:schemeClr w14:val="tx1"/>
                  </w14:solidFill>
                </w14:textFill>
              </w:rPr>
              <w:t>70</w:t>
            </w:r>
            <w:r>
              <w:rPr>
                <w:bCs/>
                <w:color w:val="000000" w:themeColor="text1"/>
                <w14:textFill>
                  <w14:solidFill>
                    <w14:schemeClr w14:val="tx1"/>
                  </w14:solidFill>
                </w14:textFill>
              </w:rPr>
              <w:t>万元，占总投资的</w:t>
            </w:r>
            <w:r>
              <w:rPr>
                <w:rFonts w:hint="eastAsia"/>
                <w:bCs/>
                <w:color w:val="000000" w:themeColor="text1"/>
                <w14:textFill>
                  <w14:solidFill>
                    <w14:schemeClr w14:val="tx1"/>
                  </w14:solidFill>
                </w14:textFill>
              </w:rPr>
              <w:t>0.467</w:t>
            </w:r>
            <w:r>
              <w:rPr>
                <w:bCs/>
                <w:color w:val="000000" w:themeColor="text1"/>
                <w14:textFill>
                  <w14:solidFill>
                    <w14:schemeClr w14:val="tx1"/>
                  </w14:solidFill>
                </w14:textFill>
              </w:rPr>
              <w:t>%，主要用于大气、废水、固体废物和噪声污染的治理。环保投资估算详见下表。</w:t>
            </w:r>
          </w:p>
          <w:p>
            <w:pPr>
              <w:adjustRightInd w:val="0"/>
              <w:snapToGrid w:val="0"/>
              <w:spacing w:line="360" w:lineRule="auto"/>
              <w:jc w:val="center"/>
              <w:rPr>
                <w:b/>
                <w:bCs/>
                <w:color w:val="000000" w:themeColor="text1"/>
                <w:sz w:val="21"/>
                <w:szCs w:val="21"/>
                <w14:textFill>
                  <w14:solidFill>
                    <w14:schemeClr w14:val="tx1"/>
                  </w14:solidFill>
                </w14:textFill>
              </w:rPr>
            </w:pPr>
            <w:r>
              <w:rPr>
                <w:rFonts w:hint="eastAsia"/>
                <w:b/>
                <w:bCs/>
                <w:color w:val="000000" w:themeColor="text1"/>
                <w:lang w:val="zh-CN"/>
                <w14:textFill>
                  <w14:solidFill>
                    <w14:schemeClr w14:val="tx1"/>
                  </w14:solidFill>
                </w14:textFill>
              </w:rPr>
              <w:t>表4-</w:t>
            </w:r>
            <w:r>
              <w:rPr>
                <w:rFonts w:hint="eastAsia"/>
                <w:b/>
                <w:bCs/>
                <w:color w:val="000000" w:themeColor="text1"/>
                <w14:textFill>
                  <w14:solidFill>
                    <w14:schemeClr w14:val="tx1"/>
                  </w14:solidFill>
                </w14:textFill>
              </w:rPr>
              <w:t>27</w:t>
            </w:r>
            <w:r>
              <w:rPr>
                <w:rFonts w:hint="eastAsia"/>
                <w:b/>
                <w:bCs/>
                <w:color w:val="000000" w:themeColor="text1"/>
                <w:lang w:val="zh-CN"/>
                <w14:textFill>
                  <w14:solidFill>
                    <w14:schemeClr w14:val="tx1"/>
                  </w14:solidFill>
                </w14:textFill>
              </w:rPr>
              <w:t xml:space="preserve"> 环保治理投资估算</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512"/>
              <w:gridCol w:w="1614"/>
              <w:gridCol w:w="5295"/>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序号</w:t>
                  </w:r>
                </w:p>
              </w:tc>
              <w:tc>
                <w:tcPr>
                  <w:tcW w:w="2126" w:type="dxa"/>
                  <w:gridSpan w:val="2"/>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类别</w:t>
                  </w:r>
                </w:p>
              </w:tc>
              <w:tc>
                <w:tcPr>
                  <w:tcW w:w="5295"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项目</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1</w:t>
                  </w:r>
                </w:p>
              </w:tc>
              <w:tc>
                <w:tcPr>
                  <w:tcW w:w="51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废水</w:t>
                  </w:r>
                </w:p>
              </w:tc>
              <w:tc>
                <w:tcPr>
                  <w:tcW w:w="1614"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生活污水</w:t>
                  </w:r>
                  <w:r>
                    <w:rPr>
                      <w:rFonts w:hint="eastAsia"/>
                      <w:color w:val="000000" w:themeColor="text1"/>
                      <w:kern w:val="0"/>
                      <w:sz w:val="21"/>
                      <w:szCs w:val="21"/>
                      <w:lang w:bidi="ar"/>
                      <w14:textFill>
                        <w14:solidFill>
                          <w14:schemeClr w14:val="tx1"/>
                        </w14:solidFill>
                      </w14:textFill>
                    </w:rPr>
                    <w:t>、地面清洗</w:t>
                  </w:r>
                </w:p>
              </w:tc>
              <w:tc>
                <w:tcPr>
                  <w:tcW w:w="5295" w:type="dxa"/>
                  <w:vAlign w:val="center"/>
                </w:tcPr>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本项目办公生活污水、地面清洗废水经化粪池预处理，排入市政管网</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2</w:t>
                  </w:r>
                </w:p>
              </w:tc>
              <w:tc>
                <w:tcPr>
                  <w:tcW w:w="512"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废气</w:t>
                  </w:r>
                </w:p>
              </w:tc>
              <w:tc>
                <w:tcPr>
                  <w:tcW w:w="1614"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涂布废气</w:t>
                  </w:r>
                </w:p>
              </w:tc>
              <w:tc>
                <w:tcPr>
                  <w:tcW w:w="5295" w:type="dxa"/>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涂布产生的非甲烷总烃通过涂布机上方布置的集气罩收集后，废气汇集至1套二级活性炭吸附装置处理（TA001），尾气通过1根15米高的排气筒DA001排放</w:t>
                  </w:r>
                </w:p>
              </w:tc>
              <w:tc>
                <w:tcPr>
                  <w:tcW w:w="721"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51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614" w:type="dxa"/>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烘干废气</w:t>
                  </w:r>
                </w:p>
              </w:tc>
              <w:tc>
                <w:tcPr>
                  <w:tcW w:w="5295" w:type="dxa"/>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烘干产生的非甲烷总烃通过烘箱内部的集气系统收集后，废气汇集至1套二级活性炭吸附装置处理（TA001），尾气通过1根15米高的排气筒DA001排放</w:t>
                  </w:r>
                </w:p>
              </w:tc>
              <w:tc>
                <w:tcPr>
                  <w:tcW w:w="721"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tcBorders>
                    <w:bottom w:val="single" w:color="auto" w:sz="4" w:space="0"/>
                  </w:tcBorders>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3</w:t>
                  </w:r>
                </w:p>
              </w:tc>
              <w:tc>
                <w:tcPr>
                  <w:tcW w:w="2126" w:type="dxa"/>
                  <w:gridSpan w:val="2"/>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噪声</w:t>
                  </w:r>
                </w:p>
              </w:tc>
              <w:tc>
                <w:tcPr>
                  <w:tcW w:w="5295" w:type="dxa"/>
                  <w:vAlign w:val="center"/>
                </w:tcPr>
                <w:p>
                  <w:pPr>
                    <w:widowControl/>
                    <w:jc w:val="left"/>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优选低噪设备、基础减振、合理布局、墙体隔声</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492"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4</w:t>
                  </w:r>
                </w:p>
              </w:tc>
              <w:tc>
                <w:tcPr>
                  <w:tcW w:w="512" w:type="dxa"/>
                  <w:vMerge w:val="restart"/>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固废</w:t>
                  </w:r>
                </w:p>
              </w:tc>
              <w:tc>
                <w:tcPr>
                  <w:tcW w:w="1614" w:type="dxa"/>
                  <w:vAlign w:val="center"/>
                </w:tcPr>
                <w:p>
                  <w:pPr>
                    <w:jc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生活垃圾</w:t>
                  </w:r>
                </w:p>
              </w:tc>
              <w:tc>
                <w:tcPr>
                  <w:tcW w:w="5295" w:type="dxa"/>
                  <w:vAlign w:val="center"/>
                </w:tcPr>
                <w:p>
                  <w:pPr>
                    <w:jc w:val="left"/>
                    <w:rPr>
                      <w:color w:val="000000" w:themeColor="text1"/>
                      <w:kern w:val="0"/>
                      <w:sz w:val="21"/>
                      <w:szCs w:val="21"/>
                      <w:lang w:bidi="ar"/>
                      <w14:textFill>
                        <w14:solidFill>
                          <w14:schemeClr w14:val="tx1"/>
                        </w14:solidFill>
                      </w14:textFill>
                    </w:rPr>
                  </w:pPr>
                  <w:r>
                    <w:rPr>
                      <w:rFonts w:hint="eastAsia"/>
                      <w:color w:val="000000" w:themeColor="text1"/>
                      <w:sz w:val="21"/>
                      <w:szCs w:val="21"/>
                      <w14:textFill>
                        <w14:solidFill>
                          <w14:schemeClr w14:val="tx1"/>
                        </w14:solidFill>
                      </w14:textFill>
                    </w:rPr>
                    <w:t>生活垃圾设置生活垃圾分类收集站，后由环卫部门处置</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49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51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614" w:type="dxa"/>
                  <w:vAlign w:val="center"/>
                </w:tcPr>
                <w:p>
                  <w:pPr>
                    <w:jc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一般工业固废</w:t>
                  </w:r>
                </w:p>
              </w:tc>
              <w:tc>
                <w:tcPr>
                  <w:tcW w:w="5295" w:type="dxa"/>
                  <w:vAlign w:val="center"/>
                </w:tcPr>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一般固体废物暂存场所</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49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512" w:type="dxa"/>
                  <w:vMerge w:val="continue"/>
                  <w:vAlign w:val="center"/>
                </w:tcPr>
                <w:p>
                  <w:pPr>
                    <w:widowControl/>
                    <w:jc w:val="center"/>
                    <w:textAlignment w:val="center"/>
                    <w:rPr>
                      <w:color w:val="000000" w:themeColor="text1"/>
                      <w:kern w:val="0"/>
                      <w:sz w:val="21"/>
                      <w:szCs w:val="21"/>
                      <w:lang w:bidi="ar"/>
                      <w14:textFill>
                        <w14:solidFill>
                          <w14:schemeClr w14:val="tx1"/>
                        </w14:solidFill>
                      </w14:textFill>
                    </w:rPr>
                  </w:pPr>
                </w:p>
              </w:tc>
              <w:tc>
                <w:tcPr>
                  <w:tcW w:w="1614" w:type="dxa"/>
                  <w:vAlign w:val="center"/>
                </w:tcPr>
                <w:p>
                  <w:pPr>
                    <w:jc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危险废物</w:t>
                  </w:r>
                </w:p>
              </w:tc>
              <w:tc>
                <w:tcPr>
                  <w:tcW w:w="5295" w:type="dxa"/>
                  <w:vAlign w:val="center"/>
                </w:tcPr>
                <w:p>
                  <w:pPr>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危险废物暂存场所</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5</w:t>
                  </w:r>
                </w:p>
              </w:tc>
              <w:tc>
                <w:tcPr>
                  <w:tcW w:w="2126" w:type="dxa"/>
                  <w:gridSpan w:val="2"/>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地下水、土壤防渗</w:t>
                  </w:r>
                </w:p>
              </w:tc>
              <w:tc>
                <w:tcPr>
                  <w:tcW w:w="5295" w:type="dxa"/>
                  <w:vAlign w:val="center"/>
                </w:tcPr>
                <w:p>
                  <w:pPr>
                    <w:widowControl/>
                    <w:jc w:val="left"/>
                    <w:textAlignment w:val="center"/>
                    <w:rPr>
                      <w:color w:val="000000" w:themeColor="text1"/>
                      <w:kern w:val="0"/>
                      <w:sz w:val="21"/>
                      <w:szCs w:val="21"/>
                      <w:lang w:bidi="ar"/>
                      <w14:textFill>
                        <w14:solidFill>
                          <w14:schemeClr w14:val="tx1"/>
                        </w14:solidFill>
                      </w14:textFill>
                    </w:rPr>
                  </w:pPr>
                  <w:r>
                    <w:rPr>
                      <w:rFonts w:hint="eastAsia"/>
                      <w:color w:val="000000" w:themeColor="text1"/>
                      <w:sz w:val="21"/>
                      <w:szCs w:val="21"/>
                      <w14:textFill>
                        <w14:solidFill>
                          <w14:schemeClr w14:val="tx1"/>
                        </w14:solidFill>
                      </w14:textFill>
                    </w:rPr>
                    <w:t>危废库和化学品库</w:t>
                  </w:r>
                  <w:r>
                    <w:rPr>
                      <w:color w:val="000000" w:themeColor="text1"/>
                      <w:sz w:val="21"/>
                      <w:szCs w:val="21"/>
                      <w14:textFill>
                        <w14:solidFill>
                          <w14:schemeClr w14:val="tx1"/>
                        </w14:solidFill>
                      </w14:textFill>
                    </w:rPr>
                    <w:t>采取重点防渗；一般固废暂存场所一般防渗</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92"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6</w:t>
                  </w:r>
                </w:p>
              </w:tc>
              <w:tc>
                <w:tcPr>
                  <w:tcW w:w="2126" w:type="dxa"/>
                  <w:gridSpan w:val="2"/>
                  <w:vAlign w:val="center"/>
                </w:tcPr>
                <w:p>
                  <w:pPr>
                    <w:widowControl/>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风险</w:t>
                  </w:r>
                </w:p>
              </w:tc>
              <w:tc>
                <w:tcPr>
                  <w:tcW w:w="5295" w:type="dxa"/>
                  <w:vAlign w:val="center"/>
                </w:tcPr>
                <w:p>
                  <w:pPr>
                    <w:widowControl/>
                    <w:jc w:val="left"/>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设消防、火灾报警系统</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913" w:type="dxa"/>
                  <w:gridSpan w:val="4"/>
                  <w:tcBorders>
                    <w:bottom w:val="single" w:color="auto" w:sz="4" w:space="0"/>
                  </w:tcBorders>
                  <w:vAlign w:val="center"/>
                </w:tcPr>
                <w:p>
                  <w:pPr>
                    <w:widowControl/>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合 计</w:t>
                  </w:r>
                </w:p>
              </w:tc>
              <w:tc>
                <w:tcPr>
                  <w:tcW w:w="721" w:type="dxa"/>
                  <w:vAlign w:val="center"/>
                </w:tcPr>
                <w:p>
                  <w:pPr>
                    <w:widowControl/>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70</w:t>
                  </w:r>
                </w:p>
              </w:tc>
            </w:tr>
          </w:tbl>
          <w:p>
            <w:pPr>
              <w:spacing w:line="360" w:lineRule="auto"/>
              <w:ind w:firstLine="480" w:firstLineChars="200"/>
              <w:jc w:val="left"/>
              <w:rPr>
                <w:color w:val="000000" w:themeColor="text1"/>
                <w:highlight w:val="yellow"/>
                <w14:textFill>
                  <w14:solidFill>
                    <w14:schemeClr w14:val="tx1"/>
                  </w14:solidFill>
                </w14:textFill>
              </w:rPr>
            </w:pPr>
          </w:p>
        </w:tc>
      </w:tr>
    </w:tbl>
    <w:p>
      <w:pPr>
        <w:pStyle w:val="21"/>
        <w:jc w:val="center"/>
        <w:rPr>
          <w:rFonts w:ascii="黑体" w:hAnsi="黑体" w:eastAsia="黑体"/>
          <w:snapToGrid w:val="0"/>
          <w:color w:val="000000" w:themeColor="text1"/>
          <w:sz w:val="30"/>
          <w:szCs w:val="30"/>
          <w:highlight w:val="yellow"/>
          <w14:textFill>
            <w14:solidFill>
              <w14:schemeClr w14:val="tx1"/>
            </w14:solidFill>
          </w14:textFill>
        </w:rPr>
        <w:sectPr>
          <w:type w:val="continuous"/>
          <w:pgSz w:w="11906" w:h="16838"/>
          <w:pgMar w:top="1440" w:right="1417" w:bottom="1440" w:left="1417" w:header="851" w:footer="992" w:gutter="0"/>
          <w:cols w:space="425" w:num="1"/>
          <w:docGrid w:type="lines" w:linePitch="312" w:charSpace="0"/>
        </w:sectPr>
      </w:pPr>
    </w:p>
    <w:p>
      <w:pPr>
        <w:pStyle w:val="25"/>
        <w:spacing w:before="0" w:beforeAutospacing="0" w:after="0" w:afterAutospacing="0"/>
        <w:jc w:val="center"/>
        <w:outlineLvl w:val="0"/>
        <w:rPr>
          <w:rFonts w:ascii="黑体" w:hAnsi="黑体" w:eastAsia="黑体"/>
          <w:snapToGrid w:val="0"/>
          <w:color w:val="000000" w:themeColor="text1"/>
          <w:sz w:val="30"/>
          <w:szCs w:val="30"/>
          <w14:textFill>
            <w14:solidFill>
              <w14:schemeClr w14:val="tx1"/>
            </w14:solidFill>
          </w14:textFill>
        </w:rPr>
      </w:pPr>
      <w:bookmarkStart w:id="9" w:name="_Toc30237"/>
      <w:bookmarkStart w:id="10" w:name="_Toc12577"/>
      <w:r>
        <w:rPr>
          <w:rFonts w:hint="eastAsia" w:ascii="黑体" w:hAnsi="黑体" w:eastAsia="黑体"/>
          <w:snapToGrid w:val="0"/>
          <w:color w:val="000000" w:themeColor="text1"/>
          <w:sz w:val="30"/>
          <w:szCs w:val="30"/>
          <w14:textFill>
            <w14:solidFill>
              <w14:schemeClr w14:val="tx1"/>
            </w14:solidFill>
          </w14:textFill>
        </w:rPr>
        <w:t>五、</w:t>
      </w:r>
      <w:bookmarkStart w:id="11"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9"/>
      <w:bookmarkEnd w:id="10"/>
      <w:bookmarkEnd w:id="11"/>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050"/>
        <w:gridCol w:w="1607"/>
        <w:gridCol w:w="3189"/>
        <w:gridCol w:w="23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tcBorders>
              <w:tl2br w:val="single" w:color="auto" w:sz="4" w:space="0"/>
            </w:tcBorders>
          </w:tcPr>
          <w:p>
            <w:pPr>
              <w:spacing w:line="360" w:lineRule="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 xml:space="preserve">   </w:t>
            </w:r>
            <w:r>
              <w:rPr>
                <w:color w:val="000000" w:themeColor="text1"/>
                <w:sz w:val="21"/>
                <w:szCs w:val="21"/>
                <w14:textFill>
                  <w14:solidFill>
                    <w14:schemeClr w14:val="tx1"/>
                  </w14:solidFill>
                </w14:textFill>
              </w:rPr>
              <w:t>内容</w:t>
            </w:r>
          </w:p>
          <w:p>
            <w:pPr>
              <w:spacing w:line="360" w:lineRule="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要素</w:t>
            </w:r>
          </w:p>
        </w:tc>
        <w:tc>
          <w:tcPr>
            <w:tcW w:w="565"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排放口/污染源</w:t>
            </w:r>
          </w:p>
        </w:tc>
        <w:tc>
          <w:tcPr>
            <w:tcW w:w="865"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污染物项目</w:t>
            </w:r>
          </w:p>
        </w:tc>
        <w:tc>
          <w:tcPr>
            <w:tcW w:w="1717"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环境保护措施</w:t>
            </w:r>
          </w:p>
        </w:tc>
        <w:tc>
          <w:tcPr>
            <w:tcW w:w="1245"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Merge w:val="restar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大气环境</w:t>
            </w:r>
          </w:p>
        </w:tc>
        <w:tc>
          <w:tcPr>
            <w:tcW w:w="565"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DA001排气筒</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717" w:type="pct"/>
            <w:vAlign w:val="center"/>
          </w:tcPr>
          <w:p>
            <w:pPr>
              <w:adjustRightInd w:val="0"/>
              <w:spacing w:line="240" w:lineRule="atLeast"/>
              <w:jc w:val="center"/>
              <w:rPr>
                <w:color w:val="000000" w:themeColor="text1"/>
                <w:kern w:val="0"/>
                <w:sz w:val="21"/>
                <w:szCs w:val="21"/>
                <w:lang w:bidi="ar"/>
                <w14:textFill>
                  <w14:solidFill>
                    <w14:schemeClr w14:val="tx1"/>
                  </w14:solidFill>
                </w14:textFill>
              </w:rPr>
            </w:pPr>
            <w:r>
              <w:rPr>
                <w:rFonts w:hint="eastAsia"/>
                <w:color w:val="000000" w:themeColor="text1"/>
                <w:sz w:val="21"/>
                <w:szCs w:val="21"/>
                <w14:textFill>
                  <w14:solidFill>
                    <w14:schemeClr w14:val="tx1"/>
                  </w14:solidFill>
                </w14:textFill>
              </w:rPr>
              <w:t>涂布产生的非甲烷总烃通过涂布机上方布置的集气罩收集后，废气汇集至1套二级活性炭吸附装置处理（TA001），尾气通过1根15米高的排气筒DA001排放</w:t>
            </w:r>
          </w:p>
        </w:tc>
        <w:tc>
          <w:tcPr>
            <w:tcW w:w="1245" w:type="pct"/>
            <w:vMerge w:val="restart"/>
            <w:vAlign w:val="center"/>
          </w:tcPr>
          <w:p>
            <w:pPr>
              <w:widowControl/>
              <w:spacing w:line="240" w:lineRule="atLeast"/>
              <w:jc w:val="center"/>
              <w:rPr>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执行《合成树脂工业污染物排放标准》（GB31732-2015）表5大气污染物特别排放限值以及表9企业边界大气污染物浓度限值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Merge w:val="continue"/>
            <w:vAlign w:val="center"/>
          </w:tcPr>
          <w:p>
            <w:pPr>
              <w:spacing w:line="360" w:lineRule="auto"/>
              <w:jc w:val="center"/>
              <w:rPr>
                <w:color w:val="000000" w:themeColor="text1"/>
                <w:sz w:val="21"/>
                <w:szCs w:val="21"/>
                <w14:textFill>
                  <w14:solidFill>
                    <w14:schemeClr w14:val="tx1"/>
                  </w14:solidFill>
                </w14:textFill>
              </w:rPr>
            </w:pPr>
          </w:p>
        </w:tc>
        <w:tc>
          <w:tcPr>
            <w:tcW w:w="565" w:type="pct"/>
            <w:vAlign w:val="center"/>
          </w:tcPr>
          <w:p>
            <w:pPr>
              <w:widowControl/>
              <w:spacing w:line="240" w:lineRule="atLeast"/>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DA001排气筒</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717" w:type="pct"/>
            <w:vAlign w:val="center"/>
          </w:tcPr>
          <w:p>
            <w:pPr>
              <w:adjustRightInd w:val="0"/>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烘干产生的非甲烷总烃通过烘箱内部的集气系统收集后，废气汇集至1套二级活性炭吸附装置处理（TA001），尾气通过1根15米高的排气筒DA001排放</w:t>
            </w:r>
          </w:p>
        </w:tc>
        <w:tc>
          <w:tcPr>
            <w:tcW w:w="1245" w:type="pct"/>
            <w:vMerge w:val="continue"/>
            <w:vAlign w:val="center"/>
          </w:tcPr>
          <w:p>
            <w:pPr>
              <w:widowControl/>
              <w:spacing w:line="240" w:lineRule="atLeast"/>
              <w:jc w:val="center"/>
              <w:rPr>
                <w:rFonts w:hAnsi="宋体"/>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Merge w:val="continue"/>
            <w:vAlign w:val="center"/>
          </w:tcPr>
          <w:p>
            <w:pPr>
              <w:spacing w:line="360" w:lineRule="auto"/>
              <w:jc w:val="center"/>
              <w:rPr>
                <w:color w:val="000000" w:themeColor="text1"/>
                <w:sz w:val="21"/>
                <w:szCs w:val="21"/>
                <w14:textFill>
                  <w14:solidFill>
                    <w14:schemeClr w14:val="tx1"/>
                  </w14:solidFill>
                </w14:textFill>
              </w:rPr>
            </w:pPr>
          </w:p>
        </w:tc>
        <w:tc>
          <w:tcPr>
            <w:tcW w:w="5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车间</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非甲烷总烃</w:t>
            </w:r>
          </w:p>
        </w:tc>
        <w:tc>
          <w:tcPr>
            <w:tcW w:w="1717" w:type="pct"/>
            <w:vAlign w:val="center"/>
          </w:tcPr>
          <w:p>
            <w:pPr>
              <w:widowControl/>
              <w:spacing w:line="240" w:lineRule="atLeast"/>
              <w:jc w:val="center"/>
              <w:rPr>
                <w:color w:val="000000" w:themeColor="text1"/>
                <w:sz w:val="21"/>
                <w:szCs w:val="21"/>
                <w14:textFill>
                  <w14:solidFill>
                    <w14:schemeClr w14:val="tx1"/>
                  </w14:solidFill>
                </w14:textFill>
              </w:rPr>
            </w:pPr>
            <w:r>
              <w:rPr>
                <w:rStyle w:val="35"/>
                <w:rFonts w:hint="eastAsia"/>
                <w:color w:val="000000" w:themeColor="text1"/>
                <w:szCs w:val="21"/>
                <w14:textFill>
                  <w14:solidFill>
                    <w14:schemeClr w14:val="tx1"/>
                  </w14:solidFill>
                </w14:textFill>
              </w:rPr>
              <w:t>采取车间封闭、加强管理</w:t>
            </w:r>
          </w:p>
        </w:tc>
        <w:tc>
          <w:tcPr>
            <w:tcW w:w="1245" w:type="pct"/>
            <w:vMerge w:val="continue"/>
            <w:vAlign w:val="center"/>
          </w:tcPr>
          <w:p>
            <w:pPr>
              <w:widowControl/>
              <w:spacing w:line="240" w:lineRule="atLeast"/>
              <w:jc w:val="center"/>
              <w:rPr>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Merge w:val="restar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地表水环境</w:t>
            </w:r>
          </w:p>
        </w:tc>
        <w:tc>
          <w:tcPr>
            <w:tcW w:w="5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办公生活污水、地面清洗</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COD、BOD</w:t>
            </w:r>
            <w:r>
              <w:rPr>
                <w:rFonts w:hint="eastAsia"/>
                <w:color w:val="000000" w:themeColor="text1"/>
                <w:sz w:val="21"/>
                <w:szCs w:val="21"/>
                <w:vertAlign w:val="subscript"/>
                <w14:textFill>
                  <w14:solidFill>
                    <w14:schemeClr w14:val="tx1"/>
                  </w14:solidFill>
                </w14:textFill>
              </w:rPr>
              <w:t>5</w:t>
            </w:r>
            <w:r>
              <w:rPr>
                <w:rFonts w:hint="eastAsia"/>
                <w:color w:val="000000" w:themeColor="text1"/>
                <w:sz w:val="21"/>
                <w:szCs w:val="21"/>
                <w14:textFill>
                  <w14:solidFill>
                    <w14:schemeClr w14:val="tx1"/>
                  </w14:solidFill>
                </w14:textFill>
              </w:rPr>
              <w:t>、NH</w:t>
            </w:r>
            <w:r>
              <w:rPr>
                <w:rFonts w:hint="eastAsia"/>
                <w:color w:val="000000" w:themeColor="text1"/>
                <w:sz w:val="21"/>
                <w:szCs w:val="21"/>
                <w:vertAlign w:val="subscript"/>
                <w14:textFill>
                  <w14:solidFill>
                    <w14:schemeClr w14:val="tx1"/>
                  </w14:solidFill>
                </w14:textFill>
              </w:rPr>
              <w:t>3</w:t>
            </w:r>
            <w:r>
              <w:rPr>
                <w:rFonts w:hint="eastAsia"/>
                <w:color w:val="000000" w:themeColor="text1"/>
                <w:sz w:val="21"/>
                <w:szCs w:val="21"/>
                <w14:textFill>
                  <w14:solidFill>
                    <w14:schemeClr w14:val="tx1"/>
                  </w14:solidFill>
                </w14:textFill>
              </w:rPr>
              <w:t>-N、SS</w:t>
            </w:r>
          </w:p>
        </w:tc>
        <w:tc>
          <w:tcPr>
            <w:tcW w:w="1717"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化粪池预处理</w:t>
            </w:r>
          </w:p>
        </w:tc>
        <w:tc>
          <w:tcPr>
            <w:tcW w:w="1245" w:type="pct"/>
            <w:vMerge w:val="restar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排入市政污水管网，后排入芜湖市江北污水处理厂进行处理，处理达标后排入长江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Merge w:val="continue"/>
            <w:vAlign w:val="center"/>
          </w:tcPr>
          <w:p>
            <w:pPr>
              <w:spacing w:line="360" w:lineRule="auto"/>
              <w:jc w:val="center"/>
              <w:rPr>
                <w:color w:val="000000" w:themeColor="text1"/>
                <w:sz w:val="21"/>
                <w:szCs w:val="21"/>
                <w14:textFill>
                  <w14:solidFill>
                    <w14:schemeClr w14:val="tx1"/>
                  </w14:solidFill>
                </w14:textFill>
              </w:rPr>
            </w:pPr>
          </w:p>
        </w:tc>
        <w:tc>
          <w:tcPr>
            <w:tcW w:w="5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浓水</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COD、NH</w:t>
            </w:r>
            <w:r>
              <w:rPr>
                <w:rFonts w:hint="eastAsia"/>
                <w:color w:val="000000" w:themeColor="text1"/>
                <w:sz w:val="21"/>
                <w:szCs w:val="21"/>
                <w:vertAlign w:val="subscript"/>
                <w14:textFill>
                  <w14:solidFill>
                    <w14:schemeClr w14:val="tx1"/>
                  </w14:solidFill>
                </w14:textFill>
              </w:rPr>
              <w:t>3</w:t>
            </w:r>
            <w:r>
              <w:rPr>
                <w:rFonts w:hint="eastAsia"/>
                <w:color w:val="000000" w:themeColor="text1"/>
                <w:sz w:val="21"/>
                <w:szCs w:val="21"/>
                <w14:textFill>
                  <w14:solidFill>
                    <w14:schemeClr w14:val="tx1"/>
                  </w14:solidFill>
                </w14:textFill>
              </w:rPr>
              <w:t>-N</w:t>
            </w:r>
          </w:p>
        </w:tc>
        <w:tc>
          <w:tcPr>
            <w:tcW w:w="1717"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市政管网</w:t>
            </w:r>
          </w:p>
        </w:tc>
        <w:tc>
          <w:tcPr>
            <w:tcW w:w="1245" w:type="pct"/>
            <w:vMerge w:val="continue"/>
            <w:vAlign w:val="center"/>
          </w:tcPr>
          <w:p>
            <w:pPr>
              <w:widowControl/>
              <w:spacing w:line="240" w:lineRule="atLeast"/>
              <w:jc w:val="center"/>
              <w:rPr>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声环境</w:t>
            </w:r>
          </w:p>
        </w:tc>
        <w:tc>
          <w:tcPr>
            <w:tcW w:w="565"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设备</w:t>
            </w:r>
          </w:p>
        </w:tc>
        <w:tc>
          <w:tcPr>
            <w:tcW w:w="865"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噪声</w:t>
            </w:r>
          </w:p>
        </w:tc>
        <w:tc>
          <w:tcPr>
            <w:tcW w:w="1717" w:type="pct"/>
            <w:vAlign w:val="center"/>
          </w:tcPr>
          <w:p>
            <w:pPr>
              <w:widowControl/>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优选低噪设备，合理布局、基础减振，隔声、消声、距离衰减</w:t>
            </w:r>
          </w:p>
        </w:tc>
        <w:tc>
          <w:tcPr>
            <w:tcW w:w="1245" w:type="pct"/>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《工业企业厂界环境噪声排放标准》（GB12348-2008）3类标准要求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360" w:lineRule="auto"/>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电磁辐射</w:t>
            </w:r>
          </w:p>
        </w:tc>
        <w:tc>
          <w:tcPr>
            <w:tcW w:w="5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86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717"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245" w:type="pct"/>
            <w:vAlign w:val="center"/>
          </w:tcPr>
          <w:p>
            <w:pPr>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固体废物</w:t>
            </w:r>
          </w:p>
        </w:tc>
        <w:tc>
          <w:tcPr>
            <w:tcW w:w="4393" w:type="pct"/>
            <w:gridSpan w:val="4"/>
            <w:vAlign w:val="center"/>
          </w:tcPr>
          <w:p>
            <w:pPr>
              <w:spacing w:line="240" w:lineRule="atLeas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设置生活垃圾分类收集站收集生活垃圾，后交由环卫部门处置。</w:t>
            </w:r>
          </w:p>
          <w:p>
            <w:pPr>
              <w:spacing w:line="240" w:lineRule="atLeas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废料在厂区一般固废暂存间暂存，定期外售，一般固废暂存间建设满足《中华人民共和国固体废物污染环境防治法》（2020.9.1施行）和《一般工业固体废物贮存和填埋污染控制标准》（GB 18599-2020）中相关要求。废活性炭、废清洗液、废化学品包装桶、废机油属于危险废物，暂存于危废暂存</w:t>
            </w:r>
            <w:r>
              <w:rPr>
                <w:color w:val="000000" w:themeColor="text1"/>
                <w:sz w:val="21"/>
                <w:szCs w:val="21"/>
                <w14:textFill>
                  <w14:solidFill>
                    <w14:schemeClr w14:val="tx1"/>
                  </w14:solidFill>
                </w14:textFill>
              </w:rPr>
              <w:t>场所，定期</w:t>
            </w:r>
            <w:r>
              <w:rPr>
                <w:rFonts w:hint="eastAsia"/>
                <w:color w:val="000000" w:themeColor="text1"/>
                <w:sz w:val="21"/>
                <w:szCs w:val="21"/>
                <w14:textFill>
                  <w14:solidFill>
                    <w14:schemeClr w14:val="tx1"/>
                  </w14:solidFill>
                </w14:textFill>
              </w:rPr>
              <w:t>交由有危废处置单位处置。危险废物贮存执行《危险废物贮存污染控制标准》（</w:t>
            </w:r>
            <w:r>
              <w:rPr>
                <w:color w:val="000000" w:themeColor="text1"/>
                <w:sz w:val="21"/>
                <w:szCs w:val="21"/>
                <w14:textFill>
                  <w14:solidFill>
                    <w14:schemeClr w14:val="tx1"/>
                  </w14:solidFill>
                </w14:textFill>
              </w:rPr>
              <w:t>GB18597-2001</w:t>
            </w:r>
            <w:r>
              <w:rPr>
                <w:rFonts w:hint="eastAsia"/>
                <w:color w:val="000000" w:themeColor="text1"/>
                <w:sz w:val="21"/>
                <w:szCs w:val="21"/>
                <w14:textFill>
                  <w14:solidFill>
                    <w14:schemeClr w14:val="tx1"/>
                  </w14:solidFill>
                </w14:textFill>
              </w:rPr>
              <w:t xml:space="preserve">）及其 </w:t>
            </w:r>
            <w:r>
              <w:rPr>
                <w:color w:val="000000" w:themeColor="text1"/>
                <w:sz w:val="21"/>
                <w:szCs w:val="21"/>
                <w14:textFill>
                  <w14:solidFill>
                    <w14:schemeClr w14:val="tx1"/>
                  </w14:solidFill>
                </w14:textFill>
              </w:rPr>
              <w:t xml:space="preserve">2013 </w:t>
            </w:r>
            <w:r>
              <w:rPr>
                <w:rFonts w:hint="eastAsia"/>
                <w:color w:val="000000" w:themeColor="text1"/>
                <w:sz w:val="21"/>
                <w:szCs w:val="21"/>
                <w14:textFill>
                  <w14:solidFill>
                    <w14:schemeClr w14:val="tx1"/>
                  </w14:solidFill>
                </w14:textFill>
              </w:rPr>
              <w:t>年修改单中的有关规定。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土壤及地下水污染防治措施</w:t>
            </w:r>
          </w:p>
        </w:tc>
        <w:tc>
          <w:tcPr>
            <w:tcW w:w="4393" w:type="pct"/>
            <w:gridSpan w:val="4"/>
            <w:vAlign w:val="center"/>
          </w:tcPr>
          <w:p>
            <w:pPr>
              <w:widowControl/>
              <w:spacing w:line="240" w:lineRule="atLeas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危废库、化学品库重点防渗</w:t>
            </w:r>
            <w:r>
              <w:rPr>
                <w:color w:val="000000" w:themeColor="text1"/>
                <w:sz w:val="21"/>
                <w:szCs w:val="21"/>
                <w14:textFill>
                  <w14:solidFill>
                    <w14:schemeClr w14:val="tx1"/>
                  </w14:solidFill>
                </w14:textFill>
              </w:rPr>
              <w:t>；一般固废暂存间一般防渗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240" w:lineRule="atLeas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生态保护措施</w:t>
            </w:r>
          </w:p>
        </w:tc>
        <w:tc>
          <w:tcPr>
            <w:tcW w:w="4393" w:type="pct"/>
            <w:gridSpan w:val="4"/>
            <w:vAlign w:val="center"/>
          </w:tcPr>
          <w:p>
            <w:pPr>
              <w:widowControl/>
              <w:spacing w:line="240" w:lineRule="atLeast"/>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240" w:lineRule="atLeast"/>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环境风险防范措施</w:t>
            </w:r>
          </w:p>
        </w:tc>
        <w:tc>
          <w:tcPr>
            <w:tcW w:w="4393" w:type="pct"/>
            <w:gridSpan w:val="4"/>
            <w:vAlign w:val="center"/>
          </w:tcPr>
          <w:p>
            <w:pPr>
              <w:widowControl/>
              <w:spacing w:line="240" w:lineRule="atLeast"/>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设消防、火灾报警系统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6" w:type="pct"/>
            <w:vAlign w:val="center"/>
          </w:tcPr>
          <w:p>
            <w:pPr>
              <w:spacing w:line="240" w:lineRule="atLeast"/>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其他环境管理要求</w:t>
            </w:r>
          </w:p>
        </w:tc>
        <w:tc>
          <w:tcPr>
            <w:tcW w:w="4393" w:type="pct"/>
            <w:gridSpan w:val="4"/>
            <w:vAlign w:val="center"/>
          </w:tcPr>
          <w:p>
            <w:pPr>
              <w:spacing w:line="240" w:lineRule="atLeast"/>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本项目建成后，尽快落实环保“三同时”竣工验收，落实排污许可证申报工作，规范各排污口，维护各设施正常运行。</w:t>
            </w:r>
          </w:p>
        </w:tc>
      </w:tr>
    </w:tbl>
    <w:p>
      <w:pPr>
        <w:pStyle w:val="21"/>
        <w:jc w:val="center"/>
        <w:rPr>
          <w:rFonts w:ascii="黑体" w:hAnsi="黑体" w:eastAsia="黑体"/>
          <w:snapToGrid w:val="0"/>
          <w:color w:val="000000" w:themeColor="text1"/>
          <w:sz w:val="30"/>
          <w:szCs w:val="30"/>
          <w:highlight w:val="yellow"/>
          <w14:textFill>
            <w14:solidFill>
              <w14:schemeClr w14:val="tx1"/>
            </w14:solidFill>
          </w14:textFill>
        </w:rPr>
        <w:sectPr>
          <w:pgSz w:w="11906" w:h="16838"/>
          <w:pgMar w:top="1440" w:right="1417" w:bottom="1440" w:left="1417" w:header="851" w:footer="992" w:gutter="0"/>
          <w:cols w:space="425" w:num="1"/>
          <w:docGrid w:type="lines" w:linePitch="312" w:charSpace="0"/>
        </w:sectPr>
      </w:pPr>
    </w:p>
    <w:p>
      <w:pPr>
        <w:pStyle w:val="25"/>
        <w:spacing w:before="0" w:beforeAutospacing="0" w:after="0" w:afterAutospacing="0"/>
        <w:jc w:val="center"/>
        <w:outlineLvl w:val="0"/>
        <w:rPr>
          <w:rFonts w:ascii="黑体" w:hAnsi="黑体" w:eastAsia="黑体"/>
          <w:snapToGrid w:val="0"/>
          <w:color w:val="000000" w:themeColor="text1"/>
          <w:sz w:val="30"/>
          <w:szCs w:val="30"/>
          <w14:textFill>
            <w14:solidFill>
              <w14:schemeClr w14:val="tx1"/>
            </w14:solidFill>
          </w14:textFill>
        </w:rPr>
      </w:pPr>
      <w:bookmarkStart w:id="12" w:name="_Toc31997"/>
      <w:bookmarkStart w:id="13" w:name="_Toc25368"/>
      <w:r>
        <w:rPr>
          <w:rFonts w:hint="eastAsia" w:ascii="黑体" w:hAnsi="黑体" w:eastAsia="黑体"/>
          <w:snapToGrid w:val="0"/>
          <w:color w:val="000000" w:themeColor="text1"/>
          <w:sz w:val="30"/>
          <w:szCs w:val="30"/>
          <w14:textFill>
            <w14:solidFill>
              <w14:schemeClr w14:val="tx1"/>
            </w14:solidFill>
          </w14:textFill>
        </w:rPr>
        <w:t>六、结论</w:t>
      </w:r>
      <w:bookmarkEnd w:id="12"/>
      <w:bookmarkEnd w:id="13"/>
    </w:p>
    <w:tbl>
      <w:tblPr>
        <w:tblStyle w:val="29"/>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06" w:hRule="atLeast"/>
          <w:jc w:val="center"/>
        </w:trPr>
        <w:tc>
          <w:tcPr>
            <w:tcW w:w="9288" w:type="dxa"/>
            <w:vAlign w:val="center"/>
          </w:tcPr>
          <w:p>
            <w:pPr>
              <w:spacing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本项目选址</w:t>
            </w:r>
            <w:r>
              <w:rPr>
                <w:rFonts w:hint="eastAsia"/>
                <w:color w:val="000000" w:themeColor="text1"/>
                <w14:textFill>
                  <w14:solidFill>
                    <w14:schemeClr w14:val="tx1"/>
                  </w14:solidFill>
                </w14:textFill>
              </w:rPr>
              <w:t>位于安徽省芜湖市鸠江区沈巷镇江北产业集中区中小企业园新能源新材料产业聚集区4#厂房</w:t>
            </w:r>
            <w:r>
              <w:rPr>
                <w:color w:val="000000" w:themeColor="text1"/>
                <w14:textFill>
                  <w14:solidFill>
                    <w14:schemeClr w14:val="tx1"/>
                  </w14:solidFill>
                </w14:textFill>
              </w:rPr>
              <w:t>，项目建设符合我国现行的产业政策，选址合理，符合</w:t>
            </w:r>
            <w:r>
              <w:rPr>
                <w:rFonts w:hint="eastAsia"/>
                <w:color w:val="000000" w:themeColor="text1"/>
                <w14:textFill>
                  <w14:solidFill>
                    <w14:schemeClr w14:val="tx1"/>
                  </w14:solidFill>
                </w14:textFill>
              </w:rPr>
              <w:t>芜湖市</w:t>
            </w:r>
            <w:r>
              <w:rPr>
                <w:color w:val="000000" w:themeColor="text1"/>
                <w14:textFill>
                  <w14:solidFill>
                    <w14:schemeClr w14:val="tx1"/>
                  </w14:solidFill>
                </w14:textFill>
              </w:rPr>
              <w:t>总体规划，总图布置可行。污染治理措施技术可行，采取相应的污染防治措施后可使污染物达标排放，对评价区域环境质量的影响不明显，项目选址与周边用地功能相容性较好，无重大环境制约因素。只要严格落实环境影响报告表和工程设计提出的环保对策措施，严格执</w:t>
            </w:r>
            <w:r>
              <w:rPr>
                <w:rFonts w:hint="eastAsia" w:ascii="宋体" w:hAnsi="宋体" w:cs="宋体"/>
                <w:color w:val="000000" w:themeColor="text1"/>
                <w14:textFill>
                  <w14:solidFill>
                    <w14:schemeClr w14:val="tx1"/>
                  </w14:solidFill>
                </w14:textFill>
              </w:rPr>
              <w:t>行“三同时”</w:t>
            </w:r>
            <w:r>
              <w:rPr>
                <w:color w:val="000000" w:themeColor="text1"/>
                <w14:textFill>
                  <w14:solidFill>
                    <w14:schemeClr w14:val="tx1"/>
                  </w14:solidFill>
                </w14:textFill>
              </w:rPr>
              <w:t>制度，确保项目产生的污染物达标排放，从环境影响的角度考虑，本项目的建设是可行的。</w:t>
            </w: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ind w:firstLine="480" w:firstLineChars="200"/>
              <w:rPr>
                <w:rFonts w:ascii="宋体" w:cs="宋体"/>
                <w:color w:val="000000" w:themeColor="text1"/>
                <w14:textFill>
                  <w14:solidFill>
                    <w14:schemeClr w14:val="tx1"/>
                  </w14:solidFill>
                </w14:textFill>
              </w:rPr>
            </w:pPr>
          </w:p>
          <w:p>
            <w:pPr>
              <w:spacing w:line="360" w:lineRule="auto"/>
              <w:rPr>
                <w:rFonts w:ascii="宋体" w:cs="宋体"/>
                <w:color w:val="000000" w:themeColor="text1"/>
                <w14:textFill>
                  <w14:solidFill>
                    <w14:schemeClr w14:val="tx1"/>
                  </w14:solidFill>
                </w14:textFill>
              </w:rPr>
            </w:pPr>
          </w:p>
        </w:tc>
      </w:tr>
    </w:tbl>
    <w:p>
      <w:pPr>
        <w:rPr>
          <w:color w:val="000000" w:themeColor="text1"/>
          <w:highlight w:val="yellow"/>
          <w14:textFill>
            <w14:solidFill>
              <w14:schemeClr w14:val="tx1"/>
            </w14:solidFill>
          </w14:textFill>
        </w:rPr>
        <w:sectPr>
          <w:pgSz w:w="11906" w:h="16838"/>
          <w:pgMar w:top="1134" w:right="1417" w:bottom="1134" w:left="1417" w:header="851" w:footer="992" w:gutter="0"/>
          <w:cols w:space="0" w:num="1"/>
          <w:docGrid w:type="lines" w:linePitch="312" w:charSpace="0"/>
        </w:sectPr>
      </w:pPr>
    </w:p>
    <w:p>
      <w:pPr>
        <w:pStyle w:val="25"/>
        <w:spacing w:before="0" w:beforeAutospacing="0" w:after="0" w:afterAutospacing="0"/>
        <w:outlineLvl w:val="0"/>
        <w:rPr>
          <w:rFonts w:ascii="黑体" w:hAnsi="黑体" w:eastAsia="黑体"/>
          <w:snapToGrid w:val="0"/>
          <w:color w:val="000000" w:themeColor="text1"/>
          <w:sz w:val="32"/>
          <w:szCs w:val="32"/>
          <w14:textFill>
            <w14:solidFill>
              <w14:schemeClr w14:val="tx1"/>
            </w14:solidFill>
          </w14:textFill>
        </w:rPr>
      </w:pPr>
      <w:bookmarkStart w:id="14" w:name="_Toc26516"/>
      <w:bookmarkStart w:id="15" w:name="_Toc8960"/>
      <w:r>
        <w:rPr>
          <w:rFonts w:hint="eastAsia" w:ascii="黑体" w:hAnsi="黑体" w:eastAsia="黑体"/>
          <w:snapToGrid w:val="0"/>
          <w:color w:val="000000" w:themeColor="text1"/>
          <w:sz w:val="32"/>
          <w:szCs w:val="32"/>
          <w14:textFill>
            <w14:solidFill>
              <w14:schemeClr w14:val="tx1"/>
            </w14:solidFill>
          </w14:textFill>
        </w:rPr>
        <w:t>附表</w:t>
      </w:r>
      <w:bookmarkEnd w:id="14"/>
      <w:r>
        <w:rPr>
          <w:rFonts w:hint="eastAsia" w:ascii="黑体" w:hAnsi="黑体" w:eastAsia="黑体"/>
          <w:snapToGrid w:val="0"/>
          <w:color w:val="000000" w:themeColor="text1"/>
          <w:sz w:val="32"/>
          <w:szCs w:val="32"/>
          <w14:textFill>
            <w14:solidFill>
              <w14:schemeClr w14:val="tx1"/>
            </w14:solidFill>
          </w14:textFill>
        </w:rPr>
        <w:t>1</w:t>
      </w:r>
      <w:bookmarkEnd w:id="15"/>
    </w:p>
    <w:p>
      <w:pPr>
        <w:pStyle w:val="25"/>
        <w:spacing w:before="0" w:beforeAutospacing="0" w:after="0" w:afterAutospacing="0"/>
        <w:jc w:val="center"/>
        <w:outlineLvl w:val="0"/>
        <w:rPr>
          <w:rFonts w:ascii="Times New Roman" w:hAnsi="Times New Roman" w:eastAsia="方正小标宋_GBK"/>
          <w:snapToGrid w:val="0"/>
          <w:color w:val="000000" w:themeColor="text1"/>
          <w:sz w:val="32"/>
          <w:szCs w:val="32"/>
          <w14:textFill>
            <w14:solidFill>
              <w14:schemeClr w14:val="tx1"/>
            </w14:solidFill>
          </w14:textFill>
        </w:rPr>
      </w:pPr>
      <w:bookmarkStart w:id="16" w:name="_Toc22921"/>
      <w:bookmarkStart w:id="17" w:name="_Toc3622"/>
      <w:r>
        <w:rPr>
          <w:rFonts w:ascii="Times New Roman" w:hAnsi="Times New Roman" w:eastAsia="方正小标宋_GBK"/>
          <w:snapToGrid w:val="0"/>
          <w:color w:val="000000" w:themeColor="text1"/>
          <w:sz w:val="32"/>
          <w:szCs w:val="32"/>
          <w14:textFill>
            <w14:solidFill>
              <w14:schemeClr w14:val="tx1"/>
            </w14:solidFill>
          </w14:textFill>
        </w:rPr>
        <w:t>建设项目污染物排放量汇总表</w:t>
      </w:r>
      <w:bookmarkEnd w:id="16"/>
      <w:r>
        <w:rPr>
          <w:rFonts w:ascii="Times New Roman" w:hAnsi="Times New Roman" w:eastAsia="方正小标宋_GBK"/>
          <w:snapToGrid w:val="0"/>
          <w:color w:val="000000" w:themeColor="text1"/>
          <w:sz w:val="32"/>
          <w:szCs w:val="32"/>
          <w14:textFill>
            <w14:solidFill>
              <w14:schemeClr w14:val="tx1"/>
            </w14:solidFill>
          </w14:textFill>
        </w:rPr>
        <w:t xml:space="preserve">  单位：t/a</w:t>
      </w:r>
      <w:bookmarkEnd w:id="17"/>
    </w:p>
    <w:tbl>
      <w:tblPr>
        <w:tblStyle w:val="2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1697"/>
        <w:gridCol w:w="1620"/>
        <w:gridCol w:w="1245"/>
        <w:gridCol w:w="1680"/>
        <w:gridCol w:w="1605"/>
        <w:gridCol w:w="1485"/>
        <w:gridCol w:w="1770"/>
        <w:gridCol w:w="15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tcBorders>
              <w:tl2br w:val="single" w:color="auto" w:sz="4" w:space="0"/>
            </w:tcBorders>
            <w:tcMar>
              <w:left w:w="28" w:type="dxa"/>
              <w:right w:w="28" w:type="dxa"/>
            </w:tcMar>
            <w:vAlign w:val="center"/>
          </w:tcPr>
          <w:p>
            <w:pPr>
              <w:pStyle w:val="52"/>
              <w:adjustRightInd/>
              <w:snapToGrid/>
              <w:spacing w:beforeLines="0" w:afterLines="0" w:line="240" w:lineRule="auto"/>
              <w:jc w:val="right"/>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项目</w:t>
            </w:r>
          </w:p>
          <w:p>
            <w:pPr>
              <w:pStyle w:val="52"/>
              <w:adjustRightInd/>
              <w:snapToGrid/>
              <w:spacing w:beforeLines="0" w:afterLines="0" w:line="240" w:lineRule="auto"/>
              <w:jc w:val="left"/>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分类</w:t>
            </w:r>
          </w:p>
        </w:tc>
        <w:tc>
          <w:tcPr>
            <w:tcW w:w="1697"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污染物名称</w:t>
            </w:r>
          </w:p>
        </w:tc>
        <w:tc>
          <w:tcPr>
            <w:tcW w:w="1620"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现有工程</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排放量（固体废物产生量）</w:t>
            </w:r>
            <w:r>
              <w:rPr>
                <w:rFonts w:ascii="Times New Roman" w:eastAsia="黑体"/>
                <w:snapToGrid w:val="0"/>
                <w:color w:val="000000" w:themeColor="text1"/>
                <w:spacing w:val="-6"/>
                <w:kern w:val="21"/>
                <w:sz w:val="21"/>
                <w:szCs w:val="21"/>
                <w14:textFill>
                  <w14:solidFill>
                    <w14:schemeClr w14:val="tx1"/>
                  </w14:solidFill>
                </w14:textFill>
              </w:rPr>
              <w:fldChar w:fldCharType="begin"/>
            </w:r>
            <w:r>
              <w:rPr>
                <w:rFonts w:ascii="Times New Roman" w:eastAsia="黑体"/>
                <w:snapToGrid w:val="0"/>
                <w:color w:val="000000" w:themeColor="text1"/>
                <w:spacing w:val="-6"/>
                <w:kern w:val="21"/>
                <w:sz w:val="21"/>
                <w:szCs w:val="21"/>
                <w14:textFill>
                  <w14:solidFill>
                    <w14:schemeClr w14:val="tx1"/>
                  </w14:solidFill>
                </w14:textFill>
              </w:rPr>
              <w:instrText xml:space="preserve"> = 1 \* GB3 \* MERGEFORMAT </w:instrText>
            </w:r>
            <w:r>
              <w:rPr>
                <w:rFonts w:ascii="Times New Roman" w:eastAsia="黑体"/>
                <w:snapToGrid w:val="0"/>
                <w:color w:val="000000" w:themeColor="text1"/>
                <w:spacing w:val="-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①</w:t>
            </w:r>
            <w:r>
              <w:rPr>
                <w:rFonts w:ascii="Times New Roman" w:eastAsia="黑体"/>
                <w:snapToGrid w:val="0"/>
                <w:color w:val="000000" w:themeColor="text1"/>
                <w:spacing w:val="-6"/>
                <w:kern w:val="21"/>
                <w:sz w:val="21"/>
                <w:szCs w:val="21"/>
                <w14:textFill>
                  <w14:solidFill>
                    <w14:schemeClr w14:val="tx1"/>
                  </w14:solidFill>
                </w14:textFill>
              </w:rPr>
              <w:fldChar w:fldCharType="end"/>
            </w:r>
          </w:p>
        </w:tc>
        <w:tc>
          <w:tcPr>
            <w:tcW w:w="1245"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现有工程</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许可排放量</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fldChar w:fldCharType="begin"/>
            </w:r>
            <w:r>
              <w:rPr>
                <w:rFonts w:ascii="Times New Roman" w:eastAsia="黑体"/>
                <w:snapToGrid w:val="0"/>
                <w:color w:val="000000" w:themeColor="text1"/>
                <w:spacing w:val="-6"/>
                <w:kern w:val="21"/>
                <w:sz w:val="21"/>
                <w:szCs w:val="21"/>
                <w14:textFill>
                  <w14:solidFill>
                    <w14:schemeClr w14:val="tx1"/>
                  </w14:solidFill>
                </w14:textFill>
              </w:rPr>
              <w:instrText xml:space="preserve"> = 2 \* GB3 \* MERGEFORMAT </w:instrText>
            </w:r>
            <w:r>
              <w:rPr>
                <w:rFonts w:ascii="Times New Roman" w:eastAsia="黑体"/>
                <w:snapToGrid w:val="0"/>
                <w:color w:val="000000" w:themeColor="text1"/>
                <w:spacing w:val="-6"/>
                <w:kern w:val="21"/>
                <w:sz w:val="21"/>
                <w:szCs w:val="21"/>
                <w14:textFill>
                  <w14:solidFill>
                    <w14:schemeClr w14:val="tx1"/>
                  </w14:solidFill>
                </w14:textFill>
              </w:rPr>
              <w:fldChar w:fldCharType="separate"/>
            </w:r>
            <w:r>
              <w:rPr>
                <w:rFonts w:ascii="Times New Roman" w:eastAsia="黑体"/>
                <w:snapToGrid w:val="0"/>
                <w:color w:val="000000" w:themeColor="text1"/>
                <w:spacing w:val="-6"/>
                <w:kern w:val="21"/>
                <w:sz w:val="21"/>
                <w:szCs w:val="21"/>
                <w14:textFill>
                  <w14:solidFill>
                    <w14:schemeClr w14:val="tx1"/>
                  </w14:solidFill>
                </w14:textFill>
              </w:rPr>
              <w:t>②</w:t>
            </w:r>
            <w:r>
              <w:rPr>
                <w:rFonts w:ascii="Times New Roman" w:eastAsia="黑体"/>
                <w:snapToGrid w:val="0"/>
                <w:color w:val="000000" w:themeColor="text1"/>
                <w:spacing w:val="-6"/>
                <w:kern w:val="21"/>
                <w:sz w:val="21"/>
                <w:szCs w:val="21"/>
                <w14:textFill>
                  <w14:solidFill>
                    <w14:schemeClr w14:val="tx1"/>
                  </w14:solidFill>
                </w14:textFill>
              </w:rPr>
              <w:fldChar w:fldCharType="end"/>
            </w:r>
          </w:p>
        </w:tc>
        <w:tc>
          <w:tcPr>
            <w:tcW w:w="1680"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在建工程</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排放量（固体废物产生量）</w:t>
            </w:r>
            <w:r>
              <w:rPr>
                <w:rFonts w:ascii="Times New Roman" w:eastAsia="黑体"/>
                <w:snapToGrid w:val="0"/>
                <w:color w:val="000000" w:themeColor="text1"/>
                <w:spacing w:val="-6"/>
                <w:kern w:val="21"/>
                <w:sz w:val="21"/>
                <w:szCs w:val="21"/>
                <w14:textFill>
                  <w14:solidFill>
                    <w14:schemeClr w14:val="tx1"/>
                  </w14:solidFill>
                </w14:textFill>
              </w:rPr>
              <w:fldChar w:fldCharType="begin"/>
            </w:r>
            <w:r>
              <w:rPr>
                <w:rFonts w:ascii="Times New Roman" w:eastAsia="黑体"/>
                <w:snapToGrid w:val="0"/>
                <w:color w:val="000000" w:themeColor="text1"/>
                <w:spacing w:val="-6"/>
                <w:kern w:val="21"/>
                <w:sz w:val="21"/>
                <w:szCs w:val="21"/>
                <w14:textFill>
                  <w14:solidFill>
                    <w14:schemeClr w14:val="tx1"/>
                  </w14:solidFill>
                </w14:textFill>
              </w:rPr>
              <w:instrText xml:space="preserve"> = 3 \* GB3 \* MERGEFORMAT </w:instrText>
            </w:r>
            <w:r>
              <w:rPr>
                <w:rFonts w:ascii="Times New Roman" w:eastAsia="黑体"/>
                <w:snapToGrid w:val="0"/>
                <w:color w:val="000000" w:themeColor="text1"/>
                <w:spacing w:val="-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③</w:t>
            </w:r>
            <w:r>
              <w:rPr>
                <w:rFonts w:ascii="Times New Roman" w:eastAsia="黑体"/>
                <w:snapToGrid w:val="0"/>
                <w:color w:val="000000" w:themeColor="text1"/>
                <w:spacing w:val="-6"/>
                <w:kern w:val="21"/>
                <w:sz w:val="21"/>
                <w:szCs w:val="21"/>
                <w14:textFill>
                  <w14:solidFill>
                    <w14:schemeClr w14:val="tx1"/>
                  </w14:solidFill>
                </w14:textFill>
              </w:rPr>
              <w:fldChar w:fldCharType="end"/>
            </w:r>
          </w:p>
        </w:tc>
        <w:tc>
          <w:tcPr>
            <w:tcW w:w="1605"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本项目</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排放量（固体废物产生量）</w:t>
            </w:r>
            <w:r>
              <w:rPr>
                <w:rFonts w:ascii="Times New Roman" w:eastAsia="黑体"/>
                <w:snapToGrid w:val="0"/>
                <w:color w:val="000000" w:themeColor="text1"/>
                <w:spacing w:val="-6"/>
                <w:kern w:val="21"/>
                <w:sz w:val="21"/>
                <w:szCs w:val="21"/>
                <w14:textFill>
                  <w14:solidFill>
                    <w14:schemeClr w14:val="tx1"/>
                  </w14:solidFill>
                </w14:textFill>
              </w:rPr>
              <w:fldChar w:fldCharType="begin"/>
            </w:r>
            <w:r>
              <w:rPr>
                <w:rFonts w:ascii="Times New Roman" w:eastAsia="黑体"/>
                <w:snapToGrid w:val="0"/>
                <w:color w:val="000000" w:themeColor="text1"/>
                <w:spacing w:val="-6"/>
                <w:kern w:val="21"/>
                <w:sz w:val="21"/>
                <w:szCs w:val="21"/>
                <w14:textFill>
                  <w14:solidFill>
                    <w14:schemeClr w14:val="tx1"/>
                  </w14:solidFill>
                </w14:textFill>
              </w:rPr>
              <w:instrText xml:space="preserve"> = 4 \* GB3 \* MERGEFORMAT </w:instrText>
            </w:r>
            <w:r>
              <w:rPr>
                <w:rFonts w:ascii="Times New Roman" w:eastAsia="黑体"/>
                <w:snapToGrid w:val="0"/>
                <w:color w:val="000000" w:themeColor="text1"/>
                <w:spacing w:val="-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④</w:t>
            </w:r>
            <w:r>
              <w:rPr>
                <w:rFonts w:ascii="Times New Roman" w:eastAsia="黑体"/>
                <w:snapToGrid w:val="0"/>
                <w:color w:val="000000" w:themeColor="text1"/>
                <w:spacing w:val="-6"/>
                <w:kern w:val="21"/>
                <w:sz w:val="21"/>
                <w:szCs w:val="21"/>
                <w14:textFill>
                  <w14:solidFill>
                    <w14:schemeClr w14:val="tx1"/>
                  </w14:solidFill>
                </w14:textFill>
              </w:rPr>
              <w:fldChar w:fldCharType="end"/>
            </w:r>
          </w:p>
        </w:tc>
        <w:tc>
          <w:tcPr>
            <w:tcW w:w="1485"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16"/>
                <w:kern w:val="21"/>
                <w:sz w:val="21"/>
                <w:szCs w:val="21"/>
                <w14:textFill>
                  <w14:solidFill>
                    <w14:schemeClr w14:val="tx1"/>
                  </w14:solidFill>
                </w14:textFill>
              </w:rPr>
            </w:pPr>
            <w:r>
              <w:rPr>
                <w:rFonts w:ascii="Times New Roman" w:eastAsia="黑体"/>
                <w:snapToGrid w:val="0"/>
                <w:color w:val="000000" w:themeColor="text1"/>
                <w:spacing w:val="-16"/>
                <w:kern w:val="21"/>
                <w:sz w:val="21"/>
                <w:szCs w:val="21"/>
                <w14:textFill>
                  <w14:solidFill>
                    <w14:schemeClr w14:val="tx1"/>
                  </w14:solidFill>
                </w14:textFill>
              </w:rPr>
              <w:t>以新带老削减量</w:t>
            </w:r>
          </w:p>
          <w:p>
            <w:pPr>
              <w:pStyle w:val="52"/>
              <w:adjustRightInd/>
              <w:snapToGrid/>
              <w:spacing w:beforeLines="0" w:afterLines="0" w:line="240" w:lineRule="auto"/>
              <w:rPr>
                <w:rFonts w:ascii="Times New Roman" w:eastAsia="黑体"/>
                <w:snapToGrid w:val="0"/>
                <w:color w:val="000000" w:themeColor="text1"/>
                <w:spacing w:val="-16"/>
                <w:kern w:val="21"/>
                <w:sz w:val="21"/>
                <w:szCs w:val="21"/>
                <w14:textFill>
                  <w14:solidFill>
                    <w14:schemeClr w14:val="tx1"/>
                  </w14:solidFill>
                </w14:textFill>
              </w:rPr>
            </w:pPr>
            <w:r>
              <w:rPr>
                <w:rFonts w:ascii="Times New Roman" w:eastAsia="黑体"/>
                <w:snapToGrid w:val="0"/>
                <w:color w:val="000000" w:themeColor="text1"/>
                <w:spacing w:val="-16"/>
                <w:kern w:val="21"/>
                <w:sz w:val="21"/>
                <w:szCs w:val="21"/>
                <w14:textFill>
                  <w14:solidFill>
                    <w14:schemeClr w14:val="tx1"/>
                  </w14:solidFill>
                </w14:textFill>
              </w:rPr>
              <w:t>（新建项目不填）</w:t>
            </w:r>
            <w:r>
              <w:rPr>
                <w:rFonts w:ascii="Times New Roman" w:eastAsia="黑体"/>
                <w:snapToGrid w:val="0"/>
                <w:color w:val="000000" w:themeColor="text1"/>
                <w:spacing w:val="-16"/>
                <w:kern w:val="21"/>
                <w:sz w:val="21"/>
                <w:szCs w:val="21"/>
                <w14:textFill>
                  <w14:solidFill>
                    <w14:schemeClr w14:val="tx1"/>
                  </w14:solidFill>
                </w14:textFill>
              </w:rPr>
              <w:fldChar w:fldCharType="begin"/>
            </w:r>
            <w:r>
              <w:rPr>
                <w:rFonts w:ascii="Times New Roman" w:eastAsia="黑体"/>
                <w:snapToGrid w:val="0"/>
                <w:color w:val="000000" w:themeColor="text1"/>
                <w:spacing w:val="-16"/>
                <w:kern w:val="21"/>
                <w:sz w:val="21"/>
                <w:szCs w:val="21"/>
                <w14:textFill>
                  <w14:solidFill>
                    <w14:schemeClr w14:val="tx1"/>
                  </w14:solidFill>
                </w14:textFill>
              </w:rPr>
              <w:instrText xml:space="preserve"> = 5 \* GB3 \* MERGEFORMAT </w:instrText>
            </w:r>
            <w:r>
              <w:rPr>
                <w:rFonts w:ascii="Times New Roman" w:eastAsia="黑体"/>
                <w:snapToGrid w:val="0"/>
                <w:color w:val="000000" w:themeColor="text1"/>
                <w:spacing w:val="-1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⑤</w:t>
            </w:r>
            <w:r>
              <w:rPr>
                <w:rFonts w:ascii="Times New Roman" w:eastAsia="黑体"/>
                <w:snapToGrid w:val="0"/>
                <w:color w:val="000000" w:themeColor="text1"/>
                <w:spacing w:val="-16"/>
                <w:kern w:val="21"/>
                <w:sz w:val="21"/>
                <w:szCs w:val="21"/>
                <w14:textFill>
                  <w14:solidFill>
                    <w14:schemeClr w14:val="tx1"/>
                  </w14:solidFill>
                </w14:textFill>
              </w:rPr>
              <w:fldChar w:fldCharType="end"/>
            </w:r>
          </w:p>
        </w:tc>
        <w:tc>
          <w:tcPr>
            <w:tcW w:w="1770"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16"/>
                <w:kern w:val="21"/>
                <w:sz w:val="21"/>
                <w:szCs w:val="21"/>
                <w14:textFill>
                  <w14:solidFill>
                    <w14:schemeClr w14:val="tx1"/>
                  </w14:solidFill>
                </w14:textFill>
              </w:rPr>
            </w:pPr>
            <w:r>
              <w:rPr>
                <w:rFonts w:ascii="Times New Roman" w:eastAsia="黑体"/>
                <w:snapToGrid w:val="0"/>
                <w:color w:val="000000" w:themeColor="text1"/>
                <w:spacing w:val="-16"/>
                <w:kern w:val="21"/>
                <w:sz w:val="21"/>
                <w:szCs w:val="21"/>
                <w14:textFill>
                  <w14:solidFill>
                    <w14:schemeClr w14:val="tx1"/>
                  </w14:solidFill>
                </w14:textFill>
              </w:rPr>
              <w:t>本项目建成后</w:t>
            </w:r>
          </w:p>
          <w:p>
            <w:pPr>
              <w:pStyle w:val="52"/>
              <w:adjustRightInd/>
              <w:snapToGrid/>
              <w:spacing w:beforeLines="0" w:afterLines="0" w:line="240" w:lineRule="auto"/>
              <w:rPr>
                <w:rFonts w:ascii="Times New Roman" w:eastAsia="黑体"/>
                <w:snapToGrid w:val="0"/>
                <w:color w:val="000000" w:themeColor="text1"/>
                <w:spacing w:val="-16"/>
                <w:kern w:val="21"/>
                <w:sz w:val="21"/>
                <w:szCs w:val="21"/>
                <w14:textFill>
                  <w14:solidFill>
                    <w14:schemeClr w14:val="tx1"/>
                  </w14:solidFill>
                </w14:textFill>
              </w:rPr>
            </w:pPr>
            <w:r>
              <w:rPr>
                <w:rFonts w:ascii="Times New Roman" w:eastAsia="黑体"/>
                <w:snapToGrid w:val="0"/>
                <w:color w:val="000000" w:themeColor="text1"/>
                <w:spacing w:val="-16"/>
                <w:kern w:val="21"/>
                <w:sz w:val="21"/>
                <w:szCs w:val="21"/>
                <w14:textFill>
                  <w14:solidFill>
                    <w14:schemeClr w14:val="tx1"/>
                  </w14:solidFill>
                </w14:textFill>
              </w:rPr>
              <w:t>全厂排放量（固体废物产生量）</w:t>
            </w:r>
            <w:r>
              <w:rPr>
                <w:rFonts w:ascii="Times New Roman" w:eastAsia="黑体"/>
                <w:snapToGrid w:val="0"/>
                <w:color w:val="000000" w:themeColor="text1"/>
                <w:spacing w:val="-16"/>
                <w:kern w:val="21"/>
                <w:sz w:val="21"/>
                <w:szCs w:val="21"/>
                <w14:textFill>
                  <w14:solidFill>
                    <w14:schemeClr w14:val="tx1"/>
                  </w14:solidFill>
                </w14:textFill>
              </w:rPr>
              <w:fldChar w:fldCharType="begin"/>
            </w:r>
            <w:r>
              <w:rPr>
                <w:rFonts w:ascii="Times New Roman" w:eastAsia="黑体"/>
                <w:snapToGrid w:val="0"/>
                <w:color w:val="000000" w:themeColor="text1"/>
                <w:spacing w:val="-16"/>
                <w:kern w:val="21"/>
                <w:sz w:val="21"/>
                <w:szCs w:val="21"/>
                <w14:textFill>
                  <w14:solidFill>
                    <w14:schemeClr w14:val="tx1"/>
                  </w14:solidFill>
                </w14:textFill>
              </w:rPr>
              <w:instrText xml:space="preserve"> = 6 \* GB3 \* MERGEFORMAT </w:instrText>
            </w:r>
            <w:r>
              <w:rPr>
                <w:rFonts w:ascii="Times New Roman" w:eastAsia="黑体"/>
                <w:snapToGrid w:val="0"/>
                <w:color w:val="000000" w:themeColor="text1"/>
                <w:spacing w:val="-1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⑥</w:t>
            </w:r>
            <w:r>
              <w:rPr>
                <w:rFonts w:ascii="Times New Roman" w:eastAsia="黑体"/>
                <w:snapToGrid w:val="0"/>
                <w:color w:val="000000" w:themeColor="text1"/>
                <w:spacing w:val="-16"/>
                <w:kern w:val="21"/>
                <w:sz w:val="21"/>
                <w:szCs w:val="21"/>
                <w14:textFill>
                  <w14:solidFill>
                    <w14:schemeClr w14:val="tx1"/>
                  </w14:solidFill>
                </w14:textFill>
              </w:rPr>
              <w:fldChar w:fldCharType="end"/>
            </w:r>
          </w:p>
        </w:tc>
        <w:tc>
          <w:tcPr>
            <w:tcW w:w="1514" w:type="dxa"/>
            <w:tcMar>
              <w:left w:w="28" w:type="dxa"/>
              <w:right w:w="28" w:type="dxa"/>
            </w:tcMar>
            <w:vAlign w:val="center"/>
          </w:tcPr>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t>变化量</w:t>
            </w:r>
          </w:p>
          <w:p>
            <w:pPr>
              <w:pStyle w:val="52"/>
              <w:adjustRightInd/>
              <w:snapToGrid/>
              <w:spacing w:beforeLines="0" w:afterLines="0" w:line="240" w:lineRule="auto"/>
              <w:rPr>
                <w:rFonts w:ascii="Times New Roman" w:eastAsia="黑体"/>
                <w:snapToGrid w:val="0"/>
                <w:color w:val="000000" w:themeColor="text1"/>
                <w:spacing w:val="-6"/>
                <w:kern w:val="21"/>
                <w:sz w:val="21"/>
                <w:szCs w:val="21"/>
                <w14:textFill>
                  <w14:solidFill>
                    <w14:schemeClr w14:val="tx1"/>
                  </w14:solidFill>
                </w14:textFill>
              </w:rPr>
            </w:pPr>
            <w:r>
              <w:rPr>
                <w:rFonts w:ascii="Times New Roman" w:eastAsia="黑体"/>
                <w:snapToGrid w:val="0"/>
                <w:color w:val="000000" w:themeColor="text1"/>
                <w:spacing w:val="-6"/>
                <w:kern w:val="21"/>
                <w:sz w:val="21"/>
                <w:szCs w:val="21"/>
                <w14:textFill>
                  <w14:solidFill>
                    <w14:schemeClr w14:val="tx1"/>
                  </w14:solidFill>
                </w14:textFill>
              </w:rPr>
              <w:fldChar w:fldCharType="begin"/>
            </w:r>
            <w:r>
              <w:rPr>
                <w:rFonts w:ascii="Times New Roman" w:eastAsia="黑体"/>
                <w:snapToGrid w:val="0"/>
                <w:color w:val="000000" w:themeColor="text1"/>
                <w:spacing w:val="-6"/>
                <w:kern w:val="21"/>
                <w:sz w:val="21"/>
                <w:szCs w:val="21"/>
                <w14:textFill>
                  <w14:solidFill>
                    <w14:schemeClr w14:val="tx1"/>
                  </w14:solidFill>
                </w14:textFill>
              </w:rPr>
              <w:instrText xml:space="preserve"> = 7 \* GB3 \* MERGEFORMAT </w:instrText>
            </w:r>
            <w:r>
              <w:rPr>
                <w:rFonts w:ascii="Times New Roman" w:eastAsia="黑体"/>
                <w:snapToGrid w:val="0"/>
                <w:color w:val="000000" w:themeColor="text1"/>
                <w:spacing w:val="-6"/>
                <w:kern w:val="21"/>
                <w:sz w:val="21"/>
                <w:szCs w:val="21"/>
                <w14:textFill>
                  <w14:solidFill>
                    <w14:schemeClr w14:val="tx1"/>
                  </w14:solidFill>
                </w14:textFill>
              </w:rPr>
              <w:fldChar w:fldCharType="separate"/>
            </w:r>
            <w:r>
              <w:rPr>
                <w:rFonts w:ascii="Times New Roman" w:eastAsia="黑体"/>
                <w:color w:val="000000" w:themeColor="text1"/>
                <w:kern w:val="2"/>
                <w:sz w:val="21"/>
                <w:szCs w:val="21"/>
                <w14:textFill>
                  <w14:solidFill>
                    <w14:schemeClr w14:val="tx1"/>
                  </w14:solidFill>
                </w14:textFill>
              </w:rPr>
              <w:t>⑦</w:t>
            </w:r>
            <w:r>
              <w:rPr>
                <w:rFonts w:ascii="Times New Roman" w:eastAsia="黑体"/>
                <w:snapToGrid w:val="0"/>
                <w:color w:val="000000" w:themeColor="text1"/>
                <w:spacing w:val="-6"/>
                <w:kern w:val="21"/>
                <w:sz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废气</w:t>
            </w:r>
          </w:p>
        </w:tc>
        <w:tc>
          <w:tcPr>
            <w:tcW w:w="1697"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非甲烷总烃</w:t>
            </w:r>
          </w:p>
        </w:tc>
        <w:tc>
          <w:tcPr>
            <w:tcW w:w="1620" w:type="dxa"/>
            <w:vAlign w:val="center"/>
          </w:tcPr>
          <w:p>
            <w:pPr>
              <w:jc w:val="center"/>
              <w:rPr>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0.1592</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14:textFill>
                  <w14:solidFill>
                    <w14:schemeClr w14:val="tx1"/>
                  </w14:solidFill>
                </w14:textFill>
              </w:rPr>
              <w:t>0.1592</w:t>
            </w:r>
          </w:p>
        </w:tc>
        <w:tc>
          <w:tcPr>
            <w:tcW w:w="1514" w:type="dxa"/>
            <w:vAlign w:val="center"/>
          </w:tcPr>
          <w:p>
            <w:pPr>
              <w:jc w:val="center"/>
              <w:rPr>
                <w:snapToGrid w:val="0"/>
                <w:color w:val="000000" w:themeColor="text1"/>
                <w:kern w:val="21"/>
                <w:sz w:val="21"/>
                <w:szCs w:val="21"/>
                <w14:textFill>
                  <w14:solidFill>
                    <w14:schemeClr w14:val="tx1"/>
                  </w14:solidFill>
                </w14:textFill>
              </w:rPr>
            </w:pPr>
            <w:r>
              <w:rPr>
                <w:rFonts w:hint="eastAsia"/>
                <w:snapToGrid w:val="0"/>
                <w:color w:val="000000" w:themeColor="text1"/>
                <w:kern w:val="21"/>
                <w:sz w:val="21"/>
                <w:szCs w:val="21"/>
                <w14:textFill>
                  <w14:solidFill>
                    <w14:schemeClr w14:val="tx1"/>
                  </w14:solidFill>
                </w14:textFill>
              </w:rPr>
              <w:t>+0.1592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restart"/>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废水</w:t>
            </w:r>
          </w:p>
        </w:tc>
        <w:tc>
          <w:tcPr>
            <w:tcW w:w="1697"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厂区废水</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2119.8</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2119.8</w:t>
            </w:r>
          </w:p>
        </w:tc>
        <w:tc>
          <w:tcPr>
            <w:tcW w:w="1514"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+2119.8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COD</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0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0.5276</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0.5276</w:t>
            </w:r>
          </w:p>
        </w:tc>
        <w:tc>
          <w:tcPr>
            <w:tcW w:w="1514"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+0.5276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NH</w:t>
            </w:r>
            <w:r>
              <w:rPr>
                <w:rFonts w:ascii="Times New Roman"/>
                <w:snapToGrid w:val="0"/>
                <w:color w:val="000000" w:themeColor="text1"/>
                <w:kern w:val="21"/>
                <w:sz w:val="21"/>
                <w:szCs w:val="21"/>
                <w:vertAlign w:val="subscript"/>
                <w14:textFill>
                  <w14:solidFill>
                    <w14:schemeClr w14:val="tx1"/>
                  </w14:solidFill>
                </w14:textFill>
              </w:rPr>
              <w:t>3</w:t>
            </w:r>
            <w:r>
              <w:rPr>
                <w:rFonts w:ascii="Times New Roman"/>
                <w:snapToGrid w:val="0"/>
                <w:color w:val="000000" w:themeColor="text1"/>
                <w:kern w:val="21"/>
                <w:sz w:val="21"/>
                <w:szCs w:val="21"/>
                <w14:textFill>
                  <w14:solidFill>
                    <w14:schemeClr w14:val="tx1"/>
                  </w14:solidFill>
                </w14:textFill>
              </w:rPr>
              <w:t>-N</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0.06318</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0.06318</w:t>
            </w:r>
          </w:p>
        </w:tc>
        <w:tc>
          <w:tcPr>
            <w:tcW w:w="1514"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+0.06318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restart"/>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一般工业固体废物</w:t>
            </w:r>
          </w:p>
        </w:tc>
        <w:tc>
          <w:tcPr>
            <w:tcW w:w="1697" w:type="dxa"/>
            <w:vAlign w:val="center"/>
          </w:tcPr>
          <w:p>
            <w:pPr>
              <w:jc w:val="center"/>
              <w:rPr>
                <w:snapToGrid w:val="0"/>
                <w:color w:val="000000" w:themeColor="text1"/>
                <w:kern w:val="21"/>
                <w:sz w:val="21"/>
                <w:szCs w:val="21"/>
                <w14:textFill>
                  <w14:solidFill>
                    <w14:schemeClr w14:val="tx1"/>
                  </w14:solidFill>
                </w14:textFill>
              </w:rPr>
            </w:pPr>
            <w:r>
              <w:rPr>
                <w:color w:val="000000" w:themeColor="text1"/>
                <w:sz w:val="21"/>
                <w:szCs w:val="21"/>
                <w14:textFill>
                  <w14:solidFill>
                    <w14:schemeClr w14:val="tx1"/>
                  </w14:solidFill>
                </w14:textFill>
              </w:rPr>
              <w:t>生活垃圾</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0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18</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pStyle w:val="52"/>
              <w:adjustRightInd/>
              <w:snapToGrid/>
              <w:spacing w:beforeLines="0" w:afterLines="0" w:line="240" w:lineRule="auto"/>
              <w:rPr>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18</w:t>
            </w:r>
          </w:p>
        </w:tc>
        <w:tc>
          <w:tcPr>
            <w:tcW w:w="1514" w:type="dxa"/>
            <w:vAlign w:val="center"/>
          </w:tcPr>
          <w:p>
            <w:pPr>
              <w:pStyle w:val="52"/>
              <w:adjustRightInd/>
              <w:snapToGrid/>
              <w:spacing w:beforeLines="0" w:afterLines="0" w:line="240" w:lineRule="auto"/>
              <w:rPr>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废包装材料</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不合格产品</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废离子交换树脂</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0.01</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0.01</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restart"/>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危险废物</w:t>
            </w:r>
          </w:p>
        </w:tc>
        <w:tc>
          <w:tcPr>
            <w:tcW w:w="1697" w:type="dxa"/>
            <w:vAlign w:val="center"/>
          </w:tcPr>
          <w:p>
            <w:pPr>
              <w:jc w:val="center"/>
              <w:rPr>
                <w:snapToGrid w:val="0"/>
                <w:color w:val="000000" w:themeColor="text1"/>
                <w:kern w:val="2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废活性炭</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snapToGrid w:val="0"/>
                <w:color w:val="000000" w:themeColor="text1"/>
                <w:kern w:val="21"/>
                <w:sz w:val="21"/>
                <w:szCs w:val="21"/>
                <w14:textFill>
                  <w14:solidFill>
                    <w14:schemeClr w14:val="tx1"/>
                  </w14:solidFill>
                </w14:textFill>
              </w:rPr>
            </w:pPr>
            <w:r>
              <w:rPr>
                <w:rFonts w:hint="eastAsia"/>
                <w:color w:val="000000" w:themeColor="text1"/>
                <w:sz w:val="21"/>
                <w:szCs w:val="21"/>
                <w14:textFill>
                  <w14:solidFill>
                    <w14:schemeClr w14:val="tx1"/>
                  </w14:solidFill>
                </w14:textFill>
              </w:rPr>
              <w:t>7.802</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snapToGrid w:val="0"/>
                <w:color w:val="000000" w:themeColor="text1"/>
                <w:kern w:val="21"/>
                <w:sz w:val="21"/>
                <w:szCs w:val="21"/>
                <w14:textFill>
                  <w14:solidFill>
                    <w14:schemeClr w14:val="tx1"/>
                  </w14:solidFill>
                </w14:textFill>
              </w:rPr>
            </w:pPr>
            <w:r>
              <w:rPr>
                <w:rFonts w:hint="eastAsia"/>
                <w:color w:val="000000" w:themeColor="text1"/>
                <w:sz w:val="21"/>
                <w:szCs w:val="21"/>
                <w14:textFill>
                  <w14:solidFill>
                    <w14:schemeClr w14:val="tx1"/>
                  </w14:solidFill>
                </w14:textFill>
              </w:rPr>
              <w:t>7.802</w:t>
            </w:r>
          </w:p>
        </w:tc>
        <w:tc>
          <w:tcPr>
            <w:tcW w:w="1514" w:type="dxa"/>
            <w:vAlign w:val="center"/>
          </w:tcPr>
          <w:p>
            <w:pPr>
              <w:jc w:val="center"/>
              <w:rPr>
                <w:snapToGrid w:val="0"/>
                <w:color w:val="000000" w:themeColor="text1"/>
                <w:kern w:val="21"/>
                <w:sz w:val="21"/>
                <w:szCs w:val="21"/>
                <w14:textFill>
                  <w14:solidFill>
                    <w14:schemeClr w14:val="tx1"/>
                  </w14:solidFill>
                </w14:textFill>
              </w:rPr>
            </w:pPr>
            <w:r>
              <w:rPr>
                <w:rFonts w:hint="eastAsia"/>
                <w:color w:val="000000" w:themeColor="text1"/>
                <w:sz w:val="21"/>
                <w:szCs w:val="21"/>
                <w14:textFill>
                  <w14:solidFill>
                    <w14:schemeClr w14:val="tx1"/>
                  </w14:solidFill>
                </w14:textFill>
              </w:rPr>
              <w:t>7.802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废机油</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废清洗液</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36</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36</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废拖洗布</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hint="eastAsia"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2" w:type="dxa"/>
            <w:vMerge w:val="continue"/>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p>
        </w:tc>
        <w:tc>
          <w:tcPr>
            <w:tcW w:w="1697"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废化学品包装桶</w:t>
            </w:r>
          </w:p>
        </w:tc>
        <w:tc>
          <w:tcPr>
            <w:tcW w:w="162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24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80"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605"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0.8</w:t>
            </w:r>
          </w:p>
        </w:tc>
        <w:tc>
          <w:tcPr>
            <w:tcW w:w="1485" w:type="dxa"/>
            <w:vAlign w:val="center"/>
          </w:tcPr>
          <w:p>
            <w:pPr>
              <w:pStyle w:val="52"/>
              <w:adjustRightInd/>
              <w:snapToGrid/>
              <w:spacing w:beforeLines="0" w:afterLines="0" w:line="240" w:lineRule="auto"/>
              <w:rPr>
                <w:rFonts w:ascii="Times New Roman"/>
                <w:snapToGrid w:val="0"/>
                <w:color w:val="000000" w:themeColor="text1"/>
                <w:kern w:val="21"/>
                <w:sz w:val="21"/>
                <w:szCs w:val="21"/>
                <w14:textFill>
                  <w14:solidFill>
                    <w14:schemeClr w14:val="tx1"/>
                  </w14:solidFill>
                </w14:textFill>
              </w:rPr>
            </w:pPr>
            <w:r>
              <w:rPr>
                <w:rFonts w:ascii="Times New Roman"/>
                <w:snapToGrid w:val="0"/>
                <w:color w:val="000000" w:themeColor="text1"/>
                <w:kern w:val="21"/>
                <w:sz w:val="21"/>
                <w:szCs w:val="21"/>
                <w14:textFill>
                  <w14:solidFill>
                    <w14:schemeClr w14:val="tx1"/>
                  </w14:solidFill>
                </w14:textFill>
              </w:rPr>
              <w:t>0</w:t>
            </w:r>
          </w:p>
        </w:tc>
        <w:tc>
          <w:tcPr>
            <w:tcW w:w="1770"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0.8</w:t>
            </w:r>
          </w:p>
        </w:tc>
        <w:tc>
          <w:tcPr>
            <w:tcW w:w="1514" w:type="dxa"/>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0.8</w:t>
            </w:r>
          </w:p>
        </w:tc>
      </w:tr>
    </w:tbl>
    <w:p>
      <w:pPr>
        <w:pStyle w:val="52"/>
        <w:spacing w:before="249" w:beforeLines="80" w:after="31"/>
        <w:jc w:val="left"/>
        <w:rPr>
          <w:rFonts w:eastAsia="黑体"/>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pgSz w:w="16838" w:h="11906" w:orient="landscape"/>
      <w:pgMar w:top="141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TimesNewRoman">
    <w:altName w:val="Times New Roman"/>
    <w:panose1 w:val="00000000000000000000"/>
    <w:charset w:val="00"/>
    <w:family w:val="roman"/>
    <w:pitch w:val="default"/>
    <w:sig w:usb0="00000000" w:usb1="00000000" w:usb2="0000001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posOffset>2853055</wp:posOffset>
              </wp:positionH>
              <wp:positionV relativeFrom="paragraph">
                <wp:posOffset>3810</wp:posOffset>
              </wp:positionV>
              <wp:extent cx="171450" cy="1828800"/>
              <wp:effectExtent l="0" t="0" r="0" b="14605"/>
              <wp:wrapNone/>
              <wp:docPr id="9" name="文本框 9"/>
              <wp:cNvGraphicFramePr/>
              <a:graphic xmlns:a="http://schemas.openxmlformats.org/drawingml/2006/main">
                <a:graphicData uri="http://schemas.microsoft.com/office/word/2010/wordprocessingShape">
                  <wps:wsp>
                    <wps:cNvSpPr txBox="1"/>
                    <wps:spPr>
                      <a:xfrm>
                        <a:off x="0" y="0"/>
                        <a:ext cx="1714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4.65pt;margin-top:0.3pt;height:144pt;width:13.5pt;mso-position-horizontal-relative:margin;z-index:251659264;mso-width-relative:page;mso-height-relative:page;" filled="f" stroked="f" coordsize="21600,21600" o:gfxdata="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uoMZv1wAAAAgBAAAPAAAAAAAAAAEAIAAAACIAAABkcnMvZG93bnJldi54bWxQ&#10;SwECFAAUAAAACACHTuJAJ3dFTjECAABWBAAADgAAAAAAAAABACAAAAAmAQAAZHJzL2Uyb0RvYy54&#10;bWxQSwUGAAAAAAYABgBZAQAAyQUAAAAA&#10;">
              <v:fill on="f" focussize="0,0"/>
              <v:stroke on="f" weight="0.5pt"/>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CD42D"/>
    <w:multiLevelType w:val="singleLevel"/>
    <w:tmpl w:val="84DCD42D"/>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1">
    <w:nsid w:val="B08997EA"/>
    <w:multiLevelType w:val="singleLevel"/>
    <w:tmpl w:val="B08997EA"/>
    <w:lvl w:ilvl="0" w:tentative="0">
      <w:start w:val="1"/>
      <w:numFmt w:val="upperLetter"/>
      <w:suff w:val="nothing"/>
      <w:lvlText w:val="%1、"/>
      <w:lvlJc w:val="left"/>
    </w:lvl>
  </w:abstractNum>
  <w:abstractNum w:abstractNumId="2">
    <w:nsid w:val="E2CECA1E"/>
    <w:multiLevelType w:val="singleLevel"/>
    <w:tmpl w:val="E2CECA1E"/>
    <w:lvl w:ilvl="0" w:tentative="0">
      <w:start w:val="2"/>
      <w:numFmt w:val="decimal"/>
      <w:suff w:val="nothing"/>
      <w:lvlText w:val="（%1）"/>
      <w:lvlJc w:val="left"/>
    </w:lvl>
  </w:abstractNum>
  <w:abstractNum w:abstractNumId="3">
    <w:nsid w:val="0060E58F"/>
    <w:multiLevelType w:val="singleLevel"/>
    <w:tmpl w:val="0060E58F"/>
    <w:lvl w:ilvl="0" w:tentative="0">
      <w:start w:val="1"/>
      <w:numFmt w:val="decimal"/>
      <w:suff w:val="nothing"/>
      <w:lvlText w:val="（%1）"/>
      <w:lvlJc w:val="left"/>
    </w:lvl>
  </w:abstractNum>
  <w:abstractNum w:abstractNumId="4">
    <w:nsid w:val="1AA1261E"/>
    <w:multiLevelType w:val="singleLevel"/>
    <w:tmpl w:val="1AA1261E"/>
    <w:lvl w:ilvl="0" w:tentative="0">
      <w:start w:val="2"/>
      <w:numFmt w:val="decimal"/>
      <w:suff w:val="nothing"/>
      <w:lvlText w:val="（%1）"/>
      <w:lvlJc w:val="left"/>
    </w:lvl>
  </w:abstractNum>
  <w:abstractNum w:abstractNumId="5">
    <w:nsid w:val="348C1C82"/>
    <w:multiLevelType w:val="multilevel"/>
    <w:tmpl w:val="348C1C82"/>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pStyle w:val="39"/>
      <w:lvlText w:val="%1.%2.%3."/>
      <w:lvlJc w:val="left"/>
      <w:pPr>
        <w:ind w:left="709" w:hanging="709"/>
      </w:pPr>
    </w:lvl>
    <w:lvl w:ilvl="3" w:tentative="0">
      <w:start w:val="1"/>
      <w:numFmt w:val="decimal"/>
      <w:lvlText w:val="%1.%2.%3.%4."/>
      <w:lvlJc w:val="left"/>
      <w:pPr>
        <w:ind w:left="1418"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41862CA9"/>
    <w:multiLevelType w:val="multilevel"/>
    <w:tmpl w:val="41862CA9"/>
    <w:lvl w:ilvl="0" w:tentative="0">
      <w:start w:val="1"/>
      <w:numFmt w:val="decimal"/>
      <w:pStyle w:val="38"/>
      <w:suff w:val="space"/>
      <w:lvlText w:val="%1"/>
      <w:lvlJc w:val="left"/>
      <w:pPr>
        <w:ind w:left="0" w:firstLine="0"/>
      </w:pPr>
      <w:rPr>
        <w:rFonts w:hint="eastAsia"/>
        <w:sz w:val="30"/>
        <w:szCs w:val="30"/>
      </w:rPr>
    </w:lvl>
    <w:lvl w:ilvl="1" w:tentative="0">
      <w:start w:val="1"/>
      <w:numFmt w:val="decimal"/>
      <w:suff w:val="space"/>
      <w:lvlText w:val="%1.%2"/>
      <w:lvlJc w:val="left"/>
      <w:pPr>
        <w:ind w:left="284"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6"/>
  </w:num>
  <w:num w:numId="3">
    <w:abstractNumId w:val="5"/>
  </w:num>
  <w:num w:numId="4">
    <w:abstractNumId w:val="4"/>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wOWIxNTkxYzYxYjc1YjRlNWExNTFlYmY2ZTVkNTIifQ=="/>
  </w:docVars>
  <w:rsids>
    <w:rsidRoot w:val="00172A27"/>
    <w:rsid w:val="00006F75"/>
    <w:rsid w:val="00085D90"/>
    <w:rsid w:val="00172A27"/>
    <w:rsid w:val="00296467"/>
    <w:rsid w:val="002F5E76"/>
    <w:rsid w:val="003117C9"/>
    <w:rsid w:val="00362C97"/>
    <w:rsid w:val="00371CF4"/>
    <w:rsid w:val="003747FB"/>
    <w:rsid w:val="0037707C"/>
    <w:rsid w:val="0048453F"/>
    <w:rsid w:val="004F5AE3"/>
    <w:rsid w:val="00542C62"/>
    <w:rsid w:val="005A7208"/>
    <w:rsid w:val="005D2854"/>
    <w:rsid w:val="005D353B"/>
    <w:rsid w:val="006360BD"/>
    <w:rsid w:val="006B4A9D"/>
    <w:rsid w:val="006C6A2C"/>
    <w:rsid w:val="007639FA"/>
    <w:rsid w:val="00773AD4"/>
    <w:rsid w:val="00802C17"/>
    <w:rsid w:val="008B5BC6"/>
    <w:rsid w:val="00920AF1"/>
    <w:rsid w:val="009D4AEA"/>
    <w:rsid w:val="00A53E87"/>
    <w:rsid w:val="00A66F1D"/>
    <w:rsid w:val="00A81D22"/>
    <w:rsid w:val="00AA4542"/>
    <w:rsid w:val="00AA6114"/>
    <w:rsid w:val="00B5443F"/>
    <w:rsid w:val="00BB7464"/>
    <w:rsid w:val="00C31D79"/>
    <w:rsid w:val="00C473C7"/>
    <w:rsid w:val="00C85005"/>
    <w:rsid w:val="00CA18AD"/>
    <w:rsid w:val="00CC79A0"/>
    <w:rsid w:val="00D83821"/>
    <w:rsid w:val="00E72F96"/>
    <w:rsid w:val="00F179FC"/>
    <w:rsid w:val="00F44B87"/>
    <w:rsid w:val="00FD1662"/>
    <w:rsid w:val="011D795A"/>
    <w:rsid w:val="016B4327"/>
    <w:rsid w:val="017B2F92"/>
    <w:rsid w:val="01881F28"/>
    <w:rsid w:val="018E7169"/>
    <w:rsid w:val="01BA069F"/>
    <w:rsid w:val="01BF3A1D"/>
    <w:rsid w:val="01D9415D"/>
    <w:rsid w:val="022A49B8"/>
    <w:rsid w:val="024739EF"/>
    <w:rsid w:val="024E4B4B"/>
    <w:rsid w:val="02532161"/>
    <w:rsid w:val="02702D13"/>
    <w:rsid w:val="02B40E52"/>
    <w:rsid w:val="03051783"/>
    <w:rsid w:val="030526BC"/>
    <w:rsid w:val="036D2DAF"/>
    <w:rsid w:val="03BB7FBE"/>
    <w:rsid w:val="03BD5AE4"/>
    <w:rsid w:val="03C8209E"/>
    <w:rsid w:val="03FD3580"/>
    <w:rsid w:val="04190169"/>
    <w:rsid w:val="04245B63"/>
    <w:rsid w:val="046123FD"/>
    <w:rsid w:val="04874344"/>
    <w:rsid w:val="04904FA7"/>
    <w:rsid w:val="049802FF"/>
    <w:rsid w:val="049D5915"/>
    <w:rsid w:val="04B62533"/>
    <w:rsid w:val="04C17856"/>
    <w:rsid w:val="04FA68C4"/>
    <w:rsid w:val="05340797"/>
    <w:rsid w:val="0534627A"/>
    <w:rsid w:val="05410997"/>
    <w:rsid w:val="05571F68"/>
    <w:rsid w:val="056A3A4A"/>
    <w:rsid w:val="05924631"/>
    <w:rsid w:val="05A84572"/>
    <w:rsid w:val="05F257ED"/>
    <w:rsid w:val="060A0D89"/>
    <w:rsid w:val="061614DB"/>
    <w:rsid w:val="063B6215"/>
    <w:rsid w:val="06C57624"/>
    <w:rsid w:val="06E11AE9"/>
    <w:rsid w:val="07030662"/>
    <w:rsid w:val="071656F5"/>
    <w:rsid w:val="07183296"/>
    <w:rsid w:val="07524795"/>
    <w:rsid w:val="077D4E85"/>
    <w:rsid w:val="07F27D26"/>
    <w:rsid w:val="08400A92"/>
    <w:rsid w:val="088279AD"/>
    <w:rsid w:val="08892439"/>
    <w:rsid w:val="08962DA7"/>
    <w:rsid w:val="08E104C7"/>
    <w:rsid w:val="09251019"/>
    <w:rsid w:val="0946657C"/>
    <w:rsid w:val="095C5D9F"/>
    <w:rsid w:val="09880942"/>
    <w:rsid w:val="098826F0"/>
    <w:rsid w:val="09C556F2"/>
    <w:rsid w:val="09F3632E"/>
    <w:rsid w:val="0A1E3055"/>
    <w:rsid w:val="0A2166A1"/>
    <w:rsid w:val="0A350410"/>
    <w:rsid w:val="0A3E7253"/>
    <w:rsid w:val="0A904501"/>
    <w:rsid w:val="0A917CCA"/>
    <w:rsid w:val="0A9F3B21"/>
    <w:rsid w:val="0AA95014"/>
    <w:rsid w:val="0AD41965"/>
    <w:rsid w:val="0ADB7197"/>
    <w:rsid w:val="0AE70F8A"/>
    <w:rsid w:val="0AF73FD1"/>
    <w:rsid w:val="0B204BAA"/>
    <w:rsid w:val="0B7C6285"/>
    <w:rsid w:val="0BFA4EB2"/>
    <w:rsid w:val="0BFB5D3C"/>
    <w:rsid w:val="0C25691C"/>
    <w:rsid w:val="0C2A5CE1"/>
    <w:rsid w:val="0C6C62F9"/>
    <w:rsid w:val="0C803B53"/>
    <w:rsid w:val="0CB437FC"/>
    <w:rsid w:val="0CBD0903"/>
    <w:rsid w:val="0CE75980"/>
    <w:rsid w:val="0D204AD7"/>
    <w:rsid w:val="0D295F98"/>
    <w:rsid w:val="0D4508F8"/>
    <w:rsid w:val="0D654321"/>
    <w:rsid w:val="0D8113D7"/>
    <w:rsid w:val="0D961154"/>
    <w:rsid w:val="0DA10224"/>
    <w:rsid w:val="0DAE0FD9"/>
    <w:rsid w:val="0DC45CC1"/>
    <w:rsid w:val="0E0A401C"/>
    <w:rsid w:val="0E1C3D4F"/>
    <w:rsid w:val="0E356EC8"/>
    <w:rsid w:val="0E440BB0"/>
    <w:rsid w:val="0E482A60"/>
    <w:rsid w:val="0E866A61"/>
    <w:rsid w:val="0ED87C76"/>
    <w:rsid w:val="0EE62DD0"/>
    <w:rsid w:val="0F0720BC"/>
    <w:rsid w:val="0F1467D4"/>
    <w:rsid w:val="0F1B0B8C"/>
    <w:rsid w:val="0F205179"/>
    <w:rsid w:val="0F264DDD"/>
    <w:rsid w:val="0F8120BC"/>
    <w:rsid w:val="0F9F0794"/>
    <w:rsid w:val="0FA83AEC"/>
    <w:rsid w:val="0FBA55CD"/>
    <w:rsid w:val="0FCE2E27"/>
    <w:rsid w:val="0FE20680"/>
    <w:rsid w:val="0FF56606"/>
    <w:rsid w:val="100131FC"/>
    <w:rsid w:val="10297B16"/>
    <w:rsid w:val="10345380"/>
    <w:rsid w:val="104D6442"/>
    <w:rsid w:val="105570A4"/>
    <w:rsid w:val="10E50428"/>
    <w:rsid w:val="10EA5A3E"/>
    <w:rsid w:val="11196324"/>
    <w:rsid w:val="116021A5"/>
    <w:rsid w:val="118E1D23"/>
    <w:rsid w:val="11D16BFE"/>
    <w:rsid w:val="11DA1F57"/>
    <w:rsid w:val="11F748B7"/>
    <w:rsid w:val="1209283C"/>
    <w:rsid w:val="120A1770"/>
    <w:rsid w:val="12614426"/>
    <w:rsid w:val="12675887"/>
    <w:rsid w:val="127557DC"/>
    <w:rsid w:val="12A32349"/>
    <w:rsid w:val="12B72298"/>
    <w:rsid w:val="12D62227"/>
    <w:rsid w:val="12EA61CA"/>
    <w:rsid w:val="1331204B"/>
    <w:rsid w:val="13411EEC"/>
    <w:rsid w:val="13545D39"/>
    <w:rsid w:val="13785584"/>
    <w:rsid w:val="13911A32"/>
    <w:rsid w:val="13954D5F"/>
    <w:rsid w:val="13A54528"/>
    <w:rsid w:val="13AC7923"/>
    <w:rsid w:val="13CC1D73"/>
    <w:rsid w:val="13CE33F5"/>
    <w:rsid w:val="141379A2"/>
    <w:rsid w:val="14232BF3"/>
    <w:rsid w:val="14665D24"/>
    <w:rsid w:val="146D70B2"/>
    <w:rsid w:val="148443FC"/>
    <w:rsid w:val="14C52A4A"/>
    <w:rsid w:val="14D3719F"/>
    <w:rsid w:val="150572EB"/>
    <w:rsid w:val="15063063"/>
    <w:rsid w:val="150D619F"/>
    <w:rsid w:val="15195384"/>
    <w:rsid w:val="153571A3"/>
    <w:rsid w:val="153C6A85"/>
    <w:rsid w:val="155D0ED5"/>
    <w:rsid w:val="15650518"/>
    <w:rsid w:val="159266A5"/>
    <w:rsid w:val="15C40F54"/>
    <w:rsid w:val="15C70A44"/>
    <w:rsid w:val="16041350"/>
    <w:rsid w:val="16157A01"/>
    <w:rsid w:val="161A6585"/>
    <w:rsid w:val="16730284"/>
    <w:rsid w:val="1686227A"/>
    <w:rsid w:val="16A64203"/>
    <w:rsid w:val="16E01ACB"/>
    <w:rsid w:val="16EB291E"/>
    <w:rsid w:val="16FC64CC"/>
    <w:rsid w:val="170D06D9"/>
    <w:rsid w:val="17125CEF"/>
    <w:rsid w:val="172123D6"/>
    <w:rsid w:val="172779EC"/>
    <w:rsid w:val="1735378C"/>
    <w:rsid w:val="17465999"/>
    <w:rsid w:val="176C41F1"/>
    <w:rsid w:val="17872239"/>
    <w:rsid w:val="179E7583"/>
    <w:rsid w:val="17A0779F"/>
    <w:rsid w:val="17EF7DDE"/>
    <w:rsid w:val="182061EA"/>
    <w:rsid w:val="184A704A"/>
    <w:rsid w:val="187D2D88"/>
    <w:rsid w:val="18AB01A9"/>
    <w:rsid w:val="18DF38AF"/>
    <w:rsid w:val="18E84074"/>
    <w:rsid w:val="19234EB8"/>
    <w:rsid w:val="19396953"/>
    <w:rsid w:val="193E101D"/>
    <w:rsid w:val="193F0F57"/>
    <w:rsid w:val="196B16E7"/>
    <w:rsid w:val="19DB686C"/>
    <w:rsid w:val="19E15C77"/>
    <w:rsid w:val="19E66247"/>
    <w:rsid w:val="1A073B05"/>
    <w:rsid w:val="1A2C356C"/>
    <w:rsid w:val="1A3047D2"/>
    <w:rsid w:val="1A50725A"/>
    <w:rsid w:val="1A514D80"/>
    <w:rsid w:val="1A9A6727"/>
    <w:rsid w:val="1AB07CF9"/>
    <w:rsid w:val="1AC6751C"/>
    <w:rsid w:val="1B0A1248"/>
    <w:rsid w:val="1B0F4AD4"/>
    <w:rsid w:val="1B140288"/>
    <w:rsid w:val="1B291859"/>
    <w:rsid w:val="1B423FAF"/>
    <w:rsid w:val="1B446693"/>
    <w:rsid w:val="1B46065D"/>
    <w:rsid w:val="1B470887"/>
    <w:rsid w:val="1B4F12C0"/>
    <w:rsid w:val="1B762CF0"/>
    <w:rsid w:val="1B8B6070"/>
    <w:rsid w:val="1BBB0703"/>
    <w:rsid w:val="1BC17CE4"/>
    <w:rsid w:val="1BE7774A"/>
    <w:rsid w:val="1BF754B3"/>
    <w:rsid w:val="1C063323"/>
    <w:rsid w:val="1C1442B7"/>
    <w:rsid w:val="1C185B56"/>
    <w:rsid w:val="1C6F7740"/>
    <w:rsid w:val="1C9122B3"/>
    <w:rsid w:val="1C9F0025"/>
    <w:rsid w:val="1CEB5018"/>
    <w:rsid w:val="1CEB6460"/>
    <w:rsid w:val="1CF8612C"/>
    <w:rsid w:val="1CFC0FD3"/>
    <w:rsid w:val="1D083E1C"/>
    <w:rsid w:val="1D085BCA"/>
    <w:rsid w:val="1D2F75FB"/>
    <w:rsid w:val="1D4F55EB"/>
    <w:rsid w:val="1D7B693A"/>
    <w:rsid w:val="1D855E60"/>
    <w:rsid w:val="1DED6B6E"/>
    <w:rsid w:val="1E0A5832"/>
    <w:rsid w:val="1E562965"/>
    <w:rsid w:val="1E711DA6"/>
    <w:rsid w:val="1E786D7F"/>
    <w:rsid w:val="1E990AA4"/>
    <w:rsid w:val="1EA5569B"/>
    <w:rsid w:val="1EA71413"/>
    <w:rsid w:val="1EC73863"/>
    <w:rsid w:val="1EE461C3"/>
    <w:rsid w:val="1F7A08D5"/>
    <w:rsid w:val="1FDA145A"/>
    <w:rsid w:val="20102DFE"/>
    <w:rsid w:val="205E6681"/>
    <w:rsid w:val="206D5256"/>
    <w:rsid w:val="207B66B3"/>
    <w:rsid w:val="20A61D99"/>
    <w:rsid w:val="20B47E17"/>
    <w:rsid w:val="20BF0CB2"/>
    <w:rsid w:val="20D3029D"/>
    <w:rsid w:val="20D61B3B"/>
    <w:rsid w:val="21313216"/>
    <w:rsid w:val="214B2529"/>
    <w:rsid w:val="21615088"/>
    <w:rsid w:val="216D06F2"/>
    <w:rsid w:val="21AE2AB8"/>
    <w:rsid w:val="21C67E02"/>
    <w:rsid w:val="21FC1A76"/>
    <w:rsid w:val="21FE57EE"/>
    <w:rsid w:val="222C0037"/>
    <w:rsid w:val="22372AAE"/>
    <w:rsid w:val="22425820"/>
    <w:rsid w:val="225B1045"/>
    <w:rsid w:val="22B8599C"/>
    <w:rsid w:val="22BE275B"/>
    <w:rsid w:val="22BE6D2B"/>
    <w:rsid w:val="22BF6927"/>
    <w:rsid w:val="22C84FC9"/>
    <w:rsid w:val="22F15352"/>
    <w:rsid w:val="23075A44"/>
    <w:rsid w:val="231E02A0"/>
    <w:rsid w:val="23425FA5"/>
    <w:rsid w:val="235558E1"/>
    <w:rsid w:val="235B260F"/>
    <w:rsid w:val="237F295E"/>
    <w:rsid w:val="23C5258D"/>
    <w:rsid w:val="23C87E61"/>
    <w:rsid w:val="23E91323"/>
    <w:rsid w:val="23EB7FF4"/>
    <w:rsid w:val="23ED78C8"/>
    <w:rsid w:val="23F92711"/>
    <w:rsid w:val="243472A5"/>
    <w:rsid w:val="24417C14"/>
    <w:rsid w:val="24AF4B7D"/>
    <w:rsid w:val="24DE36B4"/>
    <w:rsid w:val="24E76A0D"/>
    <w:rsid w:val="24EA02AB"/>
    <w:rsid w:val="250E5D48"/>
    <w:rsid w:val="252366F9"/>
    <w:rsid w:val="252C4420"/>
    <w:rsid w:val="2551032A"/>
    <w:rsid w:val="256D2982"/>
    <w:rsid w:val="25BB4DD3"/>
    <w:rsid w:val="263E08AF"/>
    <w:rsid w:val="264439EB"/>
    <w:rsid w:val="26B402C7"/>
    <w:rsid w:val="26F40F6D"/>
    <w:rsid w:val="26F6798D"/>
    <w:rsid w:val="26FC7E22"/>
    <w:rsid w:val="27132C7D"/>
    <w:rsid w:val="27201D62"/>
    <w:rsid w:val="273E668C"/>
    <w:rsid w:val="274A697A"/>
    <w:rsid w:val="27D17500"/>
    <w:rsid w:val="28096C9A"/>
    <w:rsid w:val="280C665A"/>
    <w:rsid w:val="28292E99"/>
    <w:rsid w:val="28620159"/>
    <w:rsid w:val="288527C5"/>
    <w:rsid w:val="28A65C32"/>
    <w:rsid w:val="28B43893"/>
    <w:rsid w:val="28C52BC1"/>
    <w:rsid w:val="28E079FB"/>
    <w:rsid w:val="2944393A"/>
    <w:rsid w:val="296A5695"/>
    <w:rsid w:val="29896685"/>
    <w:rsid w:val="29A924E3"/>
    <w:rsid w:val="29C7757A"/>
    <w:rsid w:val="29D137E8"/>
    <w:rsid w:val="29D65941"/>
    <w:rsid w:val="29D84B76"/>
    <w:rsid w:val="29DA6B40"/>
    <w:rsid w:val="2A222295"/>
    <w:rsid w:val="2A375D41"/>
    <w:rsid w:val="2A3A313B"/>
    <w:rsid w:val="2A404806"/>
    <w:rsid w:val="2A4D0FFB"/>
    <w:rsid w:val="2AB92391"/>
    <w:rsid w:val="2AC5334C"/>
    <w:rsid w:val="2AD44CB1"/>
    <w:rsid w:val="2AF552B4"/>
    <w:rsid w:val="2B1308BD"/>
    <w:rsid w:val="2B2C33CC"/>
    <w:rsid w:val="2B4D50F0"/>
    <w:rsid w:val="2B7E174D"/>
    <w:rsid w:val="2BD55811"/>
    <w:rsid w:val="2BE9306B"/>
    <w:rsid w:val="2BEE68D3"/>
    <w:rsid w:val="2BFA5278"/>
    <w:rsid w:val="2C016606"/>
    <w:rsid w:val="2C0E487F"/>
    <w:rsid w:val="2C30132D"/>
    <w:rsid w:val="2C400991"/>
    <w:rsid w:val="2C4B5AD3"/>
    <w:rsid w:val="2C4C35F9"/>
    <w:rsid w:val="2C5A3F68"/>
    <w:rsid w:val="2C723060"/>
    <w:rsid w:val="2C862667"/>
    <w:rsid w:val="2C9D3F85"/>
    <w:rsid w:val="2CB74F17"/>
    <w:rsid w:val="2CD535EF"/>
    <w:rsid w:val="2CEC10FA"/>
    <w:rsid w:val="2CF63C91"/>
    <w:rsid w:val="2D0143E4"/>
    <w:rsid w:val="2D2D6F87"/>
    <w:rsid w:val="2D5B7F98"/>
    <w:rsid w:val="2D87400C"/>
    <w:rsid w:val="2D915768"/>
    <w:rsid w:val="2D9B2143"/>
    <w:rsid w:val="2DD438A6"/>
    <w:rsid w:val="2E3D144C"/>
    <w:rsid w:val="2E425882"/>
    <w:rsid w:val="2E652751"/>
    <w:rsid w:val="2E70537D"/>
    <w:rsid w:val="2E717C1C"/>
    <w:rsid w:val="2E8D6E41"/>
    <w:rsid w:val="2EA11FC7"/>
    <w:rsid w:val="2EB07E70"/>
    <w:rsid w:val="2EC721AB"/>
    <w:rsid w:val="2ED743AA"/>
    <w:rsid w:val="2EE23DA1"/>
    <w:rsid w:val="2EE30245"/>
    <w:rsid w:val="2F0A3020"/>
    <w:rsid w:val="2F146650"/>
    <w:rsid w:val="2F7C41F6"/>
    <w:rsid w:val="2FA0434A"/>
    <w:rsid w:val="2FAD0853"/>
    <w:rsid w:val="2FB27C17"/>
    <w:rsid w:val="2FB971F8"/>
    <w:rsid w:val="2FD44032"/>
    <w:rsid w:val="2FF72A0E"/>
    <w:rsid w:val="3019480C"/>
    <w:rsid w:val="30197C97"/>
    <w:rsid w:val="301D1535"/>
    <w:rsid w:val="303074BA"/>
    <w:rsid w:val="306F61BE"/>
    <w:rsid w:val="307849BD"/>
    <w:rsid w:val="310C4889"/>
    <w:rsid w:val="31140B8A"/>
    <w:rsid w:val="31230DCD"/>
    <w:rsid w:val="316B4522"/>
    <w:rsid w:val="31826E80"/>
    <w:rsid w:val="31886E82"/>
    <w:rsid w:val="31C0661C"/>
    <w:rsid w:val="31D80562"/>
    <w:rsid w:val="31E22A36"/>
    <w:rsid w:val="3207249C"/>
    <w:rsid w:val="32270449"/>
    <w:rsid w:val="3236068C"/>
    <w:rsid w:val="32456B21"/>
    <w:rsid w:val="3251196A"/>
    <w:rsid w:val="327A442A"/>
    <w:rsid w:val="32A837C3"/>
    <w:rsid w:val="32AA30FF"/>
    <w:rsid w:val="32AC0D3C"/>
    <w:rsid w:val="32B33799"/>
    <w:rsid w:val="32B819E9"/>
    <w:rsid w:val="32CB2425"/>
    <w:rsid w:val="32CE39C8"/>
    <w:rsid w:val="32DF0D23"/>
    <w:rsid w:val="32E97DF4"/>
    <w:rsid w:val="330D3AE3"/>
    <w:rsid w:val="3317670F"/>
    <w:rsid w:val="33266952"/>
    <w:rsid w:val="33337555"/>
    <w:rsid w:val="334B63B9"/>
    <w:rsid w:val="33572FB0"/>
    <w:rsid w:val="337A37EE"/>
    <w:rsid w:val="338F44F8"/>
    <w:rsid w:val="33A65CE5"/>
    <w:rsid w:val="33AB6E58"/>
    <w:rsid w:val="33E505BB"/>
    <w:rsid w:val="33FD059E"/>
    <w:rsid w:val="342C61EA"/>
    <w:rsid w:val="34384B8F"/>
    <w:rsid w:val="344045EB"/>
    <w:rsid w:val="34557DFD"/>
    <w:rsid w:val="34751C89"/>
    <w:rsid w:val="34DD74E5"/>
    <w:rsid w:val="34DF500B"/>
    <w:rsid w:val="34F36D08"/>
    <w:rsid w:val="35014A2B"/>
    <w:rsid w:val="3502519D"/>
    <w:rsid w:val="35064C8D"/>
    <w:rsid w:val="352275ED"/>
    <w:rsid w:val="3555351F"/>
    <w:rsid w:val="356814A4"/>
    <w:rsid w:val="356E45E1"/>
    <w:rsid w:val="35753BC1"/>
    <w:rsid w:val="358D0F0B"/>
    <w:rsid w:val="35951A60"/>
    <w:rsid w:val="35C24F77"/>
    <w:rsid w:val="35D24B6F"/>
    <w:rsid w:val="35DE52C2"/>
    <w:rsid w:val="363158E8"/>
    <w:rsid w:val="36561E50"/>
    <w:rsid w:val="36603F29"/>
    <w:rsid w:val="36813B92"/>
    <w:rsid w:val="36843F5E"/>
    <w:rsid w:val="368C5478"/>
    <w:rsid w:val="36910587"/>
    <w:rsid w:val="369260AD"/>
    <w:rsid w:val="36985DB9"/>
    <w:rsid w:val="369C2AC2"/>
    <w:rsid w:val="36C546D4"/>
    <w:rsid w:val="36C7303A"/>
    <w:rsid w:val="37461371"/>
    <w:rsid w:val="374C0952"/>
    <w:rsid w:val="375401FF"/>
    <w:rsid w:val="377017EA"/>
    <w:rsid w:val="37841E99"/>
    <w:rsid w:val="37D24398"/>
    <w:rsid w:val="381A36C2"/>
    <w:rsid w:val="38741F0E"/>
    <w:rsid w:val="3880055C"/>
    <w:rsid w:val="388137C3"/>
    <w:rsid w:val="388D2FD0"/>
    <w:rsid w:val="390037A2"/>
    <w:rsid w:val="39131727"/>
    <w:rsid w:val="391B05DB"/>
    <w:rsid w:val="398C14D9"/>
    <w:rsid w:val="399F2FBB"/>
    <w:rsid w:val="39A91783"/>
    <w:rsid w:val="39C06A0E"/>
    <w:rsid w:val="39E3734B"/>
    <w:rsid w:val="39FE4E9D"/>
    <w:rsid w:val="3A015A23"/>
    <w:rsid w:val="3A03112B"/>
    <w:rsid w:val="3A0B0650"/>
    <w:rsid w:val="3A15327D"/>
    <w:rsid w:val="3A2A31CC"/>
    <w:rsid w:val="3A6A4A2B"/>
    <w:rsid w:val="3AC161F9"/>
    <w:rsid w:val="3B357CA1"/>
    <w:rsid w:val="3B381607"/>
    <w:rsid w:val="3B653D90"/>
    <w:rsid w:val="3B802E50"/>
    <w:rsid w:val="3B9C3C56"/>
    <w:rsid w:val="3B9D380E"/>
    <w:rsid w:val="3BA1126C"/>
    <w:rsid w:val="3BDF1D94"/>
    <w:rsid w:val="3C095063"/>
    <w:rsid w:val="3C8A61A4"/>
    <w:rsid w:val="3CB11983"/>
    <w:rsid w:val="3CBB635D"/>
    <w:rsid w:val="3CCB2AA8"/>
    <w:rsid w:val="3CD218F9"/>
    <w:rsid w:val="3CE85162"/>
    <w:rsid w:val="3D09356D"/>
    <w:rsid w:val="3D0A4BEF"/>
    <w:rsid w:val="3D277076"/>
    <w:rsid w:val="3D3879AE"/>
    <w:rsid w:val="3D8871C5"/>
    <w:rsid w:val="3DA24B99"/>
    <w:rsid w:val="3DA7449C"/>
    <w:rsid w:val="3DE6565C"/>
    <w:rsid w:val="3E4F1453"/>
    <w:rsid w:val="3E6807DB"/>
    <w:rsid w:val="3E6B790F"/>
    <w:rsid w:val="3E895FE7"/>
    <w:rsid w:val="3E9018AA"/>
    <w:rsid w:val="3E9625D9"/>
    <w:rsid w:val="3E9C5D1B"/>
    <w:rsid w:val="3EA05974"/>
    <w:rsid w:val="3EA42E21"/>
    <w:rsid w:val="3F016153"/>
    <w:rsid w:val="3F0833B0"/>
    <w:rsid w:val="3F3607D8"/>
    <w:rsid w:val="3F60143E"/>
    <w:rsid w:val="3FC27BF2"/>
    <w:rsid w:val="3FD074F4"/>
    <w:rsid w:val="3FD31731"/>
    <w:rsid w:val="401F09B1"/>
    <w:rsid w:val="40275AB8"/>
    <w:rsid w:val="405151E0"/>
    <w:rsid w:val="40A65EA8"/>
    <w:rsid w:val="40A973AA"/>
    <w:rsid w:val="40C8729B"/>
    <w:rsid w:val="40F13361"/>
    <w:rsid w:val="41081C93"/>
    <w:rsid w:val="411029F0"/>
    <w:rsid w:val="41686388"/>
    <w:rsid w:val="417841C2"/>
    <w:rsid w:val="418A09F4"/>
    <w:rsid w:val="418F600A"/>
    <w:rsid w:val="419068C8"/>
    <w:rsid w:val="41962EF5"/>
    <w:rsid w:val="419B49AF"/>
    <w:rsid w:val="41E33C60"/>
    <w:rsid w:val="41FB36A0"/>
    <w:rsid w:val="421006D4"/>
    <w:rsid w:val="421107CE"/>
    <w:rsid w:val="4249440B"/>
    <w:rsid w:val="424D3EFC"/>
    <w:rsid w:val="425D7EB7"/>
    <w:rsid w:val="42642FF3"/>
    <w:rsid w:val="426B25D4"/>
    <w:rsid w:val="42827366"/>
    <w:rsid w:val="428F14E3"/>
    <w:rsid w:val="429C278D"/>
    <w:rsid w:val="42B67850"/>
    <w:rsid w:val="42C121F4"/>
    <w:rsid w:val="42F8373A"/>
    <w:rsid w:val="432B1D63"/>
    <w:rsid w:val="436332AB"/>
    <w:rsid w:val="43A466FD"/>
    <w:rsid w:val="43A538C3"/>
    <w:rsid w:val="43B65AD0"/>
    <w:rsid w:val="43D16466"/>
    <w:rsid w:val="43DF1506"/>
    <w:rsid w:val="44024872"/>
    <w:rsid w:val="441D78FE"/>
    <w:rsid w:val="444E5932"/>
    <w:rsid w:val="44507CD3"/>
    <w:rsid w:val="445D7CFA"/>
    <w:rsid w:val="446612A5"/>
    <w:rsid w:val="448C05DF"/>
    <w:rsid w:val="44B30262"/>
    <w:rsid w:val="44B33DBE"/>
    <w:rsid w:val="44B518E4"/>
    <w:rsid w:val="44BD69EB"/>
    <w:rsid w:val="44C63AF1"/>
    <w:rsid w:val="44E82666"/>
    <w:rsid w:val="44F35FFC"/>
    <w:rsid w:val="45275600"/>
    <w:rsid w:val="4537679D"/>
    <w:rsid w:val="45684BA8"/>
    <w:rsid w:val="458319E2"/>
    <w:rsid w:val="45C60C3D"/>
    <w:rsid w:val="45F91CA4"/>
    <w:rsid w:val="4605689B"/>
    <w:rsid w:val="4645787E"/>
    <w:rsid w:val="46865603"/>
    <w:rsid w:val="469519CD"/>
    <w:rsid w:val="46B2352C"/>
    <w:rsid w:val="46B300A5"/>
    <w:rsid w:val="46C56BB5"/>
    <w:rsid w:val="46E26BDC"/>
    <w:rsid w:val="470E1780"/>
    <w:rsid w:val="47631ACB"/>
    <w:rsid w:val="477E2E96"/>
    <w:rsid w:val="479E6FA7"/>
    <w:rsid w:val="479F5EC7"/>
    <w:rsid w:val="47D97FDF"/>
    <w:rsid w:val="47E0136E"/>
    <w:rsid w:val="47EF7803"/>
    <w:rsid w:val="481132D5"/>
    <w:rsid w:val="4820176A"/>
    <w:rsid w:val="482A1EB4"/>
    <w:rsid w:val="483416BA"/>
    <w:rsid w:val="484511D1"/>
    <w:rsid w:val="484D62D8"/>
    <w:rsid w:val="486D24D6"/>
    <w:rsid w:val="48783354"/>
    <w:rsid w:val="48A16311"/>
    <w:rsid w:val="48DB5AA1"/>
    <w:rsid w:val="48E32B88"/>
    <w:rsid w:val="49325BF9"/>
    <w:rsid w:val="493A2D00"/>
    <w:rsid w:val="493C4382"/>
    <w:rsid w:val="493F20C4"/>
    <w:rsid w:val="4968161B"/>
    <w:rsid w:val="498D72D3"/>
    <w:rsid w:val="498E02D1"/>
    <w:rsid w:val="49973CAE"/>
    <w:rsid w:val="49EB2567"/>
    <w:rsid w:val="4A1B668D"/>
    <w:rsid w:val="4A4554B8"/>
    <w:rsid w:val="4A4E2219"/>
    <w:rsid w:val="4A516E34"/>
    <w:rsid w:val="4A5D0777"/>
    <w:rsid w:val="4A5D554C"/>
    <w:rsid w:val="4A633B90"/>
    <w:rsid w:val="4ABB577A"/>
    <w:rsid w:val="4B321EE0"/>
    <w:rsid w:val="4B38501D"/>
    <w:rsid w:val="4B7778F3"/>
    <w:rsid w:val="4B797B0F"/>
    <w:rsid w:val="4BA821A3"/>
    <w:rsid w:val="4BAE52DF"/>
    <w:rsid w:val="4BD74836"/>
    <w:rsid w:val="4BDE5651"/>
    <w:rsid w:val="4C15535E"/>
    <w:rsid w:val="4C1772C8"/>
    <w:rsid w:val="4C261064"/>
    <w:rsid w:val="4C3C0B3D"/>
    <w:rsid w:val="4C714CB1"/>
    <w:rsid w:val="4CBD17BB"/>
    <w:rsid w:val="4CD34FFD"/>
    <w:rsid w:val="4D1B69A4"/>
    <w:rsid w:val="4D2C295F"/>
    <w:rsid w:val="4DAD1CF2"/>
    <w:rsid w:val="4DBE5CAD"/>
    <w:rsid w:val="4DC42B98"/>
    <w:rsid w:val="4DC62DB4"/>
    <w:rsid w:val="4DD03C33"/>
    <w:rsid w:val="4DEB6377"/>
    <w:rsid w:val="4E006CB9"/>
    <w:rsid w:val="4E1E499E"/>
    <w:rsid w:val="4E7518D5"/>
    <w:rsid w:val="4E8C7B5A"/>
    <w:rsid w:val="4E8F764A"/>
    <w:rsid w:val="4EA330F5"/>
    <w:rsid w:val="4EFB6A8D"/>
    <w:rsid w:val="4F1E68D5"/>
    <w:rsid w:val="4F3D41E8"/>
    <w:rsid w:val="4F4C10C6"/>
    <w:rsid w:val="4F734876"/>
    <w:rsid w:val="4F781E8C"/>
    <w:rsid w:val="4F9F566B"/>
    <w:rsid w:val="4FCC3F86"/>
    <w:rsid w:val="4FDB1ADC"/>
    <w:rsid w:val="4FEC0207"/>
    <w:rsid w:val="500F5AD4"/>
    <w:rsid w:val="5028102C"/>
    <w:rsid w:val="503C110B"/>
    <w:rsid w:val="5055041F"/>
    <w:rsid w:val="50680152"/>
    <w:rsid w:val="5079410E"/>
    <w:rsid w:val="508702AB"/>
    <w:rsid w:val="50A25D9F"/>
    <w:rsid w:val="50A76ECD"/>
    <w:rsid w:val="50C17863"/>
    <w:rsid w:val="50C83C21"/>
    <w:rsid w:val="50EC0D83"/>
    <w:rsid w:val="50EF617E"/>
    <w:rsid w:val="50F33EC0"/>
    <w:rsid w:val="51595CED"/>
    <w:rsid w:val="519F7BA4"/>
    <w:rsid w:val="51A11B6E"/>
    <w:rsid w:val="51EA0CD7"/>
    <w:rsid w:val="51F872B4"/>
    <w:rsid w:val="520B348B"/>
    <w:rsid w:val="520D0FB1"/>
    <w:rsid w:val="52302EF2"/>
    <w:rsid w:val="52650B61"/>
    <w:rsid w:val="52756B57"/>
    <w:rsid w:val="52B753C1"/>
    <w:rsid w:val="52BC4786"/>
    <w:rsid w:val="52CF44B9"/>
    <w:rsid w:val="52D90E94"/>
    <w:rsid w:val="52EC23D1"/>
    <w:rsid w:val="52EF6909"/>
    <w:rsid w:val="52FE4D9E"/>
    <w:rsid w:val="532D4987"/>
    <w:rsid w:val="53424330"/>
    <w:rsid w:val="537961D3"/>
    <w:rsid w:val="537A08C9"/>
    <w:rsid w:val="539A6875"/>
    <w:rsid w:val="539C1FF6"/>
    <w:rsid w:val="53B8319F"/>
    <w:rsid w:val="53D41DF9"/>
    <w:rsid w:val="53FA5565"/>
    <w:rsid w:val="540C5299"/>
    <w:rsid w:val="541F321E"/>
    <w:rsid w:val="54290655"/>
    <w:rsid w:val="54414F42"/>
    <w:rsid w:val="547A48F8"/>
    <w:rsid w:val="54A0435F"/>
    <w:rsid w:val="54D01DC4"/>
    <w:rsid w:val="552A3C28"/>
    <w:rsid w:val="5538576B"/>
    <w:rsid w:val="55480552"/>
    <w:rsid w:val="55511B62"/>
    <w:rsid w:val="55513141"/>
    <w:rsid w:val="55741347"/>
    <w:rsid w:val="55945546"/>
    <w:rsid w:val="559612BE"/>
    <w:rsid w:val="55AF2380"/>
    <w:rsid w:val="560B3A5A"/>
    <w:rsid w:val="562B40FC"/>
    <w:rsid w:val="562E7748"/>
    <w:rsid w:val="563D3E2F"/>
    <w:rsid w:val="56436613"/>
    <w:rsid w:val="564B226C"/>
    <w:rsid w:val="56867584"/>
    <w:rsid w:val="56A357EA"/>
    <w:rsid w:val="56A619D5"/>
    <w:rsid w:val="56BC6F4B"/>
    <w:rsid w:val="56DB4AC2"/>
    <w:rsid w:val="56DC71A4"/>
    <w:rsid w:val="56F339A6"/>
    <w:rsid w:val="570D68DE"/>
    <w:rsid w:val="57342B3C"/>
    <w:rsid w:val="576B430F"/>
    <w:rsid w:val="5795253F"/>
    <w:rsid w:val="57985F48"/>
    <w:rsid w:val="57CF6D09"/>
    <w:rsid w:val="57FD5624"/>
    <w:rsid w:val="58490869"/>
    <w:rsid w:val="585711D8"/>
    <w:rsid w:val="58AA6CD3"/>
    <w:rsid w:val="58DC7A32"/>
    <w:rsid w:val="58E862D4"/>
    <w:rsid w:val="58F7752C"/>
    <w:rsid w:val="58FA7DB6"/>
    <w:rsid w:val="5919023C"/>
    <w:rsid w:val="591E3AA4"/>
    <w:rsid w:val="592A2449"/>
    <w:rsid w:val="59345076"/>
    <w:rsid w:val="593806BC"/>
    <w:rsid w:val="59411541"/>
    <w:rsid w:val="59513E7A"/>
    <w:rsid w:val="59A55F73"/>
    <w:rsid w:val="59B85CA7"/>
    <w:rsid w:val="59EC3BA2"/>
    <w:rsid w:val="5A601E9A"/>
    <w:rsid w:val="5A7C3A7A"/>
    <w:rsid w:val="5A9A122B"/>
    <w:rsid w:val="5ABE5688"/>
    <w:rsid w:val="5AD22D98"/>
    <w:rsid w:val="5ADB5479"/>
    <w:rsid w:val="5AE605F2"/>
    <w:rsid w:val="5B85605C"/>
    <w:rsid w:val="5B9718EC"/>
    <w:rsid w:val="5BDE576D"/>
    <w:rsid w:val="5BF907F8"/>
    <w:rsid w:val="5C3A6E47"/>
    <w:rsid w:val="5C6B4936"/>
    <w:rsid w:val="5CA50038"/>
    <w:rsid w:val="5CD86660"/>
    <w:rsid w:val="5D086F45"/>
    <w:rsid w:val="5D150E9F"/>
    <w:rsid w:val="5D810AA5"/>
    <w:rsid w:val="5D881E34"/>
    <w:rsid w:val="5D9407D9"/>
    <w:rsid w:val="5D99194B"/>
    <w:rsid w:val="5DB46785"/>
    <w:rsid w:val="5DBE13B2"/>
    <w:rsid w:val="5DC61CD3"/>
    <w:rsid w:val="5DCA244C"/>
    <w:rsid w:val="5DDB2871"/>
    <w:rsid w:val="5E1E29D5"/>
    <w:rsid w:val="5E385787"/>
    <w:rsid w:val="5E631F59"/>
    <w:rsid w:val="5E7A5C21"/>
    <w:rsid w:val="5EAC0932"/>
    <w:rsid w:val="5EBF3633"/>
    <w:rsid w:val="5EDD1D0C"/>
    <w:rsid w:val="5EDF3E3E"/>
    <w:rsid w:val="5EE906B0"/>
    <w:rsid w:val="5F0C25F1"/>
    <w:rsid w:val="5F1F40D2"/>
    <w:rsid w:val="5F3A53B0"/>
    <w:rsid w:val="5F455AAA"/>
    <w:rsid w:val="5F5F6FA1"/>
    <w:rsid w:val="5F610B8F"/>
    <w:rsid w:val="5F8065E3"/>
    <w:rsid w:val="5F926F9A"/>
    <w:rsid w:val="5F995D5E"/>
    <w:rsid w:val="5FBA3DFB"/>
    <w:rsid w:val="5FBE38EB"/>
    <w:rsid w:val="5FCB6008"/>
    <w:rsid w:val="5FCD246E"/>
    <w:rsid w:val="5FD2383A"/>
    <w:rsid w:val="5FE33352"/>
    <w:rsid w:val="60011A2A"/>
    <w:rsid w:val="60064E1F"/>
    <w:rsid w:val="601654D5"/>
    <w:rsid w:val="601A5EBA"/>
    <w:rsid w:val="60591866"/>
    <w:rsid w:val="60AE7E03"/>
    <w:rsid w:val="60C340B0"/>
    <w:rsid w:val="610712C2"/>
    <w:rsid w:val="61541AC3"/>
    <w:rsid w:val="619C2877"/>
    <w:rsid w:val="61A92A17"/>
    <w:rsid w:val="62421474"/>
    <w:rsid w:val="624C3C7F"/>
    <w:rsid w:val="625B7B17"/>
    <w:rsid w:val="628026EC"/>
    <w:rsid w:val="62AF5C21"/>
    <w:rsid w:val="62E73159"/>
    <w:rsid w:val="6308295B"/>
    <w:rsid w:val="633F28D8"/>
    <w:rsid w:val="637817AE"/>
    <w:rsid w:val="639130C5"/>
    <w:rsid w:val="63ED29F1"/>
    <w:rsid w:val="63F13003"/>
    <w:rsid w:val="640B189C"/>
    <w:rsid w:val="640E246A"/>
    <w:rsid w:val="64144421"/>
    <w:rsid w:val="64430863"/>
    <w:rsid w:val="64761B37"/>
    <w:rsid w:val="6488096B"/>
    <w:rsid w:val="64882719"/>
    <w:rsid w:val="649317EA"/>
    <w:rsid w:val="64A72C43"/>
    <w:rsid w:val="64AF414A"/>
    <w:rsid w:val="64C86FBA"/>
    <w:rsid w:val="64D61F15"/>
    <w:rsid w:val="64D63485"/>
    <w:rsid w:val="65075D34"/>
    <w:rsid w:val="65A070D7"/>
    <w:rsid w:val="65A610A9"/>
    <w:rsid w:val="65B37C6A"/>
    <w:rsid w:val="66240220"/>
    <w:rsid w:val="66483A21"/>
    <w:rsid w:val="66630D48"/>
    <w:rsid w:val="668A4527"/>
    <w:rsid w:val="66B5531C"/>
    <w:rsid w:val="66C37A39"/>
    <w:rsid w:val="66CA637E"/>
    <w:rsid w:val="66CD0651"/>
    <w:rsid w:val="66CF2882"/>
    <w:rsid w:val="66D756D6"/>
    <w:rsid w:val="66ED0F5A"/>
    <w:rsid w:val="67492634"/>
    <w:rsid w:val="6751773B"/>
    <w:rsid w:val="67580AC9"/>
    <w:rsid w:val="677D5E3A"/>
    <w:rsid w:val="679D472E"/>
    <w:rsid w:val="67C15A72"/>
    <w:rsid w:val="67D561B6"/>
    <w:rsid w:val="67DE72D1"/>
    <w:rsid w:val="67F56318"/>
    <w:rsid w:val="6817003C"/>
    <w:rsid w:val="682E182A"/>
    <w:rsid w:val="68420935"/>
    <w:rsid w:val="68F0088D"/>
    <w:rsid w:val="68FB7B05"/>
    <w:rsid w:val="690B56C7"/>
    <w:rsid w:val="69110F2F"/>
    <w:rsid w:val="69405A1D"/>
    <w:rsid w:val="694110E9"/>
    <w:rsid w:val="69596370"/>
    <w:rsid w:val="696372B1"/>
    <w:rsid w:val="698B5BE3"/>
    <w:rsid w:val="699B0F7A"/>
    <w:rsid w:val="69A022B3"/>
    <w:rsid w:val="69A9560C"/>
    <w:rsid w:val="69B12712"/>
    <w:rsid w:val="69B813AB"/>
    <w:rsid w:val="69BB533F"/>
    <w:rsid w:val="69CC4E56"/>
    <w:rsid w:val="69E2467A"/>
    <w:rsid w:val="69EB79D2"/>
    <w:rsid w:val="69F74477"/>
    <w:rsid w:val="69F85C34"/>
    <w:rsid w:val="6A3A2708"/>
    <w:rsid w:val="6A4F7602"/>
    <w:rsid w:val="6A757B47"/>
    <w:rsid w:val="6A9242F2"/>
    <w:rsid w:val="6A927E4E"/>
    <w:rsid w:val="6A95793E"/>
    <w:rsid w:val="6A957A01"/>
    <w:rsid w:val="6A9D4F25"/>
    <w:rsid w:val="6A9F07BD"/>
    <w:rsid w:val="6A9F2EE9"/>
    <w:rsid w:val="6A9F420F"/>
    <w:rsid w:val="6AE508C6"/>
    <w:rsid w:val="6AE83F12"/>
    <w:rsid w:val="6AED15B3"/>
    <w:rsid w:val="6AF4348B"/>
    <w:rsid w:val="6B056811"/>
    <w:rsid w:val="6B0845B4"/>
    <w:rsid w:val="6B5B2936"/>
    <w:rsid w:val="6B7564EB"/>
    <w:rsid w:val="6B7B46C9"/>
    <w:rsid w:val="6B7B6B34"/>
    <w:rsid w:val="6BB12556"/>
    <w:rsid w:val="6BDD159D"/>
    <w:rsid w:val="6C2B67AC"/>
    <w:rsid w:val="6C3C3D71"/>
    <w:rsid w:val="6C4E4249"/>
    <w:rsid w:val="6C5630FD"/>
    <w:rsid w:val="6C627CF4"/>
    <w:rsid w:val="6CCF2BA8"/>
    <w:rsid w:val="6CF92406"/>
    <w:rsid w:val="6D033285"/>
    <w:rsid w:val="6D1234C8"/>
    <w:rsid w:val="6D237483"/>
    <w:rsid w:val="6D2F7BD6"/>
    <w:rsid w:val="6D386F16"/>
    <w:rsid w:val="6D433682"/>
    <w:rsid w:val="6D527D69"/>
    <w:rsid w:val="6D5E670D"/>
    <w:rsid w:val="6D615622"/>
    <w:rsid w:val="6D761CA9"/>
    <w:rsid w:val="6D9E6B0A"/>
    <w:rsid w:val="6DAB4FAB"/>
    <w:rsid w:val="6DBB664D"/>
    <w:rsid w:val="6DC84A07"/>
    <w:rsid w:val="6DCB15B1"/>
    <w:rsid w:val="6E0E5A3E"/>
    <w:rsid w:val="6E4C47B8"/>
    <w:rsid w:val="6F060E0B"/>
    <w:rsid w:val="6F190B3E"/>
    <w:rsid w:val="6F1A48B6"/>
    <w:rsid w:val="6F1F1ECC"/>
    <w:rsid w:val="6F2374A4"/>
    <w:rsid w:val="6F256079"/>
    <w:rsid w:val="6F5778B8"/>
    <w:rsid w:val="6F7044D6"/>
    <w:rsid w:val="6F712728"/>
    <w:rsid w:val="6F7915DC"/>
    <w:rsid w:val="6F806E0F"/>
    <w:rsid w:val="6F834209"/>
    <w:rsid w:val="6FAF3250"/>
    <w:rsid w:val="6FB1521A"/>
    <w:rsid w:val="6FC53893"/>
    <w:rsid w:val="6FE62035"/>
    <w:rsid w:val="70166BF5"/>
    <w:rsid w:val="706B0B81"/>
    <w:rsid w:val="706E310B"/>
    <w:rsid w:val="70871A43"/>
    <w:rsid w:val="708A46FF"/>
    <w:rsid w:val="708B5A6B"/>
    <w:rsid w:val="70B328CC"/>
    <w:rsid w:val="71521D0D"/>
    <w:rsid w:val="7153268B"/>
    <w:rsid w:val="71B7463E"/>
    <w:rsid w:val="71BE3C1E"/>
    <w:rsid w:val="71C64881"/>
    <w:rsid w:val="71F33126"/>
    <w:rsid w:val="72006BFF"/>
    <w:rsid w:val="720C498A"/>
    <w:rsid w:val="721D0945"/>
    <w:rsid w:val="722515A8"/>
    <w:rsid w:val="724D1AF7"/>
    <w:rsid w:val="7270325B"/>
    <w:rsid w:val="72930C07"/>
    <w:rsid w:val="72F21DD2"/>
    <w:rsid w:val="72F94625"/>
    <w:rsid w:val="73010267"/>
    <w:rsid w:val="732D105C"/>
    <w:rsid w:val="73366208"/>
    <w:rsid w:val="73467A28"/>
    <w:rsid w:val="735C724B"/>
    <w:rsid w:val="737D619A"/>
    <w:rsid w:val="73806E1D"/>
    <w:rsid w:val="73C3376E"/>
    <w:rsid w:val="73CA4228"/>
    <w:rsid w:val="74130252"/>
    <w:rsid w:val="741E6BF6"/>
    <w:rsid w:val="746565D3"/>
    <w:rsid w:val="7476258E"/>
    <w:rsid w:val="748A7DE8"/>
    <w:rsid w:val="74A94712"/>
    <w:rsid w:val="74CE5A15"/>
    <w:rsid w:val="74EE481B"/>
    <w:rsid w:val="74F96F1F"/>
    <w:rsid w:val="75134281"/>
    <w:rsid w:val="755121D0"/>
    <w:rsid w:val="755D7AAE"/>
    <w:rsid w:val="757765BE"/>
    <w:rsid w:val="757F3BEE"/>
    <w:rsid w:val="75864A53"/>
    <w:rsid w:val="75907680"/>
    <w:rsid w:val="75D53E61"/>
    <w:rsid w:val="75E83018"/>
    <w:rsid w:val="75EA6D90"/>
    <w:rsid w:val="75F06371"/>
    <w:rsid w:val="75F95225"/>
    <w:rsid w:val="765D3A06"/>
    <w:rsid w:val="76683A27"/>
    <w:rsid w:val="768C7E47"/>
    <w:rsid w:val="76C27D0D"/>
    <w:rsid w:val="76D8308D"/>
    <w:rsid w:val="76EC45E6"/>
    <w:rsid w:val="77246464"/>
    <w:rsid w:val="772A140E"/>
    <w:rsid w:val="77381D7D"/>
    <w:rsid w:val="77867A79"/>
    <w:rsid w:val="77BA69B4"/>
    <w:rsid w:val="77C655DB"/>
    <w:rsid w:val="77E85A7A"/>
    <w:rsid w:val="77EF61B4"/>
    <w:rsid w:val="77EF68E0"/>
    <w:rsid w:val="78193072"/>
    <w:rsid w:val="78204806"/>
    <w:rsid w:val="78281DF2"/>
    <w:rsid w:val="784D1858"/>
    <w:rsid w:val="7861470B"/>
    <w:rsid w:val="786170B2"/>
    <w:rsid w:val="786D1EFA"/>
    <w:rsid w:val="78AF2513"/>
    <w:rsid w:val="78C6353E"/>
    <w:rsid w:val="78F41CD4"/>
    <w:rsid w:val="78F44A71"/>
    <w:rsid w:val="790A7749"/>
    <w:rsid w:val="79171042"/>
    <w:rsid w:val="79231B0D"/>
    <w:rsid w:val="793B3DA7"/>
    <w:rsid w:val="79427D98"/>
    <w:rsid w:val="794D3AD2"/>
    <w:rsid w:val="797C0647"/>
    <w:rsid w:val="798878E9"/>
    <w:rsid w:val="79C43D9C"/>
    <w:rsid w:val="7A04063C"/>
    <w:rsid w:val="7A0917AF"/>
    <w:rsid w:val="7A1F3D24"/>
    <w:rsid w:val="7A3C3932"/>
    <w:rsid w:val="7A5C3FD5"/>
    <w:rsid w:val="7A7030FE"/>
    <w:rsid w:val="7A796DB2"/>
    <w:rsid w:val="7AA8721A"/>
    <w:rsid w:val="7AC636F1"/>
    <w:rsid w:val="7AC8166A"/>
    <w:rsid w:val="7B414142"/>
    <w:rsid w:val="7B4D597D"/>
    <w:rsid w:val="7B584B03"/>
    <w:rsid w:val="7B851309"/>
    <w:rsid w:val="7BA76380"/>
    <w:rsid w:val="7BAD0F8C"/>
    <w:rsid w:val="7BB51BEE"/>
    <w:rsid w:val="7BDE553B"/>
    <w:rsid w:val="7BF344C5"/>
    <w:rsid w:val="7BF5023D"/>
    <w:rsid w:val="7BF63AA5"/>
    <w:rsid w:val="7C1032C9"/>
    <w:rsid w:val="7C790E6E"/>
    <w:rsid w:val="7CC4276E"/>
    <w:rsid w:val="7CCB410A"/>
    <w:rsid w:val="7CF837DF"/>
    <w:rsid w:val="7D0F532E"/>
    <w:rsid w:val="7D586CD5"/>
    <w:rsid w:val="7D603DDC"/>
    <w:rsid w:val="7D781125"/>
    <w:rsid w:val="7D7B29C4"/>
    <w:rsid w:val="7E244E09"/>
    <w:rsid w:val="7E4F53E9"/>
    <w:rsid w:val="7E936E08"/>
    <w:rsid w:val="7EB35789"/>
    <w:rsid w:val="7EBB576E"/>
    <w:rsid w:val="7F1430D0"/>
    <w:rsid w:val="7F5259A6"/>
    <w:rsid w:val="7F9A7447"/>
    <w:rsid w:val="7F9D7B1B"/>
    <w:rsid w:val="7FA51F7A"/>
    <w:rsid w:val="7FD016EA"/>
    <w:rsid w:val="7FF058EB"/>
    <w:rsid w:val="7FF30F3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sz w:val="48"/>
      <w:szCs w:val="48"/>
    </w:rPr>
  </w:style>
  <w:style w:type="paragraph" w:styleId="4">
    <w:name w:val="heading 2"/>
    <w:basedOn w:val="1"/>
    <w:next w:val="1"/>
    <w:semiHidden/>
    <w:unhideWhenUsed/>
    <w:qFormat/>
    <w:uiPriority w:val="0"/>
    <w:pPr>
      <w:spacing w:line="360" w:lineRule="auto"/>
      <w:outlineLvl w:val="1"/>
    </w:pPr>
    <w:rPr>
      <w:b/>
      <w:bCs/>
      <w:sz w:val="36"/>
      <w:szCs w:val="36"/>
    </w:rPr>
  </w:style>
  <w:style w:type="paragraph" w:styleId="5">
    <w:name w:val="heading 3"/>
    <w:basedOn w:val="1"/>
    <w:next w:val="1"/>
    <w:semiHidden/>
    <w:unhideWhenUsed/>
    <w:qFormat/>
    <w:uiPriority w:val="0"/>
    <w:pPr>
      <w:spacing w:line="360" w:lineRule="auto"/>
      <w:outlineLvl w:val="2"/>
    </w:pPr>
    <w:rPr>
      <w:b/>
      <w:bCs/>
      <w:sz w:val="30"/>
      <w:szCs w:val="30"/>
    </w:rPr>
  </w:style>
  <w:style w:type="paragraph" w:styleId="6">
    <w:name w:val="heading 4"/>
    <w:basedOn w:val="1"/>
    <w:next w:val="1"/>
    <w:semiHidden/>
    <w:unhideWhenUsed/>
    <w:qFormat/>
    <w:uiPriority w:val="0"/>
    <w:pPr>
      <w:spacing w:line="360" w:lineRule="auto"/>
      <w:outlineLvl w:val="3"/>
    </w:pPr>
    <w:rPr>
      <w:rFonts w:cs="宋体"/>
      <w:b/>
      <w:bCs/>
      <w:szCs w:val="28"/>
    </w:rPr>
  </w:style>
  <w:style w:type="character" w:default="1" w:styleId="31">
    <w:name w:val="Default Paragraph Font"/>
    <w:semiHidden/>
    <w:unhideWhenUsed/>
    <w:qFormat/>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customStyle="1" w:styleId="2">
    <w:name w:val="正文 首行缩进:  2 字符"/>
    <w:basedOn w:val="1"/>
    <w:qFormat/>
    <w:uiPriority w:val="0"/>
    <w:pPr>
      <w:ind w:firstLine="579" w:firstLineChars="200"/>
    </w:pPr>
    <w:rPr>
      <w:sz w:val="28"/>
      <w:szCs w:val="20"/>
    </w:rPr>
  </w:style>
  <w:style w:type="paragraph" w:styleId="7">
    <w:name w:val="Normal Indent"/>
    <w:basedOn w:val="1"/>
    <w:next w:val="1"/>
    <w:qFormat/>
    <w:uiPriority w:val="0"/>
    <w:pPr>
      <w:ind w:firstLine="420"/>
    </w:pPr>
  </w:style>
  <w:style w:type="paragraph" w:styleId="8">
    <w:name w:val="annotation text"/>
    <w:basedOn w:val="1"/>
    <w:link w:val="65"/>
    <w:semiHidden/>
    <w:qFormat/>
    <w:uiPriority w:val="0"/>
    <w:pPr>
      <w:jc w:val="left"/>
    </w:pPr>
    <w:rPr>
      <w:kern w:val="0"/>
      <w:szCs w:val="20"/>
    </w:rPr>
  </w:style>
  <w:style w:type="paragraph" w:styleId="9">
    <w:name w:val="Salutation"/>
    <w:basedOn w:val="1"/>
    <w:next w:val="1"/>
    <w:semiHidden/>
    <w:qFormat/>
    <w:uiPriority w:val="0"/>
    <w:pPr>
      <w:pBdr>
        <w:top w:val="single" w:color="auto" w:sz="4" w:space="1"/>
      </w:pBdr>
      <w:adjustRightInd w:val="0"/>
      <w:spacing w:line="360" w:lineRule="atLeast"/>
      <w:jc w:val="left"/>
      <w:textAlignment w:val="baseline"/>
    </w:pPr>
    <w:rPr>
      <w:kern w:val="0"/>
      <w:szCs w:val="20"/>
    </w:rPr>
  </w:style>
  <w:style w:type="paragraph" w:styleId="10">
    <w:name w:val="Body Text"/>
    <w:basedOn w:val="1"/>
    <w:next w:val="1"/>
    <w:qFormat/>
    <w:uiPriority w:val="0"/>
    <w:pPr>
      <w:spacing w:line="360" w:lineRule="auto"/>
      <w:ind w:firstLine="400" w:firstLineChars="200"/>
    </w:pPr>
    <w:rPr>
      <w:rFonts w:cs="宋体"/>
      <w:lang w:eastAsia="en-US"/>
    </w:rPr>
  </w:style>
  <w:style w:type="paragraph" w:styleId="11">
    <w:name w:val="Body Text Indent"/>
    <w:basedOn w:val="1"/>
    <w:next w:val="12"/>
    <w:qFormat/>
    <w:uiPriority w:val="0"/>
    <w:pPr>
      <w:spacing w:after="120"/>
      <w:ind w:left="420" w:leftChars="200"/>
    </w:pPr>
    <w:rPr>
      <w:kern w:val="0"/>
      <w:szCs w:val="20"/>
    </w:rPr>
  </w:style>
  <w:style w:type="paragraph" w:styleId="12">
    <w:name w:val="Body Text Indent 2"/>
    <w:basedOn w:val="1"/>
    <w:next w:val="1"/>
    <w:qFormat/>
    <w:uiPriority w:val="0"/>
    <w:pPr>
      <w:spacing w:line="620" w:lineRule="exact"/>
      <w:ind w:firstLine="570"/>
    </w:pPr>
  </w:style>
  <w:style w:type="paragraph" w:styleId="13">
    <w:name w:val="toc 3"/>
    <w:basedOn w:val="1"/>
    <w:next w:val="1"/>
    <w:qFormat/>
    <w:uiPriority w:val="0"/>
    <w:pPr>
      <w:ind w:left="840" w:leftChars="400"/>
    </w:pPr>
  </w:style>
  <w:style w:type="paragraph" w:styleId="14">
    <w:name w:val="Plain Text"/>
    <w:basedOn w:val="1"/>
    <w:next w:val="9"/>
    <w:qFormat/>
    <w:uiPriority w:val="0"/>
    <w:rPr>
      <w:rFonts w:ascii="宋体" w:hAnsi="Courier New"/>
    </w:rPr>
  </w:style>
  <w:style w:type="paragraph" w:styleId="15">
    <w:name w:val="List Bullet 5"/>
    <w:basedOn w:val="1"/>
    <w:qFormat/>
    <w:uiPriority w:val="0"/>
    <w:pPr>
      <w:numPr>
        <w:ilvl w:val="0"/>
        <w:numId w:val="1"/>
      </w:numPr>
    </w:pPr>
  </w:style>
  <w:style w:type="paragraph" w:styleId="16">
    <w:name w:val="Balloon Text"/>
    <w:basedOn w:val="1"/>
    <w:link w:val="69"/>
    <w:qFormat/>
    <w:uiPriority w:val="0"/>
    <w:rPr>
      <w:sz w:val="18"/>
      <w:szCs w:val="18"/>
    </w:rPr>
  </w:style>
  <w:style w:type="paragraph" w:styleId="17">
    <w:name w:val="footer"/>
    <w:basedOn w:val="1"/>
    <w:qFormat/>
    <w:uiPriority w:val="99"/>
    <w:pPr>
      <w:tabs>
        <w:tab w:val="center" w:pos="4153"/>
        <w:tab w:val="right" w:pos="8306"/>
      </w:tabs>
      <w:snapToGrid w:val="0"/>
      <w:jc w:val="left"/>
    </w:pPr>
    <w:rPr>
      <w:kern w:val="0"/>
      <w:sz w:val="18"/>
      <w:szCs w:val="20"/>
    </w:rPr>
  </w:style>
  <w:style w:type="paragraph" w:styleId="18">
    <w:name w:val="header"/>
    <w:basedOn w:val="1"/>
    <w:next w:val="10"/>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toc 1"/>
    <w:basedOn w:val="1"/>
    <w:next w:val="1"/>
    <w:qFormat/>
    <w:uiPriority w:val="0"/>
  </w:style>
  <w:style w:type="paragraph" w:styleId="20">
    <w:name w:val="index heading"/>
    <w:basedOn w:val="1"/>
    <w:next w:val="21"/>
    <w:qFormat/>
    <w:uiPriority w:val="0"/>
    <w:rPr>
      <w:rFonts w:ascii="Arial" w:hAnsi="Arial"/>
      <w:b/>
    </w:rPr>
  </w:style>
  <w:style w:type="paragraph" w:styleId="21">
    <w:name w:val="index 1"/>
    <w:basedOn w:val="1"/>
    <w:next w:val="1"/>
    <w:qFormat/>
    <w:uiPriority w:val="0"/>
  </w:style>
  <w:style w:type="paragraph" w:styleId="22">
    <w:name w:val="Body Text Indent 3"/>
    <w:basedOn w:val="1"/>
    <w:qFormat/>
    <w:uiPriority w:val="0"/>
    <w:pPr>
      <w:spacing w:after="120"/>
      <w:ind w:left="420" w:leftChars="200"/>
    </w:pPr>
    <w:rPr>
      <w:sz w:val="16"/>
      <w:szCs w:val="16"/>
    </w:rPr>
  </w:style>
  <w:style w:type="paragraph" w:styleId="23">
    <w:name w:val="table of figures"/>
    <w:basedOn w:val="1"/>
    <w:next w:val="1"/>
    <w:qFormat/>
    <w:uiPriority w:val="0"/>
    <w:pPr>
      <w:ind w:left="200" w:leftChars="200" w:hanging="200" w:hangingChars="200"/>
    </w:pPr>
    <w:rPr>
      <w:rFonts w:ascii="Calibri" w:hAnsi="Calibri"/>
      <w:sz w:val="21"/>
      <w:szCs w:val="22"/>
    </w:rPr>
  </w:style>
  <w:style w:type="paragraph" w:styleId="24">
    <w:name w:val="Body Text 2"/>
    <w:basedOn w:val="1"/>
    <w:next w:val="1"/>
    <w:qFormat/>
    <w:uiPriority w:val="0"/>
    <w:pPr>
      <w:spacing w:after="120" w:line="480" w:lineRule="auto"/>
    </w:pPr>
  </w:style>
  <w:style w:type="paragraph" w:styleId="25">
    <w:name w:val="Normal (Web)"/>
    <w:basedOn w:val="1"/>
    <w:qFormat/>
    <w:uiPriority w:val="0"/>
    <w:pPr>
      <w:widowControl/>
      <w:spacing w:before="100" w:beforeAutospacing="1" w:after="100" w:afterAutospacing="1"/>
      <w:jc w:val="left"/>
    </w:pPr>
    <w:rPr>
      <w:rFonts w:ascii="宋体" w:hAnsi="宋体"/>
      <w:kern w:val="0"/>
      <w:szCs w:val="20"/>
    </w:rPr>
  </w:style>
  <w:style w:type="paragraph" w:styleId="26">
    <w:name w:val="annotation subject"/>
    <w:basedOn w:val="8"/>
    <w:next w:val="8"/>
    <w:link w:val="68"/>
    <w:qFormat/>
    <w:uiPriority w:val="0"/>
    <w:rPr>
      <w:b/>
      <w:bCs/>
      <w:kern w:val="2"/>
      <w:szCs w:val="24"/>
    </w:rPr>
  </w:style>
  <w:style w:type="paragraph" w:styleId="27">
    <w:name w:val="Body Text First Indent"/>
    <w:basedOn w:val="1"/>
    <w:qFormat/>
    <w:uiPriority w:val="0"/>
    <w:pPr>
      <w:ind w:firstLine="420"/>
    </w:pPr>
  </w:style>
  <w:style w:type="paragraph" w:styleId="28">
    <w:name w:val="Body Text First Indent 2"/>
    <w:basedOn w:val="11"/>
    <w:next w:val="27"/>
    <w:unhideWhenUsed/>
    <w:qFormat/>
    <w:uiPriority w:val="99"/>
    <w:pPr>
      <w:ind w:firstLine="420" w:firstLineChars="200"/>
    </w:pPr>
    <w:rPr>
      <w:rFonts w:eastAsia="仿宋_GB2312"/>
      <w:snapToGrid w:val="0"/>
      <w:color w:val="000000"/>
      <w:sz w:val="28"/>
    </w:r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0"/>
    <w:rPr>
      <w:b/>
    </w:rPr>
  </w:style>
  <w:style w:type="character" w:styleId="33">
    <w:name w:val="page number"/>
    <w:basedOn w:val="31"/>
    <w:qFormat/>
    <w:uiPriority w:val="0"/>
  </w:style>
  <w:style w:type="character" w:styleId="34">
    <w:name w:val="Hyperlink"/>
    <w:basedOn w:val="31"/>
    <w:qFormat/>
    <w:uiPriority w:val="0"/>
    <w:rPr>
      <w:color w:val="0000FF"/>
      <w:u w:val="single"/>
    </w:rPr>
  </w:style>
  <w:style w:type="character" w:styleId="35">
    <w:name w:val="annotation reference"/>
    <w:semiHidden/>
    <w:qFormat/>
    <w:uiPriority w:val="0"/>
    <w:rPr>
      <w:sz w:val="21"/>
    </w:rPr>
  </w:style>
  <w:style w:type="paragraph" w:customStyle="1" w:styleId="36">
    <w:name w:val="xl27"/>
    <w:basedOn w:val="1"/>
    <w:next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37">
    <w:name w:val="Default"/>
    <w:basedOn w:val="38"/>
    <w:next w:val="39"/>
    <w:qFormat/>
    <w:uiPriority w:val="0"/>
    <w:pPr>
      <w:autoSpaceDE w:val="0"/>
      <w:autoSpaceDN w:val="0"/>
      <w:adjustRightInd w:val="0"/>
    </w:pPr>
    <w:rPr>
      <w:rFonts w:ascii="宋体" w:cs="宋体"/>
      <w:color w:val="000000"/>
      <w:sz w:val="24"/>
      <w:szCs w:val="24"/>
    </w:rPr>
  </w:style>
  <w:style w:type="paragraph" w:customStyle="1" w:styleId="38">
    <w:name w:val="标题2"/>
    <w:basedOn w:val="4"/>
    <w:next w:val="4"/>
    <w:qFormat/>
    <w:uiPriority w:val="0"/>
    <w:pPr>
      <w:numPr>
        <w:ilvl w:val="0"/>
        <w:numId w:val="2"/>
      </w:numPr>
      <w:spacing w:line="440" w:lineRule="exact"/>
    </w:pPr>
    <w:rPr>
      <w:kern w:val="0"/>
      <w:sz w:val="28"/>
    </w:rPr>
  </w:style>
  <w:style w:type="paragraph" w:customStyle="1" w:styleId="39">
    <w:name w:val="样式3"/>
    <w:basedOn w:val="19"/>
    <w:next w:val="40"/>
    <w:qFormat/>
    <w:uiPriority w:val="0"/>
    <w:pPr>
      <w:numPr>
        <w:ilvl w:val="2"/>
        <w:numId w:val="3"/>
      </w:numPr>
      <w:outlineLvl w:val="2"/>
    </w:pPr>
    <w:rPr>
      <w:sz w:val="28"/>
      <w:szCs w:val="28"/>
    </w:rPr>
  </w:style>
  <w:style w:type="paragraph" w:customStyle="1" w:styleId="40">
    <w:name w:val="目录 53"/>
    <w:basedOn w:val="1"/>
    <w:next w:val="1"/>
    <w:qFormat/>
    <w:uiPriority w:val="0"/>
    <w:pPr>
      <w:ind w:left="840"/>
    </w:pPr>
    <w:rPr>
      <w:rFonts w:cs="宋体"/>
      <w:color w:val="000000"/>
    </w:rPr>
  </w:style>
  <w:style w:type="paragraph" w:customStyle="1" w:styleId="41">
    <w:name w:val="表格内容"/>
    <w:basedOn w:val="42"/>
    <w:next w:val="1"/>
    <w:qFormat/>
    <w:uiPriority w:val="0"/>
    <w:pPr>
      <w:wordWrap w:val="0"/>
      <w:overflowPunct w:val="0"/>
      <w:spacing w:line="240" w:lineRule="auto"/>
      <w:jc w:val="left"/>
      <w:textAlignment w:val="baseline"/>
    </w:pPr>
    <w:rPr>
      <w:b w:val="0"/>
      <w:sz w:val="21"/>
    </w:rPr>
  </w:style>
  <w:style w:type="paragraph" w:customStyle="1" w:styleId="42">
    <w:name w:val="表格标题"/>
    <w:basedOn w:val="10"/>
    <w:next w:val="41"/>
    <w:qFormat/>
    <w:uiPriority w:val="0"/>
    <w:pPr>
      <w:ind w:firstLine="0" w:firstLineChars="0"/>
      <w:jc w:val="center"/>
    </w:pPr>
    <w:rPr>
      <w:b/>
      <w:szCs w:val="21"/>
    </w:rPr>
  </w:style>
  <w:style w:type="paragraph" w:customStyle="1" w:styleId="43">
    <w:name w:val="Char Char Char Char Char Char1 Char Char Char Char"/>
    <w:basedOn w:val="1"/>
    <w:next w:val="1"/>
    <w:semiHidden/>
    <w:qFormat/>
    <w:uiPriority w:val="0"/>
    <w:pPr>
      <w:spacing w:line="360" w:lineRule="auto"/>
      <w:ind w:firstLine="200" w:firstLineChars="200"/>
    </w:pPr>
    <w:rPr>
      <w:rFonts w:ascii="宋体" w:hAnsi="宋体" w:cs="宋体"/>
      <w:szCs w:val="21"/>
    </w:rPr>
  </w:style>
  <w:style w:type="paragraph" w:customStyle="1" w:styleId="44">
    <w:name w:val="1正文段落"/>
    <w:basedOn w:val="1"/>
    <w:qFormat/>
    <w:uiPriority w:val="0"/>
    <w:pPr>
      <w:spacing w:line="360" w:lineRule="auto"/>
      <w:ind w:firstLine="480" w:firstLineChars="200"/>
      <w:jc w:val="left"/>
    </w:pPr>
    <w:rPr>
      <w:snapToGrid w:val="0"/>
      <w:kern w:val="0"/>
    </w:rPr>
  </w:style>
  <w:style w:type="paragraph" w:customStyle="1" w:styleId="45">
    <w:name w:val="正文（用）"/>
    <w:basedOn w:val="1"/>
    <w:qFormat/>
    <w:uiPriority w:val="0"/>
    <w:pPr>
      <w:spacing w:line="360" w:lineRule="auto"/>
      <w:ind w:firstLine="480" w:firstLineChars="200"/>
      <w:jc w:val="left"/>
    </w:pPr>
    <w:rPr>
      <w:rFonts w:ascii="宋体" w:hAnsi="宋体" w:cs="宋体"/>
    </w:rPr>
  </w:style>
  <w:style w:type="paragraph" w:customStyle="1" w:styleId="46">
    <w:name w:val="表格正文"/>
    <w:basedOn w:val="7"/>
    <w:next w:val="1"/>
    <w:qFormat/>
    <w:uiPriority w:val="0"/>
    <w:pPr>
      <w:widowControl/>
      <w:ind w:firstLine="0"/>
      <w:jc w:val="center"/>
    </w:pPr>
    <w:rPr>
      <w:sz w:val="21"/>
    </w:rPr>
  </w:style>
  <w:style w:type="paragraph" w:customStyle="1" w:styleId="47">
    <w:name w:val="A正文"/>
    <w:basedOn w:val="1"/>
    <w:qFormat/>
    <w:uiPriority w:val="0"/>
    <w:pPr>
      <w:widowControl/>
      <w:overflowPunct w:val="0"/>
      <w:autoSpaceDE w:val="0"/>
      <w:autoSpaceDN w:val="0"/>
      <w:jc w:val="left"/>
      <w:textAlignment w:val="baseline"/>
    </w:pPr>
  </w:style>
  <w:style w:type="paragraph" w:customStyle="1" w:styleId="48">
    <w:name w:val="Table Paragraph"/>
    <w:basedOn w:val="1"/>
    <w:qFormat/>
    <w:uiPriority w:val="1"/>
    <w:rPr>
      <w:rFonts w:ascii="宋体" w:hAnsi="宋体" w:cs="宋体"/>
    </w:rPr>
  </w:style>
  <w:style w:type="character" w:customStyle="1" w:styleId="49">
    <w:name w:val="font11"/>
    <w:basedOn w:val="31"/>
    <w:qFormat/>
    <w:uiPriority w:val="0"/>
    <w:rPr>
      <w:rFonts w:hint="default" w:ascii="Times New Roman" w:hAnsi="Times New Roman" w:cs="Times New Roman"/>
      <w:color w:val="000000"/>
      <w:sz w:val="21"/>
      <w:szCs w:val="21"/>
      <w:u w:val="none"/>
      <w:vertAlign w:val="subscript"/>
    </w:rPr>
  </w:style>
  <w:style w:type="character" w:customStyle="1" w:styleId="50">
    <w:name w:val="font21"/>
    <w:basedOn w:val="31"/>
    <w:qFormat/>
    <w:uiPriority w:val="0"/>
    <w:rPr>
      <w:rFonts w:hint="eastAsia" w:ascii="宋体" w:hAnsi="宋体" w:eastAsia="宋体" w:cs="宋体"/>
      <w:color w:val="000000"/>
      <w:sz w:val="21"/>
      <w:szCs w:val="21"/>
      <w:u w:val="none"/>
    </w:rPr>
  </w:style>
  <w:style w:type="paragraph" w:customStyle="1" w:styleId="51">
    <w:name w:val="表格思密达"/>
    <w:basedOn w:val="1"/>
    <w:qFormat/>
    <w:uiPriority w:val="0"/>
    <w:pPr>
      <w:jc w:val="center"/>
    </w:pPr>
    <w:rPr>
      <w:kern w:val="0"/>
      <w:sz w:val="21"/>
    </w:rPr>
  </w:style>
  <w:style w:type="paragraph" w:customStyle="1" w:styleId="52">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53">
    <w:name w:val="正文样式1"/>
    <w:basedOn w:val="1"/>
    <w:qFormat/>
    <w:uiPriority w:val="0"/>
    <w:pPr>
      <w:adjustRightInd w:val="0"/>
      <w:spacing w:line="288" w:lineRule="auto"/>
      <w:ind w:firstLine="360" w:firstLineChars="150"/>
      <w:textAlignment w:val="baseline"/>
    </w:pPr>
    <w:rPr>
      <w:kern w:val="0"/>
      <w:szCs w:val="20"/>
    </w:rPr>
  </w:style>
  <w:style w:type="paragraph" w:customStyle="1" w:styleId="54">
    <w:name w:val="报告正文-连续目录"/>
    <w:basedOn w:val="1"/>
    <w:qFormat/>
    <w:uiPriority w:val="0"/>
    <w:pPr>
      <w:spacing w:line="440" w:lineRule="exact"/>
      <w:ind w:firstLine="200" w:firstLineChars="200"/>
    </w:pPr>
    <w:rPr>
      <w:rFonts w:ascii="Arial" w:hAnsi="Arial" w:cs="Arial"/>
      <w:kern w:val="0"/>
    </w:rPr>
  </w:style>
  <w:style w:type="paragraph" w:customStyle="1" w:styleId="55">
    <w:name w:val="列出段落1"/>
    <w:basedOn w:val="1"/>
    <w:qFormat/>
    <w:uiPriority w:val="0"/>
    <w:pPr>
      <w:ind w:firstLine="420" w:firstLineChars="200"/>
    </w:pPr>
  </w:style>
  <w:style w:type="paragraph" w:customStyle="1" w:styleId="56">
    <w:name w:val="Other|1"/>
    <w:basedOn w:val="1"/>
    <w:qFormat/>
    <w:uiPriority w:val="0"/>
    <w:pPr>
      <w:spacing w:line="288" w:lineRule="auto"/>
      <w:ind w:firstLine="400"/>
    </w:pPr>
    <w:rPr>
      <w:rFonts w:ascii="宋体" w:hAnsi="宋体" w:cs="宋体"/>
      <w:sz w:val="22"/>
      <w:szCs w:val="22"/>
      <w:lang w:val="zh-TW" w:eastAsia="zh-TW" w:bidi="zh-TW"/>
    </w:rPr>
  </w:style>
  <w:style w:type="paragraph" w:customStyle="1" w:styleId="57">
    <w:name w:val="陈正文"/>
    <w:basedOn w:val="1"/>
    <w:qFormat/>
    <w:uiPriority w:val="0"/>
    <w:pPr>
      <w:framePr w:hSpace="180" w:wrap="around" w:vAnchor="text" w:hAnchor="text" w:xAlign="center" w:y="1"/>
      <w:spacing w:line="360" w:lineRule="auto"/>
      <w:ind w:firstLine="480" w:firstLineChars="200"/>
    </w:pPr>
  </w:style>
  <w:style w:type="paragraph" w:customStyle="1" w:styleId="58">
    <w:name w:val="图标标题"/>
    <w:basedOn w:val="1"/>
    <w:qFormat/>
    <w:uiPriority w:val="0"/>
    <w:pPr>
      <w:jc w:val="center"/>
    </w:pPr>
    <w:rPr>
      <w:rFonts w:eastAsia="黑体"/>
    </w:rPr>
  </w:style>
  <w:style w:type="paragraph" w:customStyle="1" w:styleId="59">
    <w:name w:val="表格5号"/>
    <w:basedOn w:val="1"/>
    <w:qFormat/>
    <w:uiPriority w:val="0"/>
    <w:pPr>
      <w:jc w:val="center"/>
    </w:pPr>
    <w:rPr>
      <w:sz w:val="21"/>
    </w:rPr>
  </w:style>
  <w:style w:type="paragraph" w:customStyle="1" w:styleId="60">
    <w:name w:val="新格式表"/>
    <w:basedOn w:val="1"/>
    <w:qFormat/>
    <w:uiPriority w:val="0"/>
    <w:pPr>
      <w:adjustRightInd w:val="0"/>
      <w:snapToGrid w:val="0"/>
      <w:spacing w:line="0" w:lineRule="atLeast"/>
      <w:jc w:val="center"/>
    </w:pPr>
    <w:rPr>
      <w:szCs w:val="21"/>
    </w:rPr>
  </w:style>
  <w:style w:type="paragraph" w:customStyle="1" w:styleId="61">
    <w:name w:val="表样式1"/>
    <w:basedOn w:val="1"/>
    <w:qFormat/>
    <w:uiPriority w:val="0"/>
    <w:pPr>
      <w:snapToGrid w:val="0"/>
      <w:jc w:val="center"/>
    </w:pPr>
    <w:rPr>
      <w:color w:val="000000"/>
      <w:szCs w:val="21"/>
    </w:rPr>
  </w:style>
  <w:style w:type="paragraph" w:customStyle="1" w:styleId="62">
    <w:name w:val="正文 + 仿宋_GB2312"/>
    <w:basedOn w:val="1"/>
    <w:qFormat/>
    <w:uiPriority w:val="99"/>
    <w:pPr>
      <w:ind w:firstLine="480" w:firstLineChars="200"/>
    </w:pPr>
    <w:rPr>
      <w:rFonts w:ascii="仿宋_GB2312" w:hAnsi="Calibri" w:eastAsia="仿宋_GB2312"/>
      <w:szCs w:val="22"/>
    </w:rPr>
  </w:style>
  <w:style w:type="paragraph" w:customStyle="1" w:styleId="63">
    <w:name w:val="表格文字"/>
    <w:basedOn w:val="1"/>
    <w:qFormat/>
    <w:uiPriority w:val="0"/>
    <w:pPr>
      <w:autoSpaceDE w:val="0"/>
      <w:autoSpaceDN w:val="0"/>
      <w:adjustRightInd w:val="0"/>
      <w:spacing w:before="60" w:after="60"/>
      <w:jc w:val="center"/>
      <w:textAlignment w:val="bottom"/>
    </w:pPr>
    <w:rPr>
      <w:rFonts w:eastAsia="仿宋_GB2312"/>
      <w:kern w:val="0"/>
      <w:szCs w:val="20"/>
    </w:rPr>
  </w:style>
  <w:style w:type="paragraph" w:customStyle="1" w:styleId="64">
    <w:name w:val="1正文"/>
    <w:qFormat/>
    <w:uiPriority w:val="0"/>
    <w:pPr>
      <w:spacing w:line="48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65">
    <w:name w:val="批注文字 字符"/>
    <w:basedOn w:val="31"/>
    <w:link w:val="8"/>
    <w:qFormat/>
    <w:uiPriority w:val="0"/>
    <w:rPr>
      <w:kern w:val="0"/>
      <w:sz w:val="24"/>
      <w:szCs w:val="20"/>
    </w:rPr>
  </w:style>
  <w:style w:type="paragraph" w:customStyle="1" w:styleId="66">
    <w:name w:val="【表中文字】"/>
    <w:basedOn w:val="1"/>
    <w:unhideWhenUsed/>
    <w:qFormat/>
    <w:uiPriority w:val="0"/>
    <w:pPr>
      <w:jc w:val="center"/>
    </w:pPr>
    <w:rPr>
      <w:rFonts w:eastAsia="新宋体"/>
      <w:sz w:val="21"/>
      <w:szCs w:val="20"/>
    </w:rPr>
  </w:style>
  <w:style w:type="table" w:customStyle="1" w:styleId="67">
    <w:name w:val="Table Normal"/>
    <w:unhideWhenUsed/>
    <w:qFormat/>
    <w:uiPriority w:val="0"/>
    <w:tblPr>
      <w:tblCellMar>
        <w:top w:w="0" w:type="dxa"/>
        <w:left w:w="0" w:type="dxa"/>
        <w:bottom w:w="0" w:type="dxa"/>
        <w:right w:w="0" w:type="dxa"/>
      </w:tblCellMar>
    </w:tblPr>
  </w:style>
  <w:style w:type="character" w:customStyle="1" w:styleId="68">
    <w:name w:val="批注主题 字符"/>
    <w:basedOn w:val="65"/>
    <w:link w:val="26"/>
    <w:qFormat/>
    <w:uiPriority w:val="0"/>
    <w:rPr>
      <w:b/>
      <w:bCs/>
      <w:kern w:val="2"/>
      <w:sz w:val="24"/>
      <w:szCs w:val="24"/>
    </w:rPr>
  </w:style>
  <w:style w:type="character" w:customStyle="1" w:styleId="69">
    <w:name w:val="批注框文本 字符"/>
    <w:basedOn w:val="31"/>
    <w:link w:val="16"/>
    <w:qFormat/>
    <w:uiPriority w:val="0"/>
    <w:rPr>
      <w:kern w:val="2"/>
      <w:sz w:val="18"/>
      <w:szCs w:val="18"/>
    </w:rPr>
  </w:style>
  <w:style w:type="character" w:customStyle="1" w:styleId="70">
    <w:name w:val="font01"/>
    <w:basedOn w:val="31"/>
    <w:qFormat/>
    <w:uiPriority w:val="0"/>
    <w:rPr>
      <w:rFonts w:ascii="宋体" w:hAnsi="宋体" w:eastAsia="宋体" w:cs="宋体"/>
      <w:color w:val="000000"/>
      <w:sz w:val="60"/>
      <w:szCs w:val="60"/>
      <w:u w:val="none"/>
    </w:rPr>
  </w:style>
  <w:style w:type="paragraph" w:customStyle="1" w:styleId="71">
    <w:name w:val="样式35"/>
    <w:basedOn w:val="1"/>
    <w:qFormat/>
    <w:uiPriority w:val="0"/>
    <w:pPr>
      <w:adjustRightInd w:val="0"/>
      <w:spacing w:line="312" w:lineRule="auto"/>
      <w:ind w:firstLine="567"/>
    </w:pPr>
    <w:rPr>
      <w:rFonts w:ascii="宋体"/>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wmf"/><Relationship Id="rId12" Type="http://schemas.openxmlformats.org/officeDocument/2006/relationships/oleObject" Target="embeddings/oleObject2.bin"/><Relationship Id="rId11" Type="http://schemas.openxmlformats.org/officeDocument/2006/relationships/image" Target="media/image6.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6B1C0D-160E-4926-951D-89B1C5CA7DBE}">
  <ds:schemaRefs/>
</ds:datastoreItem>
</file>

<file path=docProps/app.xml><?xml version="1.0" encoding="utf-8"?>
<Properties xmlns="http://schemas.openxmlformats.org/officeDocument/2006/extended-properties" xmlns:vt="http://schemas.openxmlformats.org/officeDocument/2006/docPropsVTypes">
  <Template>Normal.dotm</Template>
  <Pages>69</Pages>
  <Words>40150</Words>
  <Characters>44878</Characters>
  <Lines>346</Lines>
  <Paragraphs>97</Paragraphs>
  <TotalTime>61</TotalTime>
  <ScaleCrop>false</ScaleCrop>
  <LinksUpToDate>false</LinksUpToDate>
  <CharactersWithSpaces>45261</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2021-06-30T02:09:00Z</dcterms:created>
  <dc:creator>孙艳</dc:creator>
  <cp:lastModifiedBy>吕雨泽</cp:lastModifiedBy>
  <cp:lastPrinted>2022-12-22T03:14:00Z</cp:lastPrinted>
  <dcterms:modified xsi:type="dcterms:W3CDTF">2023-01-11T01:11:11Z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53E40E1AE298442E8567DE85C9219321</vt:lpwstr>
  </property>
</Properties>
</file>